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8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359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156210</wp:posOffset>
            </wp:positionV>
            <wp:extent cx="1800860"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Technologies Corporation</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700" w:right="60" w:hanging="3"/>
        <w:spacing w:after="0" w:line="221" w:lineRule="auto"/>
        <w:tabs>
          <w:tab w:leader="none" w:pos="857"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860" w:hanging="163"/>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ind w:left="860" w:hanging="163"/>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67575" cy="8046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804608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67575" cy="8063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806323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80086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33464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
          </w:tcPr>
          <w:p>
            <w:pPr>
              <w:ind w:left="2260"/>
              <w:spacing w:after="0"/>
              <w:rPr>
                <w:sz w:val="20"/>
                <w:szCs w:val="20"/>
                <w:color w:val="auto"/>
              </w:rPr>
            </w:pPr>
            <w:r>
              <w:rPr>
                <w:rFonts w:ascii="Arial" w:cs="Arial" w:eastAsia="Arial" w:hAnsi="Arial"/>
                <w:sz w:val="18"/>
                <w:szCs w:val="18"/>
                <w:color w:val="auto"/>
                <w:w w:val="95"/>
              </w:rPr>
              <w:t>March 18, 2019</w:t>
            </w:r>
          </w:p>
        </w:tc>
        <w:tc>
          <w:tcPr>
            <w:tcW w:w="0" w:type="dxa"/>
            <w:vAlign w:val="bottom"/>
          </w:tcPr>
          <w:p>
            <w:pPr>
              <w:spacing w:after="0"/>
              <w:rPr>
                <w:sz w:val="1"/>
                <w:szCs w:val="1"/>
                <w:color w:val="auto"/>
              </w:rPr>
            </w:pPr>
          </w:p>
        </w:tc>
      </w:tr>
      <w:tr>
        <w:trPr>
          <w:trHeight w:val="760"/>
        </w:trPr>
        <w:tc>
          <w:tcPr>
            <w:tcW w:w="7940" w:type="dxa"/>
            <w:vAlign w:val="bottom"/>
            <w:gridSpan w:val="5"/>
          </w:tcPr>
          <w:p>
            <w:pPr>
              <w:spacing w:after="0"/>
              <w:rPr>
                <w:sz w:val="20"/>
                <w:szCs w:val="20"/>
                <w:color w:val="auto"/>
              </w:rPr>
            </w:pPr>
            <w:r>
              <w:rPr>
                <w:rFonts w:ascii="Arial" w:cs="Arial" w:eastAsia="Arial" w:hAnsi="Arial"/>
                <w:sz w:val="32"/>
                <w:szCs w:val="32"/>
                <w:b w:val="1"/>
                <w:bCs w:val="1"/>
                <w:color w:val="0E93D8"/>
              </w:rPr>
              <w:t>Notice of 2019 Annual Meeting of Shareowners</w:t>
            </w: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300" w:type="dxa"/>
            <w:vAlign w:val="bottom"/>
            <w:tcBorders>
              <w:right w:val="single" w:sz="8" w:color="0D92D8"/>
            </w:tcBorders>
            <w:shd w:val="clear" w:color="auto" w:fill="0D92D8"/>
          </w:tcPr>
          <w:p>
            <w:pPr>
              <w:spacing w:after="0"/>
              <w:rPr>
                <w:sz w:val="24"/>
                <w:szCs w:val="24"/>
                <w:color w:val="auto"/>
              </w:rPr>
            </w:pPr>
          </w:p>
        </w:tc>
        <w:tc>
          <w:tcPr>
            <w:tcW w:w="3540" w:type="dxa"/>
            <w:vAlign w:val="bottom"/>
            <w:shd w:val="clear" w:color="auto" w:fill="0D92D8"/>
          </w:tcPr>
          <w:p>
            <w:pPr>
              <w:spacing w:after="0"/>
              <w:rPr>
                <w:sz w:val="20"/>
                <w:szCs w:val="20"/>
                <w:color w:val="auto"/>
              </w:rPr>
            </w:pPr>
            <w:r>
              <w:rPr>
                <w:rFonts w:ascii="Arial" w:cs="Arial" w:eastAsia="Arial" w:hAnsi="Arial"/>
                <w:sz w:val="27"/>
                <w:szCs w:val="27"/>
                <w:b w:val="1"/>
                <w:bCs w:val="1"/>
                <w:color w:val="FFFFFF"/>
              </w:rPr>
              <w:t>Meeting Information</w:t>
            </w:r>
          </w:p>
        </w:tc>
        <w:tc>
          <w:tcPr>
            <w:tcW w:w="280" w:type="dxa"/>
            <w:vAlign w:val="bottom"/>
            <w:shd w:val="clear" w:color="auto" w:fill="0D92D8"/>
          </w:tcPr>
          <w:p>
            <w:pPr>
              <w:spacing w:after="0"/>
              <w:rPr>
                <w:sz w:val="24"/>
                <w:szCs w:val="24"/>
                <w:color w:val="auto"/>
              </w:rPr>
            </w:pPr>
          </w:p>
        </w:tc>
        <w:tc>
          <w:tcPr>
            <w:tcW w:w="3540" w:type="dxa"/>
            <w:vAlign w:val="bottom"/>
            <w:shd w:val="clear" w:color="auto" w:fill="0D92D8"/>
          </w:tcPr>
          <w:p>
            <w:pPr>
              <w:spacing w:after="0"/>
              <w:rPr>
                <w:sz w:val="24"/>
                <w:szCs w:val="24"/>
                <w:color w:val="auto"/>
              </w:rPr>
            </w:pPr>
          </w:p>
        </w:tc>
        <w:tc>
          <w:tcPr>
            <w:tcW w:w="280" w:type="dxa"/>
            <w:vAlign w:val="bottom"/>
            <w:tcBorders>
              <w:right w:val="single" w:sz="8" w:color="0D92D8"/>
            </w:tcBorders>
            <w:shd w:val="clear" w:color="auto" w:fill="0D92D8"/>
          </w:tcPr>
          <w:p>
            <w:pPr>
              <w:spacing w:after="0"/>
              <w:rPr>
                <w:sz w:val="24"/>
                <w:szCs w:val="24"/>
                <w:color w:val="auto"/>
              </w:rPr>
            </w:pPr>
          </w:p>
        </w:tc>
        <w:tc>
          <w:tcPr>
            <w:tcW w:w="3200" w:type="dxa"/>
            <w:vAlign w:val="bottom"/>
            <w:shd w:val="clear" w:color="auto" w:fill="0D92D8"/>
          </w:tcPr>
          <w:p>
            <w:pPr>
              <w:spacing w:after="0"/>
              <w:rPr>
                <w:sz w:val="24"/>
                <w:szCs w:val="24"/>
                <w:color w:val="auto"/>
              </w:rPr>
            </w:pPr>
          </w:p>
        </w:tc>
        <w:tc>
          <w:tcPr>
            <w:tcW w:w="280" w:type="dxa"/>
            <w:vAlign w:val="bottom"/>
            <w:shd w:val="clear" w:color="auto" w:fill="0D92D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right w:val="single" w:sz="8" w:color="0D92D8"/>
            </w:tcBorders>
            <w:shd w:val="clear" w:color="auto" w:fill="0D92D8"/>
          </w:tcPr>
          <w:p>
            <w:pPr>
              <w:spacing w:after="0"/>
              <w:rPr>
                <w:sz w:val="21"/>
                <w:szCs w:val="21"/>
                <w:color w:val="auto"/>
              </w:rPr>
            </w:pPr>
          </w:p>
        </w:tc>
        <w:tc>
          <w:tcPr>
            <w:tcW w:w="3540" w:type="dxa"/>
            <w:vAlign w:val="bottom"/>
            <w:vMerge w:val="restart"/>
            <w:shd w:val="clear" w:color="auto" w:fill="0D92D8"/>
          </w:tcPr>
          <w:p>
            <w:pPr>
              <w:ind w:left="60"/>
              <w:spacing w:after="0"/>
              <w:rPr>
                <w:sz w:val="20"/>
                <w:szCs w:val="20"/>
                <w:color w:val="auto"/>
              </w:rPr>
            </w:pPr>
            <w:r>
              <w:rPr>
                <w:rFonts w:ascii="Arial" w:cs="Arial" w:eastAsia="Arial" w:hAnsi="Arial"/>
                <w:sz w:val="14"/>
                <w:szCs w:val="14"/>
                <w:b w:val="1"/>
                <w:bCs w:val="1"/>
                <w:color w:val="FDB03F"/>
              </w:rPr>
              <w:t>DATE AND TIME:</w:t>
            </w:r>
          </w:p>
        </w:tc>
        <w:tc>
          <w:tcPr>
            <w:tcW w:w="280" w:type="dxa"/>
            <w:vAlign w:val="bottom"/>
            <w:shd w:val="clear" w:color="auto" w:fill="0D92D8"/>
          </w:tcPr>
          <w:p>
            <w:pPr>
              <w:spacing w:after="0"/>
              <w:rPr>
                <w:sz w:val="21"/>
                <w:szCs w:val="21"/>
                <w:color w:val="auto"/>
              </w:rPr>
            </w:pPr>
          </w:p>
        </w:tc>
        <w:tc>
          <w:tcPr>
            <w:tcW w:w="3540" w:type="dxa"/>
            <w:vAlign w:val="bottom"/>
            <w:vMerge w:val="restart"/>
            <w:shd w:val="clear" w:color="auto" w:fill="0D92D8"/>
          </w:tcPr>
          <w:p>
            <w:pPr>
              <w:ind w:left="80"/>
              <w:spacing w:after="0"/>
              <w:rPr>
                <w:sz w:val="20"/>
                <w:szCs w:val="20"/>
                <w:color w:val="auto"/>
              </w:rPr>
            </w:pPr>
            <w:r>
              <w:rPr>
                <w:rFonts w:ascii="Arial" w:cs="Arial" w:eastAsia="Arial" w:hAnsi="Arial"/>
                <w:sz w:val="14"/>
                <w:szCs w:val="14"/>
                <w:b w:val="1"/>
                <w:bCs w:val="1"/>
                <w:color w:val="FDB03F"/>
              </w:rPr>
              <w:t>LOCATION:</w:t>
            </w:r>
          </w:p>
        </w:tc>
        <w:tc>
          <w:tcPr>
            <w:tcW w:w="280" w:type="dxa"/>
            <w:vAlign w:val="bottom"/>
            <w:tcBorders>
              <w:right w:val="single" w:sz="8" w:color="0D92D8"/>
            </w:tcBorders>
            <w:shd w:val="clear" w:color="auto" w:fill="0D92D8"/>
          </w:tcPr>
          <w:p>
            <w:pPr>
              <w:spacing w:after="0"/>
              <w:rPr>
                <w:sz w:val="21"/>
                <w:szCs w:val="21"/>
                <w:color w:val="auto"/>
              </w:rPr>
            </w:pPr>
          </w:p>
        </w:tc>
        <w:tc>
          <w:tcPr>
            <w:tcW w:w="3200" w:type="dxa"/>
            <w:vAlign w:val="bottom"/>
            <w:vMerge w:val="restart"/>
            <w:shd w:val="clear" w:color="auto" w:fill="0D92D8"/>
          </w:tcPr>
          <w:p>
            <w:pPr>
              <w:ind w:left="80"/>
              <w:spacing w:after="0"/>
              <w:rPr>
                <w:sz w:val="20"/>
                <w:szCs w:val="20"/>
                <w:color w:val="auto"/>
              </w:rPr>
            </w:pPr>
            <w:r>
              <w:rPr>
                <w:rFonts w:ascii="Arial" w:cs="Arial" w:eastAsia="Arial" w:hAnsi="Arial"/>
                <w:sz w:val="18"/>
                <w:szCs w:val="18"/>
                <w:color w:val="FDB03F"/>
              </w:rPr>
              <w:t>Your vote is very important. Please</w:t>
            </w:r>
          </w:p>
        </w:tc>
        <w:tc>
          <w:tcPr>
            <w:tcW w:w="280" w:type="dxa"/>
            <w:vAlign w:val="bottom"/>
            <w:shd w:val="clear" w:color="auto" w:fill="0D92D8"/>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FDB03F"/>
            </w:tcBorders>
            <w:shd w:val="clear" w:color="auto" w:fill="0D92D8"/>
          </w:tcPr>
          <w:p>
            <w:pPr>
              <w:spacing w:after="0"/>
              <w:rPr>
                <w:sz w:val="17"/>
                <w:szCs w:val="17"/>
                <w:color w:val="auto"/>
              </w:rPr>
            </w:pPr>
          </w:p>
        </w:tc>
        <w:tc>
          <w:tcPr>
            <w:tcW w:w="3540" w:type="dxa"/>
            <w:vAlign w:val="bottom"/>
            <w:vMerge w:val="continue"/>
            <w:shd w:val="clear" w:color="auto" w:fill="0D92D8"/>
          </w:tcPr>
          <w:p>
            <w:pPr>
              <w:spacing w:after="0"/>
              <w:rPr>
                <w:sz w:val="17"/>
                <w:szCs w:val="17"/>
                <w:color w:val="auto"/>
              </w:rPr>
            </w:pPr>
          </w:p>
        </w:tc>
        <w:tc>
          <w:tcPr>
            <w:tcW w:w="280" w:type="dxa"/>
            <w:vAlign w:val="bottom"/>
            <w:shd w:val="clear" w:color="auto" w:fill="0D92D8"/>
          </w:tcPr>
          <w:p>
            <w:pPr>
              <w:spacing w:after="0"/>
              <w:rPr>
                <w:sz w:val="17"/>
                <w:szCs w:val="17"/>
                <w:color w:val="auto"/>
              </w:rPr>
            </w:pPr>
          </w:p>
        </w:tc>
        <w:tc>
          <w:tcPr>
            <w:tcW w:w="3540" w:type="dxa"/>
            <w:vAlign w:val="bottom"/>
            <w:vMerge w:val="continue"/>
            <w:shd w:val="clear" w:color="auto" w:fill="0D92D8"/>
          </w:tcPr>
          <w:p>
            <w:pPr>
              <w:spacing w:after="0"/>
              <w:rPr>
                <w:sz w:val="17"/>
                <w:szCs w:val="17"/>
                <w:color w:val="auto"/>
              </w:rPr>
            </w:pPr>
          </w:p>
        </w:tc>
        <w:tc>
          <w:tcPr>
            <w:tcW w:w="280" w:type="dxa"/>
            <w:vAlign w:val="bottom"/>
            <w:tcBorders>
              <w:right w:val="single" w:sz="8" w:color="FDB03F"/>
            </w:tcBorders>
            <w:shd w:val="clear" w:color="auto" w:fill="0D92D8"/>
          </w:tcPr>
          <w:p>
            <w:pPr>
              <w:spacing w:after="0"/>
              <w:rPr>
                <w:sz w:val="17"/>
                <w:szCs w:val="17"/>
                <w:color w:val="auto"/>
              </w:rPr>
            </w:pPr>
          </w:p>
        </w:tc>
        <w:tc>
          <w:tcPr>
            <w:tcW w:w="3200" w:type="dxa"/>
            <w:vAlign w:val="bottom"/>
            <w:vMerge w:val="continue"/>
            <w:shd w:val="clear" w:color="auto" w:fill="0D92D8"/>
          </w:tcPr>
          <w:p>
            <w:pPr>
              <w:spacing w:after="0"/>
              <w:rPr>
                <w:sz w:val="17"/>
                <w:szCs w:val="17"/>
                <w:color w:val="auto"/>
              </w:rPr>
            </w:pPr>
          </w:p>
        </w:tc>
        <w:tc>
          <w:tcPr>
            <w:tcW w:w="280" w:type="dxa"/>
            <w:vAlign w:val="bottom"/>
            <w:shd w:val="clear" w:color="auto" w:fill="0D92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Borders>
              <w:right w:val="single" w:sz="8" w:color="FDB03F"/>
            </w:tcBorders>
            <w:shd w:val="clear" w:color="auto" w:fill="0D92D8"/>
          </w:tcPr>
          <w:p>
            <w:pPr>
              <w:spacing w:after="0"/>
              <w:rPr>
                <w:sz w:val="17"/>
                <w:szCs w:val="17"/>
                <w:color w:val="auto"/>
              </w:rPr>
            </w:pPr>
          </w:p>
        </w:tc>
        <w:tc>
          <w:tcPr>
            <w:tcW w:w="3540" w:type="dxa"/>
            <w:vAlign w:val="bottom"/>
            <w:shd w:val="clear" w:color="auto" w:fill="0D92D8"/>
          </w:tcPr>
          <w:p>
            <w:pPr>
              <w:ind w:left="60"/>
              <w:spacing w:after="0" w:line="202" w:lineRule="exact"/>
              <w:rPr>
                <w:sz w:val="20"/>
                <w:szCs w:val="20"/>
                <w:color w:val="auto"/>
              </w:rPr>
            </w:pPr>
            <w:r>
              <w:rPr>
                <w:rFonts w:ascii="Arial" w:cs="Arial" w:eastAsia="Arial" w:hAnsi="Arial"/>
                <w:sz w:val="18"/>
                <w:szCs w:val="18"/>
                <w:color w:val="FFFFFF"/>
              </w:rPr>
              <w:t>April 29, 2019</w:t>
            </w:r>
          </w:p>
        </w:tc>
        <w:tc>
          <w:tcPr>
            <w:tcW w:w="280" w:type="dxa"/>
            <w:vAlign w:val="bottom"/>
            <w:shd w:val="clear" w:color="auto" w:fill="0D92D8"/>
          </w:tcPr>
          <w:p>
            <w:pPr>
              <w:spacing w:after="0"/>
              <w:rPr>
                <w:sz w:val="17"/>
                <w:szCs w:val="17"/>
                <w:color w:val="auto"/>
              </w:rPr>
            </w:pPr>
          </w:p>
        </w:tc>
        <w:tc>
          <w:tcPr>
            <w:tcW w:w="3540" w:type="dxa"/>
            <w:vAlign w:val="bottom"/>
            <w:shd w:val="clear" w:color="auto" w:fill="0D92D8"/>
          </w:tcPr>
          <w:p>
            <w:pPr>
              <w:ind w:left="80"/>
              <w:spacing w:after="0" w:line="202" w:lineRule="exact"/>
              <w:rPr>
                <w:sz w:val="20"/>
                <w:szCs w:val="20"/>
                <w:color w:val="auto"/>
              </w:rPr>
            </w:pPr>
            <w:r>
              <w:rPr>
                <w:rFonts w:ascii="Arial" w:cs="Arial" w:eastAsia="Arial" w:hAnsi="Arial"/>
                <w:sz w:val="18"/>
                <w:szCs w:val="18"/>
                <w:color w:val="FFFFFF"/>
              </w:rPr>
              <w:t>UTC Center for Intelligent Buildings</w:t>
            </w:r>
          </w:p>
        </w:tc>
        <w:tc>
          <w:tcPr>
            <w:tcW w:w="280" w:type="dxa"/>
            <w:vAlign w:val="bottom"/>
            <w:tcBorders>
              <w:right w:val="single" w:sz="8" w:color="FDB03F"/>
            </w:tcBorders>
            <w:shd w:val="clear" w:color="auto" w:fill="0D92D8"/>
          </w:tcPr>
          <w:p>
            <w:pPr>
              <w:spacing w:after="0"/>
              <w:rPr>
                <w:sz w:val="17"/>
                <w:szCs w:val="17"/>
                <w:color w:val="auto"/>
              </w:rPr>
            </w:pPr>
          </w:p>
        </w:tc>
        <w:tc>
          <w:tcPr>
            <w:tcW w:w="3200" w:type="dxa"/>
            <w:vAlign w:val="bottom"/>
            <w:shd w:val="clear" w:color="auto" w:fill="0D92D8"/>
          </w:tcPr>
          <w:p>
            <w:pPr>
              <w:ind w:left="80"/>
              <w:spacing w:after="0" w:line="202" w:lineRule="exact"/>
              <w:rPr>
                <w:sz w:val="20"/>
                <w:szCs w:val="20"/>
                <w:color w:val="auto"/>
              </w:rPr>
            </w:pPr>
            <w:r>
              <w:rPr>
                <w:rFonts w:ascii="Arial" w:cs="Arial" w:eastAsia="Arial" w:hAnsi="Arial"/>
                <w:sz w:val="18"/>
                <w:szCs w:val="18"/>
                <w:color w:val="FDB03F"/>
                <w:w w:val="99"/>
              </w:rPr>
              <w:t>submit your proxy or voting instructions</w:t>
            </w:r>
          </w:p>
        </w:tc>
        <w:tc>
          <w:tcPr>
            <w:tcW w:w="280" w:type="dxa"/>
            <w:vAlign w:val="bottom"/>
            <w:shd w:val="clear" w:color="auto" w:fill="0D92D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0" w:type="dxa"/>
            <w:vAlign w:val="bottom"/>
            <w:tcBorders>
              <w:right w:val="single" w:sz="8" w:color="FDB03F"/>
            </w:tcBorders>
            <w:shd w:val="clear" w:color="auto" w:fill="0D92D8"/>
          </w:tcPr>
          <w:p>
            <w:pPr>
              <w:spacing w:after="0"/>
              <w:rPr>
                <w:sz w:val="21"/>
                <w:szCs w:val="21"/>
                <w:color w:val="auto"/>
              </w:rPr>
            </w:pPr>
          </w:p>
        </w:tc>
        <w:tc>
          <w:tcPr>
            <w:tcW w:w="3540" w:type="dxa"/>
            <w:vAlign w:val="bottom"/>
            <w:shd w:val="clear" w:color="auto" w:fill="0D92D8"/>
          </w:tcPr>
          <w:p>
            <w:pPr>
              <w:ind w:left="60"/>
              <w:spacing w:after="0"/>
              <w:rPr>
                <w:sz w:val="20"/>
                <w:szCs w:val="20"/>
                <w:color w:val="auto"/>
              </w:rPr>
            </w:pPr>
            <w:r>
              <w:rPr>
                <w:rFonts w:ascii="Arial" w:cs="Arial" w:eastAsia="Arial" w:hAnsi="Arial"/>
                <w:sz w:val="18"/>
                <w:szCs w:val="18"/>
                <w:color w:val="FFFFFF"/>
              </w:rPr>
              <w:t>8:00 a.m. Eastern Time</w:t>
            </w:r>
          </w:p>
        </w:tc>
        <w:tc>
          <w:tcPr>
            <w:tcW w:w="280" w:type="dxa"/>
            <w:vAlign w:val="bottom"/>
            <w:shd w:val="clear" w:color="auto" w:fill="0D92D8"/>
          </w:tcPr>
          <w:p>
            <w:pPr>
              <w:spacing w:after="0"/>
              <w:rPr>
                <w:sz w:val="21"/>
                <w:szCs w:val="21"/>
                <w:color w:val="auto"/>
              </w:rPr>
            </w:pPr>
          </w:p>
        </w:tc>
        <w:tc>
          <w:tcPr>
            <w:tcW w:w="3540" w:type="dxa"/>
            <w:vAlign w:val="bottom"/>
            <w:shd w:val="clear" w:color="auto" w:fill="0D92D8"/>
          </w:tcPr>
          <w:p>
            <w:pPr>
              <w:ind w:left="80"/>
              <w:spacing w:after="0"/>
              <w:rPr>
                <w:sz w:val="20"/>
                <w:szCs w:val="20"/>
                <w:color w:val="auto"/>
              </w:rPr>
            </w:pPr>
            <w:r>
              <w:rPr>
                <w:rFonts w:ascii="Arial" w:cs="Arial" w:eastAsia="Arial" w:hAnsi="Arial"/>
                <w:sz w:val="18"/>
                <w:szCs w:val="18"/>
                <w:color w:val="FFFFFF"/>
              </w:rPr>
              <w:t>13995 Pasteur Boulevard</w:t>
            </w:r>
          </w:p>
        </w:tc>
        <w:tc>
          <w:tcPr>
            <w:tcW w:w="280" w:type="dxa"/>
            <w:vAlign w:val="bottom"/>
            <w:tcBorders>
              <w:right w:val="single" w:sz="8" w:color="FDB03F"/>
            </w:tcBorders>
            <w:shd w:val="clear" w:color="auto" w:fill="0D92D8"/>
          </w:tcPr>
          <w:p>
            <w:pPr>
              <w:spacing w:after="0"/>
              <w:rPr>
                <w:sz w:val="21"/>
                <w:szCs w:val="21"/>
                <w:color w:val="auto"/>
              </w:rPr>
            </w:pPr>
          </w:p>
        </w:tc>
        <w:tc>
          <w:tcPr>
            <w:tcW w:w="3200" w:type="dxa"/>
            <w:vAlign w:val="bottom"/>
            <w:shd w:val="clear" w:color="auto" w:fill="0D92D8"/>
          </w:tcPr>
          <w:p>
            <w:pPr>
              <w:ind w:left="80"/>
              <w:spacing w:after="0"/>
              <w:rPr>
                <w:sz w:val="20"/>
                <w:szCs w:val="20"/>
                <w:color w:val="auto"/>
              </w:rPr>
            </w:pPr>
            <w:r>
              <w:rPr>
                <w:rFonts w:ascii="Arial" w:cs="Arial" w:eastAsia="Arial" w:hAnsi="Arial"/>
                <w:sz w:val="18"/>
                <w:szCs w:val="18"/>
                <w:color w:val="FDB03F"/>
              </w:rPr>
              <w:t>as soon as possible.</w:t>
            </w:r>
          </w:p>
        </w:tc>
        <w:tc>
          <w:tcPr>
            <w:tcW w:w="280" w:type="dxa"/>
            <w:vAlign w:val="bottom"/>
            <w:shd w:val="clear" w:color="auto" w:fill="0D92D8"/>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0" w:type="dxa"/>
            <w:vAlign w:val="bottom"/>
            <w:tcBorders>
              <w:right w:val="single" w:sz="8" w:color="FDB03F"/>
            </w:tcBorders>
            <w:shd w:val="clear" w:color="auto" w:fill="0D92D8"/>
          </w:tcPr>
          <w:p>
            <w:pPr>
              <w:spacing w:after="0"/>
              <w:rPr>
                <w:sz w:val="17"/>
                <w:szCs w:val="17"/>
                <w:color w:val="auto"/>
              </w:rPr>
            </w:pPr>
          </w:p>
        </w:tc>
        <w:tc>
          <w:tcPr>
            <w:tcW w:w="3540" w:type="dxa"/>
            <w:vAlign w:val="bottom"/>
            <w:shd w:val="clear" w:color="auto" w:fill="0D92D8"/>
          </w:tcPr>
          <w:p>
            <w:pPr>
              <w:ind w:left="60"/>
              <w:spacing w:after="0" w:line="200" w:lineRule="exact"/>
              <w:rPr>
                <w:sz w:val="20"/>
                <w:szCs w:val="20"/>
                <w:color w:val="auto"/>
              </w:rPr>
            </w:pPr>
            <w:r>
              <w:rPr>
                <w:rFonts w:ascii="Arial" w:cs="Arial" w:eastAsia="Arial" w:hAnsi="Arial"/>
                <w:sz w:val="18"/>
                <w:szCs w:val="18"/>
                <w:color w:val="FFFFFF"/>
              </w:rPr>
              <w:t>(doors open at 7:30 a.m.)</w:t>
            </w:r>
          </w:p>
        </w:tc>
        <w:tc>
          <w:tcPr>
            <w:tcW w:w="280" w:type="dxa"/>
            <w:vAlign w:val="bottom"/>
            <w:shd w:val="clear" w:color="auto" w:fill="0D92D8"/>
          </w:tcPr>
          <w:p>
            <w:pPr>
              <w:spacing w:after="0"/>
              <w:rPr>
                <w:sz w:val="17"/>
                <w:szCs w:val="17"/>
                <w:color w:val="auto"/>
              </w:rPr>
            </w:pPr>
          </w:p>
        </w:tc>
        <w:tc>
          <w:tcPr>
            <w:tcW w:w="3540" w:type="dxa"/>
            <w:vAlign w:val="bottom"/>
            <w:shd w:val="clear" w:color="auto" w:fill="0D92D8"/>
          </w:tcPr>
          <w:p>
            <w:pPr>
              <w:ind w:left="80"/>
              <w:spacing w:after="0" w:line="200" w:lineRule="exact"/>
              <w:rPr>
                <w:sz w:val="20"/>
                <w:szCs w:val="20"/>
                <w:color w:val="auto"/>
              </w:rPr>
            </w:pPr>
            <w:r>
              <w:rPr>
                <w:rFonts w:ascii="Arial" w:cs="Arial" w:eastAsia="Arial" w:hAnsi="Arial"/>
                <w:sz w:val="18"/>
                <w:szCs w:val="18"/>
                <w:color w:val="FFFFFF"/>
              </w:rPr>
              <w:t>Palm Beach Gardens, Florida 33418</w:t>
            </w:r>
          </w:p>
        </w:tc>
        <w:tc>
          <w:tcPr>
            <w:tcW w:w="280" w:type="dxa"/>
            <w:vAlign w:val="bottom"/>
            <w:tcBorders>
              <w:right w:val="single" w:sz="8" w:color="FDB03F"/>
            </w:tcBorders>
            <w:shd w:val="clear" w:color="auto" w:fill="0D92D8"/>
          </w:tcPr>
          <w:p>
            <w:pPr>
              <w:spacing w:after="0"/>
              <w:rPr>
                <w:sz w:val="17"/>
                <w:szCs w:val="17"/>
                <w:color w:val="auto"/>
              </w:rPr>
            </w:pPr>
          </w:p>
        </w:tc>
        <w:tc>
          <w:tcPr>
            <w:tcW w:w="3200" w:type="dxa"/>
            <w:vAlign w:val="bottom"/>
            <w:shd w:val="clear" w:color="auto" w:fill="0D92D8"/>
          </w:tcPr>
          <w:p>
            <w:pPr>
              <w:spacing w:after="0"/>
              <w:rPr>
                <w:sz w:val="17"/>
                <w:szCs w:val="17"/>
                <w:color w:val="auto"/>
              </w:rPr>
            </w:pPr>
          </w:p>
        </w:tc>
        <w:tc>
          <w:tcPr>
            <w:tcW w:w="280" w:type="dxa"/>
            <w:vAlign w:val="bottom"/>
            <w:shd w:val="clear" w:color="auto" w:fill="0D92D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0" w:type="dxa"/>
            <w:vAlign w:val="bottom"/>
            <w:tcBorders>
              <w:right w:val="single" w:sz="8" w:color="FDB03F"/>
            </w:tcBorders>
            <w:shd w:val="clear" w:color="auto" w:fill="0D92D8"/>
          </w:tcPr>
          <w:p>
            <w:pPr>
              <w:spacing w:after="0"/>
              <w:rPr>
                <w:sz w:val="21"/>
                <w:szCs w:val="21"/>
                <w:color w:val="auto"/>
              </w:rPr>
            </w:pPr>
          </w:p>
        </w:tc>
        <w:tc>
          <w:tcPr>
            <w:tcW w:w="3540" w:type="dxa"/>
            <w:vAlign w:val="bottom"/>
            <w:shd w:val="clear" w:color="auto" w:fill="0D92D8"/>
          </w:tcPr>
          <w:p>
            <w:pPr>
              <w:spacing w:after="0"/>
              <w:rPr>
                <w:sz w:val="21"/>
                <w:szCs w:val="21"/>
                <w:color w:val="auto"/>
              </w:rPr>
            </w:pPr>
          </w:p>
        </w:tc>
        <w:tc>
          <w:tcPr>
            <w:tcW w:w="280" w:type="dxa"/>
            <w:vAlign w:val="bottom"/>
            <w:shd w:val="clear" w:color="auto" w:fill="0D92D8"/>
          </w:tcPr>
          <w:p>
            <w:pPr>
              <w:spacing w:after="0"/>
              <w:rPr>
                <w:sz w:val="21"/>
                <w:szCs w:val="21"/>
                <w:color w:val="auto"/>
              </w:rPr>
            </w:pPr>
          </w:p>
        </w:tc>
        <w:tc>
          <w:tcPr>
            <w:tcW w:w="3540" w:type="dxa"/>
            <w:vAlign w:val="bottom"/>
            <w:shd w:val="clear" w:color="auto" w:fill="0D92D8"/>
          </w:tcPr>
          <w:p>
            <w:pPr>
              <w:spacing w:after="0"/>
              <w:rPr>
                <w:sz w:val="21"/>
                <w:szCs w:val="21"/>
                <w:color w:val="auto"/>
              </w:rPr>
            </w:pPr>
          </w:p>
        </w:tc>
        <w:tc>
          <w:tcPr>
            <w:tcW w:w="280" w:type="dxa"/>
            <w:vAlign w:val="bottom"/>
            <w:tcBorders>
              <w:right w:val="single" w:sz="8" w:color="FDB03F"/>
            </w:tcBorders>
            <w:shd w:val="clear" w:color="auto" w:fill="0D92D8"/>
          </w:tcPr>
          <w:p>
            <w:pPr>
              <w:spacing w:after="0"/>
              <w:rPr>
                <w:sz w:val="21"/>
                <w:szCs w:val="21"/>
                <w:color w:val="auto"/>
              </w:rPr>
            </w:pPr>
          </w:p>
        </w:tc>
        <w:tc>
          <w:tcPr>
            <w:tcW w:w="3200" w:type="dxa"/>
            <w:vAlign w:val="bottom"/>
            <w:shd w:val="clear" w:color="auto" w:fill="0D92D8"/>
          </w:tcPr>
          <w:p>
            <w:pPr>
              <w:spacing w:after="0"/>
              <w:rPr>
                <w:sz w:val="21"/>
                <w:szCs w:val="21"/>
                <w:color w:val="auto"/>
              </w:rPr>
            </w:pPr>
          </w:p>
        </w:tc>
        <w:tc>
          <w:tcPr>
            <w:tcW w:w="280" w:type="dxa"/>
            <w:vAlign w:val="bottom"/>
            <w:shd w:val="clear" w:color="auto" w:fill="0D92D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Borders>
              <w:right w:val="single" w:sz="8" w:color="0D92D8"/>
            </w:tcBorders>
            <w:shd w:val="clear" w:color="auto" w:fill="0D92D8"/>
          </w:tcPr>
          <w:p>
            <w:pPr>
              <w:spacing w:after="0"/>
              <w:rPr>
                <w:sz w:val="21"/>
                <w:szCs w:val="21"/>
                <w:color w:val="auto"/>
              </w:rPr>
            </w:pPr>
          </w:p>
        </w:tc>
        <w:tc>
          <w:tcPr>
            <w:tcW w:w="3540" w:type="dxa"/>
            <w:vAlign w:val="bottom"/>
            <w:shd w:val="clear" w:color="auto" w:fill="0D92D8"/>
          </w:tcPr>
          <w:p>
            <w:pPr>
              <w:spacing w:after="0"/>
              <w:rPr>
                <w:sz w:val="21"/>
                <w:szCs w:val="21"/>
                <w:color w:val="auto"/>
              </w:rPr>
            </w:pPr>
          </w:p>
        </w:tc>
        <w:tc>
          <w:tcPr>
            <w:tcW w:w="280" w:type="dxa"/>
            <w:vAlign w:val="bottom"/>
            <w:shd w:val="clear" w:color="auto" w:fill="0D92D8"/>
          </w:tcPr>
          <w:p>
            <w:pPr>
              <w:spacing w:after="0"/>
              <w:rPr>
                <w:sz w:val="21"/>
                <w:szCs w:val="21"/>
                <w:color w:val="auto"/>
              </w:rPr>
            </w:pPr>
          </w:p>
        </w:tc>
        <w:tc>
          <w:tcPr>
            <w:tcW w:w="3540" w:type="dxa"/>
            <w:vAlign w:val="bottom"/>
            <w:shd w:val="clear" w:color="auto" w:fill="0D92D8"/>
          </w:tcPr>
          <w:p>
            <w:pPr>
              <w:spacing w:after="0"/>
              <w:rPr>
                <w:sz w:val="21"/>
                <w:szCs w:val="21"/>
                <w:color w:val="auto"/>
              </w:rPr>
            </w:pPr>
          </w:p>
        </w:tc>
        <w:tc>
          <w:tcPr>
            <w:tcW w:w="280" w:type="dxa"/>
            <w:vAlign w:val="bottom"/>
            <w:tcBorders>
              <w:right w:val="single" w:sz="8" w:color="0D92D8"/>
            </w:tcBorders>
            <w:shd w:val="clear" w:color="auto" w:fill="0D92D8"/>
          </w:tcPr>
          <w:p>
            <w:pPr>
              <w:spacing w:after="0"/>
              <w:rPr>
                <w:sz w:val="21"/>
                <w:szCs w:val="21"/>
                <w:color w:val="auto"/>
              </w:rPr>
            </w:pPr>
          </w:p>
        </w:tc>
        <w:tc>
          <w:tcPr>
            <w:tcW w:w="3200" w:type="dxa"/>
            <w:vAlign w:val="bottom"/>
            <w:shd w:val="clear" w:color="auto" w:fill="0D92D8"/>
          </w:tcPr>
          <w:p>
            <w:pPr>
              <w:spacing w:after="0"/>
              <w:rPr>
                <w:sz w:val="21"/>
                <w:szCs w:val="21"/>
                <w:color w:val="auto"/>
              </w:rPr>
            </w:pPr>
          </w:p>
        </w:tc>
        <w:tc>
          <w:tcPr>
            <w:tcW w:w="280" w:type="dxa"/>
            <w:vAlign w:val="bottom"/>
            <w:shd w:val="clear" w:color="auto" w:fill="0D92D8"/>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28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spacing w:after="0" w:line="235" w:lineRule="exact"/>
        <w:rPr>
          <w:sz w:val="20"/>
          <w:szCs w:val="20"/>
          <w:color w:val="auto"/>
        </w:rPr>
      </w:pPr>
    </w:p>
    <w:p>
      <w:pPr>
        <w:ind w:left="280" w:hanging="228"/>
        <w:spacing w:after="0"/>
        <w:tabs>
          <w:tab w:leader="none" w:pos="280" w:val="left"/>
        </w:tabs>
        <w:numPr>
          <w:ilvl w:val="0"/>
          <w:numId w:val="4"/>
        </w:numPr>
        <w:rPr>
          <w:rFonts w:ascii="Arial" w:cs="Arial" w:eastAsia="Arial" w:hAnsi="Arial"/>
          <w:sz w:val="14"/>
          <w:szCs w:val="14"/>
          <w:b w:val="1"/>
          <w:bCs w:val="1"/>
          <w:color w:val="454545"/>
        </w:rPr>
      </w:pPr>
      <w:r>
        <w:rPr>
          <w:rFonts w:ascii="Arial" w:cs="Arial" w:eastAsia="Arial" w:hAnsi="Arial"/>
          <w:sz w:val="18"/>
          <w:szCs w:val="18"/>
          <w:color w:val="auto"/>
        </w:rPr>
        <w:t>Election of the Thirteen Director Nominees Listed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028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spacing w:after="0" w:line="178" w:lineRule="exact"/>
        <w:rPr>
          <w:sz w:val="20"/>
          <w:szCs w:val="20"/>
          <w:color w:val="auto"/>
        </w:rPr>
      </w:pPr>
    </w:p>
    <w:p>
      <w:pPr>
        <w:ind w:left="280" w:hanging="228"/>
        <w:spacing w:after="0"/>
        <w:tabs>
          <w:tab w:leader="none" w:pos="280" w:val="left"/>
        </w:tabs>
        <w:numPr>
          <w:ilvl w:val="0"/>
          <w:numId w:val="5"/>
        </w:numPr>
        <w:rPr>
          <w:rFonts w:ascii="Arial" w:cs="Arial" w:eastAsia="Arial" w:hAnsi="Arial"/>
          <w:sz w:val="14"/>
          <w:szCs w:val="14"/>
          <w:b w:val="1"/>
          <w:bCs w:val="1"/>
          <w:color w:val="454545"/>
        </w:rPr>
      </w:pPr>
      <w:r>
        <w:rPr>
          <w:rFonts w:ascii="Arial" w:cs="Arial" w:eastAsia="Arial" w:hAnsi="Arial"/>
          <w:sz w:val="18"/>
          <w:szCs w:val="18"/>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028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spacing w:after="0" w:line="178" w:lineRule="exact"/>
        <w:rPr>
          <w:sz w:val="20"/>
          <w:szCs w:val="20"/>
          <w:color w:val="auto"/>
        </w:rPr>
      </w:pPr>
    </w:p>
    <w:p>
      <w:pPr>
        <w:ind w:left="280" w:hanging="228"/>
        <w:spacing w:after="0"/>
        <w:tabs>
          <w:tab w:leader="none" w:pos="280" w:val="left"/>
        </w:tabs>
        <w:numPr>
          <w:ilvl w:val="0"/>
          <w:numId w:val="6"/>
        </w:numPr>
        <w:rPr>
          <w:rFonts w:ascii="Arial" w:cs="Arial" w:eastAsia="Arial" w:hAnsi="Arial"/>
          <w:sz w:val="14"/>
          <w:szCs w:val="14"/>
          <w:b w:val="1"/>
          <w:bCs w:val="1"/>
          <w:color w:val="454545"/>
        </w:rPr>
      </w:pPr>
      <w:r>
        <w:rPr>
          <w:rFonts w:ascii="Arial" w:cs="Arial" w:eastAsia="Arial" w:hAnsi="Arial"/>
          <w:sz w:val="18"/>
          <w:szCs w:val="18"/>
          <w:color w:val="auto"/>
        </w:rPr>
        <w:t>Appoint PricewaterhouseCoopers LLP to Serve as Independent Auditor for 2019</w:t>
      </w:r>
    </w:p>
    <w:p>
      <w:pPr>
        <w:spacing w:after="0" w:line="198" w:lineRule="exact"/>
        <w:rPr>
          <w:sz w:val="20"/>
          <w:szCs w:val="20"/>
          <w:color w:val="auto"/>
        </w:rPr>
      </w:pPr>
    </w:p>
    <w:p>
      <w:pPr>
        <w:ind w:left="280" w:hanging="228"/>
        <w:spacing w:after="0"/>
        <w:tabs>
          <w:tab w:leader="none" w:pos="280" w:val="left"/>
        </w:tabs>
        <w:numPr>
          <w:ilvl w:val="0"/>
          <w:numId w:val="7"/>
        </w:numPr>
        <w:rPr>
          <w:rFonts w:ascii="Arial" w:cs="Arial" w:eastAsia="Arial" w:hAnsi="Arial"/>
          <w:sz w:val="14"/>
          <w:szCs w:val="14"/>
          <w:b w:val="1"/>
          <w:bCs w:val="1"/>
          <w:color w:val="454545"/>
        </w:rPr>
      </w:pPr>
      <w:r>
        <w:rPr>
          <w:rFonts w:ascii="Arial" w:cs="Arial" w:eastAsia="Arial" w:hAnsi="Arial"/>
          <w:sz w:val="18"/>
          <w:szCs w:val="18"/>
          <w:color w:val="auto"/>
        </w:rPr>
        <w:t>Approve an Amendment to the Restated Certificate of Incorporation to Eliminate Supermajority Voting for Certain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0287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1028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spacing w:after="0" w:line="205" w:lineRule="exact"/>
        <w:rPr>
          <w:sz w:val="20"/>
          <w:szCs w:val="20"/>
          <w:color w:val="auto"/>
        </w:rPr>
      </w:pPr>
    </w:p>
    <w:p>
      <w:pPr>
        <w:ind w:left="280" w:hanging="228"/>
        <w:spacing w:after="0"/>
        <w:tabs>
          <w:tab w:leader="none" w:pos="280" w:val="left"/>
        </w:tabs>
        <w:numPr>
          <w:ilvl w:val="0"/>
          <w:numId w:val="8"/>
        </w:numPr>
        <w:rPr>
          <w:rFonts w:ascii="Arial" w:cs="Arial" w:eastAsia="Arial" w:hAnsi="Arial"/>
          <w:sz w:val="14"/>
          <w:szCs w:val="14"/>
          <w:b w:val="1"/>
          <w:bCs w:val="1"/>
          <w:color w:val="454545"/>
        </w:rPr>
      </w:pPr>
      <w:r>
        <w:rPr>
          <w:rFonts w:ascii="Arial" w:cs="Arial" w:eastAsia="Arial" w:hAnsi="Arial"/>
          <w:sz w:val="18"/>
          <w:szCs w:val="18"/>
          <w:color w:val="auto"/>
        </w:rPr>
        <w:t>Ratify the 15% Special Meeting Ownership Threshold in the 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028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spacing w:after="0" w:line="178" w:lineRule="exact"/>
        <w:rPr>
          <w:sz w:val="20"/>
          <w:szCs w:val="20"/>
          <w:color w:val="auto"/>
        </w:rPr>
      </w:pPr>
    </w:p>
    <w:p>
      <w:pPr>
        <w:ind w:left="280" w:hanging="228"/>
        <w:spacing w:after="0"/>
        <w:tabs>
          <w:tab w:leader="none" w:pos="280" w:val="left"/>
        </w:tabs>
        <w:numPr>
          <w:ilvl w:val="0"/>
          <w:numId w:val="9"/>
        </w:numPr>
        <w:rPr>
          <w:rFonts w:ascii="Arial" w:cs="Arial" w:eastAsia="Arial" w:hAnsi="Arial"/>
          <w:sz w:val="14"/>
          <w:szCs w:val="14"/>
          <w:b w:val="1"/>
          <w:bCs w:val="1"/>
          <w:color w:val="454545"/>
        </w:rPr>
      </w:pPr>
      <w:r>
        <w:rPr>
          <w:rFonts w:ascii="Arial" w:cs="Arial" w:eastAsia="Arial" w:hAnsi="Arial"/>
          <w:sz w:val="18"/>
          <w:szCs w:val="18"/>
          <w:color w:val="auto"/>
        </w:rPr>
        <w:t>Other Business, if Properly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Who may vote:</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If you owned shares of UTC Common Stock at the close of business on February 28, 2019, you are entitled to receive this notice of the Annual Meeting and to vote at the meeting, either in person or by proxy.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to attend: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Please request a ticket in advance by following the instructions on page 77.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Please review the Proxy Statement and vote in one of the four ways described below.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Peter J. Graber-Lipperman</w:t>
      </w:r>
    </w:p>
    <w:p>
      <w:pPr>
        <w:spacing w:after="0"/>
        <w:rPr>
          <w:sz w:val="20"/>
          <w:szCs w:val="20"/>
          <w:color w:val="auto"/>
        </w:rPr>
      </w:pPr>
      <w:r>
        <w:rPr>
          <w:rFonts w:ascii="Arial" w:cs="Arial" w:eastAsia="Arial" w:hAnsi="Arial"/>
          <w:sz w:val="18"/>
          <w:szCs w:val="18"/>
          <w:color w:val="auto"/>
        </w:rPr>
        <w:t>Corporate Vice President, Secretary &amp; Associate General Counsel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Voting methods available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8890" cy="977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97790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38100</wp:posOffset>
            </wp:positionV>
            <wp:extent cx="8890" cy="977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90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38100</wp:posOffset>
            </wp:positionV>
            <wp:extent cx="8890" cy="977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9779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0" w:lineRule="exact"/>
        <w:rPr>
          <w:sz w:val="20"/>
          <w:szCs w:val="20"/>
          <w:color w:val="auto"/>
        </w:rPr>
      </w:pPr>
    </w:p>
    <w:tbl>
      <w:tblPr>
        <w:tblLayout w:type="fixed"/>
        <w:tblInd w:w="140" w:type="dxa"/>
        <w:tblCellMar>
          <w:top w:w="0" w:type="dxa"/>
          <w:left w:w="0" w:type="dxa"/>
          <w:bottom w:w="0" w:type="dxa"/>
          <w:right w:w="0" w:type="dxa"/>
        </w:tblCellMar>
      </w:tblPr>
      <w:tr>
        <w:trPr>
          <w:trHeight w:val="796"/>
        </w:trPr>
        <w:tc>
          <w:tcPr>
            <w:tcW w:w="2760" w:type="dxa"/>
            <w:vAlign w:val="bottom"/>
            <w:tcBorders>
              <w:right w:val="single" w:sz="8" w:color="FDB03F"/>
            </w:tcBorders>
          </w:tcPr>
          <w:p>
            <w:pPr>
              <w:spacing w:after="0"/>
              <w:rPr>
                <w:sz w:val="20"/>
                <w:szCs w:val="20"/>
                <w:color w:val="auto"/>
              </w:rPr>
            </w:pPr>
            <w:r>
              <w:rPr>
                <w:rFonts w:ascii="Arial" w:cs="Arial" w:eastAsia="Arial" w:hAnsi="Arial"/>
                <w:sz w:val="14"/>
                <w:szCs w:val="14"/>
                <w:b w:val="1"/>
                <w:bCs w:val="1"/>
                <w:color w:val="0E93D8"/>
              </w:rPr>
              <w:t>THE INTERNET</w:t>
            </w:r>
          </w:p>
        </w:tc>
        <w:tc>
          <w:tcPr>
            <w:tcW w:w="2540" w:type="dxa"/>
            <w:vAlign w:val="bottom"/>
          </w:tcPr>
          <w:p>
            <w:pPr>
              <w:ind w:left="100"/>
              <w:spacing w:after="0"/>
              <w:rPr>
                <w:sz w:val="20"/>
                <w:szCs w:val="20"/>
                <w:color w:val="auto"/>
              </w:rPr>
            </w:pPr>
            <w:r>
              <w:rPr>
                <w:rFonts w:ascii="Arial" w:cs="Arial" w:eastAsia="Arial" w:hAnsi="Arial"/>
                <w:sz w:val="14"/>
                <w:szCs w:val="14"/>
                <w:b w:val="1"/>
                <w:bCs w:val="1"/>
                <w:color w:val="0E93D8"/>
              </w:rPr>
              <w:t>BY TELEPHONE</w:t>
            </w:r>
          </w:p>
        </w:tc>
      </w:tr>
      <w:tr>
        <w:trPr>
          <w:trHeight w:val="161"/>
        </w:trPr>
        <w:tc>
          <w:tcPr>
            <w:tcW w:w="2760" w:type="dxa"/>
            <w:vAlign w:val="bottom"/>
            <w:tcBorders>
              <w:right w:val="single" w:sz="8" w:color="FDB03F"/>
            </w:tcBorders>
          </w:tcPr>
          <w:p>
            <w:pPr>
              <w:spacing w:after="0"/>
              <w:rPr>
                <w:sz w:val="20"/>
                <w:szCs w:val="20"/>
                <w:color w:val="auto"/>
              </w:rPr>
            </w:pPr>
            <w:r>
              <w:rPr>
                <w:rFonts w:ascii="Arial" w:cs="Arial" w:eastAsia="Arial" w:hAnsi="Arial"/>
                <w:sz w:val="14"/>
                <w:szCs w:val="14"/>
                <w:i w:val="1"/>
                <w:iCs w:val="1"/>
                <w:color w:val="auto"/>
              </w:rPr>
              <w:t>Visit the website on your proxy card.</w:t>
            </w:r>
          </w:p>
        </w:tc>
        <w:tc>
          <w:tcPr>
            <w:tcW w:w="2540" w:type="dxa"/>
            <w:vAlign w:val="bottom"/>
          </w:tcPr>
          <w:p>
            <w:pPr>
              <w:ind w:left="100"/>
              <w:spacing w:after="0"/>
              <w:rPr>
                <w:sz w:val="20"/>
                <w:szCs w:val="20"/>
                <w:color w:val="auto"/>
              </w:rPr>
            </w:pPr>
            <w:r>
              <w:rPr>
                <w:rFonts w:ascii="Arial" w:cs="Arial" w:eastAsia="Arial" w:hAnsi="Arial"/>
                <w:sz w:val="14"/>
                <w:szCs w:val="14"/>
                <w:i w:val="1"/>
                <w:iCs w:val="1"/>
                <w:color w:val="auto"/>
                <w:w w:val="95"/>
              </w:rPr>
              <w:t>Call the telephone number on your proxy</w:t>
            </w:r>
          </w:p>
        </w:tc>
      </w:tr>
      <w:tr>
        <w:trPr>
          <w:trHeight w:val="176"/>
        </w:trPr>
        <w:tc>
          <w:tcPr>
            <w:tcW w:w="2760" w:type="dxa"/>
            <w:vAlign w:val="bottom"/>
            <w:tcBorders>
              <w:right w:val="single" w:sz="8" w:color="FDB03F"/>
            </w:tcBorders>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card.</w:t>
            </w:r>
          </w:p>
        </w:tc>
      </w:tr>
      <w:tr>
        <w:trPr>
          <w:trHeight w:val="406"/>
        </w:trPr>
        <w:tc>
          <w:tcPr>
            <w:tcW w:w="2760" w:type="dxa"/>
            <w:vAlign w:val="bottom"/>
            <w:tcBorders>
              <w:right w:val="single" w:sz="8" w:color="FDB03F"/>
            </w:tcBorders>
          </w:tcPr>
          <w:p>
            <w:pPr>
              <w:spacing w:after="0"/>
              <w:rPr>
                <w:sz w:val="24"/>
                <w:szCs w:val="24"/>
                <w:color w:val="auto"/>
              </w:rPr>
            </w:pPr>
          </w:p>
        </w:tc>
        <w:tc>
          <w:tcPr>
            <w:tcW w:w="2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-977265</wp:posOffset>
            </wp:positionV>
            <wp:extent cx="43751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515" cy="30861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-977265</wp:posOffset>
            </wp:positionV>
            <wp:extent cx="18859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-494030</wp:posOffset>
            </wp:positionV>
            <wp:extent cx="49720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205" cy="317500"/>
                    </a:xfrm>
                    <a:prstGeom prst="rect">
                      <a:avLst/>
                    </a:prstGeom>
                    <a:noFill/>
                  </pic:spPr>
                </pic:pic>
              </a:graphicData>
            </a:graphic>
          </wp:anchor>
        </w:drawing>
      </w:r>
    </w:p>
    <w:p>
      <w:pPr>
        <w:spacing w:after="0" w:line="10" w:lineRule="exact"/>
        <w:rPr>
          <w:sz w:val="20"/>
          <w:szCs w:val="20"/>
          <w:color w:val="auto"/>
        </w:rPr>
      </w:pPr>
    </w:p>
    <w:p>
      <w:pPr>
        <w:spacing w:after="0" w:line="244" w:lineRule="auto"/>
        <w:rPr>
          <w:sz w:val="20"/>
          <w:szCs w:val="20"/>
          <w:color w:val="auto"/>
        </w:rPr>
      </w:pPr>
      <w:r>
        <w:rPr>
          <w:rFonts w:ascii="Arial" w:cs="Arial" w:eastAsia="Arial" w:hAnsi="Arial"/>
          <w:sz w:val="14"/>
          <w:szCs w:val="14"/>
          <w:i w:val="1"/>
          <w:iCs w:val="1"/>
          <w:color w:val="auto"/>
        </w:rPr>
        <w:t>Sign, date and return your proxy card in the enclosed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-494030</wp:posOffset>
            </wp:positionV>
            <wp:extent cx="42037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0370" cy="317500"/>
                    </a:xfrm>
                    <a:prstGeom prst="rect">
                      <a:avLst/>
                    </a:prstGeom>
                    <a:noFill/>
                  </pic:spPr>
                </pic:pic>
              </a:graphicData>
            </a:graphic>
          </wp:anchor>
        </w:drawing>
      </w:r>
    </w:p>
    <w:p>
      <w:pPr>
        <w:spacing w:after="0" w:line="10"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i w:val="1"/>
          <w:iCs w:val="1"/>
          <w:color w:val="auto"/>
        </w:rPr>
        <w:t>Attend the Annual Meeting in Palm Beach Gardens, Florida. See pages 77-78 for instructions on how to attend and vote in person.</w:t>
      </w:r>
    </w:p>
    <w:p>
      <w:pPr>
        <w:spacing w:after="0" w:line="310" w:lineRule="exact"/>
        <w:rPr>
          <w:sz w:val="20"/>
          <w:szCs w:val="20"/>
          <w:color w:val="auto"/>
        </w:rPr>
      </w:pPr>
    </w:p>
    <w:p>
      <w:pPr>
        <w:sectPr>
          <w:pgSz w:w="11900" w:h="16838" w:orient="portrait"/>
          <w:cols w:equalWidth="0" w:num="3">
            <w:col w:w="5440" w:space="400"/>
            <w:col w:w="2600" w:space="260"/>
            <w:col w:w="2720"/>
          </w:cols>
          <w:pgMar w:left="240" w:top="121" w:right="239" w:bottom="1440" w:gutter="0" w:footer="0" w:header="0"/>
          <w:type w:val="continuous"/>
        </w:sectPr>
      </w:pPr>
    </w:p>
    <w:p>
      <w:pPr>
        <w:spacing w:after="0" w:line="38" w:lineRule="exact"/>
        <w:rPr>
          <w:sz w:val="20"/>
          <w:szCs w:val="20"/>
          <w:color w:val="auto"/>
        </w:rPr>
      </w:pPr>
    </w:p>
    <w:p>
      <w:pPr>
        <w:ind w:left="5320"/>
        <w:spacing w:after="0"/>
        <w:tabs>
          <w:tab w:leader="none" w:pos="11100" w:val="left"/>
        </w:tabs>
        <w:rPr>
          <w:sz w:val="20"/>
          <w:szCs w:val="20"/>
          <w:color w:val="auto"/>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r>
        <w:rPr>
          <w:sz w:val="20"/>
          <w:szCs w:val="20"/>
          <w:color w:val="auto"/>
        </w:rPr>
        <w:tab/>
      </w:r>
      <w:r>
        <w:rPr>
          <w:rFonts w:ascii="Arial" w:cs="Arial" w:eastAsia="Arial" w:hAnsi="Arial"/>
          <w:sz w:val="18"/>
          <w:szCs w:val="18"/>
          <w:b w:val="1"/>
          <w:bCs w:val="1"/>
          <w:color w:val="FFFFF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6908800</wp:posOffset>
            </wp:positionH>
            <wp:positionV relativeFrom="paragraph">
              <wp:posOffset>-127635</wp:posOffset>
            </wp:positionV>
            <wp:extent cx="34290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18694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86940" cy="283210"/>
                    </a:xfrm>
                    <a:prstGeom prst="rect">
                      <a:avLst/>
                    </a:prstGeom>
                    <a:noFill/>
                  </pic:spPr>
                </pic:pic>
              </a:graphicData>
            </a:graphic>
          </wp:anchor>
        </w:drawing>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TABLE OF CONTENTS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Borders>
              <w:bottom w:val="single" w:sz="8" w:color="0000EE"/>
            </w:tcBorders>
            <w:gridSpan w:val="22"/>
          </w:tcPr>
          <w:p>
            <w:pPr>
              <w:spacing w:after="0"/>
              <w:rPr>
                <w:rFonts w:ascii="Arial" w:cs="Arial" w:eastAsia="Arial" w:hAnsi="Arial"/>
                <w:sz w:val="14"/>
                <w:szCs w:val="14"/>
                <w:b w:val="1"/>
                <w:bCs w:val="1"/>
                <w:color w:val="0000EE"/>
                <w:w w:val="96"/>
              </w:rPr>
            </w:pPr>
            <w:hyperlink w:anchor="page4">
              <w:r>
                <w:rPr>
                  <w:rFonts w:ascii="Arial" w:cs="Arial" w:eastAsia="Arial" w:hAnsi="Arial"/>
                  <w:sz w:val="14"/>
                  <w:szCs w:val="14"/>
                  <w:b w:val="1"/>
                  <w:bCs w:val="1"/>
                  <w:color w:val="0000EE"/>
                  <w:w w:val="96"/>
                </w:rPr>
                <w:t>Notice of 2019 Annual Meeting of Shareowners</w:t>
              </w:r>
            </w:hyperlink>
          </w:p>
        </w:tc>
        <w:tc>
          <w:tcPr>
            <w:tcW w:w="824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w:t>
              </w:r>
            </w:hyperlink>
          </w:p>
        </w:tc>
      </w:tr>
      <w:tr>
        <w:trPr>
          <w:trHeight w:val="223"/>
        </w:trPr>
        <w:tc>
          <w:tcPr>
            <w:tcW w:w="1040" w:type="dxa"/>
            <w:vAlign w:val="bottom"/>
            <w:tcBorders>
              <w:bottom w:val="single" w:sz="8" w:color="0000EE"/>
            </w:tcBorders>
            <w:gridSpan w:val="5"/>
          </w:tcPr>
          <w:p>
            <w:pPr>
              <w:spacing w:after="0"/>
              <w:rPr>
                <w:rFonts w:ascii="Arial" w:cs="Arial" w:eastAsia="Arial" w:hAnsi="Arial"/>
                <w:sz w:val="14"/>
                <w:szCs w:val="14"/>
                <w:b w:val="1"/>
                <w:bCs w:val="1"/>
                <w:color w:val="0000EE"/>
                <w:w w:val="95"/>
              </w:rPr>
            </w:pPr>
            <w:hyperlink w:anchor="page6">
              <w:r>
                <w:rPr>
                  <w:rFonts w:ascii="Arial" w:cs="Arial" w:eastAsia="Arial" w:hAnsi="Arial"/>
                  <w:sz w:val="14"/>
                  <w:szCs w:val="14"/>
                  <w:b w:val="1"/>
                  <w:bCs w:val="1"/>
                  <w:color w:val="0000EE"/>
                  <w:w w:val="95"/>
                </w:rPr>
                <w:t>Proxy Summary</w:t>
              </w:r>
            </w:hyperlink>
          </w:p>
        </w:tc>
        <w:tc>
          <w:tcPr>
            <w:tcW w:w="10220" w:type="dxa"/>
            <w:vAlign w:val="bottom"/>
            <w:gridSpan w:val="27"/>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0000EE"/>
            </w:tcBorders>
          </w:tcPr>
          <w:p>
            <w:pPr>
              <w:jc w:val="right"/>
              <w:spacing w:after="0"/>
              <w:rPr>
                <w:rFonts w:ascii="Arial" w:cs="Arial" w:eastAsia="Arial" w:hAnsi="Arial"/>
                <w:sz w:val="14"/>
                <w:szCs w:val="14"/>
                <w:b w:val="1"/>
                <w:bCs w:val="1"/>
                <w:color w:val="0000EE"/>
                <w:w w:val="76"/>
              </w:rPr>
            </w:pPr>
            <w:hyperlink w:anchor="page6">
              <w:r>
                <w:rPr>
                  <w:rFonts w:ascii="Arial" w:cs="Arial" w:eastAsia="Arial" w:hAnsi="Arial"/>
                  <w:sz w:val="14"/>
                  <w:szCs w:val="14"/>
                  <w:b w:val="1"/>
                  <w:bCs w:val="1"/>
                  <w:color w:val="0000EE"/>
                  <w:w w:val="76"/>
                </w:rPr>
                <w:t>1</w:t>
              </w:r>
            </w:hyperlink>
          </w:p>
        </w:tc>
      </w:tr>
      <w:tr>
        <w:trPr>
          <w:trHeight w:val="250"/>
        </w:trPr>
        <w:tc>
          <w:tcPr>
            <w:tcW w:w="11260" w:type="dxa"/>
            <w:vAlign w:val="bottom"/>
            <w:gridSpan w:val="32"/>
          </w:tcPr>
          <w:p>
            <w:pPr>
              <w:spacing w:after="0"/>
              <w:rPr>
                <w:sz w:val="20"/>
                <w:szCs w:val="20"/>
                <w:color w:val="auto"/>
              </w:rPr>
            </w:pPr>
            <w:r>
              <w:rPr>
                <w:rFonts w:ascii="Arial" w:cs="Arial" w:eastAsia="Arial" w:hAnsi="Arial"/>
                <w:sz w:val="14"/>
                <w:szCs w:val="14"/>
                <w:b w:val="1"/>
                <w:bCs w:val="1"/>
                <w:color w:val="0E93D8"/>
              </w:rPr>
              <w:t>CORPORATE GOVERNANCE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940" w:type="dxa"/>
            <w:vAlign w:val="bottom"/>
            <w:tcBorders>
              <w:bottom w:val="single" w:sz="8" w:color="FDB03F"/>
            </w:tcBorders>
            <w:gridSpan w:val="3"/>
          </w:tcPr>
          <w:p>
            <w:pPr>
              <w:spacing w:after="0"/>
              <w:rPr>
                <w:rFonts w:ascii="Arial" w:cs="Arial" w:eastAsia="Arial" w:hAnsi="Arial"/>
                <w:sz w:val="14"/>
                <w:szCs w:val="14"/>
                <w:b w:val="1"/>
                <w:bCs w:val="1"/>
                <w:color w:val="FDB03F"/>
                <w:w w:val="96"/>
              </w:rPr>
            </w:pPr>
            <w:hyperlink w:anchor="page11">
              <w:r>
                <w:rPr>
                  <w:rFonts w:ascii="Arial" w:cs="Arial" w:eastAsia="Arial" w:hAnsi="Arial"/>
                  <w:sz w:val="14"/>
                  <w:szCs w:val="14"/>
                  <w:b w:val="1"/>
                  <w:bCs w:val="1"/>
                  <w:color w:val="FDB03F"/>
                  <w:w w:val="96"/>
                </w:rPr>
                <w:t>PROPOSAL 1:</w:t>
              </w:r>
            </w:hyperlink>
          </w:p>
        </w:tc>
        <w:tc>
          <w:tcPr>
            <w:tcW w:w="10320" w:type="dxa"/>
            <w:vAlign w:val="bottom"/>
            <w:gridSpan w:val="29"/>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1260" w:type="dxa"/>
            <w:vAlign w:val="bottom"/>
            <w:gridSpan w:val="32"/>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Election of Directors</w:t>
              </w:r>
            </w:hyperlink>
          </w:p>
        </w:tc>
        <w:tc>
          <w:tcPr>
            <w:tcW w:w="160" w:type="dxa"/>
            <w:vAlign w:val="bottom"/>
            <w:gridSpan w:val="2"/>
          </w:tcPr>
          <w:p>
            <w:pPr>
              <w:jc w:val="right"/>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6</w:t>
              </w:r>
            </w:hyperlink>
          </w:p>
        </w:tc>
      </w:tr>
      <w:tr>
        <w:trPr>
          <w:trHeight w:val="223"/>
        </w:trPr>
        <w:tc>
          <w:tcPr>
            <w:tcW w:w="620" w:type="dxa"/>
            <w:vAlign w:val="bottom"/>
            <w:tcBorders>
              <w:top w:val="single" w:sz="8" w:color="0000EE"/>
              <w:bottom w:val="single" w:sz="8" w:color="0000EE"/>
            </w:tcBorders>
          </w:tcPr>
          <w:p>
            <w:pPr>
              <w:spacing w:after="0"/>
              <w:rPr>
                <w:rFonts w:ascii="Arial" w:cs="Arial" w:eastAsia="Arial" w:hAnsi="Arial"/>
                <w:sz w:val="14"/>
                <w:szCs w:val="14"/>
                <w:color w:val="0000EE"/>
                <w:w w:val="95"/>
              </w:rPr>
            </w:pPr>
            <w:hyperlink w:anchor="page14">
              <w:r>
                <w:rPr>
                  <w:rFonts w:ascii="Arial" w:cs="Arial" w:eastAsia="Arial" w:hAnsi="Arial"/>
                  <w:sz w:val="14"/>
                  <w:szCs w:val="14"/>
                  <w:color w:val="0000EE"/>
                  <w:w w:val="95"/>
                </w:rPr>
                <w:t>Nominees</w:t>
              </w:r>
            </w:hyperlink>
          </w:p>
        </w:tc>
        <w:tc>
          <w:tcPr>
            <w:tcW w:w="700" w:type="dxa"/>
            <w:vAlign w:val="bottom"/>
            <w:tcBorders>
              <w:top w:val="single" w:sz="8" w:color="0000EE"/>
            </w:tcBorders>
            <w:gridSpan w:val="7"/>
          </w:tcPr>
          <w:p>
            <w:pPr>
              <w:spacing w:after="0"/>
              <w:rPr>
                <w:sz w:val="19"/>
                <w:szCs w:val="19"/>
                <w:color w:val="auto"/>
              </w:rPr>
            </w:pPr>
          </w:p>
        </w:tc>
        <w:tc>
          <w:tcPr>
            <w:tcW w:w="9940" w:type="dxa"/>
            <w:vAlign w:val="bottom"/>
            <w:gridSpan w:val="24"/>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4"/>
                <w:szCs w:val="14"/>
                <w:color w:val="0000EE"/>
                <w:w w:val="76"/>
              </w:rPr>
            </w:pPr>
            <w:hyperlink w:anchor="page14">
              <w:r>
                <w:rPr>
                  <w:rFonts w:ascii="Arial" w:cs="Arial" w:eastAsia="Arial" w:hAnsi="Arial"/>
                  <w:sz w:val="14"/>
                  <w:szCs w:val="14"/>
                  <w:color w:val="0000EE"/>
                  <w:w w:val="76"/>
                </w:rPr>
                <w:t>9</w:t>
              </w:r>
            </w:hyperlink>
          </w:p>
        </w:tc>
      </w:tr>
      <w:tr>
        <w:trPr>
          <w:trHeight w:val="223"/>
        </w:trPr>
        <w:tc>
          <w:tcPr>
            <w:tcW w:w="1480" w:type="dxa"/>
            <w:vAlign w:val="bottom"/>
            <w:tcBorders>
              <w:bottom w:val="single" w:sz="8" w:color="0000EE"/>
            </w:tcBorders>
            <w:gridSpan w:val="10"/>
          </w:tcPr>
          <w:p>
            <w:pPr>
              <w:spacing w:after="0"/>
              <w:rPr>
                <w:rFonts w:ascii="Arial" w:cs="Arial" w:eastAsia="Arial" w:hAnsi="Arial"/>
                <w:sz w:val="14"/>
                <w:szCs w:val="14"/>
                <w:b w:val="1"/>
                <w:bCs w:val="1"/>
                <w:color w:val="0000EE"/>
                <w:w w:val="96"/>
              </w:rPr>
            </w:pPr>
            <w:hyperlink w:anchor="page22">
              <w:r>
                <w:rPr>
                  <w:rFonts w:ascii="Arial" w:cs="Arial" w:eastAsia="Arial" w:hAnsi="Arial"/>
                  <w:sz w:val="14"/>
                  <w:szCs w:val="14"/>
                  <w:b w:val="1"/>
                  <w:bCs w:val="1"/>
                  <w:color w:val="0000EE"/>
                  <w:w w:val="96"/>
                </w:rPr>
                <w:t>Corporate Governance</w:t>
              </w:r>
            </w:hyperlink>
          </w:p>
        </w:tc>
        <w:tc>
          <w:tcPr>
            <w:tcW w:w="9780" w:type="dxa"/>
            <w:vAlign w:val="bottom"/>
            <w:gridSpan w:val="22"/>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22">
              <w:r>
                <w:rPr>
                  <w:rFonts w:ascii="Arial" w:cs="Arial" w:eastAsia="Arial" w:hAnsi="Arial"/>
                  <w:sz w:val="14"/>
                  <w:szCs w:val="14"/>
                  <w:b w:val="1"/>
                  <w:bCs w:val="1"/>
                  <w:color w:val="0000EE"/>
                  <w:w w:val="89"/>
                </w:rPr>
                <w:t>17</w:t>
              </w:r>
            </w:hyperlink>
          </w:p>
        </w:tc>
      </w:tr>
      <w:tr>
        <w:trPr>
          <w:trHeight w:val="223"/>
        </w:trPr>
        <w:tc>
          <w:tcPr>
            <w:tcW w:w="1620" w:type="dxa"/>
            <w:vAlign w:val="bottom"/>
            <w:tcBorders>
              <w:bottom w:val="single" w:sz="8" w:color="0000EE"/>
            </w:tcBorders>
            <w:gridSpan w:val="11"/>
          </w:tcPr>
          <w:p>
            <w:pPr>
              <w:spacing w:after="0"/>
              <w:rPr>
                <w:rFonts w:ascii="Arial" w:cs="Arial" w:eastAsia="Arial" w:hAnsi="Arial"/>
                <w:sz w:val="14"/>
                <w:szCs w:val="14"/>
                <w:b w:val="1"/>
                <w:bCs w:val="1"/>
                <w:color w:val="0000EE"/>
                <w:w w:val="96"/>
              </w:rPr>
            </w:pPr>
            <w:hyperlink w:anchor="page28">
              <w:r>
                <w:rPr>
                  <w:rFonts w:ascii="Arial" w:cs="Arial" w:eastAsia="Arial" w:hAnsi="Arial"/>
                  <w:sz w:val="14"/>
                  <w:szCs w:val="14"/>
                  <w:b w:val="1"/>
                  <w:bCs w:val="1"/>
                  <w:color w:val="0000EE"/>
                  <w:w w:val="96"/>
                </w:rPr>
                <w:t>Corporate Responsibility</w:t>
              </w:r>
            </w:hyperlink>
          </w:p>
        </w:tc>
        <w:tc>
          <w:tcPr>
            <w:tcW w:w="9640" w:type="dxa"/>
            <w:vAlign w:val="bottom"/>
            <w:gridSpan w:val="21"/>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28">
              <w:r>
                <w:rPr>
                  <w:rFonts w:ascii="Arial" w:cs="Arial" w:eastAsia="Arial" w:hAnsi="Arial"/>
                  <w:sz w:val="14"/>
                  <w:szCs w:val="14"/>
                  <w:b w:val="1"/>
                  <w:bCs w:val="1"/>
                  <w:color w:val="0000EE"/>
                  <w:w w:val="89"/>
                </w:rPr>
                <w:t>23</w:t>
              </w:r>
            </w:hyperlink>
          </w:p>
        </w:tc>
      </w:tr>
      <w:tr>
        <w:trPr>
          <w:trHeight w:val="223"/>
        </w:trPr>
        <w:tc>
          <w:tcPr>
            <w:tcW w:w="11260" w:type="dxa"/>
            <w:vAlign w:val="bottom"/>
            <w:gridSpan w:val="32"/>
          </w:tcPr>
          <w:p>
            <w:pPr>
              <w:spacing w:after="0"/>
              <w:rPr>
                <w:rFonts w:ascii="Arial" w:cs="Arial" w:eastAsia="Arial" w:hAnsi="Arial"/>
                <w:sz w:val="14"/>
                <w:szCs w:val="14"/>
                <w:b w:val="1"/>
                <w:bCs w:val="1"/>
                <w:color w:val="0000EE"/>
              </w:rPr>
            </w:pPr>
            <w:hyperlink w:anchor="page33">
              <w:r>
                <w:rPr>
                  <w:rFonts w:ascii="Arial" w:cs="Arial" w:eastAsia="Arial" w:hAnsi="Arial"/>
                  <w:sz w:val="14"/>
                  <w:szCs w:val="14"/>
                  <w:b w:val="1"/>
                  <w:bCs w:val="1"/>
                  <w:color w:val="0000EE"/>
                </w:rPr>
                <w:t>Compensation of Directors</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33">
              <w:r>
                <w:rPr>
                  <w:rFonts w:ascii="Arial" w:cs="Arial" w:eastAsia="Arial" w:hAnsi="Arial"/>
                  <w:sz w:val="14"/>
                  <w:szCs w:val="14"/>
                  <w:b w:val="1"/>
                  <w:bCs w:val="1"/>
                  <w:color w:val="0000EE"/>
                  <w:w w:val="89"/>
                </w:rPr>
                <w:t>28</w:t>
              </w:r>
            </w:hyperlink>
          </w:p>
        </w:tc>
      </w:tr>
      <w:tr>
        <w:trPr>
          <w:trHeight w:val="223"/>
        </w:trPr>
        <w:tc>
          <w:tcPr>
            <w:tcW w:w="1120" w:type="dxa"/>
            <w:vAlign w:val="bottom"/>
            <w:tcBorders>
              <w:top w:val="single" w:sz="8" w:color="0000EE"/>
              <w:bottom w:val="single" w:sz="8" w:color="0000EE"/>
            </w:tcBorders>
            <w:gridSpan w:val="6"/>
          </w:tcPr>
          <w:p>
            <w:pPr>
              <w:spacing w:after="0"/>
              <w:rPr>
                <w:rFonts w:ascii="Arial" w:cs="Arial" w:eastAsia="Arial" w:hAnsi="Arial"/>
                <w:sz w:val="14"/>
                <w:szCs w:val="14"/>
                <w:b w:val="1"/>
                <w:bCs w:val="1"/>
                <w:color w:val="0000EE"/>
                <w:w w:val="95"/>
              </w:rPr>
            </w:pPr>
            <w:hyperlink w:anchor="page35">
              <w:r>
                <w:rPr>
                  <w:rFonts w:ascii="Arial" w:cs="Arial" w:eastAsia="Arial" w:hAnsi="Arial"/>
                  <w:sz w:val="14"/>
                  <w:szCs w:val="14"/>
                  <w:b w:val="1"/>
                  <w:bCs w:val="1"/>
                  <w:color w:val="0000EE"/>
                  <w:w w:val="95"/>
                </w:rPr>
                <w:t>Share Ownership</w:t>
              </w:r>
            </w:hyperlink>
          </w:p>
        </w:tc>
        <w:tc>
          <w:tcPr>
            <w:tcW w:w="620" w:type="dxa"/>
            <w:vAlign w:val="bottom"/>
            <w:tcBorders>
              <w:top w:val="single" w:sz="8" w:color="0000EE"/>
            </w:tcBorders>
            <w:gridSpan w:val="6"/>
          </w:tcPr>
          <w:p>
            <w:pPr>
              <w:spacing w:after="0"/>
              <w:rPr>
                <w:sz w:val="19"/>
                <w:szCs w:val="19"/>
                <w:color w:val="auto"/>
              </w:rPr>
            </w:pPr>
          </w:p>
        </w:tc>
        <w:tc>
          <w:tcPr>
            <w:tcW w:w="9520" w:type="dxa"/>
            <w:vAlign w:val="bottom"/>
            <w:gridSpan w:val="20"/>
          </w:tcPr>
          <w:p>
            <w:pPr>
              <w:spacing w:after="0"/>
              <w:rPr>
                <w:sz w:val="19"/>
                <w:szCs w:val="19"/>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4"/>
                <w:szCs w:val="14"/>
                <w:b w:val="1"/>
                <w:bCs w:val="1"/>
                <w:color w:val="0000EE"/>
                <w:w w:val="89"/>
              </w:rPr>
            </w:pPr>
            <w:hyperlink w:anchor="page35">
              <w:r>
                <w:rPr>
                  <w:rFonts w:ascii="Arial" w:cs="Arial" w:eastAsia="Arial" w:hAnsi="Arial"/>
                  <w:sz w:val="14"/>
                  <w:szCs w:val="14"/>
                  <w:b w:val="1"/>
                  <w:bCs w:val="1"/>
                  <w:color w:val="0000EE"/>
                  <w:w w:val="89"/>
                </w:rPr>
                <w:t>30</w:t>
              </w:r>
            </w:hyperlink>
          </w:p>
        </w:tc>
      </w:tr>
      <w:tr>
        <w:trPr>
          <w:trHeight w:val="250"/>
        </w:trPr>
        <w:tc>
          <w:tcPr>
            <w:tcW w:w="11260" w:type="dxa"/>
            <w:vAlign w:val="bottom"/>
            <w:gridSpan w:val="32"/>
          </w:tcPr>
          <w:p>
            <w:pPr>
              <w:spacing w:after="0"/>
              <w:rPr>
                <w:sz w:val="20"/>
                <w:szCs w:val="20"/>
                <w:color w:val="auto"/>
              </w:rPr>
            </w:pPr>
            <w:r>
              <w:rPr>
                <w:rFonts w:ascii="Arial" w:cs="Arial" w:eastAsia="Arial" w:hAnsi="Arial"/>
                <w:sz w:val="14"/>
                <w:szCs w:val="14"/>
                <w:b w:val="1"/>
                <w:bCs w:val="1"/>
                <w:color w:val="0E93D8"/>
              </w:rPr>
              <w:t>EXECUTIVE COMPENSATION</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1260" w:type="dxa"/>
            <w:vAlign w:val="bottom"/>
            <w:gridSpan w:val="32"/>
          </w:tcPr>
          <w:p>
            <w:pPr>
              <w:spacing w:after="0"/>
              <w:rPr>
                <w:rFonts w:ascii="Arial" w:cs="Arial" w:eastAsia="Arial" w:hAnsi="Arial"/>
                <w:sz w:val="14"/>
                <w:szCs w:val="14"/>
                <w:b w:val="1"/>
                <w:bCs w:val="1"/>
                <w:color w:val="FDB03F"/>
              </w:rPr>
            </w:pPr>
            <w:hyperlink w:anchor="page37">
              <w:r>
                <w:rPr>
                  <w:rFonts w:ascii="Arial" w:cs="Arial" w:eastAsia="Arial" w:hAnsi="Arial"/>
                  <w:sz w:val="14"/>
                  <w:szCs w:val="14"/>
                  <w:b w:val="1"/>
                  <w:bCs w:val="1"/>
                  <w:color w:val="FDB03F"/>
                </w:rPr>
                <w:t>PROPOSAL 2:</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20" w:type="dxa"/>
            <w:vAlign w:val="bottom"/>
            <w:gridSpan w:val="2"/>
            <w:shd w:val="clear" w:color="auto" w:fill="FDB03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3300" w:type="dxa"/>
            <w:vAlign w:val="bottom"/>
            <w:tcBorders>
              <w:bottom w:val="single" w:sz="8" w:color="0000EE"/>
            </w:tcBorders>
            <w:gridSpan w:val="24"/>
          </w:tcPr>
          <w:p>
            <w:pPr>
              <w:spacing w:after="0"/>
              <w:rPr>
                <w:rFonts w:ascii="Arial" w:cs="Arial" w:eastAsia="Arial" w:hAnsi="Arial"/>
                <w:sz w:val="14"/>
                <w:szCs w:val="14"/>
                <w:b w:val="1"/>
                <w:bCs w:val="1"/>
                <w:color w:val="0000EE"/>
                <w:w w:val="95"/>
              </w:rPr>
            </w:pPr>
            <w:hyperlink w:anchor="page37">
              <w:r>
                <w:rPr>
                  <w:rFonts w:ascii="Arial" w:cs="Arial" w:eastAsia="Arial" w:hAnsi="Arial"/>
                  <w:sz w:val="14"/>
                  <w:szCs w:val="14"/>
                  <w:b w:val="1"/>
                  <w:bCs w:val="1"/>
                  <w:color w:val="0000EE"/>
                  <w:w w:val="95"/>
                </w:rPr>
                <w:t>Advisory Vote to Approve Executive Compensation</w:t>
              </w:r>
            </w:hyperlink>
          </w:p>
        </w:tc>
        <w:tc>
          <w:tcPr>
            <w:tcW w:w="7960" w:type="dxa"/>
            <w:vAlign w:val="bottom"/>
            <w:gridSpan w:val="8"/>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37">
              <w:r>
                <w:rPr>
                  <w:rFonts w:ascii="Arial" w:cs="Arial" w:eastAsia="Arial" w:hAnsi="Arial"/>
                  <w:sz w:val="14"/>
                  <w:szCs w:val="14"/>
                  <w:b w:val="1"/>
                  <w:bCs w:val="1"/>
                  <w:color w:val="0000EE"/>
                  <w:w w:val="89"/>
                </w:rPr>
                <w:t>32</w:t>
              </w:r>
            </w:hyperlink>
          </w:p>
        </w:tc>
      </w:tr>
      <w:tr>
        <w:trPr>
          <w:trHeight w:val="223"/>
        </w:trPr>
        <w:tc>
          <w:tcPr>
            <w:tcW w:w="2580" w:type="dxa"/>
            <w:vAlign w:val="bottom"/>
            <w:tcBorders>
              <w:bottom w:val="single" w:sz="8" w:color="0000EE"/>
            </w:tcBorders>
            <w:gridSpan w:val="20"/>
          </w:tcPr>
          <w:p>
            <w:pPr>
              <w:spacing w:after="0"/>
              <w:rPr>
                <w:rFonts w:ascii="Arial" w:cs="Arial" w:eastAsia="Arial" w:hAnsi="Arial"/>
                <w:sz w:val="14"/>
                <w:szCs w:val="14"/>
                <w:b w:val="1"/>
                <w:bCs w:val="1"/>
                <w:color w:val="0000EE"/>
                <w:w w:val="96"/>
              </w:rPr>
            </w:pPr>
            <w:hyperlink w:anchor="page38">
              <w:r>
                <w:rPr>
                  <w:rFonts w:ascii="Arial" w:cs="Arial" w:eastAsia="Arial" w:hAnsi="Arial"/>
                  <w:sz w:val="14"/>
                  <w:szCs w:val="14"/>
                  <w:b w:val="1"/>
                  <w:bCs w:val="1"/>
                  <w:color w:val="0000EE"/>
                  <w:w w:val="96"/>
                </w:rPr>
                <w:t>Compensation Discussion and Analysis</w:t>
              </w:r>
            </w:hyperlink>
          </w:p>
        </w:tc>
        <w:tc>
          <w:tcPr>
            <w:tcW w:w="8680" w:type="dxa"/>
            <w:vAlign w:val="bottom"/>
            <w:gridSpan w:val="12"/>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38">
              <w:r>
                <w:rPr>
                  <w:rFonts w:ascii="Arial" w:cs="Arial" w:eastAsia="Arial" w:hAnsi="Arial"/>
                  <w:sz w:val="14"/>
                  <w:szCs w:val="14"/>
                  <w:b w:val="1"/>
                  <w:bCs w:val="1"/>
                  <w:color w:val="0000EE"/>
                  <w:w w:val="89"/>
                </w:rPr>
                <w:t>33</w:t>
              </w:r>
            </w:hyperlink>
          </w:p>
        </w:tc>
      </w:tr>
      <w:tr>
        <w:trPr>
          <w:trHeight w:val="223"/>
        </w:trPr>
        <w:tc>
          <w:tcPr>
            <w:tcW w:w="11260" w:type="dxa"/>
            <w:vAlign w:val="bottom"/>
            <w:gridSpan w:val="32"/>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Executive Summary</w:t>
              </w:r>
            </w:hyperlink>
          </w:p>
        </w:tc>
        <w:tc>
          <w:tcPr>
            <w:tcW w:w="160" w:type="dxa"/>
            <w:vAlign w:val="bottom"/>
            <w:gridSpan w:val="2"/>
          </w:tcPr>
          <w:p>
            <w:pPr>
              <w:jc w:val="right"/>
              <w:spacing w:after="0"/>
              <w:rPr>
                <w:rFonts w:ascii="Arial" w:cs="Arial" w:eastAsia="Arial" w:hAnsi="Arial"/>
                <w:sz w:val="14"/>
                <w:szCs w:val="14"/>
                <w:color w:val="0000EE"/>
                <w:w w:val="89"/>
              </w:rPr>
            </w:pPr>
            <w:hyperlink w:anchor="page38">
              <w:r>
                <w:rPr>
                  <w:rFonts w:ascii="Arial" w:cs="Arial" w:eastAsia="Arial" w:hAnsi="Arial"/>
                  <w:sz w:val="14"/>
                  <w:szCs w:val="14"/>
                  <w:color w:val="0000EE"/>
                  <w:w w:val="89"/>
                </w:rPr>
                <w:t>33</w:t>
              </w:r>
            </w:hyperlink>
          </w:p>
        </w:tc>
      </w:tr>
      <w:tr>
        <w:trPr>
          <w:trHeight w:val="20"/>
        </w:trPr>
        <w:tc>
          <w:tcPr>
            <w:tcW w:w="96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23"/>
        </w:trPr>
        <w:tc>
          <w:tcPr>
            <w:tcW w:w="3400" w:type="dxa"/>
            <w:vAlign w:val="bottom"/>
            <w:tcBorders>
              <w:bottom w:val="single" w:sz="8" w:color="0000EE"/>
            </w:tcBorders>
            <w:gridSpan w:val="25"/>
          </w:tcPr>
          <w:p>
            <w:pPr>
              <w:spacing w:after="0"/>
              <w:rPr>
                <w:rFonts w:ascii="Arial" w:cs="Arial" w:eastAsia="Arial" w:hAnsi="Arial"/>
                <w:sz w:val="14"/>
                <w:szCs w:val="14"/>
                <w:color w:val="0000EE"/>
                <w:w w:val="96"/>
              </w:rPr>
            </w:pPr>
            <w:hyperlink w:anchor="page43">
              <w:r>
                <w:rPr>
                  <w:rFonts w:ascii="Arial" w:cs="Arial" w:eastAsia="Arial" w:hAnsi="Arial"/>
                  <w:sz w:val="14"/>
                  <w:szCs w:val="14"/>
                  <w:color w:val="0000EE"/>
                  <w:w w:val="96"/>
                </w:rPr>
                <w:t>How We Make Pay Decisions and Assess Our Programs</w:t>
              </w:r>
            </w:hyperlink>
          </w:p>
        </w:tc>
        <w:tc>
          <w:tcPr>
            <w:tcW w:w="7860" w:type="dxa"/>
            <w:vAlign w:val="bottom"/>
            <w:gridSpan w:val="7"/>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43">
              <w:r>
                <w:rPr>
                  <w:rFonts w:ascii="Arial" w:cs="Arial" w:eastAsia="Arial" w:hAnsi="Arial"/>
                  <w:sz w:val="14"/>
                  <w:szCs w:val="14"/>
                  <w:color w:val="0000EE"/>
                  <w:w w:val="89"/>
                </w:rPr>
                <w:t>38</w:t>
              </w:r>
            </w:hyperlink>
          </w:p>
        </w:tc>
      </w:tr>
      <w:tr>
        <w:trPr>
          <w:trHeight w:val="223"/>
        </w:trPr>
        <w:tc>
          <w:tcPr>
            <w:tcW w:w="11260" w:type="dxa"/>
            <w:vAlign w:val="bottom"/>
            <w:gridSpan w:val="32"/>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Our Principal Elements of Compensation</w:t>
              </w:r>
            </w:hyperlink>
          </w:p>
        </w:tc>
        <w:tc>
          <w:tcPr>
            <w:tcW w:w="160" w:type="dxa"/>
            <w:vAlign w:val="bottom"/>
            <w:gridSpan w:val="2"/>
          </w:tcPr>
          <w:p>
            <w:pPr>
              <w:jc w:val="right"/>
              <w:spacing w:after="0"/>
              <w:rPr>
                <w:rFonts w:ascii="Arial" w:cs="Arial" w:eastAsia="Arial" w:hAnsi="Arial"/>
                <w:sz w:val="14"/>
                <w:szCs w:val="14"/>
                <w:color w:val="0000EE"/>
                <w:w w:val="89"/>
              </w:rPr>
            </w:pPr>
            <w:hyperlink w:anchor="page46">
              <w:r>
                <w:rPr>
                  <w:rFonts w:ascii="Arial" w:cs="Arial" w:eastAsia="Arial" w:hAnsi="Arial"/>
                  <w:sz w:val="14"/>
                  <w:szCs w:val="14"/>
                  <w:color w:val="0000EE"/>
                  <w:w w:val="89"/>
                </w:rPr>
                <w:t>41</w:t>
              </w:r>
            </w:hyperlink>
          </w:p>
        </w:tc>
      </w:tr>
      <w:tr>
        <w:trPr>
          <w:trHeight w:val="223"/>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96"/>
              </w:rPr>
            </w:pPr>
            <w:hyperlink w:anchor="page51">
              <w:r>
                <w:rPr>
                  <w:rFonts w:ascii="Arial" w:cs="Arial" w:eastAsia="Arial" w:hAnsi="Arial"/>
                  <w:sz w:val="14"/>
                  <w:szCs w:val="14"/>
                  <w:color w:val="0000EE"/>
                  <w:w w:val="96"/>
                </w:rPr>
                <w:t>CEO Pay Overview</w:t>
              </w:r>
            </w:hyperlink>
          </w:p>
        </w:tc>
        <w:tc>
          <w:tcPr>
            <w:tcW w:w="1240" w:type="dxa"/>
            <w:vAlign w:val="bottom"/>
            <w:tcBorders>
              <w:top w:val="single" w:sz="8" w:color="0000EE"/>
            </w:tcBorders>
            <w:gridSpan w:val="11"/>
          </w:tcPr>
          <w:p>
            <w:pPr>
              <w:spacing w:after="0"/>
              <w:rPr>
                <w:sz w:val="19"/>
                <w:szCs w:val="19"/>
                <w:color w:val="auto"/>
              </w:rPr>
            </w:pPr>
          </w:p>
        </w:tc>
        <w:tc>
          <w:tcPr>
            <w:tcW w:w="8820" w:type="dxa"/>
            <w:vAlign w:val="bottom"/>
            <w:gridSpan w:val="14"/>
          </w:tcPr>
          <w:p>
            <w:pPr>
              <w:spacing w:after="0"/>
              <w:rPr>
                <w:sz w:val="19"/>
                <w:szCs w:val="19"/>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4"/>
                <w:szCs w:val="14"/>
                <w:color w:val="0000EE"/>
                <w:w w:val="89"/>
              </w:rPr>
            </w:pPr>
            <w:hyperlink w:anchor="page51">
              <w:r>
                <w:rPr>
                  <w:rFonts w:ascii="Arial" w:cs="Arial" w:eastAsia="Arial" w:hAnsi="Arial"/>
                  <w:sz w:val="14"/>
                  <w:szCs w:val="14"/>
                  <w:color w:val="0000EE"/>
                  <w:w w:val="89"/>
                </w:rPr>
                <w:t>46</w:t>
              </w:r>
            </w:hyperlink>
          </w:p>
        </w:tc>
      </w:tr>
      <w:tr>
        <w:trPr>
          <w:trHeight w:val="223"/>
        </w:trPr>
        <w:tc>
          <w:tcPr>
            <w:tcW w:w="2280" w:type="dxa"/>
            <w:vAlign w:val="bottom"/>
            <w:tcBorders>
              <w:bottom w:val="single" w:sz="8" w:color="0000EE"/>
            </w:tcBorders>
            <w:gridSpan w:val="17"/>
          </w:tcPr>
          <w:p>
            <w:pPr>
              <w:spacing w:after="0"/>
              <w:rPr>
                <w:rFonts w:ascii="Arial" w:cs="Arial" w:eastAsia="Arial" w:hAnsi="Arial"/>
                <w:sz w:val="14"/>
                <w:szCs w:val="14"/>
                <w:color w:val="0000EE"/>
                <w:w w:val="95"/>
              </w:rPr>
            </w:pPr>
            <w:hyperlink w:anchor="page53">
              <w:r>
                <w:rPr>
                  <w:rFonts w:ascii="Arial" w:cs="Arial" w:eastAsia="Arial" w:hAnsi="Arial"/>
                  <w:sz w:val="14"/>
                  <w:szCs w:val="14"/>
                  <w:color w:val="0000EE"/>
                  <w:w w:val="95"/>
                </w:rPr>
                <w:t>How We Assess Pay-for-Performance</w:t>
              </w:r>
            </w:hyperlink>
          </w:p>
        </w:tc>
        <w:tc>
          <w:tcPr>
            <w:tcW w:w="8980" w:type="dxa"/>
            <w:vAlign w:val="bottom"/>
            <w:gridSpan w:val="15"/>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53">
              <w:r>
                <w:rPr>
                  <w:rFonts w:ascii="Arial" w:cs="Arial" w:eastAsia="Arial" w:hAnsi="Arial"/>
                  <w:sz w:val="14"/>
                  <w:szCs w:val="14"/>
                  <w:color w:val="0000EE"/>
                  <w:w w:val="89"/>
                </w:rPr>
                <w:t>48</w:t>
              </w:r>
            </w:hyperlink>
          </w:p>
        </w:tc>
      </w:tr>
      <w:tr>
        <w:trPr>
          <w:trHeight w:val="223"/>
        </w:trPr>
        <w:tc>
          <w:tcPr>
            <w:tcW w:w="2060" w:type="dxa"/>
            <w:vAlign w:val="bottom"/>
            <w:tcBorders>
              <w:bottom w:val="single" w:sz="8" w:color="0000EE"/>
            </w:tcBorders>
            <w:gridSpan w:val="16"/>
          </w:tcPr>
          <w:p>
            <w:pPr>
              <w:spacing w:after="0"/>
              <w:rPr>
                <w:rFonts w:ascii="Arial" w:cs="Arial" w:eastAsia="Arial" w:hAnsi="Arial"/>
                <w:sz w:val="14"/>
                <w:szCs w:val="14"/>
                <w:color w:val="0000EE"/>
                <w:w w:val="96"/>
              </w:rPr>
            </w:pPr>
            <w:hyperlink w:anchor="page55">
              <w:r>
                <w:rPr>
                  <w:rFonts w:ascii="Arial" w:cs="Arial" w:eastAsia="Arial" w:hAnsi="Arial"/>
                  <w:sz w:val="14"/>
                  <w:szCs w:val="14"/>
                  <w:color w:val="0000EE"/>
                  <w:w w:val="96"/>
                </w:rPr>
                <w:t>Pay Decisions for the Other NEOs</w:t>
              </w:r>
            </w:hyperlink>
          </w:p>
        </w:tc>
        <w:tc>
          <w:tcPr>
            <w:tcW w:w="9200" w:type="dxa"/>
            <w:vAlign w:val="bottom"/>
            <w:gridSpan w:val="16"/>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55">
              <w:r>
                <w:rPr>
                  <w:rFonts w:ascii="Arial" w:cs="Arial" w:eastAsia="Arial" w:hAnsi="Arial"/>
                  <w:sz w:val="14"/>
                  <w:szCs w:val="14"/>
                  <w:color w:val="0000EE"/>
                  <w:w w:val="89"/>
                </w:rPr>
                <w:t>50</w:t>
              </w:r>
            </w:hyperlink>
          </w:p>
        </w:tc>
      </w:tr>
      <w:tr>
        <w:trPr>
          <w:trHeight w:val="223"/>
        </w:trPr>
        <w:tc>
          <w:tcPr>
            <w:tcW w:w="1860" w:type="dxa"/>
            <w:vAlign w:val="bottom"/>
            <w:tcBorders>
              <w:bottom w:val="single" w:sz="8" w:color="0000EE"/>
            </w:tcBorders>
            <w:gridSpan w:val="14"/>
          </w:tcPr>
          <w:p>
            <w:pPr>
              <w:spacing w:after="0"/>
              <w:rPr>
                <w:rFonts w:ascii="Arial" w:cs="Arial" w:eastAsia="Arial" w:hAnsi="Arial"/>
                <w:sz w:val="14"/>
                <w:szCs w:val="14"/>
                <w:color w:val="0000EE"/>
                <w:w w:val="96"/>
              </w:rPr>
            </w:pPr>
            <w:hyperlink w:anchor="page59">
              <w:r>
                <w:rPr>
                  <w:rFonts w:ascii="Arial" w:cs="Arial" w:eastAsia="Arial" w:hAnsi="Arial"/>
                  <w:sz w:val="14"/>
                  <w:szCs w:val="14"/>
                  <w:color w:val="0000EE"/>
                  <w:w w:val="96"/>
                </w:rPr>
                <w:t>Other Compensation Elements</w:t>
              </w:r>
            </w:hyperlink>
          </w:p>
        </w:tc>
        <w:tc>
          <w:tcPr>
            <w:tcW w:w="9400" w:type="dxa"/>
            <w:vAlign w:val="bottom"/>
            <w:gridSpan w:val="18"/>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59">
              <w:r>
                <w:rPr>
                  <w:rFonts w:ascii="Arial" w:cs="Arial" w:eastAsia="Arial" w:hAnsi="Arial"/>
                  <w:sz w:val="14"/>
                  <w:szCs w:val="14"/>
                  <w:color w:val="0000EE"/>
                  <w:w w:val="89"/>
                </w:rPr>
                <w:t>54</w:t>
              </w:r>
            </w:hyperlink>
          </w:p>
        </w:tc>
      </w:tr>
      <w:tr>
        <w:trPr>
          <w:trHeight w:val="223"/>
        </w:trPr>
        <w:tc>
          <w:tcPr>
            <w:tcW w:w="3240" w:type="dxa"/>
            <w:vAlign w:val="bottom"/>
            <w:tcBorders>
              <w:bottom w:val="single" w:sz="8" w:color="0000EE"/>
            </w:tcBorders>
            <w:gridSpan w:val="23"/>
          </w:tcPr>
          <w:p>
            <w:pPr>
              <w:spacing w:after="0"/>
              <w:rPr>
                <w:rFonts w:ascii="Arial" w:cs="Arial" w:eastAsia="Arial" w:hAnsi="Arial"/>
                <w:sz w:val="14"/>
                <w:szCs w:val="14"/>
                <w:color w:val="0000EE"/>
                <w:w w:val="96"/>
              </w:rPr>
            </w:pPr>
            <w:hyperlink w:anchor="page61">
              <w:r>
                <w:rPr>
                  <w:rFonts w:ascii="Arial" w:cs="Arial" w:eastAsia="Arial" w:hAnsi="Arial"/>
                  <w:sz w:val="14"/>
                  <w:szCs w:val="14"/>
                  <w:color w:val="0000EE"/>
                  <w:w w:val="96"/>
                </w:rPr>
                <w:t>Other Executive Compensation Policies and Practices</w:t>
              </w:r>
            </w:hyperlink>
          </w:p>
        </w:tc>
        <w:tc>
          <w:tcPr>
            <w:tcW w:w="8020" w:type="dxa"/>
            <w:vAlign w:val="bottom"/>
            <w:gridSpan w:val="9"/>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61">
              <w:r>
                <w:rPr>
                  <w:rFonts w:ascii="Arial" w:cs="Arial" w:eastAsia="Arial" w:hAnsi="Arial"/>
                  <w:sz w:val="14"/>
                  <w:szCs w:val="14"/>
                  <w:color w:val="0000EE"/>
                  <w:w w:val="89"/>
                </w:rPr>
                <w:t>56</w:t>
              </w:r>
            </w:hyperlink>
          </w:p>
        </w:tc>
      </w:tr>
      <w:tr>
        <w:trPr>
          <w:trHeight w:val="223"/>
        </w:trPr>
        <w:tc>
          <w:tcPr>
            <w:tcW w:w="2560" w:type="dxa"/>
            <w:vAlign w:val="bottom"/>
            <w:tcBorders>
              <w:bottom w:val="single" w:sz="8" w:color="0000EE"/>
            </w:tcBorders>
            <w:gridSpan w:val="19"/>
          </w:tcPr>
          <w:p>
            <w:pPr>
              <w:spacing w:after="0"/>
              <w:rPr>
                <w:rFonts w:ascii="Arial" w:cs="Arial" w:eastAsia="Arial" w:hAnsi="Arial"/>
                <w:sz w:val="14"/>
                <w:szCs w:val="14"/>
                <w:b w:val="1"/>
                <w:bCs w:val="1"/>
                <w:color w:val="0000EE"/>
                <w:w w:val="96"/>
              </w:rPr>
            </w:pPr>
            <w:hyperlink w:anchor="page62">
              <w:r>
                <w:rPr>
                  <w:rFonts w:ascii="Arial" w:cs="Arial" w:eastAsia="Arial" w:hAnsi="Arial"/>
                  <w:sz w:val="14"/>
                  <w:szCs w:val="14"/>
                  <w:b w:val="1"/>
                  <w:bCs w:val="1"/>
                  <w:color w:val="0000EE"/>
                  <w:w w:val="96"/>
                </w:rPr>
                <w:t>Report of the Compensation Committee</w:t>
              </w:r>
            </w:hyperlink>
          </w:p>
        </w:tc>
        <w:tc>
          <w:tcPr>
            <w:tcW w:w="8700" w:type="dxa"/>
            <w:vAlign w:val="bottom"/>
            <w:gridSpan w:val="13"/>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62">
              <w:r>
                <w:rPr>
                  <w:rFonts w:ascii="Arial" w:cs="Arial" w:eastAsia="Arial" w:hAnsi="Arial"/>
                  <w:sz w:val="14"/>
                  <w:szCs w:val="14"/>
                  <w:b w:val="1"/>
                  <w:bCs w:val="1"/>
                  <w:color w:val="0000EE"/>
                  <w:w w:val="89"/>
                </w:rPr>
                <w:t>57</w:t>
              </w:r>
            </w:hyperlink>
          </w:p>
        </w:tc>
      </w:tr>
      <w:tr>
        <w:trPr>
          <w:trHeight w:val="223"/>
        </w:trPr>
        <w:tc>
          <w:tcPr>
            <w:tcW w:w="11260" w:type="dxa"/>
            <w:vAlign w:val="bottom"/>
            <w:gridSpan w:val="32"/>
          </w:tcPr>
          <w:p>
            <w:pPr>
              <w:spacing w:after="0"/>
              <w:rPr>
                <w:rFonts w:ascii="Arial" w:cs="Arial" w:eastAsia="Arial" w:hAnsi="Arial"/>
                <w:sz w:val="14"/>
                <w:szCs w:val="14"/>
                <w:b w:val="1"/>
                <w:bCs w:val="1"/>
                <w:color w:val="0000EE"/>
              </w:rPr>
            </w:pPr>
            <w:hyperlink w:anchor="page63">
              <w:r>
                <w:rPr>
                  <w:rFonts w:ascii="Arial" w:cs="Arial" w:eastAsia="Arial" w:hAnsi="Arial"/>
                  <w:sz w:val="14"/>
                  <w:szCs w:val="14"/>
                  <w:b w:val="1"/>
                  <w:bCs w:val="1"/>
                  <w:color w:val="0000EE"/>
                </w:rPr>
                <w:t>Compensation Tables</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63">
              <w:r>
                <w:rPr>
                  <w:rFonts w:ascii="Arial" w:cs="Arial" w:eastAsia="Arial" w:hAnsi="Arial"/>
                  <w:sz w:val="14"/>
                  <w:szCs w:val="14"/>
                  <w:b w:val="1"/>
                  <w:bCs w:val="1"/>
                  <w:color w:val="0000EE"/>
                  <w:w w:val="89"/>
                </w:rPr>
                <w:t>58</w:t>
              </w:r>
            </w:hyperlink>
          </w:p>
        </w:tc>
      </w:tr>
      <w:tr>
        <w:trPr>
          <w:trHeight w:val="223"/>
        </w:trPr>
        <w:tc>
          <w:tcPr>
            <w:tcW w:w="960" w:type="dxa"/>
            <w:vAlign w:val="bottom"/>
            <w:tcBorders>
              <w:top w:val="single" w:sz="8" w:color="0000EE"/>
              <w:bottom w:val="single" w:sz="8" w:color="0000EE"/>
            </w:tcBorders>
            <w:gridSpan w:val="4"/>
          </w:tcPr>
          <w:p>
            <w:pPr>
              <w:spacing w:after="0"/>
              <w:rPr>
                <w:rFonts w:ascii="Arial" w:cs="Arial" w:eastAsia="Arial" w:hAnsi="Arial"/>
                <w:sz w:val="14"/>
                <w:szCs w:val="14"/>
                <w:b w:val="1"/>
                <w:bCs w:val="1"/>
                <w:color w:val="0000EE"/>
                <w:w w:val="95"/>
              </w:rPr>
            </w:pPr>
            <w:hyperlink w:anchor="page75">
              <w:r>
                <w:rPr>
                  <w:rFonts w:ascii="Arial" w:cs="Arial" w:eastAsia="Arial" w:hAnsi="Arial"/>
                  <w:sz w:val="14"/>
                  <w:szCs w:val="14"/>
                  <w:b w:val="1"/>
                  <w:bCs w:val="1"/>
                  <w:color w:val="0000EE"/>
                  <w:w w:val="95"/>
                </w:rPr>
                <w:t>CEO Pay Ratio</w:t>
              </w:r>
            </w:hyperlink>
          </w:p>
        </w:tc>
        <w:tc>
          <w:tcPr>
            <w:tcW w:w="440" w:type="dxa"/>
            <w:vAlign w:val="bottom"/>
            <w:tcBorders>
              <w:top w:val="single" w:sz="8" w:color="0000EE"/>
            </w:tcBorders>
            <w:gridSpan w:val="5"/>
          </w:tcPr>
          <w:p>
            <w:pPr>
              <w:spacing w:after="0"/>
              <w:rPr>
                <w:sz w:val="19"/>
                <w:szCs w:val="19"/>
                <w:color w:val="auto"/>
              </w:rPr>
            </w:pPr>
          </w:p>
        </w:tc>
        <w:tc>
          <w:tcPr>
            <w:tcW w:w="9860" w:type="dxa"/>
            <w:vAlign w:val="bottom"/>
            <w:gridSpan w:val="23"/>
          </w:tcPr>
          <w:p>
            <w:pPr>
              <w:spacing w:after="0"/>
              <w:rPr>
                <w:sz w:val="19"/>
                <w:szCs w:val="19"/>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4"/>
                <w:szCs w:val="14"/>
                <w:b w:val="1"/>
                <w:bCs w:val="1"/>
                <w:color w:val="0000EE"/>
                <w:w w:val="89"/>
              </w:rPr>
            </w:pPr>
            <w:hyperlink w:anchor="page75">
              <w:r>
                <w:rPr>
                  <w:rFonts w:ascii="Arial" w:cs="Arial" w:eastAsia="Arial" w:hAnsi="Arial"/>
                  <w:sz w:val="14"/>
                  <w:szCs w:val="14"/>
                  <w:b w:val="1"/>
                  <w:bCs w:val="1"/>
                  <w:color w:val="0000EE"/>
                  <w:w w:val="89"/>
                </w:rPr>
                <w:t>70</w:t>
              </w:r>
            </w:hyperlink>
          </w:p>
        </w:tc>
      </w:tr>
      <w:tr>
        <w:trPr>
          <w:trHeight w:val="250"/>
        </w:trPr>
        <w:tc>
          <w:tcPr>
            <w:tcW w:w="11260" w:type="dxa"/>
            <w:vAlign w:val="bottom"/>
            <w:gridSpan w:val="32"/>
          </w:tcPr>
          <w:p>
            <w:pPr>
              <w:spacing w:after="0"/>
              <w:rPr>
                <w:sz w:val="20"/>
                <w:szCs w:val="20"/>
                <w:color w:val="auto"/>
              </w:rPr>
            </w:pPr>
            <w:r>
              <w:rPr>
                <w:rFonts w:ascii="Arial" w:cs="Arial" w:eastAsia="Arial" w:hAnsi="Arial"/>
                <w:sz w:val="14"/>
                <w:szCs w:val="14"/>
                <w:b w:val="1"/>
                <w:bCs w:val="1"/>
                <w:color w:val="0E93D8"/>
              </w:rPr>
              <w:t>AUDIT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1260" w:type="dxa"/>
            <w:vAlign w:val="bottom"/>
            <w:gridSpan w:val="32"/>
          </w:tcPr>
          <w:p>
            <w:pPr>
              <w:spacing w:after="0"/>
              <w:rPr>
                <w:rFonts w:ascii="Arial" w:cs="Arial" w:eastAsia="Arial" w:hAnsi="Arial"/>
                <w:sz w:val="14"/>
                <w:szCs w:val="14"/>
                <w:b w:val="1"/>
                <w:bCs w:val="1"/>
                <w:color w:val="0000EE"/>
              </w:rPr>
            </w:pPr>
            <w:hyperlink w:anchor="page77">
              <w:r>
                <w:rPr>
                  <w:rFonts w:ascii="Arial" w:cs="Arial" w:eastAsia="Arial" w:hAnsi="Arial"/>
                  <w:sz w:val="14"/>
                  <w:szCs w:val="14"/>
                  <w:b w:val="1"/>
                  <w:bCs w:val="1"/>
                  <w:color w:val="0000EE"/>
                </w:rPr>
                <w:t>Report of the Audit Committee</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77">
              <w:r>
                <w:rPr>
                  <w:rFonts w:ascii="Arial" w:cs="Arial" w:eastAsia="Arial" w:hAnsi="Arial"/>
                  <w:sz w:val="14"/>
                  <w:szCs w:val="14"/>
                  <w:b w:val="1"/>
                  <w:bCs w:val="1"/>
                  <w:color w:val="0000EE"/>
                  <w:w w:val="89"/>
                </w:rPr>
                <w:t>72</w:t>
              </w:r>
            </w:hyperlink>
          </w:p>
        </w:tc>
      </w:tr>
      <w:tr>
        <w:trPr>
          <w:trHeight w:val="223"/>
        </w:trPr>
        <w:tc>
          <w:tcPr>
            <w:tcW w:w="940" w:type="dxa"/>
            <w:vAlign w:val="bottom"/>
            <w:tcBorders>
              <w:top w:val="single" w:sz="8" w:color="0000EE"/>
              <w:bottom w:val="single" w:sz="8" w:color="FDB03F"/>
            </w:tcBorders>
            <w:gridSpan w:val="3"/>
          </w:tcPr>
          <w:p>
            <w:pPr>
              <w:spacing w:after="0"/>
              <w:rPr>
                <w:rFonts w:ascii="Arial" w:cs="Arial" w:eastAsia="Arial" w:hAnsi="Arial"/>
                <w:sz w:val="14"/>
                <w:szCs w:val="14"/>
                <w:b w:val="1"/>
                <w:bCs w:val="1"/>
                <w:color w:val="FDB03F"/>
                <w:w w:val="96"/>
              </w:rPr>
            </w:pPr>
            <w:hyperlink w:anchor="page78">
              <w:r>
                <w:rPr>
                  <w:rFonts w:ascii="Arial" w:cs="Arial" w:eastAsia="Arial" w:hAnsi="Arial"/>
                  <w:sz w:val="14"/>
                  <w:szCs w:val="14"/>
                  <w:b w:val="1"/>
                  <w:bCs w:val="1"/>
                  <w:color w:val="FDB03F"/>
                  <w:w w:val="96"/>
                </w:rPr>
                <w:t>PROPOSAL 3:</w:t>
              </w:r>
            </w:hyperlink>
          </w:p>
        </w:tc>
        <w:tc>
          <w:tcPr>
            <w:tcW w:w="1020" w:type="dxa"/>
            <w:vAlign w:val="bottom"/>
            <w:tcBorders>
              <w:top w:val="single" w:sz="8" w:color="0000EE"/>
            </w:tcBorders>
            <w:gridSpan w:val="12"/>
          </w:tcPr>
          <w:p>
            <w:pPr>
              <w:spacing w:after="0"/>
              <w:rPr>
                <w:sz w:val="19"/>
                <w:szCs w:val="19"/>
                <w:color w:val="auto"/>
              </w:rPr>
            </w:pPr>
          </w:p>
        </w:tc>
        <w:tc>
          <w:tcPr>
            <w:tcW w:w="9300" w:type="dxa"/>
            <w:vAlign w:val="bottom"/>
            <w:gridSpan w:val="17"/>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r>
      <w:tr>
        <w:trPr>
          <w:trHeight w:val="223"/>
        </w:trPr>
        <w:tc>
          <w:tcPr>
            <w:tcW w:w="11260" w:type="dxa"/>
            <w:vAlign w:val="bottom"/>
            <w:gridSpan w:val="32"/>
          </w:tcPr>
          <w:p>
            <w:pPr>
              <w:spacing w:after="0"/>
              <w:rPr>
                <w:rFonts w:ascii="Arial" w:cs="Arial" w:eastAsia="Arial" w:hAnsi="Arial"/>
                <w:sz w:val="14"/>
                <w:szCs w:val="14"/>
                <w:b w:val="1"/>
                <w:bCs w:val="1"/>
                <w:color w:val="0000EE"/>
              </w:rPr>
            </w:pPr>
            <w:hyperlink w:anchor="page78">
              <w:r>
                <w:rPr>
                  <w:rFonts w:ascii="Arial" w:cs="Arial" w:eastAsia="Arial" w:hAnsi="Arial"/>
                  <w:sz w:val="14"/>
                  <w:szCs w:val="14"/>
                  <w:b w:val="1"/>
                  <w:bCs w:val="1"/>
                  <w:color w:val="0000EE"/>
                </w:rPr>
                <w:t>Appoint an Independent Auditor for 2019</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78">
              <w:r>
                <w:rPr>
                  <w:rFonts w:ascii="Arial" w:cs="Arial" w:eastAsia="Arial" w:hAnsi="Arial"/>
                  <w:sz w:val="14"/>
                  <w:szCs w:val="14"/>
                  <w:b w:val="1"/>
                  <w:bCs w:val="1"/>
                  <w:color w:val="0000EE"/>
                  <w:w w:val="89"/>
                </w:rPr>
                <w:t>73</w:t>
              </w:r>
            </w:hyperlink>
          </w:p>
        </w:tc>
      </w:tr>
      <w:tr>
        <w:trPr>
          <w:trHeight w:val="250"/>
        </w:trPr>
        <w:tc>
          <w:tcPr>
            <w:tcW w:w="2620" w:type="dxa"/>
            <w:vAlign w:val="bottom"/>
            <w:tcBorders>
              <w:top w:val="single" w:sz="8" w:color="0000EE"/>
            </w:tcBorders>
            <w:gridSpan w:val="21"/>
          </w:tcPr>
          <w:p>
            <w:pPr>
              <w:spacing w:after="0"/>
              <w:rPr>
                <w:sz w:val="20"/>
                <w:szCs w:val="20"/>
                <w:color w:val="auto"/>
              </w:rPr>
            </w:pPr>
            <w:r>
              <w:rPr>
                <w:rFonts w:ascii="Arial" w:cs="Arial" w:eastAsia="Arial" w:hAnsi="Arial"/>
                <w:sz w:val="14"/>
                <w:szCs w:val="14"/>
                <w:b w:val="1"/>
                <w:bCs w:val="1"/>
                <w:color w:val="0E93D8"/>
              </w:rPr>
              <w:t>OTHER PROPOSALS</w:t>
            </w:r>
          </w:p>
        </w:tc>
        <w:tc>
          <w:tcPr>
            <w:tcW w:w="8640" w:type="dxa"/>
            <w:vAlign w:val="bottom"/>
            <w:gridSpan w:val="11"/>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17"/>
        </w:trPr>
        <w:tc>
          <w:tcPr>
            <w:tcW w:w="940" w:type="dxa"/>
            <w:vAlign w:val="bottom"/>
            <w:tcBorders>
              <w:bottom w:val="single" w:sz="8" w:color="FDB03F"/>
            </w:tcBorders>
            <w:gridSpan w:val="3"/>
          </w:tcPr>
          <w:p>
            <w:pPr>
              <w:spacing w:after="0"/>
              <w:rPr>
                <w:rFonts w:ascii="Arial" w:cs="Arial" w:eastAsia="Arial" w:hAnsi="Arial"/>
                <w:sz w:val="14"/>
                <w:szCs w:val="14"/>
                <w:b w:val="1"/>
                <w:bCs w:val="1"/>
                <w:color w:val="FDB03F"/>
                <w:w w:val="96"/>
              </w:rPr>
            </w:pPr>
            <w:hyperlink w:anchor="page80">
              <w:r>
                <w:rPr>
                  <w:rFonts w:ascii="Arial" w:cs="Arial" w:eastAsia="Arial" w:hAnsi="Arial"/>
                  <w:sz w:val="14"/>
                  <w:szCs w:val="14"/>
                  <w:b w:val="1"/>
                  <w:bCs w:val="1"/>
                  <w:color w:val="FDB03F"/>
                  <w:w w:val="96"/>
                </w:rPr>
                <w:t>PROPOSAL 4:</w:t>
              </w:r>
            </w:hyperlink>
          </w:p>
        </w:tc>
        <w:tc>
          <w:tcPr>
            <w:tcW w:w="10320" w:type="dxa"/>
            <w:vAlign w:val="bottom"/>
            <w:gridSpan w:val="29"/>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360" w:type="dxa"/>
            <w:vAlign w:val="bottom"/>
            <w:tcBorders>
              <w:bottom w:val="single" w:sz="8" w:color="0000EE"/>
            </w:tcBorders>
            <w:gridSpan w:val="27"/>
          </w:tcPr>
          <w:p>
            <w:pPr>
              <w:spacing w:after="0"/>
              <w:rPr>
                <w:rFonts w:ascii="Arial" w:cs="Arial" w:eastAsia="Arial" w:hAnsi="Arial"/>
                <w:sz w:val="14"/>
                <w:szCs w:val="14"/>
                <w:b w:val="1"/>
                <w:bCs w:val="1"/>
                <w:color w:val="0000EE"/>
                <w:w w:val="96"/>
              </w:rPr>
            </w:pPr>
            <w:hyperlink w:anchor="page80">
              <w:r>
                <w:rPr>
                  <w:rFonts w:ascii="Arial" w:cs="Arial" w:eastAsia="Arial" w:hAnsi="Arial"/>
                  <w:sz w:val="14"/>
                  <w:szCs w:val="14"/>
                  <w:b w:val="1"/>
                  <w:bCs w:val="1"/>
                  <w:color w:val="0000EE"/>
                  <w:w w:val="96"/>
                </w:rPr>
                <w:t>Approve an Amendment to the Restated Certificate of Incorporation</w:t>
              </w:r>
            </w:hyperlink>
          </w:p>
        </w:tc>
        <w:tc>
          <w:tcPr>
            <w:tcW w:w="6900" w:type="dxa"/>
            <w:vAlign w:val="bottom"/>
            <w:gridSpan w:val="5"/>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80">
              <w:r>
                <w:rPr>
                  <w:rFonts w:ascii="Arial" w:cs="Arial" w:eastAsia="Arial" w:hAnsi="Arial"/>
                  <w:sz w:val="14"/>
                  <w:szCs w:val="14"/>
                  <w:b w:val="1"/>
                  <w:bCs w:val="1"/>
                  <w:color w:val="0000EE"/>
                  <w:w w:val="89"/>
                </w:rPr>
                <w:t>75</w:t>
              </w:r>
            </w:hyperlink>
          </w:p>
        </w:tc>
      </w:tr>
      <w:tr>
        <w:trPr>
          <w:trHeight w:val="223"/>
        </w:trPr>
        <w:tc>
          <w:tcPr>
            <w:tcW w:w="940" w:type="dxa"/>
            <w:vAlign w:val="bottom"/>
            <w:tcBorders>
              <w:bottom w:val="single" w:sz="8" w:color="FDB03F"/>
            </w:tcBorders>
            <w:gridSpan w:val="3"/>
          </w:tcPr>
          <w:p>
            <w:pPr>
              <w:spacing w:after="0"/>
              <w:rPr>
                <w:rFonts w:ascii="Arial" w:cs="Arial" w:eastAsia="Arial" w:hAnsi="Arial"/>
                <w:sz w:val="14"/>
                <w:szCs w:val="14"/>
                <w:b w:val="1"/>
                <w:bCs w:val="1"/>
                <w:color w:val="FDB03F"/>
                <w:w w:val="96"/>
              </w:rPr>
            </w:pPr>
            <w:hyperlink w:anchor="page81">
              <w:r>
                <w:rPr>
                  <w:rFonts w:ascii="Arial" w:cs="Arial" w:eastAsia="Arial" w:hAnsi="Arial"/>
                  <w:sz w:val="14"/>
                  <w:szCs w:val="14"/>
                  <w:b w:val="1"/>
                  <w:bCs w:val="1"/>
                  <w:color w:val="FDB03F"/>
                  <w:w w:val="96"/>
                </w:rPr>
                <w:t>PROPOSAL 5:</w:t>
              </w:r>
            </w:hyperlink>
          </w:p>
        </w:tc>
        <w:tc>
          <w:tcPr>
            <w:tcW w:w="10320" w:type="dxa"/>
            <w:vAlign w:val="bottom"/>
            <w:gridSpan w:val="29"/>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080" w:type="dxa"/>
            <w:vAlign w:val="bottom"/>
            <w:tcBorders>
              <w:bottom w:val="single" w:sz="8" w:color="0000EE"/>
            </w:tcBorders>
            <w:gridSpan w:val="28"/>
          </w:tcPr>
          <w:p>
            <w:pPr>
              <w:spacing w:after="0"/>
              <w:rPr>
                <w:rFonts w:ascii="Arial" w:cs="Arial" w:eastAsia="Arial" w:hAnsi="Arial"/>
                <w:sz w:val="14"/>
                <w:szCs w:val="14"/>
                <w:b w:val="1"/>
                <w:bCs w:val="1"/>
                <w:color w:val="0000EE"/>
                <w:w w:val="96"/>
              </w:rPr>
            </w:pPr>
            <w:hyperlink w:anchor="page81">
              <w:r>
                <w:rPr>
                  <w:rFonts w:ascii="Arial" w:cs="Arial" w:eastAsia="Arial" w:hAnsi="Arial"/>
                  <w:sz w:val="14"/>
                  <w:szCs w:val="14"/>
                  <w:b w:val="1"/>
                  <w:bCs w:val="1"/>
                  <w:color w:val="0000EE"/>
                  <w:w w:val="96"/>
                </w:rPr>
                <w:t>Ratify the 15% Special Meeting Ownership Threshold in the Company’s Bylaws</w:t>
              </w:r>
            </w:hyperlink>
          </w:p>
        </w:tc>
        <w:tc>
          <w:tcPr>
            <w:tcW w:w="6180" w:type="dxa"/>
            <w:vAlign w:val="bottom"/>
            <w:gridSpan w:val="4"/>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89"/>
              </w:rPr>
            </w:pPr>
            <w:hyperlink w:anchor="page81">
              <w:r>
                <w:rPr>
                  <w:rFonts w:ascii="Arial" w:cs="Arial" w:eastAsia="Arial" w:hAnsi="Arial"/>
                  <w:sz w:val="14"/>
                  <w:szCs w:val="14"/>
                  <w:b w:val="1"/>
                  <w:bCs w:val="1"/>
                  <w:color w:val="0000EE"/>
                  <w:w w:val="89"/>
                </w:rPr>
                <w:t>76</w:t>
              </w:r>
            </w:hyperlink>
          </w:p>
        </w:tc>
      </w:tr>
      <w:tr>
        <w:trPr>
          <w:trHeight w:val="250"/>
        </w:trPr>
        <w:tc>
          <w:tcPr>
            <w:tcW w:w="11260" w:type="dxa"/>
            <w:vAlign w:val="bottom"/>
            <w:gridSpan w:val="32"/>
          </w:tcPr>
          <w:p>
            <w:pPr>
              <w:spacing w:after="0"/>
              <w:rPr>
                <w:sz w:val="20"/>
                <w:szCs w:val="20"/>
                <w:color w:val="auto"/>
              </w:rPr>
            </w:pPr>
            <w:r>
              <w:rPr>
                <w:rFonts w:ascii="Arial" w:cs="Arial" w:eastAsia="Arial" w:hAnsi="Arial"/>
                <w:sz w:val="14"/>
                <w:szCs w:val="14"/>
                <w:b w:val="1"/>
                <w:bCs w:val="1"/>
                <w:color w:val="0E93D8"/>
              </w:rPr>
              <w:t>OTHER SHAREOWNER INFORMATION</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1260" w:type="dxa"/>
            <w:vAlign w:val="bottom"/>
            <w:gridSpan w:val="32"/>
          </w:tcPr>
          <w:p>
            <w:pPr>
              <w:spacing w:after="0"/>
              <w:rPr>
                <w:rFonts w:ascii="Arial" w:cs="Arial" w:eastAsia="Arial" w:hAnsi="Arial"/>
                <w:sz w:val="14"/>
                <w:szCs w:val="14"/>
                <w:b w:val="1"/>
                <w:bCs w:val="1"/>
                <w:color w:val="0000EE"/>
              </w:rPr>
            </w:pPr>
            <w:hyperlink w:anchor="page82">
              <w:r>
                <w:rPr>
                  <w:rFonts w:ascii="Arial" w:cs="Arial" w:eastAsia="Arial" w:hAnsi="Arial"/>
                  <w:sz w:val="14"/>
                  <w:szCs w:val="14"/>
                  <w:b w:val="1"/>
                  <w:bCs w:val="1"/>
                  <w:color w:val="0000EE"/>
                </w:rPr>
                <w:t>Frequently Asked Questions About the Annual Meeting</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82">
              <w:r>
                <w:rPr>
                  <w:rFonts w:ascii="Arial" w:cs="Arial" w:eastAsia="Arial" w:hAnsi="Arial"/>
                  <w:sz w:val="14"/>
                  <w:szCs w:val="14"/>
                  <w:b w:val="1"/>
                  <w:bCs w:val="1"/>
                  <w:color w:val="0000EE"/>
                  <w:w w:val="89"/>
                </w:rPr>
                <w:t>77</w:t>
              </w:r>
            </w:hyperlink>
          </w:p>
        </w:tc>
      </w:tr>
      <w:tr>
        <w:trPr>
          <w:trHeight w:val="223"/>
        </w:trPr>
        <w:tc>
          <w:tcPr>
            <w:tcW w:w="3540" w:type="dxa"/>
            <w:vAlign w:val="bottom"/>
            <w:tcBorders>
              <w:top w:val="single" w:sz="8" w:color="0000EE"/>
            </w:tcBorders>
            <w:gridSpan w:val="26"/>
          </w:tcPr>
          <w:p>
            <w:pPr>
              <w:spacing w:after="0"/>
              <w:rPr>
                <w:rFonts w:ascii="Arial" w:cs="Arial" w:eastAsia="Arial" w:hAnsi="Arial"/>
                <w:sz w:val="14"/>
                <w:szCs w:val="14"/>
                <w:b w:val="1"/>
                <w:bCs w:val="1"/>
                <w:color w:val="0000EE"/>
              </w:rPr>
            </w:pPr>
            <w:hyperlink w:anchor="page87">
              <w:r>
                <w:rPr>
                  <w:rFonts w:ascii="Arial" w:cs="Arial" w:eastAsia="Arial" w:hAnsi="Arial"/>
                  <w:sz w:val="14"/>
                  <w:szCs w:val="14"/>
                  <w:b w:val="1"/>
                  <w:bCs w:val="1"/>
                  <w:color w:val="0000EE"/>
                </w:rPr>
                <w:t>Other Important Information</w:t>
              </w:r>
            </w:hyperlink>
          </w:p>
        </w:tc>
        <w:tc>
          <w:tcPr>
            <w:tcW w:w="7720" w:type="dxa"/>
            <w:vAlign w:val="bottom"/>
            <w:gridSpan w:val="6"/>
          </w:tcPr>
          <w:p>
            <w:pPr>
              <w:spacing w:after="0"/>
              <w:rPr>
                <w:sz w:val="19"/>
                <w:szCs w:val="19"/>
                <w:color w:val="auto"/>
              </w:rPr>
            </w:pPr>
          </w:p>
        </w:tc>
        <w:tc>
          <w:tcPr>
            <w:tcW w:w="160" w:type="dxa"/>
            <w:vAlign w:val="bottom"/>
            <w:tcBorders>
              <w:top w:val="single" w:sz="8" w:color="0000EE"/>
            </w:tcBorders>
            <w:gridSpan w:val="2"/>
          </w:tcPr>
          <w:p>
            <w:pPr>
              <w:jc w:val="right"/>
              <w:spacing w:after="0"/>
              <w:rPr>
                <w:rFonts w:ascii="Arial" w:cs="Arial" w:eastAsia="Arial" w:hAnsi="Arial"/>
                <w:sz w:val="14"/>
                <w:szCs w:val="14"/>
                <w:b w:val="1"/>
                <w:bCs w:val="1"/>
                <w:color w:val="0000EE"/>
                <w:w w:val="89"/>
              </w:rPr>
            </w:pPr>
            <w:hyperlink w:anchor="page87">
              <w:r>
                <w:rPr>
                  <w:rFonts w:ascii="Arial" w:cs="Arial" w:eastAsia="Arial" w:hAnsi="Arial"/>
                  <w:sz w:val="14"/>
                  <w:szCs w:val="14"/>
                  <w:b w:val="1"/>
                  <w:bCs w:val="1"/>
                  <w:color w:val="0000EE"/>
                  <w:w w:val="89"/>
                </w:rPr>
                <w:t>82</w:t>
              </w:r>
            </w:hyperlink>
          </w:p>
        </w:tc>
      </w:tr>
      <w:tr>
        <w:trPr>
          <w:trHeight w:val="250"/>
        </w:trPr>
        <w:tc>
          <w:tcPr>
            <w:tcW w:w="1800" w:type="dxa"/>
            <w:vAlign w:val="bottom"/>
            <w:tcBorders>
              <w:top w:val="single" w:sz="8" w:color="0000EE"/>
            </w:tcBorders>
            <w:gridSpan w:val="13"/>
          </w:tcPr>
          <w:p>
            <w:pPr>
              <w:spacing w:after="0"/>
              <w:rPr>
                <w:sz w:val="20"/>
                <w:szCs w:val="20"/>
                <w:color w:val="auto"/>
              </w:rPr>
            </w:pPr>
            <w:r>
              <w:rPr>
                <w:rFonts w:ascii="Arial" w:cs="Arial" w:eastAsia="Arial" w:hAnsi="Arial"/>
                <w:sz w:val="14"/>
                <w:szCs w:val="14"/>
                <w:b w:val="1"/>
                <w:bCs w:val="1"/>
                <w:color w:val="0E93D8"/>
              </w:rPr>
              <w:t>APPENDICES</w:t>
            </w:r>
          </w:p>
        </w:tc>
        <w:tc>
          <w:tcPr>
            <w:tcW w:w="9460" w:type="dxa"/>
            <w:vAlign w:val="bottom"/>
            <w:gridSpan w:val="19"/>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17"/>
        </w:trPr>
        <w:tc>
          <w:tcPr>
            <w:tcW w:w="11260" w:type="dxa"/>
            <w:vAlign w:val="bottom"/>
            <w:gridSpan w:val="32"/>
          </w:tcPr>
          <w:p>
            <w:pPr>
              <w:spacing w:after="0"/>
              <w:rPr>
                <w:rFonts w:ascii="Arial" w:cs="Arial" w:eastAsia="Arial" w:hAnsi="Arial"/>
                <w:sz w:val="14"/>
                <w:szCs w:val="14"/>
                <w:b w:val="1"/>
                <w:bCs w:val="1"/>
                <w:color w:val="0000EE"/>
              </w:rPr>
            </w:pPr>
            <w:hyperlink w:anchor="page91">
              <w:r>
                <w:rPr>
                  <w:rFonts w:ascii="Arial" w:cs="Arial" w:eastAsia="Arial" w:hAnsi="Arial"/>
                  <w:sz w:val="14"/>
                  <w:szCs w:val="14"/>
                  <w:b w:val="1"/>
                  <w:bCs w:val="1"/>
                  <w:color w:val="0000EE"/>
                </w:rPr>
                <w:t>Appendix A: Reconciliation of GAAP Measures to Corresponding Non-GAAP Measures</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91">
              <w:r>
                <w:rPr>
                  <w:rFonts w:ascii="Arial" w:cs="Arial" w:eastAsia="Arial" w:hAnsi="Arial"/>
                  <w:sz w:val="14"/>
                  <w:szCs w:val="14"/>
                  <w:b w:val="1"/>
                  <w:bCs w:val="1"/>
                  <w:color w:val="0000EE"/>
                  <w:w w:val="89"/>
                </w:rPr>
                <w:t>86</w:t>
              </w:r>
            </w:hyperlink>
          </w:p>
        </w:tc>
      </w:tr>
      <w:tr>
        <w:trPr>
          <w:trHeight w:val="20"/>
        </w:trPr>
        <w:tc>
          <w:tcPr>
            <w:tcW w:w="5580" w:type="dxa"/>
            <w:vAlign w:val="bottom"/>
            <w:gridSpan w:val="29"/>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23"/>
        </w:trPr>
        <w:tc>
          <w:tcPr>
            <w:tcW w:w="11260" w:type="dxa"/>
            <w:vAlign w:val="bottom"/>
            <w:gridSpan w:val="32"/>
          </w:tcPr>
          <w:p>
            <w:pPr>
              <w:spacing w:after="0"/>
              <w:rPr>
                <w:rFonts w:ascii="Arial" w:cs="Arial" w:eastAsia="Arial" w:hAnsi="Arial"/>
                <w:sz w:val="14"/>
                <w:szCs w:val="14"/>
                <w:b w:val="1"/>
                <w:bCs w:val="1"/>
                <w:color w:val="0000EE"/>
              </w:rPr>
            </w:pPr>
            <w:hyperlink w:anchor="page93">
              <w:r>
                <w:rPr>
                  <w:rFonts w:ascii="Arial" w:cs="Arial" w:eastAsia="Arial" w:hAnsi="Arial"/>
                  <w:sz w:val="14"/>
                  <w:szCs w:val="14"/>
                  <w:b w:val="1"/>
                  <w:bCs w:val="1"/>
                  <w:color w:val="0000EE"/>
                </w:rPr>
                <w:t>Appendix B: Financial Performance Metrics Used in UTC’s Incentive Compensation Plans</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93">
              <w:r>
                <w:rPr>
                  <w:rFonts w:ascii="Arial" w:cs="Arial" w:eastAsia="Arial" w:hAnsi="Arial"/>
                  <w:sz w:val="14"/>
                  <w:szCs w:val="14"/>
                  <w:b w:val="1"/>
                  <w:bCs w:val="1"/>
                  <w:color w:val="0000EE"/>
                  <w:w w:val="89"/>
                </w:rPr>
                <w:t>88</w:t>
              </w:r>
            </w:hyperlink>
          </w:p>
        </w:tc>
      </w:tr>
      <w:tr>
        <w:trPr>
          <w:trHeight w:val="20"/>
        </w:trPr>
        <w:tc>
          <w:tcPr>
            <w:tcW w:w="5740" w:type="dxa"/>
            <w:vAlign w:val="bottom"/>
            <w:gridSpan w:val="3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23"/>
        </w:trPr>
        <w:tc>
          <w:tcPr>
            <w:tcW w:w="11260" w:type="dxa"/>
            <w:vAlign w:val="bottom"/>
            <w:gridSpan w:val="32"/>
          </w:tcPr>
          <w:p>
            <w:pPr>
              <w:spacing w:after="0"/>
              <w:rPr>
                <w:rFonts w:ascii="Arial" w:cs="Arial" w:eastAsia="Arial" w:hAnsi="Arial"/>
                <w:sz w:val="14"/>
                <w:szCs w:val="14"/>
                <w:b w:val="1"/>
                <w:bCs w:val="1"/>
                <w:color w:val="0000EE"/>
              </w:rPr>
            </w:pPr>
            <w:hyperlink w:anchor="page94">
              <w:r>
                <w:rPr>
                  <w:rFonts w:ascii="Arial" w:cs="Arial" w:eastAsia="Arial" w:hAnsi="Arial"/>
                  <w:sz w:val="14"/>
                  <w:szCs w:val="14"/>
                  <w:b w:val="1"/>
                  <w:bCs w:val="1"/>
                  <w:color w:val="0000EE"/>
                </w:rPr>
                <w:t>Appendix C: Proposed Amendment to the Corporation’s Restated Certificate of Incorporation</w:t>
              </w:r>
            </w:hyperlink>
          </w:p>
        </w:tc>
        <w:tc>
          <w:tcPr>
            <w:tcW w:w="160" w:type="dxa"/>
            <w:vAlign w:val="bottom"/>
            <w:gridSpan w:val="2"/>
          </w:tcPr>
          <w:p>
            <w:pPr>
              <w:jc w:val="right"/>
              <w:spacing w:after="0"/>
              <w:rPr>
                <w:rFonts w:ascii="Arial" w:cs="Arial" w:eastAsia="Arial" w:hAnsi="Arial"/>
                <w:sz w:val="14"/>
                <w:szCs w:val="14"/>
                <w:b w:val="1"/>
                <w:bCs w:val="1"/>
                <w:color w:val="0000EE"/>
                <w:w w:val="89"/>
              </w:rPr>
            </w:pPr>
            <w:hyperlink w:anchor="page94">
              <w:r>
                <w:rPr>
                  <w:rFonts w:ascii="Arial" w:cs="Arial" w:eastAsia="Arial" w:hAnsi="Arial"/>
                  <w:sz w:val="14"/>
                  <w:szCs w:val="14"/>
                  <w:b w:val="1"/>
                  <w:bCs w:val="1"/>
                  <w:color w:val="0000EE"/>
                  <w:w w:val="89"/>
                </w:rPr>
                <w:t>89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5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0E93D8"/>
        </w:rPr>
        <w:t xml:space="preserve">Important Notice Regarding the Availability of Proxy Materials for the Annual Meeting of Shareowners to be held on April 29, 2019. </w:t>
      </w:r>
      <w:r>
        <w:rPr>
          <w:rFonts w:ascii="Arial" w:cs="Arial" w:eastAsia="Arial" w:hAnsi="Arial"/>
          <w:sz w:val="18"/>
          <w:szCs w:val="18"/>
          <w:color w:val="000000"/>
        </w:rPr>
        <w:t>This</w:t>
      </w:r>
      <w:r>
        <w:rPr>
          <w:rFonts w:ascii="Arial" w:cs="Arial" w:eastAsia="Arial" w:hAnsi="Arial"/>
          <w:sz w:val="18"/>
          <w:szCs w:val="18"/>
          <w:b w:val="1"/>
          <w:bCs w:val="1"/>
          <w:color w:val="0E93D8"/>
        </w:rPr>
        <w:t xml:space="preserve"> </w:t>
      </w:r>
      <w:r>
        <w:rPr>
          <w:rFonts w:ascii="Arial" w:cs="Arial" w:eastAsia="Arial" w:hAnsi="Arial"/>
          <w:sz w:val="18"/>
          <w:szCs w:val="18"/>
          <w:color w:val="000000"/>
        </w:rPr>
        <w:t xml:space="preserve">Notice of the 2019 Annual Meeting of Shareowners and Proxy Statement, and UTC’s 2018 Annual Report are both available free of charge at </w:t>
      </w:r>
      <w:r>
        <w:rPr>
          <w:rFonts w:ascii="Arial" w:cs="Arial" w:eastAsia="Arial" w:hAnsi="Arial"/>
          <w:sz w:val="18"/>
          <w:szCs w:val="18"/>
          <w:color w:val="0E93D8"/>
        </w:rPr>
        <w:t>www.proxyvote.com</w:t>
      </w:r>
      <w:r>
        <w:rPr>
          <w:rFonts w:ascii="Arial" w:cs="Arial" w:eastAsia="Arial" w:hAnsi="Arial"/>
          <w:sz w:val="18"/>
          <w:szCs w:val="18"/>
          <w:color w:val="000000"/>
        </w:rPr>
        <w:t>. References in either document to our website are for the convenience of readers, and information available at or through our</w:t>
      </w:r>
      <w:r>
        <w:rPr>
          <w:rFonts w:ascii="Arial" w:cs="Arial" w:eastAsia="Arial" w:hAnsi="Arial"/>
          <w:sz w:val="18"/>
          <w:szCs w:val="18"/>
          <w:color w:val="0E93D8"/>
        </w:rPr>
        <w:t xml:space="preserve"> </w:t>
      </w:r>
      <w:r>
        <w:rPr>
          <w:rFonts w:ascii="Arial" w:cs="Arial" w:eastAsia="Arial" w:hAnsi="Arial"/>
          <w:sz w:val="18"/>
          <w:szCs w:val="18"/>
          <w:color w:val="000000"/>
        </w:rPr>
        <w:t>website is not a part of nor is it incorporated by reference in the Proxy Statement or Annual Report.</w:t>
      </w: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of Directors of United Technologies Corporation (“UTC”, the “Company” or the “Corporation”) is soliciting proxies to be voted at our 2019 Annual Meeting of Shareowners on April 29, 2019, and at any postponed or reconvened meeting. We expect that this Proxy Statement will be mailed and made available to shareowners beginning on or about March 18, 2019. At the meeting, votes will be taken on the five matters listed in the Notice of Meeting.</w:t>
      </w:r>
    </w:p>
    <w:p>
      <w:pPr>
        <w:spacing w:after="0" w:line="201" w:lineRule="exact"/>
        <w:rPr>
          <w:sz w:val="20"/>
          <w:szCs w:val="20"/>
          <w:color w:val="auto"/>
        </w:rPr>
      </w:pPr>
    </w:p>
    <w:p>
      <w:pPr>
        <w:ind w:left="780" w:hanging="528"/>
        <w:spacing w:after="0"/>
        <w:tabs>
          <w:tab w:leader="none" w:pos="780" w:val="left"/>
        </w:tabs>
        <w:numPr>
          <w:ilvl w:val="0"/>
          <w:numId w:val="10"/>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719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19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92710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951865" cy="591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PROXY</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47"/>
          <w:szCs w:val="47"/>
          <w:b w:val="1"/>
          <w:bCs w:val="1"/>
          <w:color w:val="0E93D8"/>
        </w:rPr>
        <w:t>Summary</w:t>
      </w:r>
    </w:p>
    <w:p>
      <w:pPr>
        <w:spacing w:after="0" w:line="357"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E93D8"/>
        </w:rPr>
        <w:t>ANNUAL MEETING AGENDA</w:t>
      </w:r>
    </w:p>
    <w:p>
      <w:pPr>
        <w:spacing w:after="0" w:line="200" w:lineRule="exact"/>
        <w:rPr>
          <w:sz w:val="20"/>
          <w:szCs w:val="20"/>
          <w:color w:val="auto"/>
        </w:rPr>
      </w:pPr>
    </w:p>
    <w:p>
      <w:pPr>
        <w:spacing w:after="0" w:line="260" w:lineRule="exact"/>
        <w:rPr>
          <w:sz w:val="20"/>
          <w:szCs w:val="20"/>
          <w:color w:val="auto"/>
        </w:rPr>
      </w:pPr>
    </w:p>
    <w:p>
      <w:pPr>
        <w:ind w:left="700" w:right="1260" w:hanging="692"/>
        <w:spacing w:after="0" w:line="200" w:lineRule="auto"/>
        <w:tabs>
          <w:tab w:leader="none" w:pos="700" w:val="left"/>
        </w:tabs>
        <w:numPr>
          <w:ilvl w:val="0"/>
          <w:numId w:val="11"/>
        </w:numPr>
        <w:rPr>
          <w:rFonts w:ascii="Arial" w:cs="Arial" w:eastAsia="Arial" w:hAnsi="Arial"/>
          <w:sz w:val="37"/>
          <w:szCs w:val="37"/>
          <w:b w:val="1"/>
          <w:bCs w:val="1"/>
          <w:color w:val="0E93D8"/>
        </w:rPr>
      </w:pPr>
      <w:r>
        <w:rPr>
          <w:rFonts w:ascii="Arial" w:cs="Arial" w:eastAsia="Arial" w:hAnsi="Arial"/>
          <w:sz w:val="11"/>
          <w:szCs w:val="11"/>
          <w:b w:val="1"/>
          <w:bCs w:val="1"/>
          <w:color w:val="FDB03F"/>
        </w:rPr>
        <w:t xml:space="preserve">PROPOSAL 1: </w:t>
      </w:r>
      <w:r>
        <w:rPr>
          <w:rFonts w:ascii="Arial" w:cs="Arial" w:eastAsia="Arial" w:hAnsi="Arial"/>
          <w:sz w:val="11"/>
          <w:szCs w:val="11"/>
          <w:b w:val="1"/>
          <w:bCs w:val="1"/>
          <w:color w:val="0E93D8"/>
        </w:rPr>
        <w:t xml:space="preserve">Election of Directors </w:t>
      </w:r>
      <w:r>
        <w:rPr>
          <w:rFonts w:ascii="Arial" w:cs="Arial" w:eastAsia="Arial" w:hAnsi="Arial"/>
          <w:sz w:val="11"/>
          <w:szCs w:val="11"/>
          <w:color w:val="0E93D8"/>
        </w:rPr>
        <w:t>PAGES 6–16</w:t>
      </w:r>
    </w:p>
    <w:p>
      <w:pPr>
        <w:spacing w:after="0" w:line="1" w:lineRule="exact"/>
        <w:rPr>
          <w:rFonts w:ascii="Arial" w:cs="Arial" w:eastAsia="Arial" w:hAnsi="Arial"/>
          <w:sz w:val="37"/>
          <w:szCs w:val="37"/>
          <w:b w:val="1"/>
          <w:bCs w:val="1"/>
          <w:color w:val="0E93D8"/>
        </w:rPr>
      </w:pPr>
    </w:p>
    <w:p>
      <w:pPr>
        <w:ind w:left="700" w:right="400"/>
        <w:spacing w:after="0" w:line="270" w:lineRule="auto"/>
        <w:rPr>
          <w:rFonts w:ascii="Arial" w:cs="Arial" w:eastAsia="Arial" w:hAnsi="Arial"/>
          <w:sz w:val="37"/>
          <w:szCs w:val="37"/>
          <w:b w:val="1"/>
          <w:bCs w:val="1"/>
          <w:color w:val="0E93D8"/>
        </w:rPr>
      </w:pPr>
      <w:r>
        <w:rPr>
          <w:rFonts w:ascii="Arial" w:cs="Arial" w:eastAsia="Arial" w:hAnsi="Arial"/>
          <w:sz w:val="12"/>
          <w:szCs w:val="12"/>
          <w:color w:val="0E93D8"/>
        </w:rPr>
        <w:t xml:space="preserve">BOARD RECOMMENDATION: </w:t>
      </w:r>
      <w:r>
        <w:rPr>
          <w:rFonts w:ascii="Arial" w:cs="Arial" w:eastAsia="Arial" w:hAnsi="Arial"/>
          <w:sz w:val="12"/>
          <w:szCs w:val="12"/>
          <w:b w:val="1"/>
          <w:bCs w:val="1"/>
          <w:color w:val="FDB03F"/>
        </w:rPr>
        <w:t>FOR</w:t>
      </w:r>
      <w:r>
        <w:rPr>
          <w:rFonts w:ascii="Arial" w:cs="Arial" w:eastAsia="Arial" w:hAnsi="Arial"/>
          <w:sz w:val="12"/>
          <w:szCs w:val="12"/>
          <w:color w:val="0E93D8"/>
        </w:rPr>
        <w:t xml:space="preserve"> EACH DIRECTOR NOMINEE</w:t>
      </w:r>
    </w:p>
    <w:p>
      <w:pPr>
        <w:ind w:left="700" w:hanging="692"/>
        <w:spacing w:after="0" w:line="182" w:lineRule="auto"/>
        <w:tabs>
          <w:tab w:leader="none" w:pos="700" w:val="left"/>
        </w:tabs>
        <w:numPr>
          <w:ilvl w:val="0"/>
          <w:numId w:val="12"/>
        </w:numPr>
        <w:rPr>
          <w:rFonts w:ascii="Arial" w:cs="Arial" w:eastAsia="Arial" w:hAnsi="Arial"/>
          <w:sz w:val="37"/>
          <w:szCs w:val="37"/>
          <w:b w:val="1"/>
          <w:bCs w:val="1"/>
          <w:color w:val="0E93D8"/>
        </w:rPr>
      </w:pPr>
      <w:r>
        <w:rPr>
          <w:rFonts w:ascii="Arial" w:cs="Arial" w:eastAsia="Arial" w:hAnsi="Arial"/>
          <w:sz w:val="11"/>
          <w:szCs w:val="11"/>
          <w:b w:val="1"/>
          <w:bCs w:val="1"/>
          <w:color w:val="FDB03F"/>
        </w:rPr>
        <w:t>PROPOSAL 2:</w:t>
      </w:r>
    </w:p>
    <w:p>
      <w:pPr>
        <w:spacing w:after="0" w:line="1" w:lineRule="exact"/>
        <w:rPr>
          <w:rFonts w:ascii="Arial" w:cs="Arial" w:eastAsia="Arial" w:hAnsi="Arial"/>
          <w:sz w:val="37"/>
          <w:szCs w:val="37"/>
          <w:b w:val="1"/>
          <w:bCs w:val="1"/>
          <w:color w:val="0E93D8"/>
        </w:rPr>
      </w:pPr>
    </w:p>
    <w:p>
      <w:pPr>
        <w:jc w:val="both"/>
        <w:ind w:left="700" w:right="940"/>
        <w:spacing w:after="0" w:line="221" w:lineRule="auto"/>
        <w:rPr>
          <w:rFonts w:ascii="Arial" w:cs="Arial" w:eastAsia="Arial" w:hAnsi="Arial"/>
          <w:sz w:val="37"/>
          <w:szCs w:val="37"/>
          <w:b w:val="1"/>
          <w:bCs w:val="1"/>
          <w:color w:val="0E93D8"/>
        </w:rPr>
      </w:pPr>
      <w:r>
        <w:rPr>
          <w:rFonts w:ascii="Arial" w:cs="Arial" w:eastAsia="Arial" w:hAnsi="Arial"/>
          <w:sz w:val="14"/>
          <w:szCs w:val="14"/>
          <w:b w:val="1"/>
          <w:bCs w:val="1"/>
          <w:color w:val="0E93D8"/>
        </w:rPr>
        <w:t xml:space="preserve">Advisory Vote to Approve Executive Compensation </w:t>
      </w:r>
      <w:r>
        <w:rPr>
          <w:rFonts w:ascii="Arial" w:cs="Arial" w:eastAsia="Arial" w:hAnsi="Arial"/>
          <w:sz w:val="14"/>
          <w:szCs w:val="14"/>
          <w:color w:val="0E93D8"/>
        </w:rPr>
        <w:t>PAGE 32</w:t>
      </w:r>
    </w:p>
    <w:p>
      <w:pPr>
        <w:ind w:left="700"/>
        <w:spacing w:after="0"/>
        <w:rPr>
          <w:rFonts w:ascii="Arial" w:cs="Arial" w:eastAsia="Arial" w:hAnsi="Arial"/>
          <w:sz w:val="37"/>
          <w:szCs w:val="37"/>
          <w:b w:val="1"/>
          <w:bCs w:val="1"/>
          <w:color w:val="0E93D8"/>
        </w:rPr>
      </w:pPr>
      <w:r>
        <w:rPr>
          <w:rFonts w:ascii="Arial" w:cs="Arial" w:eastAsia="Arial" w:hAnsi="Arial"/>
          <w:sz w:val="12"/>
          <w:szCs w:val="12"/>
          <w:color w:val="0E93D8"/>
        </w:rPr>
        <w:t xml:space="preserve">BOARD RECOMMENDATION: </w:t>
      </w:r>
      <w:r>
        <w:rPr>
          <w:rFonts w:ascii="Arial" w:cs="Arial" w:eastAsia="Arial" w:hAnsi="Arial"/>
          <w:sz w:val="12"/>
          <w:szCs w:val="12"/>
          <w:b w:val="1"/>
          <w:bCs w:val="1"/>
          <w:color w:val="FDB03F"/>
        </w:rPr>
        <w:t>FOR</w:t>
      </w:r>
    </w:p>
    <w:p>
      <w:pPr>
        <w:spacing w:after="0" w:line="184" w:lineRule="exact"/>
        <w:rPr>
          <w:sz w:val="20"/>
          <w:szCs w:val="20"/>
          <w:color w:val="auto"/>
        </w:rPr>
      </w:pPr>
    </w:p>
    <w:p>
      <w:pPr>
        <w:ind w:left="700" w:right="660" w:hanging="688"/>
        <w:spacing w:after="0" w:line="181" w:lineRule="auto"/>
        <w:tabs>
          <w:tab w:leader="none" w:pos="700" w:val="left"/>
        </w:tabs>
        <w:numPr>
          <w:ilvl w:val="0"/>
          <w:numId w:val="13"/>
        </w:numPr>
        <w:rPr>
          <w:rFonts w:ascii="Arial" w:cs="Arial" w:eastAsia="Arial" w:hAnsi="Arial"/>
          <w:sz w:val="41"/>
          <w:szCs w:val="41"/>
          <w:b w:val="1"/>
          <w:bCs w:val="1"/>
          <w:color w:val="0E93D8"/>
        </w:rPr>
      </w:pPr>
      <w:r>
        <w:rPr>
          <w:rFonts w:ascii="Arial" w:cs="Arial" w:eastAsia="Arial" w:hAnsi="Arial"/>
          <w:sz w:val="12"/>
          <w:szCs w:val="12"/>
          <w:b w:val="1"/>
          <w:bCs w:val="1"/>
          <w:color w:val="FDB03F"/>
        </w:rPr>
        <w:t xml:space="preserve">PROPOSAL 3: </w:t>
      </w:r>
      <w:r>
        <w:rPr>
          <w:rFonts w:ascii="Arial" w:cs="Arial" w:eastAsia="Arial" w:hAnsi="Arial"/>
          <w:sz w:val="12"/>
          <w:szCs w:val="12"/>
          <w:b w:val="1"/>
          <w:bCs w:val="1"/>
          <w:color w:val="0E93D8"/>
        </w:rPr>
        <w:t>Appoint PricewaterhouseCoopers LLP</w:t>
      </w:r>
    </w:p>
    <w:p>
      <w:pPr>
        <w:spacing w:after="0" w:line="2" w:lineRule="exact"/>
        <w:rPr>
          <w:rFonts w:ascii="Arial" w:cs="Arial" w:eastAsia="Arial" w:hAnsi="Arial"/>
          <w:sz w:val="41"/>
          <w:szCs w:val="41"/>
          <w:b w:val="1"/>
          <w:bCs w:val="1"/>
          <w:color w:val="0E93D8"/>
        </w:rPr>
      </w:pPr>
    </w:p>
    <w:p>
      <w:pPr>
        <w:ind w:left="700" w:right="500"/>
        <w:spacing w:after="0" w:line="221" w:lineRule="auto"/>
        <w:rPr>
          <w:rFonts w:ascii="Arial" w:cs="Arial" w:eastAsia="Arial" w:hAnsi="Arial"/>
          <w:sz w:val="41"/>
          <w:szCs w:val="41"/>
          <w:b w:val="1"/>
          <w:bCs w:val="1"/>
          <w:color w:val="0E93D8"/>
        </w:rPr>
      </w:pPr>
      <w:r>
        <w:rPr>
          <w:rFonts w:ascii="Arial" w:cs="Arial" w:eastAsia="Arial" w:hAnsi="Arial"/>
          <w:sz w:val="14"/>
          <w:szCs w:val="14"/>
          <w:b w:val="1"/>
          <w:bCs w:val="1"/>
          <w:color w:val="0E93D8"/>
        </w:rPr>
        <w:t>to Serve as Independent Auditor for 2019</w:t>
      </w:r>
    </w:p>
    <w:p>
      <w:pPr>
        <w:ind w:left="700"/>
        <w:spacing w:after="0" w:line="221" w:lineRule="auto"/>
        <w:rPr>
          <w:rFonts w:ascii="Arial" w:cs="Arial" w:eastAsia="Arial" w:hAnsi="Arial"/>
          <w:sz w:val="41"/>
          <w:szCs w:val="41"/>
          <w:b w:val="1"/>
          <w:bCs w:val="1"/>
          <w:color w:val="0E93D8"/>
        </w:rPr>
      </w:pPr>
      <w:r>
        <w:rPr>
          <w:rFonts w:ascii="Arial" w:cs="Arial" w:eastAsia="Arial" w:hAnsi="Arial"/>
          <w:sz w:val="14"/>
          <w:szCs w:val="14"/>
          <w:color w:val="0E93D8"/>
        </w:rPr>
        <w:t>PAGES 73–74</w:t>
      </w:r>
    </w:p>
    <w:p>
      <w:pPr>
        <w:ind w:left="700"/>
        <w:spacing w:after="0"/>
        <w:rPr>
          <w:rFonts w:ascii="Arial" w:cs="Arial" w:eastAsia="Arial" w:hAnsi="Arial"/>
          <w:sz w:val="41"/>
          <w:szCs w:val="41"/>
          <w:b w:val="1"/>
          <w:bCs w:val="1"/>
          <w:color w:val="0E93D8"/>
        </w:rPr>
      </w:pPr>
      <w:r>
        <w:rPr>
          <w:rFonts w:ascii="Arial" w:cs="Arial" w:eastAsia="Arial" w:hAnsi="Arial"/>
          <w:sz w:val="12"/>
          <w:szCs w:val="12"/>
          <w:color w:val="0E93D8"/>
        </w:rPr>
        <w:t xml:space="preserve">BOARD RECOMMENDATION: </w:t>
      </w:r>
      <w:r>
        <w:rPr>
          <w:rFonts w:ascii="Arial" w:cs="Arial" w:eastAsia="Arial" w:hAnsi="Arial"/>
          <w:sz w:val="12"/>
          <w:szCs w:val="12"/>
          <w:b w:val="1"/>
          <w:bCs w:val="1"/>
          <w:color w:val="FDB03F"/>
        </w:rPr>
        <w:t>FOR</w:t>
      </w:r>
    </w:p>
    <w:p>
      <w:pPr>
        <w:ind w:left="700" w:hanging="688"/>
        <w:spacing w:after="0" w:line="181" w:lineRule="auto"/>
        <w:tabs>
          <w:tab w:leader="none" w:pos="700" w:val="left"/>
        </w:tabs>
        <w:numPr>
          <w:ilvl w:val="0"/>
          <w:numId w:val="14"/>
        </w:numPr>
        <w:rPr>
          <w:rFonts w:ascii="Arial" w:cs="Arial" w:eastAsia="Arial" w:hAnsi="Arial"/>
          <w:sz w:val="40"/>
          <w:szCs w:val="40"/>
          <w:b w:val="1"/>
          <w:bCs w:val="1"/>
          <w:color w:val="0E93D8"/>
        </w:rPr>
      </w:pPr>
      <w:r>
        <w:rPr>
          <w:rFonts w:ascii="Arial" w:cs="Arial" w:eastAsia="Arial" w:hAnsi="Arial"/>
          <w:sz w:val="12"/>
          <w:szCs w:val="12"/>
          <w:b w:val="1"/>
          <w:bCs w:val="1"/>
          <w:color w:val="FDB03F"/>
        </w:rPr>
        <w:t>PROPOSAL 4:</w:t>
      </w:r>
    </w:p>
    <w:p>
      <w:pPr>
        <w:spacing w:after="0" w:line="1" w:lineRule="exact"/>
        <w:rPr>
          <w:rFonts w:ascii="Arial" w:cs="Arial" w:eastAsia="Arial" w:hAnsi="Arial"/>
          <w:sz w:val="40"/>
          <w:szCs w:val="40"/>
          <w:b w:val="1"/>
          <w:bCs w:val="1"/>
          <w:color w:val="0E93D8"/>
        </w:rPr>
      </w:pPr>
    </w:p>
    <w:p>
      <w:pPr>
        <w:ind w:left="700" w:right="900"/>
        <w:spacing w:after="0" w:line="258" w:lineRule="auto"/>
        <w:rPr>
          <w:rFonts w:ascii="Arial" w:cs="Arial" w:eastAsia="Arial" w:hAnsi="Arial"/>
          <w:sz w:val="40"/>
          <w:szCs w:val="40"/>
          <w:b w:val="1"/>
          <w:bCs w:val="1"/>
          <w:color w:val="0E93D8"/>
        </w:rPr>
      </w:pPr>
      <w:r>
        <w:rPr>
          <w:rFonts w:ascii="Arial" w:cs="Arial" w:eastAsia="Arial" w:hAnsi="Arial"/>
          <w:sz w:val="12"/>
          <w:szCs w:val="12"/>
          <w:b w:val="1"/>
          <w:bCs w:val="1"/>
          <w:color w:val="0E93D8"/>
        </w:rPr>
        <w:t>Approve an Amendment to the Restated Certificate of Incorporation</w:t>
      </w:r>
    </w:p>
    <w:p>
      <w:pPr>
        <w:ind w:left="700"/>
        <w:spacing w:after="0" w:line="221" w:lineRule="auto"/>
        <w:rPr>
          <w:rFonts w:ascii="Arial" w:cs="Arial" w:eastAsia="Arial" w:hAnsi="Arial"/>
          <w:sz w:val="40"/>
          <w:szCs w:val="40"/>
          <w:b w:val="1"/>
          <w:bCs w:val="1"/>
          <w:color w:val="0E93D8"/>
        </w:rPr>
      </w:pPr>
      <w:r>
        <w:rPr>
          <w:rFonts w:ascii="Arial" w:cs="Arial" w:eastAsia="Arial" w:hAnsi="Arial"/>
          <w:sz w:val="14"/>
          <w:szCs w:val="14"/>
          <w:color w:val="0E93D8"/>
        </w:rPr>
        <w:t>PAGE 75</w:t>
      </w:r>
    </w:p>
    <w:p>
      <w:pPr>
        <w:ind w:left="700"/>
        <w:spacing w:after="0"/>
        <w:rPr>
          <w:rFonts w:ascii="Arial" w:cs="Arial" w:eastAsia="Arial" w:hAnsi="Arial"/>
          <w:sz w:val="40"/>
          <w:szCs w:val="40"/>
          <w:b w:val="1"/>
          <w:bCs w:val="1"/>
          <w:color w:val="0E93D8"/>
        </w:rPr>
      </w:pPr>
      <w:r>
        <w:rPr>
          <w:rFonts w:ascii="Arial" w:cs="Arial" w:eastAsia="Arial" w:hAnsi="Arial"/>
          <w:sz w:val="12"/>
          <w:szCs w:val="12"/>
          <w:color w:val="0E93D8"/>
        </w:rPr>
        <w:t xml:space="preserve">BOARD RECOMMENDATION: </w:t>
      </w:r>
      <w:r>
        <w:rPr>
          <w:rFonts w:ascii="Arial" w:cs="Arial" w:eastAsia="Arial" w:hAnsi="Arial"/>
          <w:sz w:val="12"/>
          <w:szCs w:val="12"/>
          <w:b w:val="1"/>
          <w:bCs w:val="1"/>
          <w:color w:val="FDB03F"/>
        </w:rPr>
        <w:t>FOR</w:t>
      </w:r>
    </w:p>
    <w:p>
      <w:pPr>
        <w:ind w:left="700" w:hanging="688"/>
        <w:spacing w:after="0" w:line="181" w:lineRule="auto"/>
        <w:tabs>
          <w:tab w:leader="none" w:pos="700" w:val="left"/>
        </w:tabs>
        <w:numPr>
          <w:ilvl w:val="0"/>
          <w:numId w:val="15"/>
        </w:numPr>
        <w:rPr>
          <w:rFonts w:ascii="Arial" w:cs="Arial" w:eastAsia="Arial" w:hAnsi="Arial"/>
          <w:sz w:val="40"/>
          <w:szCs w:val="40"/>
          <w:b w:val="1"/>
          <w:bCs w:val="1"/>
          <w:color w:val="0E93D8"/>
        </w:rPr>
      </w:pPr>
      <w:r>
        <w:rPr>
          <w:rFonts w:ascii="Arial" w:cs="Arial" w:eastAsia="Arial" w:hAnsi="Arial"/>
          <w:sz w:val="12"/>
          <w:szCs w:val="12"/>
          <w:b w:val="1"/>
          <w:bCs w:val="1"/>
          <w:color w:val="FDB03F"/>
        </w:rPr>
        <w:t>PROPOSAL 5:</w:t>
      </w:r>
    </w:p>
    <w:p>
      <w:pPr>
        <w:spacing w:after="0" w:line="1" w:lineRule="exact"/>
        <w:rPr>
          <w:rFonts w:ascii="Arial" w:cs="Arial" w:eastAsia="Arial" w:hAnsi="Arial"/>
          <w:sz w:val="40"/>
          <w:szCs w:val="40"/>
          <w:b w:val="1"/>
          <w:bCs w:val="1"/>
          <w:color w:val="0E93D8"/>
        </w:rPr>
      </w:pPr>
    </w:p>
    <w:p>
      <w:pPr>
        <w:ind w:left="700" w:right="600"/>
        <w:spacing w:after="0" w:line="258" w:lineRule="auto"/>
        <w:rPr>
          <w:rFonts w:ascii="Arial" w:cs="Arial" w:eastAsia="Arial" w:hAnsi="Arial"/>
          <w:sz w:val="40"/>
          <w:szCs w:val="40"/>
          <w:b w:val="1"/>
          <w:bCs w:val="1"/>
          <w:color w:val="0E93D8"/>
        </w:rPr>
      </w:pPr>
      <w:r>
        <w:rPr>
          <w:rFonts w:ascii="Arial" w:cs="Arial" w:eastAsia="Arial" w:hAnsi="Arial"/>
          <w:sz w:val="12"/>
          <w:szCs w:val="12"/>
          <w:b w:val="1"/>
          <w:bCs w:val="1"/>
          <w:color w:val="0E93D8"/>
        </w:rPr>
        <w:t>Ratify the 15% Special Meeting Ownership Threshold in</w:t>
      </w:r>
    </w:p>
    <w:p>
      <w:pPr>
        <w:ind w:left="700" w:right="1120"/>
        <w:spacing w:after="0" w:line="221" w:lineRule="auto"/>
        <w:rPr>
          <w:rFonts w:ascii="Arial" w:cs="Arial" w:eastAsia="Arial" w:hAnsi="Arial"/>
          <w:sz w:val="40"/>
          <w:szCs w:val="40"/>
          <w:b w:val="1"/>
          <w:bCs w:val="1"/>
          <w:color w:val="0E93D8"/>
        </w:rPr>
      </w:pPr>
      <w:r>
        <w:rPr>
          <w:rFonts w:ascii="Arial" w:cs="Arial" w:eastAsia="Arial" w:hAnsi="Arial"/>
          <w:sz w:val="14"/>
          <w:szCs w:val="14"/>
          <w:b w:val="1"/>
          <w:bCs w:val="1"/>
          <w:color w:val="0E93D8"/>
        </w:rPr>
        <w:t xml:space="preserve">the Company’s Bylaws </w:t>
      </w:r>
      <w:r>
        <w:rPr>
          <w:rFonts w:ascii="Arial" w:cs="Arial" w:eastAsia="Arial" w:hAnsi="Arial"/>
          <w:sz w:val="14"/>
          <w:szCs w:val="14"/>
          <w:color w:val="0E93D8"/>
        </w:rPr>
        <w:t>PAGE 76</w:t>
      </w:r>
    </w:p>
    <w:p>
      <w:pPr>
        <w:ind w:left="700"/>
        <w:spacing w:after="0"/>
        <w:rPr>
          <w:rFonts w:ascii="Arial" w:cs="Arial" w:eastAsia="Arial" w:hAnsi="Arial"/>
          <w:sz w:val="40"/>
          <w:szCs w:val="40"/>
          <w:b w:val="1"/>
          <w:bCs w:val="1"/>
          <w:color w:val="0E93D8"/>
        </w:rPr>
      </w:pPr>
      <w:r>
        <w:rPr>
          <w:rFonts w:ascii="Arial" w:cs="Arial" w:eastAsia="Arial" w:hAnsi="Arial"/>
          <w:sz w:val="12"/>
          <w:szCs w:val="12"/>
          <w:color w:val="0E93D8"/>
        </w:rPr>
        <w:t xml:space="preserve">BOARD RECOMMENDATION: </w:t>
      </w:r>
      <w:r>
        <w:rPr>
          <w:rFonts w:ascii="Arial" w:cs="Arial" w:eastAsia="Arial" w:hAnsi="Arial"/>
          <w:sz w:val="12"/>
          <w:szCs w:val="12"/>
          <w:b w:val="1"/>
          <w:bCs w:val="1"/>
          <w:color w:val="FDB03F"/>
        </w:rPr>
        <w:t>FOR</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45"/>
          <w:szCs w:val="45"/>
          <w:b w:val="1"/>
          <w:bCs w:val="1"/>
          <w:color w:val="FDB03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-290830</wp:posOffset>
            </wp:positionV>
            <wp:extent cx="8890" cy="788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41" w:lineRule="exact"/>
        <w:rPr>
          <w:sz w:val="20"/>
          <w:szCs w:val="20"/>
          <w:color w:val="auto"/>
        </w:rPr>
      </w:pPr>
    </w:p>
    <w:p>
      <w:pPr>
        <w:ind w:left="580"/>
        <w:spacing w:after="0"/>
        <w:rPr>
          <w:sz w:val="20"/>
          <w:szCs w:val="20"/>
          <w:color w:val="auto"/>
        </w:rPr>
      </w:pPr>
      <w:r>
        <w:rPr>
          <w:rFonts w:ascii="Arial" w:cs="Arial" w:eastAsia="Arial" w:hAnsi="Arial"/>
          <w:sz w:val="31"/>
          <w:szCs w:val="31"/>
          <w:b w:val="1"/>
          <w:bCs w:val="1"/>
          <w:color w:val="73B2E5"/>
        </w:rPr>
        <w:t>net income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1"/>
          <w:szCs w:val="31"/>
          <w:b w:val="1"/>
          <w:bCs w:val="1"/>
          <w:color w:val="73B2E5"/>
        </w:rPr>
        <w:t>growth</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45"/>
          <w:szCs w:val="45"/>
          <w:b w:val="1"/>
          <w:bCs w:val="1"/>
          <w:color w:val="FDB03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-290830</wp:posOffset>
            </wp:positionV>
            <wp:extent cx="8890" cy="788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41" w:lineRule="exact"/>
        <w:rPr>
          <w:sz w:val="20"/>
          <w:szCs w:val="20"/>
          <w:color w:val="auto"/>
        </w:rPr>
      </w:pPr>
    </w:p>
    <w:p>
      <w:pPr>
        <w:ind w:left="580"/>
        <w:spacing w:after="0"/>
        <w:rPr>
          <w:sz w:val="20"/>
          <w:szCs w:val="20"/>
          <w:color w:val="auto"/>
        </w:rPr>
      </w:pPr>
      <w:r>
        <w:rPr>
          <w:rFonts w:ascii="Arial" w:cs="Arial" w:eastAsia="Arial" w:hAnsi="Arial"/>
          <w:sz w:val="31"/>
          <w:szCs w:val="31"/>
          <w:b w:val="1"/>
          <w:bCs w:val="1"/>
          <w:color w:val="73B2E5"/>
        </w:rPr>
        <w:t>diluted EPS</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1"/>
          <w:szCs w:val="31"/>
          <w:b w:val="1"/>
          <w:bCs w:val="1"/>
          <w:color w:val="73B2E5"/>
        </w:rPr>
        <w:t>growth</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45"/>
          <w:szCs w:val="45"/>
          <w:b w:val="1"/>
          <w:bCs w:val="1"/>
          <w:color w:val="FDB03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-290830</wp:posOffset>
            </wp:positionV>
            <wp:extent cx="8890" cy="788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41" w:lineRule="exact"/>
        <w:rPr>
          <w:sz w:val="20"/>
          <w:szCs w:val="20"/>
          <w:color w:val="auto"/>
        </w:rPr>
      </w:pPr>
    </w:p>
    <w:p>
      <w:pPr>
        <w:ind w:left="580"/>
        <w:spacing w:after="0"/>
        <w:rPr>
          <w:sz w:val="20"/>
          <w:szCs w:val="20"/>
          <w:color w:val="auto"/>
        </w:rPr>
      </w:pPr>
      <w:r>
        <w:rPr>
          <w:rFonts w:ascii="Arial" w:cs="Arial" w:eastAsia="Arial" w:hAnsi="Arial"/>
          <w:sz w:val="31"/>
          <w:szCs w:val="31"/>
          <w:b w:val="1"/>
          <w:bCs w:val="1"/>
          <w:color w:val="73B2E5"/>
        </w:rPr>
        <w:t>organic sales</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1"/>
          <w:szCs w:val="31"/>
          <w:b w:val="1"/>
          <w:bCs w:val="1"/>
          <w:color w:val="73B2E5"/>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0"/>
        <w:spacing w:after="0" w:line="249" w:lineRule="auto"/>
        <w:rPr>
          <w:sz w:val="20"/>
          <w:szCs w:val="20"/>
          <w:color w:val="auto"/>
        </w:rPr>
      </w:pPr>
      <w:r>
        <w:rPr>
          <w:rFonts w:ascii="Arial" w:cs="Arial" w:eastAsia="Arial" w:hAnsi="Arial"/>
          <w:sz w:val="18"/>
          <w:szCs w:val="18"/>
          <w:b w:val="1"/>
          <w:bCs w:val="1"/>
          <w:color w:val="0E93D8"/>
        </w:rPr>
        <w:t>The summary below highlights selected information in this Proxy Statement. Please review the entire Proxy Statement and UTC’s 2018 Annual Report before 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-1597025</wp:posOffset>
            </wp:positionV>
            <wp:extent cx="6294755" cy="591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4755" cy="59182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0E93D8"/>
        </w:rPr>
        <w:t>2018 Performance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Strategic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4707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54"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2018 was a transformational year for UTC. With two bold steps, we have positioned our businesses to deliver strong, long-term value to our shareowners, greater opportunity to our employees, and world-class products and services to our customers well into the future.</w:t>
      </w:r>
    </w:p>
    <w:p>
      <w:pPr>
        <w:spacing w:after="0" w:line="17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First, we completed our acquisition of Rockwell Collins, making UTC the preeminent systems and component supplier to the aerospace and defense industry. Our new Collins Aerospace Systems (“Collins Aerospace”) business unit, which combined UTC Aerospace Systems with Rockwell Collins, will enable us to offer customers a full suite of systems throughout an entire aircraft. Just as important, this acquisition will enhance our ability to develop electrical, mechanical and software solutions, and to deliver even more innovative products and services to our customers.</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Second, we conducted a rigorous yearlong portfolio review, culminating in our plan to separate UTC into three industry-leading companies. Under this plan, both Carrier and Otis will become independent companies, while Collins Aerospace and Pratt &amp; Whitney will remain under the UTC umbrella. Each company is expected to have the resources, capital and strategic flexibility to drive the continued innovation required to meet the evolving needs of their respective customers and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4707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5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also delivered solid financial results. Notably, we achieved 14% diluted earnings per share (“EPS”) growth (GAAP and non-GAAP), results that exceeded the expectations we communicated to investors at the beginning of the year. At the same time, sales growth was 11% (GAAP), which included 8% organic growth (non-GAAP), demonstrating how our investments in innovation are paying off across all business lines. We also delivered cash flow from continuing operations of $6.3 billion (GAAP) and free cash flow of $4.4 billion (non-GAAP), while returning $2.5 billion to shareowners through dividends and share buybacks during 2018.</w:t>
      </w:r>
    </w:p>
    <w:p>
      <w:pPr>
        <w:spacing w:after="0" w:line="165" w:lineRule="exact"/>
        <w:rPr>
          <w:sz w:val="20"/>
          <w:szCs w:val="20"/>
          <w:color w:val="auto"/>
        </w:rPr>
      </w:pPr>
    </w:p>
    <w:p>
      <w:pPr>
        <w:ind w:left="920"/>
        <w:spacing w:after="0"/>
        <w:tabs>
          <w:tab w:leader="none" w:pos="3080" w:val="left"/>
        </w:tabs>
        <w:rPr>
          <w:sz w:val="20"/>
          <w:szCs w:val="20"/>
          <w:color w:val="auto"/>
        </w:rPr>
      </w:pPr>
      <w:r>
        <w:rPr>
          <w:rFonts w:ascii="Arial" w:cs="Arial" w:eastAsia="Arial" w:hAnsi="Arial"/>
          <w:sz w:val="14"/>
          <w:szCs w:val="14"/>
          <w:b w:val="1"/>
          <w:bCs w:val="1"/>
          <w:color w:val="0E93D8"/>
        </w:rPr>
        <w:t>Net Sales</w:t>
      </w:r>
      <w:r>
        <w:rPr>
          <w:sz w:val="20"/>
          <w:szCs w:val="20"/>
          <w:color w:val="auto"/>
        </w:rPr>
        <w:tab/>
      </w:r>
      <w:r>
        <w:rPr>
          <w:rFonts w:ascii="Arial" w:cs="Arial" w:eastAsia="Arial" w:hAnsi="Arial"/>
          <w:sz w:val="12"/>
          <w:szCs w:val="12"/>
          <w:b w:val="1"/>
          <w:bCs w:val="1"/>
          <w:color w:val="0E93D8"/>
        </w:rPr>
        <w:t>Diluted Earnings Per Share</w:t>
      </w:r>
    </w:p>
    <w:p>
      <w:pPr>
        <w:spacing w:after="0" w:line="4" w:lineRule="exact"/>
        <w:rPr>
          <w:sz w:val="20"/>
          <w:szCs w:val="20"/>
          <w:color w:val="auto"/>
        </w:rPr>
      </w:pPr>
    </w:p>
    <w:p>
      <w:pPr>
        <w:ind w:left="920"/>
        <w:spacing w:after="0"/>
        <w:tabs>
          <w:tab w:leader="none" w:pos="3080" w:val="left"/>
        </w:tabs>
        <w:rPr>
          <w:sz w:val="20"/>
          <w:szCs w:val="20"/>
          <w:color w:val="auto"/>
        </w:rPr>
      </w:pPr>
      <w:r>
        <w:rPr>
          <w:rFonts w:ascii="Arial" w:cs="Arial" w:eastAsia="Arial" w:hAnsi="Arial"/>
          <w:sz w:val="14"/>
          <w:szCs w:val="14"/>
          <w:color w:val="0E93D8"/>
        </w:rPr>
        <w:t>(in billions)</w:t>
      </w:r>
      <w:r>
        <w:rPr>
          <w:sz w:val="20"/>
          <w:szCs w:val="20"/>
          <w:color w:val="auto"/>
        </w:rPr>
        <w:tab/>
      </w:r>
      <w:r>
        <w:rPr>
          <w:rFonts w:ascii="Arial" w:cs="Arial" w:eastAsia="Arial" w:hAnsi="Arial"/>
          <w:sz w:val="12"/>
          <w:szCs w:val="12"/>
          <w:color w:val="0E93D8"/>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35560</wp:posOffset>
            </wp:positionV>
            <wp:extent cx="236664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66645" cy="188595"/>
                    </a:xfrm>
                    <a:prstGeom prst="rect">
                      <a:avLst/>
                    </a:prstGeom>
                    <a:noFill/>
                  </pic:spPr>
                </pic:pic>
              </a:graphicData>
            </a:graphic>
          </wp:anchor>
        </w:drawing>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4"/>
          <w:szCs w:val="14"/>
          <w:color w:val="0E93D8"/>
        </w:rPr>
        <w:t>GAAP</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E93D8"/>
        </w:rPr>
        <w:t>Non-GAAP</w:t>
      </w:r>
      <w:r>
        <w:rPr>
          <w:rFonts w:ascii="Arial" w:cs="Arial" w:eastAsia="Arial" w:hAnsi="Arial"/>
          <w:sz w:val="22"/>
          <w:szCs w:val="22"/>
          <w:b w:val="1"/>
          <w:bCs w:val="1"/>
          <w:color w:val="0E93D8"/>
          <w:vertAlign w:val="superscript"/>
        </w:rPr>
        <w:t xml:space="preserve">(1) </w:t>
      </w:r>
      <w:r>
        <w:rPr>
          <w:sz w:val="1"/>
          <w:szCs w:val="1"/>
          <w:color w:val="auto"/>
        </w:rPr>
        <w:drawing>
          <wp:inline distT="0" distB="0" distL="0" distR="0">
            <wp:extent cx="120904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1714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-200660</wp:posOffset>
            </wp:positionV>
            <wp:extent cx="114935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9350" cy="180340"/>
                    </a:xfrm>
                    <a:prstGeom prst="rect">
                      <a:avLst/>
                    </a:prstGeom>
                    <a:noFill/>
                  </pic:spPr>
                </pic:pic>
              </a:graphicData>
            </a:graphic>
          </wp:anchor>
        </w:drawing>
      </w:r>
    </w:p>
    <w:p>
      <w:pPr>
        <w:spacing w:after="0" w:line="125" w:lineRule="exact"/>
        <w:rPr>
          <w:sz w:val="20"/>
          <w:szCs w:val="20"/>
          <w:color w:val="auto"/>
        </w:rPr>
      </w:pPr>
    </w:p>
    <w:p>
      <w:pPr>
        <w:ind w:left="920"/>
        <w:spacing w:after="0"/>
        <w:tabs>
          <w:tab w:leader="none" w:pos="3080" w:val="left"/>
        </w:tabs>
        <w:rPr>
          <w:sz w:val="20"/>
          <w:szCs w:val="20"/>
          <w:color w:val="auto"/>
        </w:rPr>
      </w:pPr>
      <w:r>
        <w:rPr>
          <w:rFonts w:ascii="Arial" w:cs="Arial" w:eastAsia="Arial" w:hAnsi="Arial"/>
          <w:sz w:val="14"/>
          <w:szCs w:val="14"/>
          <w:b w:val="1"/>
          <w:bCs w:val="1"/>
          <w:color w:val="0E93D8"/>
        </w:rPr>
        <w:t>Cash Flow</w:t>
      </w:r>
      <w:r>
        <w:rPr>
          <w:rFonts w:ascii="Arial" w:cs="Arial" w:eastAsia="Arial" w:hAnsi="Arial"/>
          <w:sz w:val="22"/>
          <w:szCs w:val="22"/>
          <w:b w:val="1"/>
          <w:bCs w:val="1"/>
          <w:color w:val="0E93D8"/>
          <w:vertAlign w:val="superscript"/>
        </w:rPr>
        <w:t>(2)</w:t>
      </w:r>
      <w:r>
        <w:rPr>
          <w:sz w:val="20"/>
          <w:szCs w:val="20"/>
          <w:color w:val="auto"/>
        </w:rPr>
        <w:tab/>
      </w:r>
      <w:r>
        <w:rPr>
          <w:rFonts w:ascii="Arial" w:cs="Arial" w:eastAsia="Arial" w:hAnsi="Arial"/>
          <w:sz w:val="12"/>
          <w:szCs w:val="12"/>
          <w:b w:val="1"/>
          <w:bCs w:val="1"/>
          <w:color w:val="0E93D8"/>
        </w:rPr>
        <w:t>Net Income</w:t>
      </w:r>
    </w:p>
    <w:p>
      <w:pPr>
        <w:ind w:left="920"/>
        <w:spacing w:after="0"/>
        <w:tabs>
          <w:tab w:leader="none" w:pos="3080" w:val="left"/>
        </w:tabs>
        <w:rPr>
          <w:sz w:val="20"/>
          <w:szCs w:val="20"/>
          <w:color w:val="auto"/>
        </w:rPr>
      </w:pPr>
      <w:r>
        <w:rPr>
          <w:rFonts w:ascii="Arial" w:cs="Arial" w:eastAsia="Arial" w:hAnsi="Arial"/>
          <w:sz w:val="14"/>
          <w:szCs w:val="14"/>
          <w:color w:val="0E93D8"/>
        </w:rPr>
        <w:t>(in billions)</w:t>
      </w:r>
      <w:r>
        <w:rPr>
          <w:sz w:val="20"/>
          <w:szCs w:val="20"/>
          <w:color w:val="auto"/>
        </w:rPr>
        <w:tab/>
      </w:r>
      <w:r>
        <w:rPr>
          <w:rFonts w:ascii="Arial" w:cs="Arial" w:eastAsia="Arial" w:hAnsi="Arial"/>
          <w:sz w:val="12"/>
          <w:szCs w:val="12"/>
          <w:color w:val="0E93D8"/>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35560</wp:posOffset>
            </wp:positionV>
            <wp:extent cx="235839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58390" cy="180340"/>
                    </a:xfrm>
                    <a:prstGeom prst="rect">
                      <a:avLst/>
                    </a:prstGeom>
                    <a:noFill/>
                  </pic:spPr>
                </pic:pic>
              </a:graphicData>
            </a:graphic>
          </wp:anchor>
        </w:drawing>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4"/>
          <w:szCs w:val="14"/>
          <w:color w:val="0E93D8"/>
        </w:rPr>
        <w:t>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78105</wp:posOffset>
            </wp:positionV>
            <wp:extent cx="114046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0460" cy="18034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E93D8"/>
        </w:rPr>
        <w:t>Non-GAAP</w:t>
      </w:r>
      <w:r>
        <w:rPr>
          <w:rFonts w:ascii="Arial" w:cs="Arial" w:eastAsia="Arial" w:hAnsi="Arial"/>
          <w:sz w:val="22"/>
          <w:szCs w:val="22"/>
          <w:b w:val="1"/>
          <w:bCs w:val="1"/>
          <w:color w:val="0E93D8"/>
          <w:vertAlign w:val="superscript"/>
        </w:rPr>
        <w:t xml:space="preserve">(1) </w:t>
      </w:r>
      <w:r>
        <w:rPr>
          <w:sz w:val="1"/>
          <w:szCs w:val="1"/>
          <w:color w:val="auto"/>
        </w:rPr>
        <w:drawing>
          <wp:inline distT="0" distB="0" distL="0" distR="0">
            <wp:extent cx="848995" cy="1803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8995" cy="180340"/>
                    </a:xfrm>
                    <a:prstGeom prst="rect">
                      <a:avLst/>
                    </a:prstGeom>
                    <a:noFill/>
                    <a:ln>
                      <a:noFill/>
                    </a:ln>
                  </pic:spPr>
                </pic:pic>
              </a:graphicData>
            </a:graphic>
          </wp:inline>
        </w:drawing>
      </w:r>
    </w:p>
    <w:p>
      <w:pPr>
        <w:spacing w:after="0" w:line="196" w:lineRule="exact"/>
        <w:rPr>
          <w:sz w:val="20"/>
          <w:szCs w:val="20"/>
          <w:color w:val="auto"/>
        </w:rPr>
      </w:pPr>
    </w:p>
    <w:p>
      <w:pPr>
        <w:ind w:left="200" w:hanging="198"/>
        <w:spacing w:after="0"/>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Appendix A on pages 86-87 for more information regarding these non-GAAP financial measures.</w:t>
      </w:r>
    </w:p>
    <w:p>
      <w:pPr>
        <w:spacing w:after="0" w:line="55" w:lineRule="exact"/>
        <w:rPr>
          <w:rFonts w:ascii="Arial" w:cs="Arial" w:eastAsia="Arial" w:hAnsi="Arial"/>
          <w:sz w:val="14"/>
          <w:szCs w:val="14"/>
          <w:color w:val="auto"/>
        </w:rPr>
      </w:pPr>
    </w:p>
    <w:p>
      <w:pPr>
        <w:ind w:left="200" w:hanging="198"/>
        <w:spacing w:after="0"/>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“GAAP cash flow” is cash flow from continuing operations while “Non-GAAP cash flow” is free cash flow.</w:t>
      </w:r>
    </w:p>
    <w:p>
      <w:pPr>
        <w:spacing w:after="0" w:line="200" w:lineRule="exact"/>
        <w:rPr>
          <w:sz w:val="20"/>
          <w:szCs w:val="20"/>
          <w:color w:val="auto"/>
        </w:rPr>
      </w:pPr>
    </w:p>
    <w:p>
      <w:pPr>
        <w:sectPr>
          <w:pgSz w:w="11900" w:h="16838" w:orient="portrait"/>
          <w:cols w:equalWidth="0" w:num="2">
            <w:col w:w="3280" w:space="720"/>
            <w:col w:w="7420"/>
          </w:cols>
          <w:pgMar w:left="240" w:top="121" w:right="239" w:bottom="1440" w:gutter="0" w:footer="0" w:header="0"/>
        </w:sectPr>
      </w:pPr>
    </w:p>
    <w:p>
      <w:pPr>
        <w:spacing w:after="0" w:line="269" w:lineRule="exact"/>
        <w:rPr>
          <w:sz w:val="20"/>
          <w:szCs w:val="20"/>
          <w:color w:val="auto"/>
        </w:rPr>
      </w:pPr>
    </w:p>
    <w:p>
      <w:pPr>
        <w:ind w:left="5260"/>
        <w:spacing w:after="0"/>
        <w:tabs>
          <w:tab w:leader="none" w:pos="11060" w:val="left"/>
        </w:tabs>
        <w:rPr>
          <w:sz w:val="20"/>
          <w:szCs w:val="20"/>
          <w:color w:val="auto"/>
        </w:rPr>
      </w:pPr>
      <w:r>
        <w:rPr>
          <w:rFonts w:ascii="Arial" w:cs="Arial" w:eastAsia="Arial" w:hAnsi="Arial"/>
          <w:sz w:val="14"/>
          <w:szCs w:val="14"/>
          <w:color w:val="0E93D8"/>
        </w:rPr>
        <w:t xml:space="preserve">United Technologies </w:t>
      </w:r>
      <w:r>
        <w:rPr>
          <w:rFonts w:ascii="Arial" w:cs="Arial" w:eastAsia="Arial" w:hAnsi="Arial"/>
          <w:sz w:val="14"/>
          <w:szCs w:val="14"/>
          <w:color w:val="000000"/>
        </w:rPr>
        <w:t>Notice of 2019 Annual Meeting of Shareowners and Proxy Statement</w:t>
      </w:r>
      <w:r>
        <w:rPr>
          <w:sz w:val="20"/>
          <w:szCs w:val="20"/>
          <w:color w:val="auto"/>
        </w:rPr>
        <w:tab/>
      </w:r>
      <w:r>
        <w:rPr>
          <w:rFonts w:ascii="Arial" w:cs="Arial" w:eastAsia="Arial" w:hAnsi="Arial"/>
          <w:sz w:val="16"/>
          <w:szCs w:val="16"/>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-113030</wp:posOffset>
            </wp:positionV>
            <wp:extent cx="37719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23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PROXY SUMMARY</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Executive Compensation Overview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Compensation Committee’s 2018 Pay Decisions and Program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discussed in detail on pages 41-46, the Compensation Committee (the “Committee”) makes annual pay decisions on three principal components of our executive compensation program: base salary, annual bonus and long-term incentives (“LTI”). Total direct compensation for each Named Executive Officer (“NEO”) shown in the chart below, reflects the Committee’s assessment of Company, business unit and individual performance in 2018. For this reason, it includes the February 2019 LTI grant values approved by the Committee. This differs from the January 2018 LTI award values shown in the Summary Compensation Table on page 58, which reflect the Committee’s assessment of 2017 performance and is based on accounting valuations. Importantly, while total direct compensation provides a useful picture of the Committee’s 2018 pay decisions, the actual value an executive earns will ultimately depend on the Company’s stock price and future performance against pre-established goals.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2018 NEO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-90805</wp:posOffset>
            </wp:positionV>
            <wp:extent cx="5428615"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Base</w:t>
            </w:r>
          </w:p>
        </w:tc>
        <w:tc>
          <w:tcPr>
            <w:tcW w:w="840" w:type="dxa"/>
            <w:vAlign w:val="bottom"/>
          </w:tcPr>
          <w:p>
            <w:pPr>
              <w:jc w:val="right"/>
              <w:ind w:right="153"/>
              <w:spacing w:after="0"/>
              <w:rPr>
                <w:sz w:val="20"/>
                <w:szCs w:val="20"/>
                <w:color w:val="auto"/>
              </w:rPr>
            </w:pPr>
            <w:r>
              <w:rPr>
                <w:rFonts w:ascii="Arial" w:cs="Arial" w:eastAsia="Arial" w:hAnsi="Arial"/>
                <w:sz w:val="14"/>
                <w:szCs w:val="14"/>
                <w:b w:val="1"/>
                <w:bCs w:val="1"/>
                <w:color w:val="auto"/>
              </w:rPr>
              <w:t>Annual</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80" w:type="dxa"/>
            <w:vAlign w:val="bottom"/>
            <w:tcBorders>
              <w:bottom w:val="single" w:sz="8" w:color="0E93D8"/>
            </w:tcBorders>
          </w:tcPr>
          <w:p>
            <w:pPr>
              <w:spacing w:after="0"/>
              <w:rPr>
                <w:sz w:val="2"/>
                <w:szCs w:val="2"/>
                <w:color w:val="auto"/>
              </w:rPr>
            </w:pPr>
          </w:p>
        </w:tc>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595959"/>
              </w:rPr>
              <w:t>Base Salary</w:t>
            </w:r>
          </w:p>
        </w:tc>
        <w:tc>
          <w:tcPr>
            <w:tcW w:w="280" w:type="dxa"/>
            <w:vAlign w:val="bottom"/>
            <w:tcBorders>
              <w:bottom w:val="single" w:sz="8" w:color="B3D3F0"/>
            </w:tcBorders>
          </w:tcPr>
          <w:p>
            <w:pPr>
              <w:spacing w:after="0"/>
              <w:rPr>
                <w:sz w:val="2"/>
                <w:szCs w:val="2"/>
                <w:color w:val="auto"/>
              </w:rPr>
            </w:pPr>
          </w:p>
        </w:tc>
        <w:tc>
          <w:tcPr>
            <w:tcW w:w="1540" w:type="dxa"/>
            <w:vAlign w:val="bottom"/>
            <w:vMerge w:val="restart"/>
          </w:tcPr>
          <w:p>
            <w:pPr>
              <w:ind w:left="40"/>
              <w:spacing w:after="0"/>
              <w:rPr>
                <w:sz w:val="20"/>
                <w:szCs w:val="20"/>
                <w:color w:val="auto"/>
              </w:rPr>
            </w:pPr>
            <w:r>
              <w:rPr>
                <w:rFonts w:ascii="Arial" w:cs="Arial" w:eastAsia="Arial" w:hAnsi="Arial"/>
                <w:sz w:val="14"/>
                <w:szCs w:val="14"/>
                <w:b w:val="1"/>
                <w:bCs w:val="1"/>
                <w:color w:val="595959"/>
              </w:rPr>
              <w:t>Annual Bonus</w:t>
            </w: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bottom w:val="single" w:sz="8" w:color="7C7C7C"/>
            </w:tcBorders>
          </w:tcPr>
          <w:p>
            <w:pPr>
              <w:spacing w:after="0"/>
              <w:rPr>
                <w:sz w:val="2"/>
                <w:szCs w:val="2"/>
                <w:color w:val="auto"/>
              </w:rPr>
            </w:pPr>
          </w:p>
        </w:tc>
        <w:tc>
          <w:tcPr>
            <w:tcW w:w="2420" w:type="dxa"/>
            <w:vAlign w:val="bottom"/>
            <w:gridSpan w:val="2"/>
            <w:vMerge w:val="restart"/>
          </w:tcPr>
          <w:p>
            <w:pPr>
              <w:jc w:val="right"/>
              <w:ind w:right="2180"/>
              <w:spacing w:after="0"/>
              <w:rPr>
                <w:sz w:val="20"/>
                <w:szCs w:val="20"/>
                <w:color w:val="auto"/>
              </w:rPr>
            </w:pPr>
            <w:r>
              <w:rPr>
                <w:rFonts w:ascii="Arial" w:cs="Arial" w:eastAsia="Arial" w:hAnsi="Arial"/>
                <w:sz w:val="14"/>
                <w:szCs w:val="14"/>
                <w:b w:val="1"/>
                <w:bCs w:val="1"/>
                <w:color w:val="595959"/>
              </w:rPr>
              <w:t>LTI</w:t>
            </w: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Salary</w:t>
            </w: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Bonus</w:t>
            </w:r>
          </w:p>
        </w:tc>
        <w:tc>
          <w:tcPr>
            <w:tcW w:w="7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LTI</w:t>
            </w:r>
          </w:p>
        </w:tc>
        <w:tc>
          <w:tcPr>
            <w:tcW w:w="7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0E93D8"/>
              </w:rPr>
              <w:t>Total</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280" w:type="dxa"/>
            <w:vAlign w:val="bottom"/>
            <w:tcBorders>
              <w:bottom w:val="single" w:sz="8" w:color="0E93D8"/>
            </w:tcBorders>
            <w:shd w:val="clear" w:color="auto" w:fill="0E93D8"/>
          </w:tcPr>
          <w:p>
            <w:pPr>
              <w:spacing w:after="0"/>
              <w:rPr>
                <w:sz w:val="13"/>
                <w:szCs w:val="13"/>
                <w:color w:val="auto"/>
              </w:rPr>
            </w:pPr>
          </w:p>
        </w:tc>
        <w:tc>
          <w:tcPr>
            <w:tcW w:w="2040" w:type="dxa"/>
            <w:vAlign w:val="bottom"/>
            <w:vMerge w:val="continue"/>
          </w:tcPr>
          <w:p>
            <w:pPr>
              <w:spacing w:after="0"/>
              <w:rPr>
                <w:sz w:val="13"/>
                <w:szCs w:val="13"/>
                <w:color w:val="auto"/>
              </w:rPr>
            </w:pPr>
          </w:p>
        </w:tc>
        <w:tc>
          <w:tcPr>
            <w:tcW w:w="280" w:type="dxa"/>
            <w:vAlign w:val="bottom"/>
            <w:tcBorders>
              <w:bottom w:val="single" w:sz="8" w:color="B3D3F0"/>
            </w:tcBorders>
            <w:shd w:val="clear" w:color="auto" w:fill="B3D3F0"/>
          </w:tcPr>
          <w:p>
            <w:pPr>
              <w:spacing w:after="0"/>
              <w:rPr>
                <w:sz w:val="13"/>
                <w:szCs w:val="13"/>
                <w:color w:val="auto"/>
              </w:rPr>
            </w:pPr>
          </w:p>
        </w:tc>
        <w:tc>
          <w:tcPr>
            <w:tcW w:w="15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Borders>
              <w:right w:val="single" w:sz="8" w:color="7C7C7C"/>
            </w:tcBorders>
          </w:tcPr>
          <w:p>
            <w:pPr>
              <w:spacing w:after="0"/>
              <w:rPr>
                <w:sz w:val="13"/>
                <w:szCs w:val="13"/>
                <w:color w:val="auto"/>
              </w:rPr>
            </w:pPr>
          </w:p>
        </w:tc>
        <w:tc>
          <w:tcPr>
            <w:tcW w:w="460" w:type="dxa"/>
            <w:vAlign w:val="bottom"/>
            <w:tcBorders>
              <w:bottom w:val="single" w:sz="8" w:color="E3EFFA"/>
              <w:right w:val="single" w:sz="8" w:color="7C7C7C"/>
            </w:tcBorders>
            <w:shd w:val="clear" w:color="auto" w:fill="E3EFFA"/>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0" w:type="dxa"/>
            <w:vAlign w:val="bottom"/>
            <w:tcBorders>
              <w:bottom w:val="single" w:sz="8" w:color="0E93D8"/>
            </w:tcBorders>
          </w:tcPr>
          <w:p>
            <w:pPr>
              <w:spacing w:after="0"/>
              <w:rPr>
                <w:sz w:val="12"/>
                <w:szCs w:val="12"/>
                <w:color w:val="auto"/>
              </w:rPr>
            </w:pPr>
          </w:p>
        </w:tc>
        <w:tc>
          <w:tcPr>
            <w:tcW w:w="280" w:type="dxa"/>
            <w:vAlign w:val="bottom"/>
            <w:tcBorders>
              <w:top w:val="single" w:sz="8" w:color="0E93D8"/>
              <w:bottom w:val="single" w:sz="8" w:color="0E93D8"/>
            </w:tcBorders>
          </w:tcPr>
          <w:p>
            <w:pPr>
              <w:spacing w:after="0"/>
              <w:rPr>
                <w:sz w:val="12"/>
                <w:szCs w:val="12"/>
                <w:color w:val="auto"/>
              </w:rPr>
            </w:pPr>
          </w:p>
        </w:tc>
        <w:tc>
          <w:tcPr>
            <w:tcW w:w="2040" w:type="dxa"/>
            <w:vAlign w:val="bottom"/>
            <w:tcBorders>
              <w:bottom w:val="single" w:sz="8" w:color="0E93D8"/>
            </w:tcBorders>
          </w:tcPr>
          <w:p>
            <w:pPr>
              <w:spacing w:after="0"/>
              <w:rPr>
                <w:sz w:val="12"/>
                <w:szCs w:val="12"/>
                <w:color w:val="auto"/>
              </w:rPr>
            </w:pPr>
          </w:p>
        </w:tc>
        <w:tc>
          <w:tcPr>
            <w:tcW w:w="280" w:type="dxa"/>
            <w:vAlign w:val="bottom"/>
            <w:tcBorders>
              <w:top w:val="single" w:sz="8" w:color="B3D3F0"/>
              <w:bottom w:val="single" w:sz="8" w:color="0E93D8"/>
            </w:tcBorders>
          </w:tcPr>
          <w:p>
            <w:pPr>
              <w:spacing w:after="0"/>
              <w:rPr>
                <w:sz w:val="12"/>
                <w:szCs w:val="12"/>
                <w:color w:val="auto"/>
              </w:rPr>
            </w:pPr>
          </w:p>
        </w:tc>
        <w:tc>
          <w:tcPr>
            <w:tcW w:w="1540" w:type="dxa"/>
            <w:vAlign w:val="bottom"/>
            <w:tcBorders>
              <w:bottom w:val="single" w:sz="8" w:color="0E93D8"/>
            </w:tcBorders>
          </w:tcPr>
          <w:p>
            <w:pPr>
              <w:spacing w:after="0"/>
              <w:rPr>
                <w:sz w:val="12"/>
                <w:szCs w:val="12"/>
                <w:color w:val="auto"/>
              </w:rPr>
            </w:pPr>
          </w:p>
        </w:tc>
        <w:tc>
          <w:tcPr>
            <w:tcW w:w="580" w:type="dxa"/>
            <w:vAlign w:val="bottom"/>
            <w:tcBorders>
              <w:bottom w:val="single" w:sz="8" w:color="0E93D8"/>
            </w:tcBorders>
          </w:tcPr>
          <w:p>
            <w:pPr>
              <w:spacing w:after="0"/>
              <w:rPr>
                <w:sz w:val="12"/>
                <w:szCs w:val="12"/>
                <w:color w:val="auto"/>
              </w:rPr>
            </w:pPr>
          </w:p>
        </w:tc>
        <w:tc>
          <w:tcPr>
            <w:tcW w:w="480" w:type="dxa"/>
            <w:vAlign w:val="bottom"/>
            <w:tcBorders>
              <w:bottom w:val="single" w:sz="8" w:color="0E93D8"/>
            </w:tcBorders>
          </w:tcPr>
          <w:p>
            <w:pPr>
              <w:spacing w:after="0"/>
              <w:rPr>
                <w:sz w:val="12"/>
                <w:szCs w:val="12"/>
                <w:color w:val="auto"/>
              </w:rPr>
            </w:pPr>
          </w:p>
        </w:tc>
        <w:tc>
          <w:tcPr>
            <w:tcW w:w="460" w:type="dxa"/>
            <w:vAlign w:val="bottom"/>
            <w:tcBorders>
              <w:top w:val="single" w:sz="8" w:color="7C7C7C"/>
              <w:bottom w:val="single" w:sz="8" w:color="0E93D8"/>
            </w:tcBorders>
          </w:tcPr>
          <w:p>
            <w:pPr>
              <w:spacing w:after="0"/>
              <w:rPr>
                <w:sz w:val="12"/>
                <w:szCs w:val="12"/>
                <w:color w:val="auto"/>
              </w:rPr>
            </w:pPr>
          </w:p>
        </w:tc>
        <w:tc>
          <w:tcPr>
            <w:tcW w:w="480" w:type="dxa"/>
            <w:vAlign w:val="bottom"/>
            <w:tcBorders>
              <w:bottom w:val="single" w:sz="8" w:color="0E93D8"/>
            </w:tcBorders>
          </w:tcPr>
          <w:p>
            <w:pPr>
              <w:spacing w:after="0"/>
              <w:rPr>
                <w:sz w:val="12"/>
                <w:szCs w:val="12"/>
                <w:color w:val="auto"/>
              </w:rPr>
            </w:pPr>
          </w:p>
        </w:tc>
        <w:tc>
          <w:tcPr>
            <w:tcW w:w="1940" w:type="dxa"/>
            <w:vAlign w:val="bottom"/>
            <w:tcBorders>
              <w:bottom w:val="single" w:sz="8" w:color="0E93D8"/>
            </w:tcBorders>
          </w:tcPr>
          <w:p>
            <w:pPr>
              <w:spacing w:after="0"/>
              <w:rPr>
                <w:sz w:val="12"/>
                <w:szCs w:val="12"/>
                <w:color w:val="auto"/>
              </w:rPr>
            </w:pPr>
          </w:p>
        </w:tc>
        <w:tc>
          <w:tcPr>
            <w:tcW w:w="880" w:type="dxa"/>
            <w:vAlign w:val="bottom"/>
            <w:tcBorders>
              <w:bottom w:val="single" w:sz="8" w:color="0E93D8"/>
            </w:tcBorders>
          </w:tcPr>
          <w:p>
            <w:pPr>
              <w:jc w:val="right"/>
              <w:ind w:right="133"/>
              <w:spacing w:after="0" w:line="105" w:lineRule="exact"/>
              <w:rPr>
                <w:sz w:val="20"/>
                <w:szCs w:val="20"/>
                <w:color w:val="auto"/>
              </w:rPr>
            </w:pPr>
            <w:r>
              <w:rPr>
                <w:rFonts w:ascii="Arial" w:cs="Arial" w:eastAsia="Arial" w:hAnsi="Arial"/>
                <w:sz w:val="12"/>
                <w:szCs w:val="12"/>
                <w:b w:val="1"/>
                <w:bCs w:val="1"/>
                <w:color w:val="auto"/>
              </w:rPr>
              <w:t>($K)</w:t>
            </w:r>
          </w:p>
        </w:tc>
        <w:tc>
          <w:tcPr>
            <w:tcW w:w="840" w:type="dxa"/>
            <w:vAlign w:val="bottom"/>
            <w:tcBorders>
              <w:bottom w:val="single" w:sz="8" w:color="0E93D8"/>
            </w:tcBorders>
          </w:tcPr>
          <w:p>
            <w:pPr>
              <w:jc w:val="right"/>
              <w:ind w:right="153"/>
              <w:spacing w:after="0" w:line="105" w:lineRule="exact"/>
              <w:rPr>
                <w:sz w:val="20"/>
                <w:szCs w:val="20"/>
                <w:color w:val="auto"/>
              </w:rPr>
            </w:pPr>
            <w:r>
              <w:rPr>
                <w:rFonts w:ascii="Arial" w:cs="Arial" w:eastAsia="Arial" w:hAnsi="Arial"/>
                <w:sz w:val="12"/>
                <w:szCs w:val="12"/>
                <w:b w:val="1"/>
                <w:bCs w:val="1"/>
                <w:color w:val="auto"/>
              </w:rPr>
              <w:t>($K)</w:t>
            </w:r>
          </w:p>
        </w:tc>
        <w:tc>
          <w:tcPr>
            <w:tcW w:w="780" w:type="dxa"/>
            <w:vAlign w:val="bottom"/>
            <w:tcBorders>
              <w:bottom w:val="single" w:sz="8" w:color="0E93D8"/>
            </w:tcBorders>
          </w:tcPr>
          <w:p>
            <w:pPr>
              <w:jc w:val="right"/>
              <w:ind w:right="73"/>
              <w:spacing w:after="0" w:line="105" w:lineRule="exact"/>
              <w:rPr>
                <w:sz w:val="20"/>
                <w:szCs w:val="20"/>
                <w:color w:val="auto"/>
              </w:rPr>
            </w:pPr>
            <w:r>
              <w:rPr>
                <w:rFonts w:ascii="Arial" w:cs="Arial" w:eastAsia="Arial" w:hAnsi="Arial"/>
                <w:sz w:val="12"/>
                <w:szCs w:val="12"/>
                <w:b w:val="1"/>
                <w:bCs w:val="1"/>
                <w:color w:val="auto"/>
              </w:rPr>
              <w:t>($K)</w:t>
            </w:r>
          </w:p>
        </w:tc>
        <w:tc>
          <w:tcPr>
            <w:tcW w:w="700" w:type="dxa"/>
            <w:vAlign w:val="bottom"/>
            <w:tcBorders>
              <w:bottom w:val="single" w:sz="8" w:color="0E93D8"/>
            </w:tcBorders>
          </w:tcPr>
          <w:p>
            <w:pPr>
              <w:jc w:val="right"/>
              <w:ind w:right="13"/>
              <w:spacing w:after="0" w:line="105" w:lineRule="exact"/>
              <w:rPr>
                <w:sz w:val="20"/>
                <w:szCs w:val="20"/>
                <w:color w:val="auto"/>
              </w:rPr>
            </w:pPr>
            <w:r>
              <w:rPr>
                <w:rFonts w:ascii="Arial" w:cs="Arial" w:eastAsia="Arial" w:hAnsi="Arial"/>
                <w:sz w:val="12"/>
                <w:szCs w:val="12"/>
                <w:b w:val="1"/>
                <w:bCs w:val="1"/>
                <w:color w:val="0E93D8"/>
              </w:rPr>
              <w:t>($K)</w:t>
            </w:r>
          </w:p>
        </w:tc>
        <w:tc>
          <w:tcPr>
            <w:tcW w:w="0" w:type="dxa"/>
            <w:vAlign w:val="bottom"/>
          </w:tcPr>
          <w:p>
            <w:pPr>
              <w:spacing w:after="0"/>
              <w:rPr>
                <w:sz w:val="1"/>
                <w:szCs w:val="1"/>
                <w:color w:val="auto"/>
              </w:rPr>
            </w:pPr>
          </w:p>
        </w:tc>
      </w:tr>
      <w:tr>
        <w:trPr>
          <w:trHeight w:val="243"/>
        </w:trPr>
        <w:tc>
          <w:tcPr>
            <w:tcW w:w="2460" w:type="dxa"/>
            <w:vAlign w:val="bottom"/>
            <w:gridSpan w:val="3"/>
          </w:tcPr>
          <w:p>
            <w:pPr>
              <w:ind w:left="80"/>
              <w:spacing w:after="0"/>
              <w:rPr>
                <w:sz w:val="20"/>
                <w:szCs w:val="20"/>
                <w:color w:val="auto"/>
              </w:rPr>
            </w:pPr>
            <w:r>
              <w:rPr>
                <w:rFonts w:ascii="Arial" w:cs="Arial" w:eastAsia="Arial" w:hAnsi="Arial"/>
                <w:sz w:val="14"/>
                <w:szCs w:val="14"/>
                <w:color w:val="auto"/>
              </w:rPr>
              <w:t>Gregory J. Hayes</w:t>
            </w:r>
          </w:p>
        </w:tc>
        <w:tc>
          <w:tcPr>
            <w:tcW w:w="280" w:type="dxa"/>
            <w:vAlign w:val="bottom"/>
            <w:shd w:val="clear" w:color="auto" w:fill="E3EFFA"/>
          </w:tcPr>
          <w:p>
            <w:pPr>
              <w:spacing w:after="0"/>
              <w:rPr>
                <w:sz w:val="21"/>
                <w:szCs w:val="21"/>
                <w:color w:val="auto"/>
              </w:rPr>
            </w:pPr>
          </w:p>
        </w:tc>
        <w:tc>
          <w:tcPr>
            <w:tcW w:w="1540" w:type="dxa"/>
            <w:vAlign w:val="bottom"/>
            <w:tcBorders>
              <w:left w:val="single" w:sz="8" w:color="E3EFFA"/>
            </w:tcBorders>
            <w:shd w:val="clear" w:color="auto" w:fill="E3EFFA"/>
          </w:tcPr>
          <w:p>
            <w:pPr>
              <w:spacing w:after="0"/>
              <w:rPr>
                <w:sz w:val="21"/>
                <w:szCs w:val="21"/>
                <w:color w:val="auto"/>
              </w:rPr>
            </w:pPr>
          </w:p>
        </w:tc>
        <w:tc>
          <w:tcPr>
            <w:tcW w:w="3940" w:type="dxa"/>
            <w:vAlign w:val="bottom"/>
            <w:tcBorders>
              <w:right w:val="single" w:sz="8" w:color="E3EFFA"/>
            </w:tcBorders>
            <w:gridSpan w:val="5"/>
            <w:shd w:val="clear" w:color="auto" w:fill="E3EFFA"/>
          </w:tcPr>
          <w:p>
            <w:pPr>
              <w:jc w:val="right"/>
              <w:ind w:right="1880"/>
              <w:spacing w:after="0"/>
              <w:rPr>
                <w:sz w:val="20"/>
                <w:szCs w:val="20"/>
                <w:color w:val="auto"/>
              </w:rPr>
            </w:pPr>
            <w:r>
              <w:rPr>
                <w:rFonts w:ascii="Arial" w:cs="Arial" w:eastAsia="Arial" w:hAnsi="Arial"/>
                <w:sz w:val="14"/>
                <w:szCs w:val="14"/>
                <w:color w:val="auto"/>
              </w:rPr>
              <w:t>72%</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$1,600</w:t>
            </w:r>
          </w:p>
        </w:tc>
        <w:tc>
          <w:tcPr>
            <w:tcW w:w="840" w:type="dxa"/>
            <w:vAlign w:val="bottom"/>
          </w:tcPr>
          <w:p>
            <w:pPr>
              <w:jc w:val="right"/>
              <w:ind w:right="153"/>
              <w:spacing w:after="0"/>
              <w:rPr>
                <w:sz w:val="20"/>
                <w:szCs w:val="20"/>
                <w:color w:val="auto"/>
              </w:rPr>
            </w:pPr>
            <w:r>
              <w:rPr>
                <w:rFonts w:ascii="Arial" w:cs="Arial" w:eastAsia="Arial" w:hAnsi="Arial"/>
                <w:sz w:val="14"/>
                <w:szCs w:val="14"/>
                <w:color w:val="auto"/>
              </w:rPr>
              <w:t>$3,500</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$13,000</w:t>
            </w: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0E93D8"/>
              </w:rPr>
              <w:t>$18,100</w:t>
            </w:r>
          </w:p>
        </w:tc>
        <w:tc>
          <w:tcPr>
            <w:tcW w:w="0" w:type="dxa"/>
            <w:vAlign w:val="bottom"/>
          </w:tcPr>
          <w:p>
            <w:pPr>
              <w:spacing w:after="0"/>
              <w:rPr>
                <w:sz w:val="1"/>
                <w:szCs w:val="1"/>
                <w:color w:val="auto"/>
              </w:rPr>
            </w:pPr>
          </w:p>
        </w:tc>
      </w:tr>
      <w:tr>
        <w:trPr>
          <w:trHeight w:val="95"/>
        </w:trPr>
        <w:tc>
          <w:tcPr>
            <w:tcW w:w="2460" w:type="dxa"/>
            <w:vAlign w:val="bottom"/>
            <w:tcBorders>
              <w:bottom w:val="single" w:sz="8" w:color="7C7C7C"/>
            </w:tcBorders>
            <w:gridSpan w:val="3"/>
          </w:tcPr>
          <w:p>
            <w:pPr>
              <w:spacing w:after="0"/>
              <w:rPr>
                <w:sz w:val="8"/>
                <w:szCs w:val="8"/>
                <w:color w:val="auto"/>
              </w:rPr>
            </w:pPr>
          </w:p>
        </w:tc>
        <w:tc>
          <w:tcPr>
            <w:tcW w:w="280" w:type="dxa"/>
            <w:vAlign w:val="bottom"/>
            <w:tcBorders>
              <w:bottom w:val="single" w:sz="8" w:color="7C7C7C"/>
            </w:tcBorders>
            <w:shd w:val="clear" w:color="auto" w:fill="E3EFFA"/>
          </w:tcPr>
          <w:p>
            <w:pPr>
              <w:spacing w:after="0"/>
              <w:rPr>
                <w:sz w:val="8"/>
                <w:szCs w:val="8"/>
                <w:color w:val="auto"/>
              </w:rPr>
            </w:pPr>
          </w:p>
        </w:tc>
        <w:tc>
          <w:tcPr>
            <w:tcW w:w="1540" w:type="dxa"/>
            <w:vAlign w:val="bottom"/>
            <w:tcBorders>
              <w:left w:val="single" w:sz="8" w:color="E3EFFA"/>
              <w:bottom w:val="single" w:sz="8" w:color="7C7C7C"/>
            </w:tcBorders>
            <w:shd w:val="clear" w:color="auto" w:fill="E3EFFA"/>
          </w:tcPr>
          <w:p>
            <w:pPr>
              <w:spacing w:after="0"/>
              <w:rPr>
                <w:sz w:val="8"/>
                <w:szCs w:val="8"/>
                <w:color w:val="auto"/>
              </w:rPr>
            </w:pPr>
          </w:p>
        </w:tc>
        <w:tc>
          <w:tcPr>
            <w:tcW w:w="580" w:type="dxa"/>
            <w:vAlign w:val="bottom"/>
            <w:tcBorders>
              <w:bottom w:val="single" w:sz="8" w:color="7C7C7C"/>
            </w:tcBorders>
            <w:shd w:val="clear" w:color="auto" w:fill="E3EFFA"/>
          </w:tcPr>
          <w:p>
            <w:pPr>
              <w:spacing w:after="0"/>
              <w:rPr>
                <w:sz w:val="8"/>
                <w:szCs w:val="8"/>
                <w:color w:val="auto"/>
              </w:rPr>
            </w:pPr>
          </w:p>
        </w:tc>
        <w:tc>
          <w:tcPr>
            <w:tcW w:w="1420" w:type="dxa"/>
            <w:vAlign w:val="bottom"/>
            <w:tcBorders>
              <w:bottom w:val="single" w:sz="8" w:color="7C7C7C"/>
            </w:tcBorders>
            <w:gridSpan w:val="3"/>
            <w:shd w:val="clear" w:color="auto" w:fill="E3EFFA"/>
          </w:tcPr>
          <w:p>
            <w:pPr>
              <w:spacing w:after="0"/>
              <w:rPr>
                <w:sz w:val="8"/>
                <w:szCs w:val="8"/>
                <w:color w:val="auto"/>
              </w:rPr>
            </w:pPr>
          </w:p>
        </w:tc>
        <w:tc>
          <w:tcPr>
            <w:tcW w:w="1940" w:type="dxa"/>
            <w:vAlign w:val="bottom"/>
            <w:tcBorders>
              <w:bottom w:val="single" w:sz="8" w:color="7C7C7C"/>
              <w:right w:val="single" w:sz="8" w:color="E3EFFA"/>
            </w:tcBorders>
            <w:shd w:val="clear" w:color="auto" w:fill="E3EFFA"/>
          </w:tcPr>
          <w:p>
            <w:pPr>
              <w:spacing w:after="0"/>
              <w:rPr>
                <w:sz w:val="8"/>
                <w:szCs w:val="8"/>
                <w:color w:val="auto"/>
              </w:rPr>
            </w:pPr>
          </w:p>
        </w:tc>
        <w:tc>
          <w:tcPr>
            <w:tcW w:w="880" w:type="dxa"/>
            <w:vAlign w:val="bottom"/>
            <w:tcBorders>
              <w:bottom w:val="single" w:sz="8" w:color="7C7C7C"/>
            </w:tcBorders>
          </w:tcPr>
          <w:p>
            <w:pPr>
              <w:spacing w:after="0"/>
              <w:rPr>
                <w:sz w:val="8"/>
                <w:szCs w:val="8"/>
                <w:color w:val="auto"/>
              </w:rPr>
            </w:pPr>
          </w:p>
        </w:tc>
        <w:tc>
          <w:tcPr>
            <w:tcW w:w="840" w:type="dxa"/>
            <w:vAlign w:val="bottom"/>
            <w:tcBorders>
              <w:bottom w:val="single" w:sz="8" w:color="7C7C7C"/>
            </w:tcBorders>
          </w:tcPr>
          <w:p>
            <w:pPr>
              <w:spacing w:after="0"/>
              <w:rPr>
                <w:sz w:val="8"/>
                <w:szCs w:val="8"/>
                <w:color w:val="auto"/>
              </w:rPr>
            </w:pPr>
          </w:p>
        </w:tc>
        <w:tc>
          <w:tcPr>
            <w:tcW w:w="780" w:type="dxa"/>
            <w:vAlign w:val="bottom"/>
            <w:tcBorders>
              <w:bottom w:val="single" w:sz="8" w:color="7C7C7C"/>
            </w:tcBorders>
          </w:tcPr>
          <w:p>
            <w:pPr>
              <w:spacing w:after="0"/>
              <w:rPr>
                <w:sz w:val="8"/>
                <w:szCs w:val="8"/>
                <w:color w:val="auto"/>
              </w:rPr>
            </w:pPr>
          </w:p>
        </w:tc>
        <w:tc>
          <w:tcPr>
            <w:tcW w:w="700" w:type="dxa"/>
            <w:vAlign w:val="bottom"/>
            <w:tcBorders>
              <w:bottom w:val="single" w:sz="8" w:color="7C7C7C"/>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460" w:type="dxa"/>
            <w:vAlign w:val="bottom"/>
            <w:gridSpan w:val="3"/>
          </w:tcPr>
          <w:p>
            <w:pPr>
              <w:ind w:left="80"/>
              <w:spacing w:after="0"/>
              <w:rPr>
                <w:sz w:val="20"/>
                <w:szCs w:val="20"/>
                <w:color w:val="auto"/>
              </w:rPr>
            </w:pPr>
            <w:r>
              <w:rPr>
                <w:rFonts w:ascii="Arial" w:cs="Arial" w:eastAsia="Arial" w:hAnsi="Arial"/>
                <w:sz w:val="14"/>
                <w:szCs w:val="14"/>
                <w:color w:val="auto"/>
              </w:rPr>
              <w:t>Akhil Johri</w:t>
            </w:r>
          </w:p>
        </w:tc>
        <w:tc>
          <w:tcPr>
            <w:tcW w:w="280" w:type="dxa"/>
            <w:vAlign w:val="bottom"/>
            <w:shd w:val="clear" w:color="auto" w:fill="E3EFFA"/>
          </w:tcPr>
          <w:p>
            <w:pPr>
              <w:spacing w:after="0"/>
              <w:rPr>
                <w:sz w:val="20"/>
                <w:szCs w:val="20"/>
                <w:color w:val="auto"/>
              </w:rPr>
            </w:pPr>
          </w:p>
        </w:tc>
        <w:tc>
          <w:tcPr>
            <w:tcW w:w="1540" w:type="dxa"/>
            <w:vAlign w:val="bottom"/>
            <w:tcBorders>
              <w:left w:val="single" w:sz="8" w:color="E3EFFA"/>
            </w:tcBorders>
            <w:shd w:val="clear" w:color="auto" w:fill="E3EFFA"/>
          </w:tcPr>
          <w:p>
            <w:pPr>
              <w:spacing w:after="0"/>
              <w:rPr>
                <w:sz w:val="20"/>
                <w:szCs w:val="20"/>
                <w:color w:val="auto"/>
              </w:rPr>
            </w:pPr>
          </w:p>
        </w:tc>
        <w:tc>
          <w:tcPr>
            <w:tcW w:w="3940" w:type="dxa"/>
            <w:vAlign w:val="bottom"/>
            <w:tcBorders>
              <w:right w:val="single" w:sz="8" w:color="E3EFFA"/>
            </w:tcBorders>
            <w:gridSpan w:val="5"/>
            <w:shd w:val="clear" w:color="auto" w:fill="E3EFFA"/>
          </w:tcPr>
          <w:p>
            <w:pPr>
              <w:jc w:val="right"/>
              <w:ind w:right="1880"/>
              <w:spacing w:after="0"/>
              <w:rPr>
                <w:sz w:val="20"/>
                <w:szCs w:val="20"/>
                <w:color w:val="auto"/>
              </w:rPr>
            </w:pPr>
            <w:r>
              <w:rPr>
                <w:rFonts w:ascii="Arial" w:cs="Arial" w:eastAsia="Arial" w:hAnsi="Arial"/>
                <w:sz w:val="14"/>
                <w:szCs w:val="14"/>
                <w:color w:val="auto"/>
              </w:rPr>
              <w:t>68%</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$900</w:t>
            </w:r>
          </w:p>
        </w:tc>
        <w:tc>
          <w:tcPr>
            <w:tcW w:w="840" w:type="dxa"/>
            <w:vAlign w:val="bottom"/>
          </w:tcPr>
          <w:p>
            <w:pPr>
              <w:jc w:val="right"/>
              <w:ind w:right="153"/>
              <w:spacing w:after="0"/>
              <w:rPr>
                <w:sz w:val="20"/>
                <w:szCs w:val="20"/>
                <w:color w:val="auto"/>
              </w:rPr>
            </w:pPr>
            <w:r>
              <w:rPr>
                <w:rFonts w:ascii="Arial" w:cs="Arial" w:eastAsia="Arial" w:hAnsi="Arial"/>
                <w:sz w:val="14"/>
                <w:szCs w:val="14"/>
                <w:color w:val="auto"/>
              </w:rPr>
              <w:t>$1,200</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$4,500</w:t>
            </w: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0E93D8"/>
              </w:rPr>
              <w:t>$6,600</w:t>
            </w:r>
          </w:p>
        </w:tc>
        <w:tc>
          <w:tcPr>
            <w:tcW w:w="0" w:type="dxa"/>
            <w:vAlign w:val="bottom"/>
          </w:tcPr>
          <w:p>
            <w:pPr>
              <w:spacing w:after="0"/>
              <w:rPr>
                <w:sz w:val="1"/>
                <w:szCs w:val="1"/>
                <w:color w:val="auto"/>
              </w:rPr>
            </w:pPr>
          </w:p>
        </w:tc>
      </w:tr>
      <w:tr>
        <w:trPr>
          <w:trHeight w:val="95"/>
        </w:trPr>
        <w:tc>
          <w:tcPr>
            <w:tcW w:w="2460" w:type="dxa"/>
            <w:vAlign w:val="bottom"/>
            <w:tcBorders>
              <w:bottom w:val="single" w:sz="8" w:color="7C7C7C"/>
            </w:tcBorders>
            <w:gridSpan w:val="3"/>
          </w:tcPr>
          <w:p>
            <w:pPr>
              <w:spacing w:after="0"/>
              <w:rPr>
                <w:sz w:val="8"/>
                <w:szCs w:val="8"/>
                <w:color w:val="auto"/>
              </w:rPr>
            </w:pPr>
          </w:p>
        </w:tc>
        <w:tc>
          <w:tcPr>
            <w:tcW w:w="280" w:type="dxa"/>
            <w:vAlign w:val="bottom"/>
            <w:tcBorders>
              <w:bottom w:val="single" w:sz="8" w:color="7C7C7C"/>
            </w:tcBorders>
            <w:shd w:val="clear" w:color="auto" w:fill="E3EFFA"/>
          </w:tcPr>
          <w:p>
            <w:pPr>
              <w:spacing w:after="0"/>
              <w:rPr>
                <w:sz w:val="8"/>
                <w:szCs w:val="8"/>
                <w:color w:val="auto"/>
              </w:rPr>
            </w:pPr>
          </w:p>
        </w:tc>
        <w:tc>
          <w:tcPr>
            <w:tcW w:w="1540" w:type="dxa"/>
            <w:vAlign w:val="bottom"/>
            <w:tcBorders>
              <w:left w:val="single" w:sz="8" w:color="E3EFFA"/>
              <w:bottom w:val="single" w:sz="8" w:color="7C7C7C"/>
            </w:tcBorders>
            <w:shd w:val="clear" w:color="auto" w:fill="E3EFFA"/>
          </w:tcPr>
          <w:p>
            <w:pPr>
              <w:spacing w:after="0"/>
              <w:rPr>
                <w:sz w:val="8"/>
                <w:szCs w:val="8"/>
                <w:color w:val="auto"/>
              </w:rPr>
            </w:pPr>
          </w:p>
        </w:tc>
        <w:tc>
          <w:tcPr>
            <w:tcW w:w="580" w:type="dxa"/>
            <w:vAlign w:val="bottom"/>
            <w:tcBorders>
              <w:bottom w:val="single" w:sz="8" w:color="7C7C7C"/>
            </w:tcBorders>
            <w:shd w:val="clear" w:color="auto" w:fill="E3EFFA"/>
          </w:tcPr>
          <w:p>
            <w:pPr>
              <w:spacing w:after="0"/>
              <w:rPr>
                <w:sz w:val="8"/>
                <w:szCs w:val="8"/>
                <w:color w:val="auto"/>
              </w:rPr>
            </w:pPr>
          </w:p>
        </w:tc>
        <w:tc>
          <w:tcPr>
            <w:tcW w:w="1420" w:type="dxa"/>
            <w:vAlign w:val="bottom"/>
            <w:tcBorders>
              <w:bottom w:val="single" w:sz="8" w:color="7C7C7C"/>
            </w:tcBorders>
            <w:gridSpan w:val="3"/>
            <w:shd w:val="clear" w:color="auto" w:fill="E3EFFA"/>
          </w:tcPr>
          <w:p>
            <w:pPr>
              <w:spacing w:after="0"/>
              <w:rPr>
                <w:sz w:val="8"/>
                <w:szCs w:val="8"/>
                <w:color w:val="auto"/>
              </w:rPr>
            </w:pPr>
          </w:p>
        </w:tc>
        <w:tc>
          <w:tcPr>
            <w:tcW w:w="1940" w:type="dxa"/>
            <w:vAlign w:val="bottom"/>
            <w:tcBorders>
              <w:bottom w:val="single" w:sz="8" w:color="7C7C7C"/>
              <w:right w:val="single" w:sz="8" w:color="E3EFFA"/>
            </w:tcBorders>
            <w:shd w:val="clear" w:color="auto" w:fill="E3EFFA"/>
          </w:tcPr>
          <w:p>
            <w:pPr>
              <w:spacing w:after="0"/>
              <w:rPr>
                <w:sz w:val="8"/>
                <w:szCs w:val="8"/>
                <w:color w:val="auto"/>
              </w:rPr>
            </w:pPr>
          </w:p>
        </w:tc>
        <w:tc>
          <w:tcPr>
            <w:tcW w:w="880" w:type="dxa"/>
            <w:vAlign w:val="bottom"/>
            <w:tcBorders>
              <w:bottom w:val="single" w:sz="8" w:color="7C7C7C"/>
            </w:tcBorders>
          </w:tcPr>
          <w:p>
            <w:pPr>
              <w:spacing w:after="0"/>
              <w:rPr>
                <w:sz w:val="8"/>
                <w:szCs w:val="8"/>
                <w:color w:val="auto"/>
              </w:rPr>
            </w:pPr>
          </w:p>
        </w:tc>
        <w:tc>
          <w:tcPr>
            <w:tcW w:w="840" w:type="dxa"/>
            <w:vAlign w:val="bottom"/>
            <w:tcBorders>
              <w:bottom w:val="single" w:sz="8" w:color="7C7C7C"/>
            </w:tcBorders>
          </w:tcPr>
          <w:p>
            <w:pPr>
              <w:spacing w:after="0"/>
              <w:rPr>
                <w:sz w:val="8"/>
                <w:szCs w:val="8"/>
                <w:color w:val="auto"/>
              </w:rPr>
            </w:pPr>
          </w:p>
        </w:tc>
        <w:tc>
          <w:tcPr>
            <w:tcW w:w="780" w:type="dxa"/>
            <w:vAlign w:val="bottom"/>
            <w:tcBorders>
              <w:bottom w:val="single" w:sz="8" w:color="7C7C7C"/>
            </w:tcBorders>
          </w:tcPr>
          <w:p>
            <w:pPr>
              <w:spacing w:after="0"/>
              <w:rPr>
                <w:sz w:val="8"/>
                <w:szCs w:val="8"/>
                <w:color w:val="auto"/>
              </w:rPr>
            </w:pPr>
          </w:p>
        </w:tc>
        <w:tc>
          <w:tcPr>
            <w:tcW w:w="700" w:type="dxa"/>
            <w:vAlign w:val="bottom"/>
            <w:tcBorders>
              <w:bottom w:val="single" w:sz="8" w:color="7C7C7C"/>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460" w:type="dxa"/>
            <w:vAlign w:val="bottom"/>
            <w:gridSpan w:val="3"/>
          </w:tcPr>
          <w:p>
            <w:pPr>
              <w:ind w:left="80"/>
              <w:spacing w:after="0"/>
              <w:rPr>
                <w:sz w:val="20"/>
                <w:szCs w:val="20"/>
                <w:color w:val="auto"/>
              </w:rPr>
            </w:pPr>
            <w:r>
              <w:rPr>
                <w:rFonts w:ascii="Arial" w:cs="Arial" w:eastAsia="Arial" w:hAnsi="Arial"/>
                <w:sz w:val="14"/>
                <w:szCs w:val="14"/>
                <w:color w:val="auto"/>
              </w:rPr>
              <w:t>Robert K. Ortberg</w:t>
            </w:r>
          </w:p>
        </w:tc>
        <w:tc>
          <w:tcPr>
            <w:tcW w:w="280" w:type="dxa"/>
            <w:vAlign w:val="bottom"/>
            <w:shd w:val="clear" w:color="auto" w:fill="E3EFFA"/>
          </w:tcPr>
          <w:p>
            <w:pPr>
              <w:spacing w:after="0"/>
              <w:rPr>
                <w:sz w:val="20"/>
                <w:szCs w:val="20"/>
                <w:color w:val="auto"/>
              </w:rPr>
            </w:pPr>
          </w:p>
        </w:tc>
        <w:tc>
          <w:tcPr>
            <w:tcW w:w="1540" w:type="dxa"/>
            <w:vAlign w:val="bottom"/>
            <w:tcBorders>
              <w:left w:val="single" w:sz="8" w:color="E3EFFA"/>
            </w:tcBorders>
            <w:shd w:val="clear" w:color="auto" w:fill="E3EFFA"/>
          </w:tcPr>
          <w:p>
            <w:pPr>
              <w:spacing w:after="0"/>
              <w:rPr>
                <w:sz w:val="20"/>
                <w:szCs w:val="20"/>
                <w:color w:val="auto"/>
              </w:rPr>
            </w:pPr>
          </w:p>
        </w:tc>
        <w:tc>
          <w:tcPr>
            <w:tcW w:w="3940" w:type="dxa"/>
            <w:vAlign w:val="bottom"/>
            <w:tcBorders>
              <w:right w:val="single" w:sz="8" w:color="E3EFFA"/>
            </w:tcBorders>
            <w:gridSpan w:val="5"/>
            <w:shd w:val="clear" w:color="auto" w:fill="E3EFFA"/>
          </w:tcPr>
          <w:p>
            <w:pPr>
              <w:jc w:val="right"/>
              <w:ind w:right="1880"/>
              <w:spacing w:after="0"/>
              <w:rPr>
                <w:sz w:val="20"/>
                <w:szCs w:val="20"/>
                <w:color w:val="auto"/>
              </w:rPr>
            </w:pPr>
            <w:r>
              <w:rPr>
                <w:rFonts w:ascii="Arial" w:cs="Arial" w:eastAsia="Arial" w:hAnsi="Arial"/>
                <w:sz w:val="14"/>
                <w:szCs w:val="14"/>
                <w:color w:val="auto"/>
              </w:rPr>
              <w:t>96%</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$112*</w:t>
            </w: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$140*</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$6,000</w:t>
            </w: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0E93D8"/>
              </w:rPr>
              <w:t>$6,252</w:t>
            </w:r>
          </w:p>
        </w:tc>
        <w:tc>
          <w:tcPr>
            <w:tcW w:w="0" w:type="dxa"/>
            <w:vAlign w:val="bottom"/>
          </w:tcPr>
          <w:p>
            <w:pPr>
              <w:spacing w:after="0"/>
              <w:rPr>
                <w:sz w:val="1"/>
                <w:szCs w:val="1"/>
                <w:color w:val="auto"/>
              </w:rPr>
            </w:pPr>
          </w:p>
        </w:tc>
      </w:tr>
      <w:tr>
        <w:trPr>
          <w:trHeight w:val="95"/>
        </w:trPr>
        <w:tc>
          <w:tcPr>
            <w:tcW w:w="2460" w:type="dxa"/>
            <w:vAlign w:val="bottom"/>
            <w:tcBorders>
              <w:bottom w:val="single" w:sz="8" w:color="7C7C7C"/>
            </w:tcBorders>
            <w:gridSpan w:val="3"/>
          </w:tcPr>
          <w:p>
            <w:pPr>
              <w:spacing w:after="0"/>
              <w:rPr>
                <w:sz w:val="8"/>
                <w:szCs w:val="8"/>
                <w:color w:val="auto"/>
              </w:rPr>
            </w:pPr>
          </w:p>
        </w:tc>
        <w:tc>
          <w:tcPr>
            <w:tcW w:w="280" w:type="dxa"/>
            <w:vAlign w:val="bottom"/>
            <w:tcBorders>
              <w:bottom w:val="single" w:sz="8" w:color="7C7C7C"/>
            </w:tcBorders>
            <w:shd w:val="clear" w:color="auto" w:fill="E3EFFA"/>
          </w:tcPr>
          <w:p>
            <w:pPr>
              <w:spacing w:after="0"/>
              <w:rPr>
                <w:sz w:val="8"/>
                <w:szCs w:val="8"/>
                <w:color w:val="auto"/>
              </w:rPr>
            </w:pPr>
          </w:p>
        </w:tc>
        <w:tc>
          <w:tcPr>
            <w:tcW w:w="1540" w:type="dxa"/>
            <w:vAlign w:val="bottom"/>
            <w:tcBorders>
              <w:left w:val="single" w:sz="8" w:color="E3EFFA"/>
              <w:bottom w:val="single" w:sz="8" w:color="7C7C7C"/>
            </w:tcBorders>
            <w:shd w:val="clear" w:color="auto" w:fill="E3EFFA"/>
          </w:tcPr>
          <w:p>
            <w:pPr>
              <w:spacing w:after="0"/>
              <w:rPr>
                <w:sz w:val="8"/>
                <w:szCs w:val="8"/>
                <w:color w:val="auto"/>
              </w:rPr>
            </w:pPr>
          </w:p>
        </w:tc>
        <w:tc>
          <w:tcPr>
            <w:tcW w:w="580" w:type="dxa"/>
            <w:vAlign w:val="bottom"/>
            <w:tcBorders>
              <w:bottom w:val="single" w:sz="8" w:color="7C7C7C"/>
            </w:tcBorders>
            <w:shd w:val="clear" w:color="auto" w:fill="E3EFFA"/>
          </w:tcPr>
          <w:p>
            <w:pPr>
              <w:spacing w:after="0"/>
              <w:rPr>
                <w:sz w:val="8"/>
                <w:szCs w:val="8"/>
                <w:color w:val="auto"/>
              </w:rPr>
            </w:pPr>
          </w:p>
        </w:tc>
        <w:tc>
          <w:tcPr>
            <w:tcW w:w="1420" w:type="dxa"/>
            <w:vAlign w:val="bottom"/>
            <w:tcBorders>
              <w:bottom w:val="single" w:sz="8" w:color="7C7C7C"/>
            </w:tcBorders>
            <w:gridSpan w:val="3"/>
            <w:shd w:val="clear" w:color="auto" w:fill="E3EFFA"/>
          </w:tcPr>
          <w:p>
            <w:pPr>
              <w:spacing w:after="0"/>
              <w:rPr>
                <w:sz w:val="8"/>
                <w:szCs w:val="8"/>
                <w:color w:val="auto"/>
              </w:rPr>
            </w:pPr>
          </w:p>
        </w:tc>
        <w:tc>
          <w:tcPr>
            <w:tcW w:w="1940" w:type="dxa"/>
            <w:vAlign w:val="bottom"/>
            <w:tcBorders>
              <w:bottom w:val="single" w:sz="8" w:color="7C7C7C"/>
              <w:right w:val="single" w:sz="8" w:color="E3EFFA"/>
            </w:tcBorders>
            <w:shd w:val="clear" w:color="auto" w:fill="E3EFFA"/>
          </w:tcPr>
          <w:p>
            <w:pPr>
              <w:spacing w:after="0"/>
              <w:rPr>
                <w:sz w:val="8"/>
                <w:szCs w:val="8"/>
                <w:color w:val="auto"/>
              </w:rPr>
            </w:pPr>
          </w:p>
        </w:tc>
        <w:tc>
          <w:tcPr>
            <w:tcW w:w="880" w:type="dxa"/>
            <w:vAlign w:val="bottom"/>
            <w:tcBorders>
              <w:bottom w:val="single" w:sz="8" w:color="7C7C7C"/>
            </w:tcBorders>
          </w:tcPr>
          <w:p>
            <w:pPr>
              <w:spacing w:after="0"/>
              <w:rPr>
                <w:sz w:val="8"/>
                <w:szCs w:val="8"/>
                <w:color w:val="auto"/>
              </w:rPr>
            </w:pPr>
          </w:p>
        </w:tc>
        <w:tc>
          <w:tcPr>
            <w:tcW w:w="840" w:type="dxa"/>
            <w:vAlign w:val="bottom"/>
            <w:tcBorders>
              <w:bottom w:val="single" w:sz="8" w:color="7C7C7C"/>
            </w:tcBorders>
          </w:tcPr>
          <w:p>
            <w:pPr>
              <w:spacing w:after="0"/>
              <w:rPr>
                <w:sz w:val="8"/>
                <w:szCs w:val="8"/>
                <w:color w:val="auto"/>
              </w:rPr>
            </w:pPr>
          </w:p>
        </w:tc>
        <w:tc>
          <w:tcPr>
            <w:tcW w:w="780" w:type="dxa"/>
            <w:vAlign w:val="bottom"/>
            <w:tcBorders>
              <w:bottom w:val="single" w:sz="8" w:color="7C7C7C"/>
            </w:tcBorders>
          </w:tcPr>
          <w:p>
            <w:pPr>
              <w:spacing w:after="0"/>
              <w:rPr>
                <w:sz w:val="8"/>
                <w:szCs w:val="8"/>
                <w:color w:val="auto"/>
              </w:rPr>
            </w:pPr>
          </w:p>
        </w:tc>
        <w:tc>
          <w:tcPr>
            <w:tcW w:w="700" w:type="dxa"/>
            <w:vAlign w:val="bottom"/>
            <w:tcBorders>
              <w:bottom w:val="single" w:sz="8" w:color="7C7C7C"/>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460" w:type="dxa"/>
            <w:vAlign w:val="bottom"/>
            <w:gridSpan w:val="3"/>
          </w:tcPr>
          <w:p>
            <w:pPr>
              <w:ind w:left="80"/>
              <w:spacing w:after="0"/>
              <w:rPr>
                <w:sz w:val="20"/>
                <w:szCs w:val="20"/>
                <w:color w:val="auto"/>
              </w:rPr>
            </w:pPr>
            <w:r>
              <w:rPr>
                <w:rFonts w:ascii="Arial" w:cs="Arial" w:eastAsia="Arial" w:hAnsi="Arial"/>
                <w:sz w:val="14"/>
                <w:szCs w:val="14"/>
                <w:color w:val="auto"/>
              </w:rPr>
              <w:t>Judith F. Marks</w:t>
            </w:r>
          </w:p>
        </w:tc>
        <w:tc>
          <w:tcPr>
            <w:tcW w:w="280" w:type="dxa"/>
            <w:vAlign w:val="bottom"/>
            <w:shd w:val="clear" w:color="auto" w:fill="E3EFFA"/>
          </w:tcPr>
          <w:p>
            <w:pPr>
              <w:spacing w:after="0"/>
              <w:rPr>
                <w:sz w:val="20"/>
                <w:szCs w:val="20"/>
                <w:color w:val="auto"/>
              </w:rPr>
            </w:pPr>
          </w:p>
        </w:tc>
        <w:tc>
          <w:tcPr>
            <w:tcW w:w="1540" w:type="dxa"/>
            <w:vAlign w:val="bottom"/>
            <w:tcBorders>
              <w:left w:val="single" w:sz="8" w:color="E3EFFA"/>
            </w:tcBorders>
            <w:shd w:val="clear" w:color="auto" w:fill="E3EFFA"/>
          </w:tcPr>
          <w:p>
            <w:pPr>
              <w:spacing w:after="0"/>
              <w:rPr>
                <w:sz w:val="20"/>
                <w:szCs w:val="20"/>
                <w:color w:val="auto"/>
              </w:rPr>
            </w:pPr>
          </w:p>
        </w:tc>
        <w:tc>
          <w:tcPr>
            <w:tcW w:w="3940" w:type="dxa"/>
            <w:vAlign w:val="bottom"/>
            <w:tcBorders>
              <w:right w:val="single" w:sz="8" w:color="E3EFFA"/>
            </w:tcBorders>
            <w:gridSpan w:val="5"/>
            <w:shd w:val="clear" w:color="auto" w:fill="E3EFFA"/>
          </w:tcPr>
          <w:p>
            <w:pPr>
              <w:jc w:val="right"/>
              <w:ind w:right="1880"/>
              <w:spacing w:after="0"/>
              <w:rPr>
                <w:sz w:val="20"/>
                <w:szCs w:val="20"/>
                <w:color w:val="auto"/>
              </w:rPr>
            </w:pPr>
            <w:r>
              <w:rPr>
                <w:rFonts w:ascii="Arial" w:cs="Arial" w:eastAsia="Arial" w:hAnsi="Arial"/>
                <w:sz w:val="14"/>
                <w:szCs w:val="14"/>
                <w:color w:val="auto"/>
              </w:rPr>
              <w:t>70%</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$875</w:t>
            </w:r>
          </w:p>
        </w:tc>
        <w:tc>
          <w:tcPr>
            <w:tcW w:w="840" w:type="dxa"/>
            <w:vAlign w:val="bottom"/>
          </w:tcPr>
          <w:p>
            <w:pPr>
              <w:jc w:val="right"/>
              <w:ind w:right="153"/>
              <w:spacing w:after="0"/>
              <w:rPr>
                <w:sz w:val="20"/>
                <w:szCs w:val="20"/>
                <w:color w:val="auto"/>
              </w:rPr>
            </w:pPr>
            <w:r>
              <w:rPr>
                <w:rFonts w:ascii="Arial" w:cs="Arial" w:eastAsia="Arial" w:hAnsi="Arial"/>
                <w:sz w:val="14"/>
                <w:szCs w:val="14"/>
                <w:color w:val="auto"/>
              </w:rPr>
              <w:t>$900</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$4,100</w:t>
            </w: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0E93D8"/>
              </w:rPr>
              <w:t>$5,875</w:t>
            </w:r>
          </w:p>
        </w:tc>
        <w:tc>
          <w:tcPr>
            <w:tcW w:w="0" w:type="dxa"/>
            <w:vAlign w:val="bottom"/>
          </w:tcPr>
          <w:p>
            <w:pPr>
              <w:spacing w:after="0"/>
              <w:rPr>
                <w:sz w:val="1"/>
                <w:szCs w:val="1"/>
                <w:color w:val="auto"/>
              </w:rPr>
            </w:pPr>
          </w:p>
        </w:tc>
      </w:tr>
      <w:tr>
        <w:trPr>
          <w:trHeight w:val="95"/>
        </w:trPr>
        <w:tc>
          <w:tcPr>
            <w:tcW w:w="2460" w:type="dxa"/>
            <w:vAlign w:val="bottom"/>
            <w:tcBorders>
              <w:bottom w:val="single" w:sz="8" w:color="7C7C7C"/>
            </w:tcBorders>
            <w:gridSpan w:val="3"/>
          </w:tcPr>
          <w:p>
            <w:pPr>
              <w:spacing w:after="0"/>
              <w:rPr>
                <w:sz w:val="8"/>
                <w:szCs w:val="8"/>
                <w:color w:val="auto"/>
              </w:rPr>
            </w:pPr>
          </w:p>
        </w:tc>
        <w:tc>
          <w:tcPr>
            <w:tcW w:w="280" w:type="dxa"/>
            <w:vAlign w:val="bottom"/>
            <w:tcBorders>
              <w:bottom w:val="single" w:sz="8" w:color="7C7C7C"/>
            </w:tcBorders>
            <w:shd w:val="clear" w:color="auto" w:fill="E3EFFA"/>
          </w:tcPr>
          <w:p>
            <w:pPr>
              <w:spacing w:after="0"/>
              <w:rPr>
                <w:sz w:val="8"/>
                <w:szCs w:val="8"/>
                <w:color w:val="auto"/>
              </w:rPr>
            </w:pPr>
          </w:p>
        </w:tc>
        <w:tc>
          <w:tcPr>
            <w:tcW w:w="1540" w:type="dxa"/>
            <w:vAlign w:val="bottom"/>
            <w:tcBorders>
              <w:left w:val="single" w:sz="8" w:color="E3EFFA"/>
              <w:bottom w:val="single" w:sz="8" w:color="7C7C7C"/>
            </w:tcBorders>
            <w:shd w:val="clear" w:color="auto" w:fill="E3EFFA"/>
          </w:tcPr>
          <w:p>
            <w:pPr>
              <w:spacing w:after="0"/>
              <w:rPr>
                <w:sz w:val="8"/>
                <w:szCs w:val="8"/>
                <w:color w:val="auto"/>
              </w:rPr>
            </w:pPr>
          </w:p>
        </w:tc>
        <w:tc>
          <w:tcPr>
            <w:tcW w:w="580" w:type="dxa"/>
            <w:vAlign w:val="bottom"/>
            <w:tcBorders>
              <w:bottom w:val="single" w:sz="8" w:color="7C7C7C"/>
            </w:tcBorders>
            <w:shd w:val="clear" w:color="auto" w:fill="E3EFFA"/>
          </w:tcPr>
          <w:p>
            <w:pPr>
              <w:spacing w:after="0"/>
              <w:rPr>
                <w:sz w:val="8"/>
                <w:szCs w:val="8"/>
                <w:color w:val="auto"/>
              </w:rPr>
            </w:pPr>
          </w:p>
        </w:tc>
        <w:tc>
          <w:tcPr>
            <w:tcW w:w="1420" w:type="dxa"/>
            <w:vAlign w:val="bottom"/>
            <w:tcBorders>
              <w:bottom w:val="single" w:sz="8" w:color="7C7C7C"/>
            </w:tcBorders>
            <w:gridSpan w:val="3"/>
            <w:shd w:val="clear" w:color="auto" w:fill="E3EFFA"/>
          </w:tcPr>
          <w:p>
            <w:pPr>
              <w:spacing w:after="0"/>
              <w:rPr>
                <w:sz w:val="8"/>
                <w:szCs w:val="8"/>
                <w:color w:val="auto"/>
              </w:rPr>
            </w:pPr>
          </w:p>
        </w:tc>
        <w:tc>
          <w:tcPr>
            <w:tcW w:w="1940" w:type="dxa"/>
            <w:vAlign w:val="bottom"/>
            <w:tcBorders>
              <w:bottom w:val="single" w:sz="8" w:color="7C7C7C"/>
              <w:right w:val="single" w:sz="8" w:color="E3EFFA"/>
            </w:tcBorders>
            <w:shd w:val="clear" w:color="auto" w:fill="E3EFFA"/>
          </w:tcPr>
          <w:p>
            <w:pPr>
              <w:spacing w:after="0"/>
              <w:rPr>
                <w:sz w:val="8"/>
                <w:szCs w:val="8"/>
                <w:color w:val="auto"/>
              </w:rPr>
            </w:pPr>
          </w:p>
        </w:tc>
        <w:tc>
          <w:tcPr>
            <w:tcW w:w="880" w:type="dxa"/>
            <w:vAlign w:val="bottom"/>
            <w:tcBorders>
              <w:bottom w:val="single" w:sz="8" w:color="7C7C7C"/>
            </w:tcBorders>
          </w:tcPr>
          <w:p>
            <w:pPr>
              <w:spacing w:after="0"/>
              <w:rPr>
                <w:sz w:val="8"/>
                <w:szCs w:val="8"/>
                <w:color w:val="auto"/>
              </w:rPr>
            </w:pPr>
          </w:p>
        </w:tc>
        <w:tc>
          <w:tcPr>
            <w:tcW w:w="840" w:type="dxa"/>
            <w:vAlign w:val="bottom"/>
            <w:tcBorders>
              <w:bottom w:val="single" w:sz="8" w:color="7C7C7C"/>
            </w:tcBorders>
          </w:tcPr>
          <w:p>
            <w:pPr>
              <w:spacing w:after="0"/>
              <w:rPr>
                <w:sz w:val="8"/>
                <w:szCs w:val="8"/>
                <w:color w:val="auto"/>
              </w:rPr>
            </w:pPr>
          </w:p>
        </w:tc>
        <w:tc>
          <w:tcPr>
            <w:tcW w:w="780" w:type="dxa"/>
            <w:vAlign w:val="bottom"/>
            <w:tcBorders>
              <w:bottom w:val="single" w:sz="8" w:color="7C7C7C"/>
            </w:tcBorders>
          </w:tcPr>
          <w:p>
            <w:pPr>
              <w:spacing w:after="0"/>
              <w:rPr>
                <w:sz w:val="8"/>
                <w:szCs w:val="8"/>
                <w:color w:val="auto"/>
              </w:rPr>
            </w:pPr>
          </w:p>
        </w:tc>
        <w:tc>
          <w:tcPr>
            <w:tcW w:w="700" w:type="dxa"/>
            <w:vAlign w:val="bottom"/>
            <w:tcBorders>
              <w:bottom w:val="single" w:sz="8" w:color="7C7C7C"/>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460" w:type="dxa"/>
            <w:vAlign w:val="bottom"/>
            <w:gridSpan w:val="3"/>
          </w:tcPr>
          <w:p>
            <w:pPr>
              <w:ind w:left="80"/>
              <w:spacing w:after="0"/>
              <w:rPr>
                <w:sz w:val="20"/>
                <w:szCs w:val="20"/>
                <w:color w:val="auto"/>
              </w:rPr>
            </w:pPr>
            <w:r>
              <w:rPr>
                <w:rFonts w:ascii="Arial" w:cs="Arial" w:eastAsia="Arial" w:hAnsi="Arial"/>
                <w:sz w:val="14"/>
                <w:szCs w:val="14"/>
                <w:color w:val="auto"/>
              </w:rPr>
              <w:t>David L. Gitlin</w:t>
            </w:r>
          </w:p>
        </w:tc>
        <w:tc>
          <w:tcPr>
            <w:tcW w:w="280" w:type="dxa"/>
            <w:vAlign w:val="bottom"/>
            <w:shd w:val="clear" w:color="auto" w:fill="E3EFFA"/>
          </w:tcPr>
          <w:p>
            <w:pPr>
              <w:spacing w:after="0"/>
              <w:rPr>
                <w:sz w:val="20"/>
                <w:szCs w:val="20"/>
                <w:color w:val="auto"/>
              </w:rPr>
            </w:pPr>
          </w:p>
        </w:tc>
        <w:tc>
          <w:tcPr>
            <w:tcW w:w="1540" w:type="dxa"/>
            <w:vAlign w:val="bottom"/>
            <w:tcBorders>
              <w:left w:val="single" w:sz="8" w:color="E3EFFA"/>
            </w:tcBorders>
            <w:shd w:val="clear" w:color="auto" w:fill="E3EFFA"/>
          </w:tcPr>
          <w:p>
            <w:pPr>
              <w:spacing w:after="0"/>
              <w:rPr>
                <w:sz w:val="20"/>
                <w:szCs w:val="20"/>
                <w:color w:val="auto"/>
              </w:rPr>
            </w:pPr>
          </w:p>
        </w:tc>
        <w:tc>
          <w:tcPr>
            <w:tcW w:w="3940" w:type="dxa"/>
            <w:vAlign w:val="bottom"/>
            <w:tcBorders>
              <w:right w:val="single" w:sz="8" w:color="E3EFFA"/>
            </w:tcBorders>
            <w:gridSpan w:val="5"/>
            <w:shd w:val="clear" w:color="auto" w:fill="E3EFFA"/>
          </w:tcPr>
          <w:p>
            <w:pPr>
              <w:jc w:val="right"/>
              <w:ind w:right="1880"/>
              <w:spacing w:after="0"/>
              <w:rPr>
                <w:sz w:val="20"/>
                <w:szCs w:val="20"/>
                <w:color w:val="auto"/>
              </w:rPr>
            </w:pPr>
            <w:r>
              <w:rPr>
                <w:rFonts w:ascii="Arial" w:cs="Arial" w:eastAsia="Arial" w:hAnsi="Arial"/>
                <w:sz w:val="14"/>
                <w:szCs w:val="14"/>
                <w:color w:val="auto"/>
              </w:rPr>
              <w:t>65%</w:t>
            </w:r>
          </w:p>
        </w:tc>
        <w:tc>
          <w:tcPr>
            <w:tcW w:w="880" w:type="dxa"/>
            <w:vAlign w:val="bottom"/>
          </w:tcPr>
          <w:p>
            <w:pPr>
              <w:jc w:val="right"/>
              <w:ind w:right="133"/>
              <w:spacing w:after="0"/>
              <w:rPr>
                <w:sz w:val="20"/>
                <w:szCs w:val="20"/>
                <w:color w:val="auto"/>
              </w:rPr>
            </w:pPr>
            <w:r>
              <w:rPr>
                <w:rFonts w:ascii="Arial" w:cs="Arial" w:eastAsia="Arial" w:hAnsi="Arial"/>
                <w:sz w:val="14"/>
                <w:szCs w:val="14"/>
                <w:color w:val="auto"/>
              </w:rPr>
              <w:t>$900</w:t>
            </w:r>
          </w:p>
        </w:tc>
        <w:tc>
          <w:tcPr>
            <w:tcW w:w="840" w:type="dxa"/>
            <w:vAlign w:val="bottom"/>
          </w:tcPr>
          <w:p>
            <w:pPr>
              <w:jc w:val="right"/>
              <w:ind w:right="153"/>
              <w:spacing w:after="0"/>
              <w:rPr>
                <w:sz w:val="20"/>
                <w:szCs w:val="20"/>
                <w:color w:val="auto"/>
              </w:rPr>
            </w:pPr>
            <w:r>
              <w:rPr>
                <w:rFonts w:ascii="Arial" w:cs="Arial" w:eastAsia="Arial" w:hAnsi="Arial"/>
                <w:sz w:val="14"/>
                <w:szCs w:val="14"/>
                <w:color w:val="auto"/>
              </w:rPr>
              <w:t>$1,300</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$4,100</w:t>
            </w: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0E93D8"/>
              </w:rPr>
              <w:t>$6,300</w:t>
            </w:r>
          </w:p>
        </w:tc>
        <w:tc>
          <w:tcPr>
            <w:tcW w:w="0" w:type="dxa"/>
            <w:vAlign w:val="bottom"/>
          </w:tcPr>
          <w:p>
            <w:pPr>
              <w:spacing w:after="0"/>
              <w:rPr>
                <w:sz w:val="1"/>
                <w:szCs w:val="1"/>
                <w:color w:val="auto"/>
              </w:rPr>
            </w:pPr>
          </w:p>
        </w:tc>
      </w:tr>
      <w:tr>
        <w:trPr>
          <w:trHeight w:val="82"/>
        </w:trPr>
        <w:tc>
          <w:tcPr>
            <w:tcW w:w="140" w:type="dxa"/>
            <w:vAlign w:val="bottom"/>
            <w:tcBorders>
              <w:bottom w:val="single" w:sz="8" w:color="7C7C7C"/>
            </w:tcBorders>
          </w:tcPr>
          <w:p>
            <w:pPr>
              <w:spacing w:after="0"/>
              <w:rPr>
                <w:sz w:val="7"/>
                <w:szCs w:val="7"/>
                <w:color w:val="auto"/>
              </w:rPr>
            </w:pPr>
          </w:p>
        </w:tc>
        <w:tc>
          <w:tcPr>
            <w:tcW w:w="280" w:type="dxa"/>
            <w:vAlign w:val="bottom"/>
            <w:tcBorders>
              <w:bottom w:val="single" w:sz="8" w:color="7C7C7C"/>
            </w:tcBorders>
          </w:tcPr>
          <w:p>
            <w:pPr>
              <w:spacing w:after="0"/>
              <w:rPr>
                <w:sz w:val="7"/>
                <w:szCs w:val="7"/>
                <w:color w:val="auto"/>
              </w:rPr>
            </w:pPr>
          </w:p>
        </w:tc>
        <w:tc>
          <w:tcPr>
            <w:tcW w:w="2040" w:type="dxa"/>
            <w:vAlign w:val="bottom"/>
            <w:tcBorders>
              <w:bottom w:val="single" w:sz="8" w:color="7C7C7C"/>
            </w:tcBorders>
          </w:tcPr>
          <w:p>
            <w:pPr>
              <w:spacing w:after="0"/>
              <w:rPr>
                <w:sz w:val="7"/>
                <w:szCs w:val="7"/>
                <w:color w:val="auto"/>
              </w:rPr>
            </w:pPr>
          </w:p>
        </w:tc>
        <w:tc>
          <w:tcPr>
            <w:tcW w:w="280" w:type="dxa"/>
            <w:vAlign w:val="bottom"/>
            <w:tcBorders>
              <w:bottom w:val="single" w:sz="8" w:color="7C7C7C"/>
            </w:tcBorders>
            <w:shd w:val="clear" w:color="auto" w:fill="E3EFFA"/>
          </w:tcPr>
          <w:p>
            <w:pPr>
              <w:spacing w:after="0"/>
              <w:rPr>
                <w:sz w:val="7"/>
                <w:szCs w:val="7"/>
                <w:color w:val="auto"/>
              </w:rPr>
            </w:pPr>
          </w:p>
        </w:tc>
        <w:tc>
          <w:tcPr>
            <w:tcW w:w="1540" w:type="dxa"/>
            <w:vAlign w:val="bottom"/>
            <w:tcBorders>
              <w:left w:val="single" w:sz="8" w:color="E3EFFA"/>
              <w:bottom w:val="single" w:sz="8" w:color="7C7C7C"/>
            </w:tcBorders>
            <w:shd w:val="clear" w:color="auto" w:fill="E3EFFA"/>
          </w:tcPr>
          <w:p>
            <w:pPr>
              <w:spacing w:after="0"/>
              <w:rPr>
                <w:sz w:val="7"/>
                <w:szCs w:val="7"/>
                <w:color w:val="auto"/>
              </w:rPr>
            </w:pPr>
          </w:p>
        </w:tc>
        <w:tc>
          <w:tcPr>
            <w:tcW w:w="580" w:type="dxa"/>
            <w:vAlign w:val="bottom"/>
            <w:tcBorders>
              <w:bottom w:val="single" w:sz="8" w:color="7C7C7C"/>
            </w:tcBorders>
            <w:shd w:val="clear" w:color="auto" w:fill="E3EFFA"/>
          </w:tcPr>
          <w:p>
            <w:pPr>
              <w:spacing w:after="0"/>
              <w:rPr>
                <w:sz w:val="7"/>
                <w:szCs w:val="7"/>
                <w:color w:val="auto"/>
              </w:rPr>
            </w:pPr>
          </w:p>
        </w:tc>
        <w:tc>
          <w:tcPr>
            <w:tcW w:w="1420" w:type="dxa"/>
            <w:vAlign w:val="bottom"/>
            <w:tcBorders>
              <w:bottom w:val="single" w:sz="8" w:color="7C7C7C"/>
            </w:tcBorders>
            <w:gridSpan w:val="3"/>
            <w:shd w:val="clear" w:color="auto" w:fill="E3EFFA"/>
          </w:tcPr>
          <w:p>
            <w:pPr>
              <w:spacing w:after="0"/>
              <w:rPr>
                <w:sz w:val="7"/>
                <w:szCs w:val="7"/>
                <w:color w:val="auto"/>
              </w:rPr>
            </w:pPr>
          </w:p>
        </w:tc>
        <w:tc>
          <w:tcPr>
            <w:tcW w:w="1940" w:type="dxa"/>
            <w:vAlign w:val="bottom"/>
            <w:tcBorders>
              <w:bottom w:val="single" w:sz="8" w:color="7C7C7C"/>
              <w:right w:val="single" w:sz="8" w:color="E3EFFA"/>
            </w:tcBorders>
            <w:shd w:val="clear" w:color="auto" w:fill="E3EFFA"/>
          </w:tcPr>
          <w:p>
            <w:pPr>
              <w:spacing w:after="0"/>
              <w:rPr>
                <w:sz w:val="7"/>
                <w:szCs w:val="7"/>
                <w:color w:val="auto"/>
              </w:rPr>
            </w:pPr>
          </w:p>
        </w:tc>
        <w:tc>
          <w:tcPr>
            <w:tcW w:w="880" w:type="dxa"/>
            <w:vAlign w:val="bottom"/>
            <w:tcBorders>
              <w:bottom w:val="single" w:sz="8" w:color="7C7C7C"/>
            </w:tcBorders>
          </w:tcPr>
          <w:p>
            <w:pPr>
              <w:spacing w:after="0"/>
              <w:rPr>
                <w:sz w:val="7"/>
                <w:szCs w:val="7"/>
                <w:color w:val="auto"/>
              </w:rPr>
            </w:pPr>
          </w:p>
        </w:tc>
        <w:tc>
          <w:tcPr>
            <w:tcW w:w="840" w:type="dxa"/>
            <w:vAlign w:val="bottom"/>
            <w:tcBorders>
              <w:bottom w:val="single" w:sz="8" w:color="7C7C7C"/>
            </w:tcBorders>
          </w:tcPr>
          <w:p>
            <w:pPr>
              <w:spacing w:after="0"/>
              <w:rPr>
                <w:sz w:val="7"/>
                <w:szCs w:val="7"/>
                <w:color w:val="auto"/>
              </w:rPr>
            </w:pPr>
          </w:p>
        </w:tc>
        <w:tc>
          <w:tcPr>
            <w:tcW w:w="780" w:type="dxa"/>
            <w:vAlign w:val="bottom"/>
            <w:tcBorders>
              <w:bottom w:val="single" w:sz="8" w:color="7C7C7C"/>
            </w:tcBorders>
          </w:tcPr>
          <w:p>
            <w:pPr>
              <w:spacing w:after="0"/>
              <w:rPr>
                <w:sz w:val="7"/>
                <w:szCs w:val="7"/>
                <w:color w:val="auto"/>
              </w:rPr>
            </w:pPr>
          </w:p>
        </w:tc>
        <w:tc>
          <w:tcPr>
            <w:tcW w:w="700" w:type="dxa"/>
            <w:vAlign w:val="bottom"/>
            <w:tcBorders>
              <w:bottom w:val="single" w:sz="8" w:color="7C7C7C"/>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color w:val="auto"/>
                <w:w w:val="94"/>
              </w:rPr>
              <w:t>“At-Risk” Compensation</w:t>
            </w: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Borders>
              <w:left w:val="single" w:sz="8" w:color="auto"/>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-1337310</wp:posOffset>
            </wp:positionV>
            <wp:extent cx="668655" cy="1097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655" cy="1097915"/>
                    </a:xfrm>
                    <a:prstGeom prst="rect">
                      <a:avLst/>
                    </a:prstGeom>
                    <a:noFill/>
                  </pic:spPr>
                </pic:pic>
              </a:graphicData>
            </a:graphic>
          </wp:anchor>
        </w:drawing>
      </w:r>
    </w:p>
    <w:p>
      <w:pPr>
        <w:spacing w:after="0" w:line="222" w:lineRule="exact"/>
        <w:rPr>
          <w:sz w:val="20"/>
          <w:szCs w:val="20"/>
          <w:color w:val="auto"/>
        </w:rPr>
      </w:pPr>
    </w:p>
    <w:p>
      <w:pPr>
        <w:ind w:left="120" w:hanging="112"/>
        <w:spacing w:after="0" w:line="228" w:lineRule="auto"/>
        <w:tabs>
          <w:tab w:leader="none" w:pos="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a pro-rata portion of Mr. Ortberg’s base salary and the target annual bonus paid to him for the portion of the year that he was a UTC employee (November 26, 2018, the closing date of the Rockwell Collins acquisition, through December 31, 2018). Mr. Ortberg’s annualized 2018 base salary of $1,170,500 was previously approved by the Rockwell Collins Compensation Committee prior to UTC’s acquisition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RECENT CHANGES TO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-90805</wp:posOffset>
            </wp:positionV>
            <wp:extent cx="484505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45050" cy="9461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770"/>
        </w:trPr>
        <w:tc>
          <w:tcPr>
            <w:tcW w:w="5640" w:type="dxa"/>
            <w:vAlign w:val="bottom"/>
            <w:gridSpan w:val="3"/>
            <w:shd w:val="clear" w:color="auto" w:fill="F2F8FA"/>
          </w:tcPr>
          <w:p>
            <w:pPr>
              <w:spacing w:after="0"/>
              <w:rPr>
                <w:sz w:val="20"/>
                <w:szCs w:val="20"/>
                <w:color w:val="auto"/>
              </w:rPr>
            </w:pPr>
            <w:r>
              <w:rPr>
                <w:rFonts w:ascii="Arial" w:cs="Arial" w:eastAsia="Arial" w:hAnsi="Arial"/>
                <w:sz w:val="65"/>
                <w:szCs w:val="65"/>
                <w:b w:val="1"/>
                <w:bCs w:val="1"/>
                <w:color w:val="D4E6F6"/>
              </w:rPr>
              <w:t xml:space="preserve">What </w:t>
            </w:r>
            <w:r>
              <w:rPr>
                <w:rFonts w:ascii="Arial" w:cs="Arial" w:eastAsia="Arial" w:hAnsi="Arial"/>
                <w:sz w:val="21"/>
                <w:szCs w:val="21"/>
                <w:b w:val="1"/>
                <w:bCs w:val="1"/>
                <w:color w:val="0E93D8"/>
              </w:rPr>
              <w:t>we changed</w:t>
            </w:r>
          </w:p>
        </w:tc>
        <w:tc>
          <w:tcPr>
            <w:tcW w:w="5780" w:type="dxa"/>
            <w:vAlign w:val="bottom"/>
            <w:gridSpan w:val="2"/>
            <w:shd w:val="clear" w:color="auto" w:fill="F2F8FA"/>
          </w:tcPr>
          <w:p>
            <w:pPr>
              <w:ind w:left="260"/>
              <w:spacing w:after="0"/>
              <w:rPr>
                <w:sz w:val="20"/>
                <w:szCs w:val="20"/>
                <w:color w:val="auto"/>
              </w:rPr>
            </w:pPr>
            <w:r>
              <w:rPr>
                <w:rFonts w:ascii="Arial" w:cs="Arial" w:eastAsia="Arial" w:hAnsi="Arial"/>
                <w:sz w:val="65"/>
                <w:szCs w:val="65"/>
                <w:b w:val="1"/>
                <w:bCs w:val="1"/>
                <w:color w:val="FFFFFF"/>
              </w:rPr>
              <w:t xml:space="preserve">Why </w:t>
            </w:r>
            <w:r>
              <w:rPr>
                <w:rFonts w:ascii="Arial" w:cs="Arial" w:eastAsia="Arial" w:hAnsi="Arial"/>
                <w:sz w:val="21"/>
                <w:szCs w:val="21"/>
                <w:b w:val="1"/>
                <w:bCs w:val="1"/>
                <w:color w:val="7C7C7C"/>
              </w:rPr>
              <w:t>we changed it</w:t>
            </w:r>
          </w:p>
        </w:tc>
        <w:tc>
          <w:tcPr>
            <w:tcW w:w="0" w:type="dxa"/>
            <w:vAlign w:val="bottom"/>
          </w:tcPr>
          <w:p>
            <w:pPr>
              <w:spacing w:after="0"/>
              <w:rPr>
                <w:sz w:val="1"/>
                <w:szCs w:val="1"/>
                <w:color w:val="auto"/>
              </w:rPr>
            </w:pPr>
          </w:p>
        </w:tc>
      </w:tr>
      <w:tr>
        <w:trPr>
          <w:trHeight w:val="283"/>
        </w:trPr>
        <w:tc>
          <w:tcPr>
            <w:tcW w:w="160" w:type="dxa"/>
            <w:vAlign w:val="bottom"/>
            <w:shd w:val="clear" w:color="auto" w:fill="DAE9F7"/>
          </w:tcPr>
          <w:p>
            <w:pPr>
              <w:spacing w:after="0"/>
              <w:rPr>
                <w:sz w:val="24"/>
                <w:szCs w:val="24"/>
                <w:color w:val="auto"/>
              </w:rPr>
            </w:pPr>
          </w:p>
        </w:tc>
        <w:tc>
          <w:tcPr>
            <w:tcW w:w="5340" w:type="dxa"/>
            <w:vAlign w:val="bottom"/>
            <w:shd w:val="clear" w:color="auto" w:fill="DAE9F7"/>
          </w:tcPr>
          <w:p>
            <w:pPr>
              <w:spacing w:after="0"/>
              <w:rPr>
                <w:sz w:val="20"/>
                <w:szCs w:val="20"/>
                <w:color w:val="auto"/>
              </w:rPr>
            </w:pPr>
            <w:r>
              <w:rPr>
                <w:rFonts w:ascii="Arial" w:cs="Arial" w:eastAsia="Arial" w:hAnsi="Arial"/>
                <w:sz w:val="14"/>
                <w:szCs w:val="14"/>
                <w:b w:val="1"/>
                <w:bCs w:val="1"/>
                <w:color w:val="59A7E1"/>
              </w:rPr>
              <w:t>We changed our annual bonus funding formula for business unit executives.</w:t>
            </w:r>
          </w:p>
        </w:tc>
        <w:tc>
          <w:tcPr>
            <w:tcW w:w="140" w:type="dxa"/>
            <w:vAlign w:val="bottom"/>
            <w:shd w:val="clear" w:color="auto" w:fill="DAE9F7"/>
          </w:tcPr>
          <w:p>
            <w:pPr>
              <w:spacing w:after="0"/>
              <w:rPr>
                <w:sz w:val="24"/>
                <w:szCs w:val="24"/>
                <w:color w:val="auto"/>
              </w:rPr>
            </w:pPr>
          </w:p>
        </w:tc>
        <w:tc>
          <w:tcPr>
            <w:tcW w:w="260" w:type="dxa"/>
            <w:vAlign w:val="bottom"/>
            <w:shd w:val="clear" w:color="auto" w:fill="F2F8FA"/>
          </w:tcPr>
          <w:p>
            <w:pPr>
              <w:spacing w:after="0"/>
              <w:rPr>
                <w:sz w:val="24"/>
                <w:szCs w:val="24"/>
                <w:color w:val="auto"/>
              </w:rPr>
            </w:pPr>
          </w:p>
        </w:tc>
        <w:tc>
          <w:tcPr>
            <w:tcW w:w="5520" w:type="dxa"/>
            <w:vAlign w:val="bottom"/>
          </w:tcPr>
          <w:p>
            <w:pPr>
              <w:ind w:left="160"/>
              <w:spacing w:after="0"/>
              <w:rPr>
                <w:sz w:val="20"/>
                <w:szCs w:val="20"/>
                <w:color w:val="auto"/>
              </w:rPr>
            </w:pPr>
            <w:r>
              <w:rPr>
                <w:rFonts w:ascii="Arial" w:cs="Arial" w:eastAsia="Arial" w:hAnsi="Arial"/>
                <w:sz w:val="14"/>
                <w:szCs w:val="14"/>
                <w:color w:val="auto"/>
              </w:rPr>
              <w:t>With the announcement of our intention to separate UTC, Otis and Carrier into</w:t>
            </w:r>
          </w:p>
        </w:tc>
        <w:tc>
          <w:tcPr>
            <w:tcW w:w="0" w:type="dxa"/>
            <w:vAlign w:val="bottom"/>
          </w:tcPr>
          <w:p>
            <w:pPr>
              <w:spacing w:after="0"/>
              <w:rPr>
                <w:sz w:val="1"/>
                <w:szCs w:val="1"/>
                <w:color w:val="auto"/>
              </w:rPr>
            </w:pPr>
          </w:p>
        </w:tc>
      </w:tr>
      <w:tr>
        <w:trPr>
          <w:trHeight w:val="149"/>
        </w:trPr>
        <w:tc>
          <w:tcPr>
            <w:tcW w:w="160" w:type="dxa"/>
            <w:vAlign w:val="bottom"/>
            <w:shd w:val="clear" w:color="auto" w:fill="DAE9F7"/>
          </w:tcPr>
          <w:p>
            <w:pPr>
              <w:spacing w:after="0"/>
              <w:rPr>
                <w:sz w:val="12"/>
                <w:szCs w:val="12"/>
                <w:color w:val="auto"/>
              </w:rPr>
            </w:pPr>
          </w:p>
        </w:tc>
        <w:tc>
          <w:tcPr>
            <w:tcW w:w="5340" w:type="dxa"/>
            <w:vAlign w:val="bottom"/>
            <w:shd w:val="clear" w:color="auto" w:fill="DAE9F7"/>
          </w:tcPr>
          <w:p>
            <w:pPr>
              <w:spacing w:after="0"/>
              <w:rPr>
                <w:sz w:val="12"/>
                <w:szCs w:val="12"/>
                <w:color w:val="auto"/>
              </w:rPr>
            </w:pPr>
          </w:p>
        </w:tc>
        <w:tc>
          <w:tcPr>
            <w:tcW w:w="140" w:type="dxa"/>
            <w:vAlign w:val="bottom"/>
            <w:shd w:val="clear" w:color="auto" w:fill="DAE9F7"/>
          </w:tcPr>
          <w:p>
            <w:pPr>
              <w:spacing w:after="0"/>
              <w:rPr>
                <w:sz w:val="12"/>
                <w:szCs w:val="12"/>
                <w:color w:val="auto"/>
              </w:rPr>
            </w:pPr>
          </w:p>
        </w:tc>
        <w:tc>
          <w:tcPr>
            <w:tcW w:w="260" w:type="dxa"/>
            <w:vAlign w:val="bottom"/>
            <w:shd w:val="clear" w:color="auto" w:fill="F2F8FA"/>
          </w:tcPr>
          <w:p>
            <w:pPr>
              <w:spacing w:after="0"/>
              <w:rPr>
                <w:sz w:val="12"/>
                <w:szCs w:val="12"/>
                <w:color w:val="auto"/>
              </w:rPr>
            </w:pPr>
          </w:p>
        </w:tc>
        <w:tc>
          <w:tcPr>
            <w:tcW w:w="5520" w:type="dxa"/>
            <w:vAlign w:val="bottom"/>
          </w:tcPr>
          <w:p>
            <w:pPr>
              <w:ind w:left="160"/>
              <w:spacing w:after="0" w:line="149" w:lineRule="exact"/>
              <w:rPr>
                <w:sz w:val="20"/>
                <w:szCs w:val="20"/>
                <w:color w:val="auto"/>
              </w:rPr>
            </w:pPr>
            <w:r>
              <w:rPr>
                <w:rFonts w:ascii="Arial" w:cs="Arial" w:eastAsia="Arial" w:hAnsi="Arial"/>
                <w:sz w:val="14"/>
                <w:szCs w:val="14"/>
                <w:color w:val="auto"/>
                <w:w w:val="98"/>
              </w:rPr>
              <w:t>independent companies, the Committee believes business unit executives should focus</w:t>
            </w:r>
          </w:p>
        </w:tc>
        <w:tc>
          <w:tcPr>
            <w:tcW w:w="0" w:type="dxa"/>
            <w:vAlign w:val="bottom"/>
          </w:tcPr>
          <w:p>
            <w:pPr>
              <w:spacing w:after="0"/>
              <w:rPr>
                <w:sz w:val="1"/>
                <w:szCs w:val="1"/>
                <w:color w:val="auto"/>
              </w:rPr>
            </w:pPr>
          </w:p>
        </w:tc>
      </w:tr>
      <w:tr>
        <w:trPr>
          <w:trHeight w:val="162"/>
        </w:trPr>
        <w:tc>
          <w:tcPr>
            <w:tcW w:w="160" w:type="dxa"/>
            <w:vAlign w:val="bottom"/>
            <w:shd w:val="clear" w:color="auto" w:fill="DAE9F7"/>
          </w:tcPr>
          <w:p>
            <w:pPr>
              <w:spacing w:after="0"/>
              <w:rPr>
                <w:sz w:val="14"/>
                <w:szCs w:val="14"/>
                <w:color w:val="auto"/>
              </w:rPr>
            </w:pPr>
          </w:p>
        </w:tc>
        <w:tc>
          <w:tcPr>
            <w:tcW w:w="5340" w:type="dxa"/>
            <w:vAlign w:val="bottom"/>
            <w:vMerge w:val="restart"/>
            <w:shd w:val="clear" w:color="auto" w:fill="DAE9F7"/>
          </w:tcPr>
          <w:p>
            <w:pPr>
              <w:spacing w:after="0"/>
              <w:rPr>
                <w:sz w:val="20"/>
                <w:szCs w:val="20"/>
                <w:color w:val="auto"/>
              </w:rPr>
            </w:pPr>
            <w:r>
              <w:rPr>
                <w:rFonts w:ascii="Arial" w:cs="Arial" w:eastAsia="Arial" w:hAnsi="Arial"/>
                <w:sz w:val="14"/>
                <w:szCs w:val="14"/>
                <w:color w:val="auto"/>
                <w:w w:val="97"/>
              </w:rPr>
              <w:t>Beginning in 2019, the annual bonus funding formula for business unit executives will be</w:t>
            </w:r>
          </w:p>
        </w:tc>
        <w:tc>
          <w:tcPr>
            <w:tcW w:w="140" w:type="dxa"/>
            <w:vAlign w:val="bottom"/>
            <w:shd w:val="clear" w:color="auto" w:fill="DAE9F7"/>
          </w:tcPr>
          <w:p>
            <w:pPr>
              <w:spacing w:after="0"/>
              <w:rPr>
                <w:sz w:val="14"/>
                <w:szCs w:val="14"/>
                <w:color w:val="auto"/>
              </w:rPr>
            </w:pPr>
          </w:p>
        </w:tc>
        <w:tc>
          <w:tcPr>
            <w:tcW w:w="260" w:type="dxa"/>
            <w:vAlign w:val="bottom"/>
            <w:shd w:val="clear" w:color="auto" w:fill="F2F8FA"/>
          </w:tcPr>
          <w:p>
            <w:pPr>
              <w:spacing w:after="0"/>
              <w:rPr>
                <w:sz w:val="14"/>
                <w:szCs w:val="14"/>
                <w:color w:val="auto"/>
              </w:rPr>
            </w:pPr>
          </w:p>
        </w:tc>
        <w:tc>
          <w:tcPr>
            <w:tcW w:w="5520" w:type="dxa"/>
            <w:vAlign w:val="bottom"/>
          </w:tcPr>
          <w:p>
            <w:pPr>
              <w:ind w:left="160"/>
              <w:spacing w:after="0"/>
              <w:rPr>
                <w:sz w:val="20"/>
                <w:szCs w:val="20"/>
                <w:color w:val="auto"/>
              </w:rPr>
            </w:pPr>
            <w:r>
              <w:rPr>
                <w:rFonts w:ascii="Arial" w:cs="Arial" w:eastAsia="Arial" w:hAnsi="Arial"/>
                <w:sz w:val="14"/>
                <w:szCs w:val="14"/>
                <w:color w:val="auto"/>
              </w:rPr>
              <w:t>on segment performance during the pre-separation transition period.</w:t>
            </w:r>
          </w:p>
        </w:tc>
        <w:tc>
          <w:tcPr>
            <w:tcW w:w="0" w:type="dxa"/>
            <w:vAlign w:val="bottom"/>
          </w:tcPr>
          <w:p>
            <w:pPr>
              <w:spacing w:after="0"/>
              <w:rPr>
                <w:sz w:val="1"/>
                <w:szCs w:val="1"/>
                <w:color w:val="auto"/>
              </w:rPr>
            </w:pPr>
          </w:p>
        </w:tc>
      </w:tr>
      <w:tr>
        <w:trPr>
          <w:trHeight w:val="54"/>
        </w:trPr>
        <w:tc>
          <w:tcPr>
            <w:tcW w:w="160" w:type="dxa"/>
            <w:vAlign w:val="bottom"/>
            <w:shd w:val="clear" w:color="auto" w:fill="DAE9F7"/>
          </w:tcPr>
          <w:p>
            <w:pPr>
              <w:spacing w:after="0"/>
              <w:rPr>
                <w:sz w:val="4"/>
                <w:szCs w:val="4"/>
                <w:color w:val="auto"/>
              </w:rPr>
            </w:pPr>
          </w:p>
        </w:tc>
        <w:tc>
          <w:tcPr>
            <w:tcW w:w="5340" w:type="dxa"/>
            <w:vAlign w:val="bottom"/>
            <w:vMerge w:val="continue"/>
            <w:shd w:val="clear" w:color="auto" w:fill="DAE9F7"/>
          </w:tcPr>
          <w:p>
            <w:pPr>
              <w:spacing w:after="0"/>
              <w:rPr>
                <w:sz w:val="4"/>
                <w:szCs w:val="4"/>
                <w:color w:val="auto"/>
              </w:rPr>
            </w:pPr>
          </w:p>
        </w:tc>
        <w:tc>
          <w:tcPr>
            <w:tcW w:w="140" w:type="dxa"/>
            <w:vAlign w:val="bottom"/>
            <w:shd w:val="clear" w:color="auto" w:fill="DAE9F7"/>
          </w:tcPr>
          <w:p>
            <w:pPr>
              <w:spacing w:after="0"/>
              <w:rPr>
                <w:sz w:val="4"/>
                <w:szCs w:val="4"/>
                <w:color w:val="auto"/>
              </w:rPr>
            </w:pPr>
          </w:p>
        </w:tc>
        <w:tc>
          <w:tcPr>
            <w:tcW w:w="260" w:type="dxa"/>
            <w:vAlign w:val="bottom"/>
            <w:shd w:val="clear" w:color="auto" w:fill="F2F8FA"/>
          </w:tcPr>
          <w:p>
            <w:pPr>
              <w:spacing w:after="0"/>
              <w:rPr>
                <w:sz w:val="4"/>
                <w:szCs w:val="4"/>
                <w:color w:val="auto"/>
              </w:rPr>
            </w:pPr>
          </w:p>
        </w:tc>
        <w:tc>
          <w:tcPr>
            <w:tcW w:w="5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DAE9F7"/>
          </w:tcPr>
          <w:p>
            <w:pPr>
              <w:spacing w:after="0"/>
              <w:rPr>
                <w:sz w:val="12"/>
                <w:szCs w:val="12"/>
                <w:color w:val="auto"/>
              </w:rPr>
            </w:pPr>
          </w:p>
        </w:tc>
        <w:tc>
          <w:tcPr>
            <w:tcW w:w="5340" w:type="dxa"/>
            <w:vAlign w:val="bottom"/>
            <w:shd w:val="clear" w:color="auto" w:fill="DAE9F7"/>
          </w:tcPr>
          <w:p>
            <w:pPr>
              <w:spacing w:after="0" w:line="149" w:lineRule="exact"/>
              <w:rPr>
                <w:sz w:val="20"/>
                <w:szCs w:val="20"/>
                <w:color w:val="auto"/>
              </w:rPr>
            </w:pPr>
            <w:r>
              <w:rPr>
                <w:rFonts w:ascii="Arial" w:cs="Arial" w:eastAsia="Arial" w:hAnsi="Arial"/>
                <w:sz w:val="14"/>
                <w:szCs w:val="14"/>
                <w:color w:val="auto"/>
              </w:rPr>
              <w:t>based solely on business unit performance. Previously, 60% of funding was based on</w:t>
            </w:r>
          </w:p>
        </w:tc>
        <w:tc>
          <w:tcPr>
            <w:tcW w:w="140" w:type="dxa"/>
            <w:vAlign w:val="bottom"/>
            <w:shd w:val="clear" w:color="auto" w:fill="DAE9F7"/>
          </w:tcPr>
          <w:p>
            <w:pPr>
              <w:spacing w:after="0"/>
              <w:rPr>
                <w:sz w:val="12"/>
                <w:szCs w:val="12"/>
                <w:color w:val="auto"/>
              </w:rPr>
            </w:pPr>
          </w:p>
        </w:tc>
        <w:tc>
          <w:tcPr>
            <w:tcW w:w="260" w:type="dxa"/>
            <w:vAlign w:val="bottom"/>
            <w:shd w:val="clear" w:color="auto" w:fill="F2F8FA"/>
          </w:tcPr>
          <w:p>
            <w:pPr>
              <w:spacing w:after="0"/>
              <w:rPr>
                <w:sz w:val="12"/>
                <w:szCs w:val="12"/>
                <w:color w:val="auto"/>
              </w:rPr>
            </w:pPr>
          </w:p>
        </w:tc>
        <w:tc>
          <w:tcPr>
            <w:tcW w:w="5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DAE9F7"/>
          </w:tcPr>
          <w:p>
            <w:pPr>
              <w:spacing w:after="0"/>
              <w:rPr>
                <w:sz w:val="12"/>
                <w:szCs w:val="12"/>
                <w:color w:val="auto"/>
              </w:rPr>
            </w:pPr>
          </w:p>
        </w:tc>
        <w:tc>
          <w:tcPr>
            <w:tcW w:w="5340" w:type="dxa"/>
            <w:vAlign w:val="bottom"/>
            <w:shd w:val="clear" w:color="auto" w:fill="DAE9F7"/>
          </w:tcPr>
          <w:p>
            <w:pPr>
              <w:spacing w:after="0" w:line="149" w:lineRule="exact"/>
              <w:rPr>
                <w:sz w:val="20"/>
                <w:szCs w:val="20"/>
                <w:color w:val="auto"/>
              </w:rPr>
            </w:pPr>
            <w:r>
              <w:rPr>
                <w:rFonts w:ascii="Arial" w:cs="Arial" w:eastAsia="Arial" w:hAnsi="Arial"/>
                <w:sz w:val="14"/>
                <w:szCs w:val="14"/>
                <w:color w:val="auto"/>
              </w:rPr>
              <w:t>business unit performance and 40% on UTC’s overall performance.</w:t>
            </w:r>
          </w:p>
        </w:tc>
        <w:tc>
          <w:tcPr>
            <w:tcW w:w="140" w:type="dxa"/>
            <w:vAlign w:val="bottom"/>
            <w:shd w:val="clear" w:color="auto" w:fill="DAE9F7"/>
          </w:tcPr>
          <w:p>
            <w:pPr>
              <w:spacing w:after="0"/>
              <w:rPr>
                <w:sz w:val="12"/>
                <w:szCs w:val="12"/>
                <w:color w:val="auto"/>
              </w:rPr>
            </w:pPr>
          </w:p>
        </w:tc>
        <w:tc>
          <w:tcPr>
            <w:tcW w:w="260" w:type="dxa"/>
            <w:vAlign w:val="bottom"/>
            <w:shd w:val="clear" w:color="auto" w:fill="F2F8FA"/>
          </w:tcPr>
          <w:p>
            <w:pPr>
              <w:spacing w:after="0"/>
              <w:rPr>
                <w:sz w:val="12"/>
                <w:szCs w:val="12"/>
                <w:color w:val="auto"/>
              </w:rPr>
            </w:pPr>
          </w:p>
        </w:tc>
        <w:tc>
          <w:tcPr>
            <w:tcW w:w="5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shd w:val="clear" w:color="auto" w:fill="DAE9F7"/>
          </w:tcPr>
          <w:p>
            <w:pPr>
              <w:spacing w:after="0"/>
              <w:rPr>
                <w:sz w:val="11"/>
                <w:szCs w:val="11"/>
                <w:color w:val="auto"/>
              </w:rPr>
            </w:pPr>
          </w:p>
        </w:tc>
        <w:tc>
          <w:tcPr>
            <w:tcW w:w="5340" w:type="dxa"/>
            <w:vAlign w:val="bottom"/>
            <w:shd w:val="clear" w:color="auto" w:fill="DAE9F7"/>
          </w:tcPr>
          <w:p>
            <w:pPr>
              <w:spacing w:after="0"/>
              <w:rPr>
                <w:sz w:val="11"/>
                <w:szCs w:val="11"/>
                <w:color w:val="auto"/>
              </w:rPr>
            </w:pPr>
          </w:p>
        </w:tc>
        <w:tc>
          <w:tcPr>
            <w:tcW w:w="140" w:type="dxa"/>
            <w:vAlign w:val="bottom"/>
            <w:shd w:val="clear" w:color="auto" w:fill="DAE9F7"/>
          </w:tcPr>
          <w:p>
            <w:pPr>
              <w:spacing w:after="0"/>
              <w:rPr>
                <w:sz w:val="11"/>
                <w:szCs w:val="11"/>
                <w:color w:val="auto"/>
              </w:rPr>
            </w:pPr>
          </w:p>
        </w:tc>
        <w:tc>
          <w:tcPr>
            <w:tcW w:w="260" w:type="dxa"/>
            <w:vAlign w:val="bottom"/>
            <w:shd w:val="clear" w:color="auto" w:fill="F2F8FA"/>
          </w:tcPr>
          <w:p>
            <w:pPr>
              <w:spacing w:after="0"/>
              <w:rPr>
                <w:sz w:val="11"/>
                <w:szCs w:val="11"/>
                <w:color w:val="auto"/>
              </w:rPr>
            </w:pPr>
          </w:p>
        </w:tc>
        <w:tc>
          <w:tcPr>
            <w:tcW w:w="5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640" w:type="dxa"/>
            <w:vAlign w:val="bottom"/>
            <w:gridSpan w:val="3"/>
            <w:shd w:val="clear" w:color="auto" w:fill="F2F8FA"/>
          </w:tcPr>
          <w:p>
            <w:pPr>
              <w:spacing w:after="0"/>
              <w:rPr>
                <w:sz w:val="21"/>
                <w:szCs w:val="21"/>
                <w:color w:val="auto"/>
              </w:rPr>
            </w:pPr>
          </w:p>
        </w:tc>
        <w:tc>
          <w:tcPr>
            <w:tcW w:w="260" w:type="dxa"/>
            <w:vAlign w:val="bottom"/>
            <w:shd w:val="clear" w:color="auto" w:fill="F2F8FA"/>
          </w:tcPr>
          <w:p>
            <w:pPr>
              <w:spacing w:after="0"/>
              <w:rPr>
                <w:sz w:val="21"/>
                <w:szCs w:val="21"/>
                <w:color w:val="auto"/>
              </w:rPr>
            </w:pPr>
          </w:p>
        </w:tc>
        <w:tc>
          <w:tcPr>
            <w:tcW w:w="5520" w:type="dxa"/>
            <w:vAlign w:val="bottom"/>
            <w:shd w:val="clear" w:color="auto" w:fill="F2F8FA"/>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0" w:type="dxa"/>
            <w:vAlign w:val="bottom"/>
            <w:shd w:val="clear" w:color="auto" w:fill="DAE9F7"/>
          </w:tcPr>
          <w:p>
            <w:pPr>
              <w:spacing w:after="0"/>
              <w:rPr>
                <w:sz w:val="24"/>
                <w:szCs w:val="24"/>
                <w:color w:val="auto"/>
              </w:rPr>
            </w:pPr>
          </w:p>
        </w:tc>
        <w:tc>
          <w:tcPr>
            <w:tcW w:w="5340" w:type="dxa"/>
            <w:vAlign w:val="bottom"/>
            <w:shd w:val="clear" w:color="auto" w:fill="DAE9F7"/>
          </w:tcPr>
          <w:p>
            <w:pPr>
              <w:spacing w:after="0"/>
              <w:rPr>
                <w:sz w:val="20"/>
                <w:szCs w:val="20"/>
                <w:color w:val="auto"/>
              </w:rPr>
            </w:pPr>
            <w:r>
              <w:rPr>
                <w:rFonts w:ascii="Arial" w:cs="Arial" w:eastAsia="Arial" w:hAnsi="Arial"/>
                <w:sz w:val="14"/>
                <w:szCs w:val="14"/>
                <w:b w:val="1"/>
                <w:bCs w:val="1"/>
                <w:color w:val="59A7E1"/>
              </w:rPr>
              <w:t>The mix of LTI for our Executive Leadership Group (“ELG”) has changed.</w:t>
            </w:r>
          </w:p>
        </w:tc>
        <w:tc>
          <w:tcPr>
            <w:tcW w:w="140" w:type="dxa"/>
            <w:vAlign w:val="bottom"/>
            <w:shd w:val="clear" w:color="auto" w:fill="DAE9F7"/>
          </w:tcPr>
          <w:p>
            <w:pPr>
              <w:spacing w:after="0"/>
              <w:rPr>
                <w:sz w:val="24"/>
                <w:szCs w:val="24"/>
                <w:color w:val="auto"/>
              </w:rPr>
            </w:pPr>
          </w:p>
        </w:tc>
        <w:tc>
          <w:tcPr>
            <w:tcW w:w="260" w:type="dxa"/>
            <w:vAlign w:val="bottom"/>
            <w:shd w:val="clear" w:color="auto" w:fill="F2F8FA"/>
          </w:tcPr>
          <w:p>
            <w:pPr>
              <w:spacing w:after="0"/>
              <w:rPr>
                <w:sz w:val="24"/>
                <w:szCs w:val="24"/>
                <w:color w:val="auto"/>
              </w:rPr>
            </w:pPr>
          </w:p>
        </w:tc>
        <w:tc>
          <w:tcPr>
            <w:tcW w:w="5520" w:type="dxa"/>
            <w:vAlign w:val="bottom"/>
          </w:tcPr>
          <w:p>
            <w:pPr>
              <w:ind w:left="160"/>
              <w:spacing w:after="0"/>
              <w:rPr>
                <w:sz w:val="20"/>
                <w:szCs w:val="20"/>
                <w:color w:val="auto"/>
              </w:rPr>
            </w:pPr>
            <w:r>
              <w:rPr>
                <w:rFonts w:ascii="Arial" w:cs="Arial" w:eastAsia="Arial" w:hAnsi="Arial"/>
                <w:sz w:val="14"/>
                <w:szCs w:val="14"/>
                <w:color w:val="auto"/>
                <w:w w:val="99"/>
              </w:rPr>
              <w:t>Over the past two years, the Committee had included restricted stock units (“RSUs”) in</w:t>
            </w:r>
          </w:p>
        </w:tc>
        <w:tc>
          <w:tcPr>
            <w:tcW w:w="0" w:type="dxa"/>
            <w:vAlign w:val="bottom"/>
          </w:tcPr>
          <w:p>
            <w:pPr>
              <w:spacing w:after="0"/>
              <w:rPr>
                <w:sz w:val="1"/>
                <w:szCs w:val="1"/>
                <w:color w:val="auto"/>
              </w:rPr>
            </w:pPr>
          </w:p>
        </w:tc>
      </w:tr>
      <w:tr>
        <w:trPr>
          <w:trHeight w:val="149"/>
        </w:trPr>
        <w:tc>
          <w:tcPr>
            <w:tcW w:w="160" w:type="dxa"/>
            <w:vAlign w:val="bottom"/>
            <w:shd w:val="clear" w:color="auto" w:fill="DAE9F7"/>
          </w:tcPr>
          <w:p>
            <w:pPr>
              <w:spacing w:after="0"/>
              <w:rPr>
                <w:sz w:val="12"/>
                <w:szCs w:val="12"/>
                <w:color w:val="auto"/>
              </w:rPr>
            </w:pPr>
          </w:p>
        </w:tc>
        <w:tc>
          <w:tcPr>
            <w:tcW w:w="5340" w:type="dxa"/>
            <w:vAlign w:val="bottom"/>
            <w:shd w:val="clear" w:color="auto" w:fill="DAE9F7"/>
          </w:tcPr>
          <w:p>
            <w:pPr>
              <w:spacing w:after="0"/>
              <w:rPr>
                <w:sz w:val="12"/>
                <w:szCs w:val="12"/>
                <w:color w:val="auto"/>
              </w:rPr>
            </w:pPr>
          </w:p>
        </w:tc>
        <w:tc>
          <w:tcPr>
            <w:tcW w:w="140" w:type="dxa"/>
            <w:vAlign w:val="bottom"/>
            <w:shd w:val="clear" w:color="auto" w:fill="DAE9F7"/>
          </w:tcPr>
          <w:p>
            <w:pPr>
              <w:spacing w:after="0"/>
              <w:rPr>
                <w:sz w:val="12"/>
                <w:szCs w:val="12"/>
                <w:color w:val="auto"/>
              </w:rPr>
            </w:pPr>
          </w:p>
        </w:tc>
        <w:tc>
          <w:tcPr>
            <w:tcW w:w="260" w:type="dxa"/>
            <w:vAlign w:val="bottom"/>
            <w:shd w:val="clear" w:color="auto" w:fill="F2F8FA"/>
          </w:tcPr>
          <w:p>
            <w:pPr>
              <w:spacing w:after="0"/>
              <w:rPr>
                <w:sz w:val="12"/>
                <w:szCs w:val="12"/>
                <w:color w:val="auto"/>
              </w:rPr>
            </w:pPr>
          </w:p>
        </w:tc>
        <w:tc>
          <w:tcPr>
            <w:tcW w:w="5520" w:type="dxa"/>
            <w:vAlign w:val="bottom"/>
          </w:tcPr>
          <w:p>
            <w:pPr>
              <w:ind w:left="160"/>
              <w:spacing w:after="0" w:line="149" w:lineRule="exact"/>
              <w:rPr>
                <w:sz w:val="20"/>
                <w:szCs w:val="20"/>
                <w:color w:val="auto"/>
              </w:rPr>
            </w:pPr>
            <w:r>
              <w:rPr>
                <w:rFonts w:ascii="Arial" w:cs="Arial" w:eastAsia="Arial" w:hAnsi="Arial"/>
                <w:sz w:val="14"/>
                <w:szCs w:val="14"/>
                <w:color w:val="auto"/>
              </w:rPr>
              <w:t>the ELG LTI mix to enhance retention during a period of significant business</w:t>
            </w:r>
          </w:p>
        </w:tc>
        <w:tc>
          <w:tcPr>
            <w:tcW w:w="0" w:type="dxa"/>
            <w:vAlign w:val="bottom"/>
          </w:tcPr>
          <w:p>
            <w:pPr>
              <w:spacing w:after="0"/>
              <w:rPr>
                <w:sz w:val="1"/>
                <w:szCs w:val="1"/>
                <w:color w:val="auto"/>
              </w:rPr>
            </w:pPr>
          </w:p>
        </w:tc>
      </w:tr>
      <w:tr>
        <w:trPr>
          <w:trHeight w:val="149"/>
        </w:trPr>
        <w:tc>
          <w:tcPr>
            <w:tcW w:w="160" w:type="dxa"/>
            <w:vAlign w:val="bottom"/>
            <w:shd w:val="clear" w:color="auto" w:fill="DAE9F7"/>
          </w:tcPr>
          <w:p>
            <w:pPr>
              <w:spacing w:after="0"/>
              <w:rPr>
                <w:sz w:val="12"/>
                <w:szCs w:val="12"/>
                <w:color w:val="auto"/>
              </w:rPr>
            </w:pPr>
          </w:p>
        </w:tc>
        <w:tc>
          <w:tcPr>
            <w:tcW w:w="5340" w:type="dxa"/>
            <w:vAlign w:val="bottom"/>
            <w:vMerge w:val="restart"/>
            <w:shd w:val="clear" w:color="auto" w:fill="DAE9F7"/>
          </w:tcPr>
          <w:p>
            <w:pPr>
              <w:spacing w:after="0"/>
              <w:rPr>
                <w:sz w:val="20"/>
                <w:szCs w:val="20"/>
                <w:color w:val="auto"/>
              </w:rPr>
            </w:pPr>
            <w:r>
              <w:rPr>
                <w:rFonts w:ascii="Arial" w:cs="Arial" w:eastAsia="Arial" w:hAnsi="Arial"/>
                <w:sz w:val="14"/>
                <w:szCs w:val="14"/>
                <w:color w:val="auto"/>
              </w:rPr>
              <w:t>Beginning with the 2019 awards, ELG members (which include each of our NEOs)</w:t>
            </w:r>
          </w:p>
        </w:tc>
        <w:tc>
          <w:tcPr>
            <w:tcW w:w="140" w:type="dxa"/>
            <w:vAlign w:val="bottom"/>
            <w:shd w:val="clear" w:color="auto" w:fill="DAE9F7"/>
          </w:tcPr>
          <w:p>
            <w:pPr>
              <w:spacing w:after="0"/>
              <w:rPr>
                <w:sz w:val="12"/>
                <w:szCs w:val="12"/>
                <w:color w:val="auto"/>
              </w:rPr>
            </w:pPr>
          </w:p>
        </w:tc>
        <w:tc>
          <w:tcPr>
            <w:tcW w:w="260" w:type="dxa"/>
            <w:vAlign w:val="bottom"/>
            <w:shd w:val="clear" w:color="auto" w:fill="F2F8FA"/>
          </w:tcPr>
          <w:p>
            <w:pPr>
              <w:spacing w:after="0"/>
              <w:rPr>
                <w:sz w:val="12"/>
                <w:szCs w:val="12"/>
                <w:color w:val="auto"/>
              </w:rPr>
            </w:pPr>
          </w:p>
        </w:tc>
        <w:tc>
          <w:tcPr>
            <w:tcW w:w="5520" w:type="dxa"/>
            <w:vAlign w:val="bottom"/>
          </w:tcPr>
          <w:p>
            <w:pPr>
              <w:ind w:left="160"/>
              <w:spacing w:after="0" w:line="149" w:lineRule="exact"/>
              <w:rPr>
                <w:sz w:val="20"/>
                <w:szCs w:val="20"/>
                <w:color w:val="auto"/>
              </w:rPr>
            </w:pPr>
            <w:r>
              <w:rPr>
                <w:rFonts w:ascii="Arial" w:cs="Arial" w:eastAsia="Arial" w:hAnsi="Arial"/>
                <w:sz w:val="14"/>
                <w:szCs w:val="14"/>
                <w:color w:val="auto"/>
              </w:rPr>
              <w:t>investment. With the Company’s announcement to separate into three independent</w:t>
            </w:r>
          </w:p>
        </w:tc>
        <w:tc>
          <w:tcPr>
            <w:tcW w:w="0" w:type="dxa"/>
            <w:vAlign w:val="bottom"/>
          </w:tcPr>
          <w:p>
            <w:pPr>
              <w:spacing w:after="0"/>
              <w:rPr>
                <w:sz w:val="1"/>
                <w:szCs w:val="1"/>
                <w:color w:val="auto"/>
              </w:rPr>
            </w:pPr>
          </w:p>
        </w:tc>
      </w:tr>
      <w:tr>
        <w:trPr>
          <w:trHeight w:val="68"/>
        </w:trPr>
        <w:tc>
          <w:tcPr>
            <w:tcW w:w="160" w:type="dxa"/>
            <w:vAlign w:val="bottom"/>
            <w:shd w:val="clear" w:color="auto" w:fill="DAE9F7"/>
          </w:tcPr>
          <w:p>
            <w:pPr>
              <w:spacing w:after="0"/>
              <w:rPr>
                <w:sz w:val="5"/>
                <w:szCs w:val="5"/>
                <w:color w:val="auto"/>
              </w:rPr>
            </w:pPr>
          </w:p>
        </w:tc>
        <w:tc>
          <w:tcPr>
            <w:tcW w:w="5340" w:type="dxa"/>
            <w:vAlign w:val="bottom"/>
            <w:vMerge w:val="continue"/>
            <w:shd w:val="clear" w:color="auto" w:fill="DAE9F7"/>
          </w:tcPr>
          <w:p>
            <w:pPr>
              <w:spacing w:after="0"/>
              <w:rPr>
                <w:sz w:val="5"/>
                <w:szCs w:val="5"/>
                <w:color w:val="auto"/>
              </w:rPr>
            </w:pPr>
          </w:p>
        </w:tc>
        <w:tc>
          <w:tcPr>
            <w:tcW w:w="140" w:type="dxa"/>
            <w:vAlign w:val="bottom"/>
            <w:shd w:val="clear" w:color="auto" w:fill="DAE9F7"/>
          </w:tcPr>
          <w:p>
            <w:pPr>
              <w:spacing w:after="0"/>
              <w:rPr>
                <w:sz w:val="5"/>
                <w:szCs w:val="5"/>
                <w:color w:val="auto"/>
              </w:rPr>
            </w:pPr>
          </w:p>
        </w:tc>
        <w:tc>
          <w:tcPr>
            <w:tcW w:w="260" w:type="dxa"/>
            <w:vAlign w:val="bottom"/>
            <w:shd w:val="clear" w:color="auto" w:fill="F2F8FA"/>
          </w:tcPr>
          <w:p>
            <w:pPr>
              <w:spacing w:after="0"/>
              <w:rPr>
                <w:sz w:val="5"/>
                <w:szCs w:val="5"/>
                <w:color w:val="auto"/>
              </w:rPr>
            </w:pPr>
          </w:p>
        </w:tc>
        <w:tc>
          <w:tcPr>
            <w:tcW w:w="55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w w:val="98"/>
              </w:rPr>
              <w:t>companies, the Committee believes that a return to the prior LTI structure of 50% SARs</w:t>
            </w:r>
          </w:p>
        </w:tc>
        <w:tc>
          <w:tcPr>
            <w:tcW w:w="0" w:type="dxa"/>
            <w:vAlign w:val="bottom"/>
          </w:tcPr>
          <w:p>
            <w:pPr>
              <w:spacing w:after="0"/>
              <w:rPr>
                <w:sz w:val="1"/>
                <w:szCs w:val="1"/>
                <w:color w:val="auto"/>
              </w:rPr>
            </w:pPr>
          </w:p>
        </w:tc>
      </w:tr>
      <w:tr>
        <w:trPr>
          <w:trHeight w:val="81"/>
        </w:trPr>
        <w:tc>
          <w:tcPr>
            <w:tcW w:w="160" w:type="dxa"/>
            <w:vAlign w:val="bottom"/>
            <w:shd w:val="clear" w:color="auto" w:fill="DAE9F7"/>
          </w:tcPr>
          <w:p>
            <w:pPr>
              <w:spacing w:after="0"/>
              <w:rPr>
                <w:sz w:val="7"/>
                <w:szCs w:val="7"/>
                <w:color w:val="auto"/>
              </w:rPr>
            </w:pPr>
          </w:p>
        </w:tc>
        <w:tc>
          <w:tcPr>
            <w:tcW w:w="5340" w:type="dxa"/>
            <w:vAlign w:val="bottom"/>
            <w:vMerge w:val="restart"/>
            <w:shd w:val="clear" w:color="auto" w:fill="DAE9F7"/>
          </w:tcPr>
          <w:p>
            <w:pPr>
              <w:spacing w:after="0" w:line="149" w:lineRule="exact"/>
              <w:rPr>
                <w:sz w:val="20"/>
                <w:szCs w:val="20"/>
                <w:color w:val="auto"/>
              </w:rPr>
            </w:pPr>
            <w:r>
              <w:rPr>
                <w:rFonts w:ascii="Arial" w:cs="Arial" w:eastAsia="Arial" w:hAnsi="Arial"/>
                <w:sz w:val="14"/>
                <w:szCs w:val="14"/>
                <w:color w:val="auto"/>
                <w:w w:val="96"/>
              </w:rPr>
              <w:t>received 50% of their annual LTI awards in stock appreciation rights (“SARs”) and 50% in</w:t>
            </w:r>
          </w:p>
        </w:tc>
        <w:tc>
          <w:tcPr>
            <w:tcW w:w="140" w:type="dxa"/>
            <w:vAlign w:val="bottom"/>
            <w:shd w:val="clear" w:color="auto" w:fill="DAE9F7"/>
          </w:tcPr>
          <w:p>
            <w:pPr>
              <w:spacing w:after="0"/>
              <w:rPr>
                <w:sz w:val="7"/>
                <w:szCs w:val="7"/>
                <w:color w:val="auto"/>
              </w:rPr>
            </w:pPr>
          </w:p>
        </w:tc>
        <w:tc>
          <w:tcPr>
            <w:tcW w:w="260" w:type="dxa"/>
            <w:vAlign w:val="bottom"/>
            <w:shd w:val="clear" w:color="auto" w:fill="F2F8FA"/>
          </w:tcPr>
          <w:p>
            <w:pPr>
              <w:spacing w:after="0"/>
              <w:rPr>
                <w:sz w:val="7"/>
                <w:szCs w:val="7"/>
                <w:color w:val="auto"/>
              </w:rPr>
            </w:pP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shd w:val="clear" w:color="auto" w:fill="DAE9F7"/>
          </w:tcPr>
          <w:p>
            <w:pPr>
              <w:spacing w:after="0"/>
              <w:rPr>
                <w:sz w:val="5"/>
                <w:szCs w:val="5"/>
                <w:color w:val="auto"/>
              </w:rPr>
            </w:pPr>
          </w:p>
        </w:tc>
        <w:tc>
          <w:tcPr>
            <w:tcW w:w="5340" w:type="dxa"/>
            <w:vAlign w:val="bottom"/>
            <w:vMerge w:val="continue"/>
            <w:shd w:val="clear" w:color="auto" w:fill="DAE9F7"/>
          </w:tcPr>
          <w:p>
            <w:pPr>
              <w:spacing w:after="0"/>
              <w:rPr>
                <w:sz w:val="5"/>
                <w:szCs w:val="5"/>
                <w:color w:val="auto"/>
              </w:rPr>
            </w:pPr>
          </w:p>
        </w:tc>
        <w:tc>
          <w:tcPr>
            <w:tcW w:w="140" w:type="dxa"/>
            <w:vAlign w:val="bottom"/>
            <w:shd w:val="clear" w:color="auto" w:fill="DAE9F7"/>
          </w:tcPr>
          <w:p>
            <w:pPr>
              <w:spacing w:after="0"/>
              <w:rPr>
                <w:sz w:val="5"/>
                <w:szCs w:val="5"/>
                <w:color w:val="auto"/>
              </w:rPr>
            </w:pPr>
          </w:p>
        </w:tc>
        <w:tc>
          <w:tcPr>
            <w:tcW w:w="260" w:type="dxa"/>
            <w:vAlign w:val="bottom"/>
            <w:shd w:val="clear" w:color="auto" w:fill="F2F8FA"/>
          </w:tcPr>
          <w:p>
            <w:pPr>
              <w:spacing w:after="0"/>
              <w:rPr>
                <w:sz w:val="5"/>
                <w:szCs w:val="5"/>
                <w:color w:val="auto"/>
              </w:rPr>
            </w:pPr>
          </w:p>
        </w:tc>
        <w:tc>
          <w:tcPr>
            <w:tcW w:w="55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and 50% PSUs will help drive long-term performance during the transition period and</w:t>
            </w:r>
          </w:p>
        </w:tc>
        <w:tc>
          <w:tcPr>
            <w:tcW w:w="0" w:type="dxa"/>
            <w:vAlign w:val="bottom"/>
          </w:tcPr>
          <w:p>
            <w:pPr>
              <w:spacing w:after="0"/>
              <w:rPr>
                <w:sz w:val="1"/>
                <w:szCs w:val="1"/>
                <w:color w:val="auto"/>
              </w:rPr>
            </w:pPr>
          </w:p>
        </w:tc>
      </w:tr>
      <w:tr>
        <w:trPr>
          <w:trHeight w:val="81"/>
        </w:trPr>
        <w:tc>
          <w:tcPr>
            <w:tcW w:w="160" w:type="dxa"/>
            <w:vAlign w:val="bottom"/>
            <w:shd w:val="clear" w:color="auto" w:fill="DAE9F7"/>
          </w:tcPr>
          <w:p>
            <w:pPr>
              <w:spacing w:after="0"/>
              <w:rPr>
                <w:sz w:val="7"/>
                <w:szCs w:val="7"/>
                <w:color w:val="auto"/>
              </w:rPr>
            </w:pPr>
          </w:p>
        </w:tc>
        <w:tc>
          <w:tcPr>
            <w:tcW w:w="5340" w:type="dxa"/>
            <w:vAlign w:val="bottom"/>
            <w:vMerge w:val="restart"/>
            <w:shd w:val="clear" w:color="auto" w:fill="DAE9F7"/>
          </w:tcPr>
          <w:p>
            <w:pPr>
              <w:spacing w:after="0" w:line="149" w:lineRule="exact"/>
              <w:rPr>
                <w:sz w:val="20"/>
                <w:szCs w:val="20"/>
                <w:color w:val="auto"/>
              </w:rPr>
            </w:pPr>
            <w:r>
              <w:rPr>
                <w:rFonts w:ascii="Arial" w:cs="Arial" w:eastAsia="Arial" w:hAnsi="Arial"/>
                <w:sz w:val="14"/>
                <w:szCs w:val="14"/>
                <w:color w:val="auto"/>
              </w:rPr>
              <w:t>performance share units (“PSUs”).</w:t>
            </w:r>
          </w:p>
        </w:tc>
        <w:tc>
          <w:tcPr>
            <w:tcW w:w="140" w:type="dxa"/>
            <w:vAlign w:val="bottom"/>
            <w:shd w:val="clear" w:color="auto" w:fill="DAE9F7"/>
          </w:tcPr>
          <w:p>
            <w:pPr>
              <w:spacing w:after="0"/>
              <w:rPr>
                <w:sz w:val="7"/>
                <w:szCs w:val="7"/>
                <w:color w:val="auto"/>
              </w:rPr>
            </w:pPr>
          </w:p>
        </w:tc>
        <w:tc>
          <w:tcPr>
            <w:tcW w:w="260" w:type="dxa"/>
            <w:vAlign w:val="bottom"/>
            <w:shd w:val="clear" w:color="auto" w:fill="F2F8FA"/>
          </w:tcPr>
          <w:p>
            <w:pPr>
              <w:spacing w:after="0"/>
              <w:rPr>
                <w:sz w:val="7"/>
                <w:szCs w:val="7"/>
                <w:color w:val="auto"/>
              </w:rPr>
            </w:pP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shd w:val="clear" w:color="auto" w:fill="DAE9F7"/>
          </w:tcPr>
          <w:p>
            <w:pPr>
              <w:spacing w:after="0"/>
              <w:rPr>
                <w:sz w:val="5"/>
                <w:szCs w:val="5"/>
                <w:color w:val="auto"/>
              </w:rPr>
            </w:pPr>
          </w:p>
        </w:tc>
        <w:tc>
          <w:tcPr>
            <w:tcW w:w="5340" w:type="dxa"/>
            <w:vAlign w:val="bottom"/>
            <w:vMerge w:val="continue"/>
            <w:shd w:val="clear" w:color="auto" w:fill="DAE9F7"/>
          </w:tcPr>
          <w:p>
            <w:pPr>
              <w:spacing w:after="0"/>
              <w:rPr>
                <w:sz w:val="5"/>
                <w:szCs w:val="5"/>
                <w:color w:val="auto"/>
              </w:rPr>
            </w:pPr>
          </w:p>
        </w:tc>
        <w:tc>
          <w:tcPr>
            <w:tcW w:w="140" w:type="dxa"/>
            <w:vAlign w:val="bottom"/>
            <w:shd w:val="clear" w:color="auto" w:fill="DAE9F7"/>
          </w:tcPr>
          <w:p>
            <w:pPr>
              <w:spacing w:after="0"/>
              <w:rPr>
                <w:sz w:val="5"/>
                <w:szCs w:val="5"/>
                <w:color w:val="auto"/>
              </w:rPr>
            </w:pPr>
          </w:p>
        </w:tc>
        <w:tc>
          <w:tcPr>
            <w:tcW w:w="260" w:type="dxa"/>
            <w:vAlign w:val="bottom"/>
            <w:shd w:val="clear" w:color="auto" w:fill="F2F8FA"/>
          </w:tcPr>
          <w:p>
            <w:pPr>
              <w:spacing w:after="0"/>
              <w:rPr>
                <w:sz w:val="5"/>
                <w:szCs w:val="5"/>
                <w:color w:val="auto"/>
              </w:rPr>
            </w:pPr>
          </w:p>
        </w:tc>
        <w:tc>
          <w:tcPr>
            <w:tcW w:w="5520" w:type="dxa"/>
            <w:vAlign w:val="bottom"/>
            <w:vMerge w:val="restart"/>
          </w:tcPr>
          <w:p>
            <w:pPr>
              <w:ind w:left="160"/>
              <w:spacing w:after="0"/>
              <w:rPr>
                <w:sz w:val="20"/>
                <w:szCs w:val="20"/>
                <w:color w:val="auto"/>
              </w:rPr>
            </w:pPr>
            <w:r>
              <w:rPr>
                <w:rFonts w:ascii="Arial" w:cs="Arial" w:eastAsia="Arial" w:hAnsi="Arial"/>
                <w:sz w:val="14"/>
                <w:szCs w:val="14"/>
                <w:color w:val="auto"/>
              </w:rPr>
              <w:t>beyond.</w:t>
            </w:r>
          </w:p>
        </w:tc>
        <w:tc>
          <w:tcPr>
            <w:tcW w:w="0" w:type="dxa"/>
            <w:vAlign w:val="bottom"/>
          </w:tcPr>
          <w:p>
            <w:pPr>
              <w:spacing w:after="0"/>
              <w:rPr>
                <w:sz w:val="1"/>
                <w:szCs w:val="1"/>
                <w:color w:val="auto"/>
              </w:rPr>
            </w:pPr>
          </w:p>
        </w:tc>
      </w:tr>
      <w:tr>
        <w:trPr>
          <w:trHeight w:val="94"/>
        </w:trPr>
        <w:tc>
          <w:tcPr>
            <w:tcW w:w="160" w:type="dxa"/>
            <w:vAlign w:val="bottom"/>
            <w:shd w:val="clear" w:color="auto" w:fill="DAE9F7"/>
          </w:tcPr>
          <w:p>
            <w:pPr>
              <w:spacing w:after="0"/>
              <w:rPr>
                <w:sz w:val="8"/>
                <w:szCs w:val="8"/>
                <w:color w:val="auto"/>
              </w:rPr>
            </w:pPr>
          </w:p>
        </w:tc>
        <w:tc>
          <w:tcPr>
            <w:tcW w:w="5340" w:type="dxa"/>
            <w:vAlign w:val="bottom"/>
            <w:shd w:val="clear" w:color="auto" w:fill="DAE9F7"/>
          </w:tcPr>
          <w:p>
            <w:pPr>
              <w:spacing w:after="0"/>
              <w:rPr>
                <w:sz w:val="8"/>
                <w:szCs w:val="8"/>
                <w:color w:val="auto"/>
              </w:rPr>
            </w:pPr>
          </w:p>
        </w:tc>
        <w:tc>
          <w:tcPr>
            <w:tcW w:w="140" w:type="dxa"/>
            <w:vAlign w:val="bottom"/>
            <w:shd w:val="clear" w:color="auto" w:fill="DAE9F7"/>
          </w:tcPr>
          <w:p>
            <w:pPr>
              <w:spacing w:after="0"/>
              <w:rPr>
                <w:sz w:val="8"/>
                <w:szCs w:val="8"/>
                <w:color w:val="auto"/>
              </w:rPr>
            </w:pPr>
          </w:p>
        </w:tc>
        <w:tc>
          <w:tcPr>
            <w:tcW w:w="260" w:type="dxa"/>
            <w:vAlign w:val="bottom"/>
            <w:shd w:val="clear" w:color="auto" w:fill="F2F8FA"/>
          </w:tcPr>
          <w:p>
            <w:pPr>
              <w:spacing w:after="0"/>
              <w:rPr>
                <w:sz w:val="8"/>
                <w:szCs w:val="8"/>
                <w:color w:val="auto"/>
              </w:rPr>
            </w:pPr>
          </w:p>
        </w:tc>
        <w:tc>
          <w:tcPr>
            <w:tcW w:w="5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 w:type="dxa"/>
            <w:vAlign w:val="bottom"/>
            <w:shd w:val="clear" w:color="auto" w:fill="DAE9F7"/>
          </w:tcPr>
          <w:p>
            <w:pPr>
              <w:spacing w:after="0"/>
              <w:rPr>
                <w:sz w:val="10"/>
                <w:szCs w:val="10"/>
                <w:color w:val="auto"/>
              </w:rPr>
            </w:pPr>
          </w:p>
        </w:tc>
        <w:tc>
          <w:tcPr>
            <w:tcW w:w="5340" w:type="dxa"/>
            <w:vAlign w:val="bottom"/>
            <w:shd w:val="clear" w:color="auto" w:fill="DAE9F7"/>
          </w:tcPr>
          <w:p>
            <w:pPr>
              <w:spacing w:after="0"/>
              <w:rPr>
                <w:sz w:val="10"/>
                <w:szCs w:val="10"/>
                <w:color w:val="auto"/>
              </w:rPr>
            </w:pPr>
          </w:p>
        </w:tc>
        <w:tc>
          <w:tcPr>
            <w:tcW w:w="140" w:type="dxa"/>
            <w:vAlign w:val="bottom"/>
            <w:shd w:val="clear" w:color="auto" w:fill="DAE9F7"/>
          </w:tcPr>
          <w:p>
            <w:pPr>
              <w:spacing w:after="0"/>
              <w:rPr>
                <w:sz w:val="10"/>
                <w:szCs w:val="10"/>
                <w:color w:val="auto"/>
              </w:rPr>
            </w:pPr>
          </w:p>
        </w:tc>
        <w:tc>
          <w:tcPr>
            <w:tcW w:w="260" w:type="dxa"/>
            <w:vAlign w:val="bottom"/>
            <w:shd w:val="clear" w:color="auto" w:fill="F2F8FA"/>
          </w:tcPr>
          <w:p>
            <w:pPr>
              <w:spacing w:after="0"/>
              <w:rPr>
                <w:sz w:val="10"/>
                <w:szCs w:val="10"/>
                <w:color w:val="auto"/>
              </w:rPr>
            </w:pPr>
          </w:p>
        </w:tc>
        <w:tc>
          <w:tcPr>
            <w:tcW w:w="5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80" w:hanging="528"/>
        <w:spacing w:after="0"/>
        <w:tabs>
          <w:tab w:leader="none" w:pos="780" w:val="left"/>
        </w:tabs>
        <w:numPr>
          <w:ilvl w:val="0"/>
          <w:numId w:val="18"/>
        </w:numPr>
        <w:rPr>
          <w:rFonts w:ascii="Arial" w:cs="Arial" w:eastAsia="Arial" w:hAnsi="Arial"/>
          <w:sz w:val="18"/>
          <w:szCs w:val="18"/>
          <w:b w:val="1"/>
          <w:bCs w:val="1"/>
          <w:color w:val="FFFFFF"/>
        </w:rPr>
      </w:pPr>
      <w:r>
        <w:rPr>
          <w:rFonts w:ascii="Arial" w:cs="Arial" w:eastAsia="Arial" w:hAnsi="Arial"/>
          <w:sz w:val="14"/>
          <w:szCs w:val="14"/>
          <w:color w:val="0E93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719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23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100"/>
        <w:spacing w:after="0"/>
        <w:rPr>
          <w:sz w:val="20"/>
          <w:szCs w:val="20"/>
          <w:color w:val="auto"/>
        </w:rPr>
      </w:pPr>
      <w:r>
        <w:rPr>
          <w:rFonts w:ascii="Arial" w:cs="Arial" w:eastAsia="Arial" w:hAnsi="Arial"/>
          <w:sz w:val="12"/>
          <w:szCs w:val="12"/>
          <w:b w:val="1"/>
          <w:bCs w:val="1"/>
          <w:color w:val="FFFFFF"/>
        </w:rPr>
        <w:t>PROXY SUMMARY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We Align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compensation program is designed to reward strong financial performance and strategic leadership that drives long-term, sustainable shareowner value. The largest portion of compensation for our CEO and our other NEOs is “at-risk” compensation — annual bonuses and long-term incentive awards that are contingent on Company performance relative to five key financial metrics.</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0E93D8"/>
        </w:rPr>
        <w:t xml:space="preserve">Why these metrics? </w:t>
      </w:r>
      <w:r>
        <w:rPr>
          <w:rFonts w:ascii="Arial" w:cs="Arial" w:eastAsia="Arial" w:hAnsi="Arial"/>
          <w:sz w:val="18"/>
          <w:szCs w:val="18"/>
          <w:color w:val="000000"/>
        </w:rPr>
        <w:t>The Committee believes that these five metrics are essential indicators of the long-term financial health of our Company and</w:t>
      </w:r>
      <w:r>
        <w:rPr>
          <w:rFonts w:ascii="Arial" w:cs="Arial" w:eastAsia="Arial" w:hAnsi="Arial"/>
          <w:sz w:val="18"/>
          <w:szCs w:val="18"/>
          <w:color w:val="0E93D8"/>
        </w:rPr>
        <w:t xml:space="preserve"> </w:t>
      </w:r>
      <w:r>
        <w:rPr>
          <w:rFonts w:ascii="Arial" w:cs="Arial" w:eastAsia="Arial" w:hAnsi="Arial"/>
          <w:sz w:val="18"/>
          <w:szCs w:val="18"/>
          <w:color w:val="000000"/>
        </w:rPr>
        <w:t>therefore serve the fundamental objective of our executive compensation program: the alignment of executive pay with the interests of our shareowners. The Committee also believes that each of these metrics measure a particularly salient aspect of Company performance:</w:t>
      </w:r>
    </w:p>
    <w:p>
      <w:pPr>
        <w:sectPr>
          <w:pgSz w:w="11900" w:h="16838" w:orient="portrait"/>
          <w:cols w:equalWidth="0" w:num="1">
            <w:col w:w="11440"/>
          </w:cols>
          <w:pgMar w:left="240" w:top="121" w:right="219" w:bottom="1440" w:gutter="0" w:footer="0" w:header="0"/>
        </w:sect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Annual Bonus Metrics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PSU Metrics</w:t>
      </w:r>
    </w:p>
    <w:p>
      <w:pPr>
        <w:spacing w:after="0" w:line="194" w:lineRule="exact"/>
        <w:rPr>
          <w:sz w:val="20"/>
          <w:szCs w:val="20"/>
          <w:color w:val="auto"/>
        </w:rPr>
      </w:pPr>
    </w:p>
    <w:p>
      <w:pPr>
        <w:sectPr>
          <w:pgSz w:w="11900" w:h="16838" w:orient="portrait"/>
          <w:cols w:equalWidth="0" w:num="2">
            <w:col w:w="5420" w:space="720"/>
            <w:col w:w="5300"/>
          </w:cols>
          <w:pgMar w:left="240" w:top="121" w:right="219" w:bottom="1440" w:gutter="0" w:footer="0" w:header="0"/>
          <w:type w:val="continuous"/>
        </w:sectPr>
      </w:pPr>
    </w:p>
    <w:p>
      <w:pPr>
        <w:ind w:left="160"/>
        <w:spacing w:after="0"/>
        <w:tabs>
          <w:tab w:leader="none" w:pos="38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 xml:space="preserve">Earnings </w:t>
      </w:r>
      <w:r>
        <w:rPr>
          <w:rFonts w:ascii="Arial" w:cs="Arial" w:eastAsia="Arial" w:hAnsi="Arial"/>
          <w:sz w:val="16"/>
          <w:szCs w:val="16"/>
          <w:color w:val="000000"/>
        </w:rPr>
        <w:t>measures the immediate impact of operating</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 xml:space="preserve">3-Year EPS Growth </w:t>
      </w:r>
      <w:r>
        <w:rPr>
          <w:rFonts w:ascii="Arial" w:cs="Arial" w:eastAsia="Arial" w:hAnsi="Arial"/>
          <w:sz w:val="16"/>
          <w:szCs w:val="16"/>
          <w:color w:val="000000"/>
        </w:rPr>
        <w:t>measures the Company’s ability to create</w:t>
      </w:r>
    </w:p>
    <w:p>
      <w:pPr>
        <w:spacing w:after="0" w:line="70" w:lineRule="exact"/>
        <w:rPr>
          <w:sz w:val="20"/>
          <w:szCs w:val="20"/>
          <w:color w:val="auto"/>
        </w:rPr>
      </w:pPr>
    </w:p>
    <w:p>
      <w:pPr>
        <w:sectPr>
          <w:pgSz w:w="11900" w:h="16838" w:orient="portrait"/>
          <w:cols w:equalWidth="0" w:num="2">
            <w:col w:w="5440" w:space="720"/>
            <w:col w:w="5280"/>
          </w:cols>
          <w:pgMar w:left="240" w:top="121" w:right="2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decisions on the Company’s annual performance.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long-term, sustainable value that will ultimately drive total</w:t>
      </w:r>
    </w:p>
    <w:p>
      <w:pPr>
        <w:spacing w:after="0" w:line="59" w:lineRule="exact"/>
        <w:rPr>
          <w:sz w:val="20"/>
          <w:szCs w:val="20"/>
          <w:color w:val="auto"/>
        </w:rPr>
      </w:pPr>
    </w:p>
    <w:p>
      <w:pPr>
        <w:sectPr>
          <w:pgSz w:w="11900" w:h="16838" w:orient="portrait"/>
          <w:cols w:equalWidth="0" w:num="2">
            <w:col w:w="5700" w:space="720"/>
            <w:col w:w="5020"/>
          </w:cols>
          <w:pgMar w:left="240" w:top="121" w:right="2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Corporate executive bonuses, we use net income, a UTC-wide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shareowner return.</w:t>
      </w:r>
    </w:p>
    <w:p>
      <w:pPr>
        <w:spacing w:after="0" w:line="59" w:lineRule="exact"/>
        <w:rPr>
          <w:sz w:val="20"/>
          <w:szCs w:val="20"/>
          <w:color w:val="auto"/>
        </w:rPr>
      </w:pPr>
    </w:p>
    <w:p>
      <w:pPr>
        <w:sectPr>
          <w:pgSz w:w="11900" w:h="16838" w:orient="portrait"/>
          <w:cols w:equalWidth="0" w:num="2">
            <w:col w:w="5700" w:space="720"/>
            <w:col w:w="5020"/>
          </w:cols>
          <w:pgMar w:left="240" w:top="121" w:right="2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goal; for each business unit we use earnings before interest</w:t>
      </w:r>
    </w:p>
    <w:p>
      <w:pPr>
        <w:sectPr>
          <w:pgSz w:w="11900" w:h="16838" w:orient="portrait"/>
          <w:cols w:equalWidth="0" w:num="1">
            <w:col w:w="11440"/>
          </w:cols>
          <w:pgMar w:left="240" w:top="121" w:right="219" w:bottom="1440" w:gutter="0" w:footer="0" w:header="0"/>
          <w:type w:val="continuous"/>
        </w:sectPr>
      </w:pP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and taxes (“EBIT”) as the relevant “earnings” metric.)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 xml:space="preserve">3-Year Return on Invested Capital (“ROIC”) </w:t>
      </w:r>
      <w:r>
        <w:rPr>
          <w:rFonts w:ascii="Arial" w:cs="Arial" w:eastAsia="Arial" w:hAnsi="Arial"/>
          <w:sz w:val="16"/>
          <w:szCs w:val="16"/>
          <w:color w:val="000000"/>
        </w:rPr>
        <w:t>measures the</w:t>
      </w:r>
    </w:p>
    <w:p>
      <w:pPr>
        <w:spacing w:after="0" w:line="69" w:lineRule="exact"/>
        <w:rPr>
          <w:sz w:val="20"/>
          <w:szCs w:val="20"/>
          <w:color w:val="auto"/>
        </w:rPr>
      </w:pPr>
    </w:p>
    <w:p>
      <w:pPr>
        <w:sectPr>
          <w:pgSz w:w="11900" w:h="16838" w:orient="portrait"/>
          <w:cols w:equalWidth="0" w:num="2">
            <w:col w:w="5440" w:space="720"/>
            <w:col w:w="5280"/>
          </w:cols>
          <w:pgMar w:left="240" w:top="121" w:right="219" w:bottom="1440" w:gutter="0" w:footer="0" w:header="0"/>
          <w:type w:val="continuous"/>
        </w:sectPr>
      </w:pPr>
    </w:p>
    <w:p>
      <w:pPr>
        <w:ind w:left="6420"/>
        <w:spacing w:after="0"/>
        <w:rPr>
          <w:sz w:val="20"/>
          <w:szCs w:val="20"/>
          <w:color w:val="auto"/>
        </w:rPr>
      </w:pPr>
      <w:r>
        <w:rPr>
          <w:rFonts w:ascii="Arial" w:cs="Arial" w:eastAsia="Arial" w:hAnsi="Arial"/>
          <w:sz w:val="16"/>
          <w:szCs w:val="16"/>
          <w:color w:val="auto"/>
        </w:rPr>
        <w:t>efficiency with which we allocate capital resources, taking into</w:t>
      </w:r>
    </w:p>
    <w:p>
      <w:pPr>
        <w:sectPr>
          <w:pgSz w:w="11900" w:h="16838" w:orient="portrait"/>
          <w:cols w:equalWidth="0" w:num="1">
            <w:col w:w="11440"/>
          </w:cols>
          <w:pgMar w:left="240" w:top="121" w:right="219" w:bottom="1440" w:gutter="0" w:footer="0" w:header="0"/>
          <w:type w:val="continuous"/>
        </w:sectPr>
      </w:pPr>
    </w:p>
    <w:p>
      <w:pPr>
        <w:spacing w:after="0" w:line="37" w:lineRule="exact"/>
        <w:rPr>
          <w:sz w:val="20"/>
          <w:szCs w:val="20"/>
          <w:color w:val="auto"/>
        </w:rPr>
      </w:pPr>
    </w:p>
    <w:p>
      <w:pPr>
        <w:ind w:left="160"/>
        <w:spacing w:after="0"/>
        <w:tabs>
          <w:tab w:leader="none" w:pos="38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 xml:space="preserve">Free Cash Flow (“FCF”) </w:t>
      </w:r>
      <w:r>
        <w:rPr>
          <w:rFonts w:ascii="Arial" w:cs="Arial" w:eastAsia="Arial" w:hAnsi="Arial"/>
          <w:sz w:val="16"/>
          <w:szCs w:val="16"/>
          <w:color w:val="000000"/>
        </w:rPr>
        <w:t>measures the Company’s ability to</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account not just the quantity of earnings, but also the quality</w:t>
      </w:r>
    </w:p>
    <w:p>
      <w:pPr>
        <w:spacing w:after="0" w:line="59" w:lineRule="exact"/>
        <w:rPr>
          <w:sz w:val="20"/>
          <w:szCs w:val="20"/>
          <w:color w:val="auto"/>
        </w:rPr>
      </w:pPr>
    </w:p>
    <w:p>
      <w:pPr>
        <w:sectPr>
          <w:pgSz w:w="11900" w:h="16838" w:orient="portrait"/>
          <w:cols w:equalWidth="0" w:num="2">
            <w:col w:w="5700" w:space="720"/>
            <w:col w:w="5020"/>
          </w:cols>
          <w:pgMar w:left="240" w:top="121" w:right="2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generate cash to fund our operations and key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 earnings and investments that drive sustainable growth.</w:t>
      </w:r>
    </w:p>
    <w:p>
      <w:pPr>
        <w:spacing w:after="0" w:line="59" w:lineRule="exact"/>
        <w:rPr>
          <w:sz w:val="20"/>
          <w:szCs w:val="20"/>
          <w:color w:val="auto"/>
        </w:rPr>
      </w:pPr>
    </w:p>
    <w:p>
      <w:pPr>
        <w:sectPr>
          <w:pgSz w:w="11900" w:h="16838" w:orient="portrait"/>
          <w:cols w:equalWidth="0" w:num="2">
            <w:col w:w="5700" w:space="720"/>
            <w:col w:w="5020"/>
          </w:cols>
          <w:pgMar w:left="240" w:top="121" w:right="2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investments, whether that means funding critical research and</w:t>
      </w:r>
    </w:p>
    <w:p>
      <w:pPr>
        <w:sectPr>
          <w:pgSz w:w="11900" w:h="16838" w:orient="portrait"/>
          <w:cols w:equalWidth="0" w:num="1">
            <w:col w:w="11440"/>
          </w:cols>
          <w:pgMar w:left="240" w:top="121" w:right="219" w:bottom="1440" w:gutter="0" w:footer="0" w:header="0"/>
          <w:type w:val="continuous"/>
        </w:sectPr>
      </w:pP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development, strategic acquisitions, paying down debt, or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3-Year Relative Total Shareowner Return (“TSR”)</w:t>
      </w:r>
    </w:p>
    <w:p>
      <w:pPr>
        <w:spacing w:after="0" w:line="69" w:lineRule="exact"/>
        <w:rPr>
          <w:sz w:val="20"/>
          <w:szCs w:val="20"/>
          <w:color w:val="auto"/>
        </w:rPr>
      </w:pPr>
    </w:p>
    <w:p>
      <w:pPr>
        <w:sectPr>
          <w:pgSz w:w="11900" w:h="16838" w:orient="portrait"/>
          <w:cols w:equalWidth="0" w:num="2">
            <w:col w:w="5440" w:space="720"/>
            <w:col w:w="5280"/>
          </w:cols>
          <w:pgMar w:left="240" w:top="121" w:right="2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distributing earnings to shareowners.</w:t>
      </w:r>
    </w:p>
    <w:p>
      <w:pPr>
        <w:spacing w:after="0" w:line="20" w:lineRule="exact"/>
        <w:rPr>
          <w:sz w:val="20"/>
          <w:szCs w:val="20"/>
          <w:color w:val="auto"/>
        </w:rPr>
      </w:pPr>
      <w:r>
        <w:rPr>
          <w:sz w:val="20"/>
          <w:szCs w:val="20"/>
          <w:color w:val="auto"/>
        </w:rPr>
        <w:br w:type="column"/>
      </w:r>
    </w:p>
    <w:p>
      <w:pPr>
        <w:ind w:right="220"/>
        <w:spacing w:after="0" w:line="334" w:lineRule="auto"/>
        <w:rPr>
          <w:sz w:val="20"/>
          <w:szCs w:val="20"/>
          <w:color w:val="auto"/>
        </w:rPr>
      </w:pPr>
      <w:r>
        <w:rPr>
          <w:rFonts w:ascii="Arial" w:cs="Arial" w:eastAsia="Arial" w:hAnsi="Arial"/>
          <w:sz w:val="16"/>
          <w:szCs w:val="16"/>
          <w:color w:val="auto"/>
        </w:rPr>
        <w:t>measures our ability to return value to our shareowners relative to competing investment opportunities and is consistent with our program’s pay-for-performance objectives.</w:t>
      </w:r>
    </w:p>
    <w:p>
      <w:pPr>
        <w:spacing w:after="0" w:line="200" w:lineRule="exact"/>
        <w:rPr>
          <w:sz w:val="20"/>
          <w:szCs w:val="20"/>
          <w:color w:val="auto"/>
        </w:rPr>
      </w:pPr>
    </w:p>
    <w:p>
      <w:pPr>
        <w:sectPr>
          <w:pgSz w:w="11900" w:h="16838" w:orient="portrait"/>
          <w:cols w:equalWidth="0" w:num="2">
            <w:col w:w="5700" w:space="720"/>
            <w:col w:w="5020"/>
          </w:cols>
          <w:pgMar w:left="240" w:top="121" w:right="21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2018 Performance Affected Incentive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table below shows UTC’s performance measured against the pre-established performance goals set for our 2018 annual bonus and the 3-year performance cycle for our 2016 PSU awards.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80"/>
              <w:spacing w:after="0"/>
              <w:rPr>
                <w:sz w:val="20"/>
                <w:szCs w:val="20"/>
                <w:color w:val="auto"/>
              </w:rPr>
            </w:pPr>
            <w:r>
              <w:rPr>
                <w:rFonts w:ascii="Arial" w:cs="Arial" w:eastAsia="Arial" w:hAnsi="Arial"/>
                <w:sz w:val="14"/>
                <w:szCs w:val="14"/>
                <w:b w:val="1"/>
                <w:bCs w:val="1"/>
                <w:color w:val="0E93D8"/>
              </w:rPr>
              <w:t>Incentive Plans</w:t>
            </w:r>
            <w:r>
              <w:rPr>
                <w:rFonts w:ascii="Arial" w:cs="Arial" w:eastAsia="Arial" w:hAnsi="Arial"/>
                <w:sz w:val="22"/>
                <w:szCs w:val="22"/>
                <w:b w:val="1"/>
                <w:bCs w:val="1"/>
                <w:color w:val="0E93D8"/>
                <w:vertAlign w:val="superscript"/>
              </w:rPr>
              <w:t>(1)</w:t>
            </w:r>
          </w:p>
        </w:tc>
        <w:tc>
          <w:tcPr>
            <w:tcW w:w="100" w:type="dxa"/>
            <w:vAlign w:val="bottom"/>
            <w:vMerge w:val="restart"/>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Performance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E93D8"/>
              </w:rPr>
              <w:t>Performance</w:t>
            </w:r>
          </w:p>
        </w:tc>
        <w:tc>
          <w:tcPr>
            <w:tcW w:w="100" w:type="dxa"/>
            <w:vAlign w:val="bottom"/>
          </w:tcPr>
          <w:p>
            <w:pPr>
              <w:spacing w:after="0"/>
              <w:rPr>
                <w:sz w:val="14"/>
                <w:szCs w:val="14"/>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0E93D8"/>
              </w:rPr>
              <w:t>Payout</w:t>
            </w:r>
          </w:p>
        </w:tc>
        <w:tc>
          <w:tcPr>
            <w:tcW w:w="0" w:type="dxa"/>
            <w:vAlign w:val="bottom"/>
          </w:tcPr>
          <w:p>
            <w:pPr>
              <w:spacing w:after="0"/>
              <w:rPr>
                <w:sz w:val="1"/>
                <w:szCs w:val="1"/>
                <w:color w:val="auto"/>
              </w:rPr>
            </w:pPr>
          </w:p>
        </w:tc>
      </w:tr>
      <w:tr>
        <w:trPr>
          <w:trHeight w:val="213"/>
        </w:trPr>
        <w:tc>
          <w:tcPr>
            <w:tcW w:w="8120" w:type="dxa"/>
            <w:vAlign w:val="bottom"/>
            <w:tcBorders>
              <w:bottom w:val="single" w:sz="8" w:color="DAE9F7"/>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DAE9F7"/>
            </w:tcBorders>
          </w:tcPr>
          <w:p>
            <w:pPr>
              <w:jc w:val="right"/>
              <w:spacing w:after="0"/>
              <w:rPr>
                <w:sz w:val="20"/>
                <w:szCs w:val="20"/>
                <w:color w:val="auto"/>
              </w:rPr>
            </w:pPr>
            <w:r>
              <w:rPr>
                <w:rFonts w:ascii="Arial" w:cs="Arial" w:eastAsia="Arial" w:hAnsi="Arial"/>
                <w:sz w:val="14"/>
                <w:szCs w:val="14"/>
                <w:b w:val="1"/>
                <w:bCs w:val="1"/>
                <w:color w:val="0E93D8"/>
              </w:rPr>
              <w:t>Results</w:t>
            </w:r>
          </w:p>
        </w:tc>
        <w:tc>
          <w:tcPr>
            <w:tcW w:w="100" w:type="dxa"/>
            <w:vAlign w:val="bottom"/>
          </w:tcPr>
          <w:p>
            <w:pPr>
              <w:spacing w:after="0"/>
              <w:rPr>
                <w:sz w:val="18"/>
                <w:szCs w:val="18"/>
                <w:color w:val="auto"/>
              </w:rPr>
            </w:pPr>
          </w:p>
        </w:tc>
        <w:tc>
          <w:tcPr>
            <w:tcW w:w="1100" w:type="dxa"/>
            <w:vAlign w:val="bottom"/>
            <w:tcBorders>
              <w:bottom w:val="single" w:sz="8" w:color="DAE9F7"/>
            </w:tcBorders>
          </w:tcPr>
          <w:p>
            <w:pPr>
              <w:jc w:val="right"/>
              <w:spacing w:after="0"/>
              <w:rPr>
                <w:sz w:val="20"/>
                <w:szCs w:val="20"/>
                <w:color w:val="auto"/>
              </w:rPr>
            </w:pPr>
            <w:r>
              <w:rPr>
                <w:rFonts w:ascii="Arial" w:cs="Arial" w:eastAsia="Arial" w:hAnsi="Arial"/>
                <w:sz w:val="14"/>
                <w:szCs w:val="14"/>
                <w:b w:val="1"/>
                <w:bCs w:val="1"/>
                <w:color w:val="0E93D8"/>
              </w:rPr>
              <w:t>Factor</w:t>
            </w:r>
          </w:p>
        </w:tc>
        <w:tc>
          <w:tcPr>
            <w:tcW w:w="100" w:type="dxa"/>
            <w:vAlign w:val="bottom"/>
          </w:tcPr>
          <w:p>
            <w:pPr>
              <w:spacing w:after="0"/>
              <w:rPr>
                <w:sz w:val="18"/>
                <w:szCs w:val="18"/>
                <w:color w:val="auto"/>
              </w:rPr>
            </w:pPr>
          </w:p>
        </w:tc>
        <w:tc>
          <w:tcPr>
            <w:tcW w:w="80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b w:val="1"/>
                <w:bCs w:val="1"/>
                <w:color w:val="0E93D8"/>
              </w:rPr>
              <w:t>Factor</w:t>
            </w:r>
          </w:p>
        </w:tc>
        <w:tc>
          <w:tcPr>
            <w:tcW w:w="0" w:type="dxa"/>
            <w:vAlign w:val="bottom"/>
          </w:tcPr>
          <w:p>
            <w:pPr>
              <w:spacing w:after="0"/>
              <w:rPr>
                <w:sz w:val="1"/>
                <w:szCs w:val="1"/>
                <w:color w:val="auto"/>
              </w:rPr>
            </w:pPr>
          </w:p>
        </w:tc>
      </w:tr>
      <w:tr>
        <w:trPr>
          <w:trHeight w:val="297"/>
        </w:trPr>
        <w:tc>
          <w:tcPr>
            <w:tcW w:w="822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b w:val="1"/>
                <w:bCs w:val="1"/>
                <w:color w:val="0E93D8"/>
              </w:rPr>
              <w:t>2018 Annual Bonus</w:t>
            </w:r>
            <w:r>
              <w:rPr>
                <w:rFonts w:ascii="Arial" w:cs="Arial" w:eastAsia="Arial" w:hAnsi="Arial"/>
                <w:sz w:val="22"/>
                <w:szCs w:val="22"/>
                <w:b w:val="1"/>
                <w:bCs w:val="1"/>
                <w:color w:val="0E93D8"/>
                <w:vertAlign w:val="superscript"/>
              </w:rPr>
              <w:t>(2)</w:t>
            </w:r>
          </w:p>
        </w:tc>
        <w:tc>
          <w:tcPr>
            <w:tcW w:w="1100" w:type="dxa"/>
            <w:vAlign w:val="bottom"/>
            <w:tcBorders>
              <w:bottom w:val="single" w:sz="8" w:color="7C7C7C"/>
            </w:tcBorders>
          </w:tcPr>
          <w:p>
            <w:pPr>
              <w:spacing w:after="0"/>
              <w:rPr>
                <w:sz w:val="24"/>
                <w:szCs w:val="24"/>
                <w:color w:val="auto"/>
              </w:rPr>
            </w:pPr>
          </w:p>
        </w:tc>
        <w:tc>
          <w:tcPr>
            <w:tcW w:w="100" w:type="dxa"/>
            <w:vAlign w:val="bottom"/>
            <w:tcBorders>
              <w:bottom w:val="single" w:sz="8" w:color="7C7C7C"/>
            </w:tcBorders>
          </w:tcPr>
          <w:p>
            <w:pPr>
              <w:spacing w:after="0"/>
              <w:rPr>
                <w:sz w:val="24"/>
                <w:szCs w:val="24"/>
                <w:color w:val="auto"/>
              </w:rPr>
            </w:pPr>
          </w:p>
        </w:tc>
        <w:tc>
          <w:tcPr>
            <w:tcW w:w="1100" w:type="dxa"/>
            <w:vAlign w:val="bottom"/>
            <w:tcBorders>
              <w:bottom w:val="single" w:sz="8" w:color="7C7C7C"/>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Earnings (net income)</w:t>
            </w:r>
          </w:p>
        </w:tc>
        <w:tc>
          <w:tcPr>
            <w:tcW w:w="1200" w:type="dxa"/>
            <w:vAlign w:val="bottom"/>
            <w:tcBorders>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$5.9 billion</w:t>
            </w:r>
          </w:p>
        </w:tc>
        <w:tc>
          <w:tcPr>
            <w:tcW w:w="110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152%</w:t>
            </w:r>
          </w:p>
        </w:tc>
        <w:tc>
          <w:tcPr>
            <w:tcW w:w="900" w:type="dxa"/>
            <w:vAlign w:val="bottom"/>
            <w:gridSpan w:val="2"/>
          </w:tcPr>
          <w:p>
            <w:pPr>
              <w:jc w:val="right"/>
              <w:ind w:right="12"/>
              <w:spacing w:after="0" w:line="237" w:lineRule="exact"/>
              <w:rPr>
                <w:sz w:val="20"/>
                <w:szCs w:val="20"/>
                <w:color w:val="auto"/>
              </w:rPr>
            </w:pPr>
            <w:r>
              <w:rPr>
                <w:rFonts w:ascii="Arial" w:cs="Arial" w:eastAsia="Arial" w:hAnsi="Arial"/>
                <w:sz w:val="14"/>
                <w:szCs w:val="14"/>
                <w:b w:val="1"/>
                <w:bCs w:val="1"/>
                <w:color w:val="0E93D8"/>
              </w:rPr>
              <w:t>125%</w:t>
            </w:r>
            <w:r>
              <w:rPr>
                <w:rFonts w:ascii="Arial" w:cs="Arial" w:eastAsia="Arial" w:hAnsi="Arial"/>
                <w:sz w:val="22"/>
                <w:szCs w:val="22"/>
                <w:b w:val="1"/>
                <w:bCs w:val="1"/>
                <w:color w:val="0E93D8"/>
                <w:vertAlign w:val="superscript"/>
              </w:rPr>
              <w:t>(3)</w:t>
            </w:r>
          </w:p>
        </w:tc>
        <w:tc>
          <w:tcPr>
            <w:tcW w:w="0" w:type="dxa"/>
            <w:vAlign w:val="bottom"/>
          </w:tcPr>
          <w:p>
            <w:pPr>
              <w:spacing w:after="0"/>
              <w:rPr>
                <w:sz w:val="1"/>
                <w:szCs w:val="1"/>
                <w:color w:val="auto"/>
              </w:rPr>
            </w:pPr>
          </w:p>
        </w:tc>
      </w:tr>
      <w:tr>
        <w:trPr>
          <w:trHeight w:val="196"/>
        </w:trPr>
        <w:tc>
          <w:tcPr>
            <w:tcW w:w="8220" w:type="dxa"/>
            <w:vAlign w:val="bottom"/>
            <w:gridSpan w:val="2"/>
          </w:tcPr>
          <w:p>
            <w:pPr>
              <w:ind w:left="80"/>
              <w:spacing w:after="0"/>
              <w:rPr>
                <w:sz w:val="20"/>
                <w:szCs w:val="20"/>
                <w:color w:val="auto"/>
              </w:rPr>
            </w:pPr>
            <w:r>
              <w:rPr>
                <w:rFonts w:ascii="Arial" w:cs="Arial" w:eastAsia="Arial" w:hAnsi="Arial"/>
                <w:sz w:val="14"/>
                <w:szCs w:val="14"/>
                <w:color w:val="auto"/>
              </w:rPr>
              <w:t>Free Cash Flow</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$4.9 billion</w:t>
            </w: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120" w:type="dxa"/>
            <w:vAlign w:val="bottom"/>
            <w:tcBorders>
              <w:bottom w:val="single" w:sz="8" w:color="0F94D8"/>
            </w:tcBorders>
          </w:tcPr>
          <w:p>
            <w:pPr>
              <w:spacing w:after="0"/>
              <w:rPr>
                <w:sz w:val="4"/>
                <w:szCs w:val="4"/>
                <w:color w:val="auto"/>
              </w:rPr>
            </w:pPr>
          </w:p>
        </w:tc>
        <w:tc>
          <w:tcPr>
            <w:tcW w:w="100" w:type="dxa"/>
            <w:vAlign w:val="bottom"/>
            <w:tcBorders>
              <w:bottom w:val="single" w:sz="8" w:color="0F94D8"/>
            </w:tcBorders>
          </w:tcPr>
          <w:p>
            <w:pPr>
              <w:spacing w:after="0"/>
              <w:rPr>
                <w:sz w:val="4"/>
                <w:szCs w:val="4"/>
                <w:color w:val="auto"/>
              </w:rPr>
            </w:pPr>
          </w:p>
        </w:tc>
        <w:tc>
          <w:tcPr>
            <w:tcW w:w="1100" w:type="dxa"/>
            <w:vAlign w:val="bottom"/>
            <w:tcBorders>
              <w:bottom w:val="single" w:sz="8" w:color="0F94D8"/>
            </w:tcBorders>
          </w:tcPr>
          <w:p>
            <w:pPr>
              <w:spacing w:after="0"/>
              <w:rPr>
                <w:sz w:val="4"/>
                <w:szCs w:val="4"/>
                <w:color w:val="auto"/>
              </w:rPr>
            </w:pPr>
          </w:p>
        </w:tc>
        <w:tc>
          <w:tcPr>
            <w:tcW w:w="100" w:type="dxa"/>
            <w:vAlign w:val="bottom"/>
            <w:tcBorders>
              <w:bottom w:val="single" w:sz="8" w:color="0F94D8"/>
            </w:tcBorders>
          </w:tcPr>
          <w:p>
            <w:pPr>
              <w:spacing w:after="0"/>
              <w:rPr>
                <w:sz w:val="4"/>
                <w:szCs w:val="4"/>
                <w:color w:val="auto"/>
              </w:rPr>
            </w:pPr>
          </w:p>
        </w:tc>
        <w:tc>
          <w:tcPr>
            <w:tcW w:w="1100" w:type="dxa"/>
            <w:vAlign w:val="bottom"/>
            <w:tcBorders>
              <w:bottom w:val="single" w:sz="8" w:color="0F94D8"/>
            </w:tcBorders>
          </w:tcPr>
          <w:p>
            <w:pPr>
              <w:spacing w:after="0"/>
              <w:rPr>
                <w:sz w:val="4"/>
                <w:szCs w:val="4"/>
                <w:color w:val="auto"/>
              </w:rPr>
            </w:pPr>
          </w:p>
        </w:tc>
        <w:tc>
          <w:tcPr>
            <w:tcW w:w="100" w:type="dxa"/>
            <w:vAlign w:val="bottom"/>
            <w:tcBorders>
              <w:bottom w:val="single" w:sz="8" w:color="0F94D8"/>
            </w:tcBorders>
          </w:tcPr>
          <w:p>
            <w:pPr>
              <w:spacing w:after="0"/>
              <w:rPr>
                <w:sz w:val="4"/>
                <w:szCs w:val="4"/>
                <w:color w:val="auto"/>
              </w:rPr>
            </w:pPr>
          </w:p>
        </w:tc>
        <w:tc>
          <w:tcPr>
            <w:tcW w:w="800" w:type="dxa"/>
            <w:vAlign w:val="bottom"/>
            <w:tcBorders>
              <w:bottom w:val="single" w:sz="8" w:color="0F94D8"/>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8220" w:type="dxa"/>
            <w:vAlign w:val="bottom"/>
            <w:gridSpan w:val="2"/>
          </w:tcPr>
          <w:p>
            <w:pPr>
              <w:ind w:left="80"/>
              <w:spacing w:after="0"/>
              <w:rPr>
                <w:sz w:val="20"/>
                <w:szCs w:val="20"/>
                <w:color w:val="auto"/>
              </w:rPr>
            </w:pPr>
            <w:r>
              <w:rPr>
                <w:rFonts w:ascii="Arial" w:cs="Arial" w:eastAsia="Arial" w:hAnsi="Arial"/>
                <w:sz w:val="14"/>
                <w:szCs w:val="14"/>
                <w:b w:val="1"/>
                <w:bCs w:val="1"/>
                <w:color w:val="0E93D8"/>
              </w:rPr>
              <w:t>2016 PSUs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1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0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00" w:type="dxa"/>
            <w:vAlign w:val="bottom"/>
            <w:tcBorders>
              <w:bottom w:val="single" w:sz="8" w:color="7C7C7C"/>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80"/>
              <w:spacing w:after="0"/>
              <w:rPr>
                <w:sz w:val="20"/>
                <w:szCs w:val="20"/>
                <w:color w:val="auto"/>
              </w:rPr>
            </w:pPr>
            <w:r>
              <w:rPr>
                <w:rFonts w:ascii="Arial" w:cs="Arial" w:eastAsia="Arial" w:hAnsi="Arial"/>
                <w:sz w:val="14"/>
                <w:szCs w:val="14"/>
                <w:color w:val="auto"/>
              </w:rPr>
              <w:t>3-Year EPS Growth</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1100" w:type="dxa"/>
            <w:vAlign w:val="bottom"/>
          </w:tcPr>
          <w:p>
            <w:pPr>
              <w:jc w:val="right"/>
              <w:spacing w:after="0"/>
              <w:rPr>
                <w:sz w:val="20"/>
                <w:szCs w:val="20"/>
                <w:color w:val="auto"/>
              </w:rPr>
            </w:pPr>
            <w:r>
              <w:rPr>
                <w:rFonts w:ascii="Arial" w:cs="Arial" w:eastAsia="Arial" w:hAnsi="Arial"/>
                <w:sz w:val="14"/>
                <w:szCs w:val="14"/>
                <w:color w:val="auto"/>
              </w:rPr>
              <w:t>98%</w:t>
            </w:r>
          </w:p>
        </w:tc>
        <w:tc>
          <w:tcPr>
            <w:tcW w:w="90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0E93D8"/>
              </w:rPr>
              <w:t>116%</w:t>
            </w:r>
          </w:p>
        </w:tc>
        <w:tc>
          <w:tcPr>
            <w:tcW w:w="0" w:type="dxa"/>
            <w:vAlign w:val="bottom"/>
          </w:tcPr>
          <w:p>
            <w:pPr>
              <w:spacing w:after="0"/>
              <w:rPr>
                <w:sz w:val="1"/>
                <w:szCs w:val="1"/>
                <w:color w:val="auto"/>
              </w:rPr>
            </w:pPr>
          </w:p>
        </w:tc>
      </w:tr>
      <w:tr>
        <w:trPr>
          <w:trHeight w:val="41"/>
        </w:trPr>
        <w:tc>
          <w:tcPr>
            <w:tcW w:w="81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0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00" w:type="dxa"/>
            <w:vAlign w:val="bottom"/>
            <w:tcBorders>
              <w:bottom w:val="single" w:sz="8" w:color="7C7C7C"/>
            </w:tcBorders>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8220" w:type="dxa"/>
            <w:vAlign w:val="bottom"/>
            <w:gridSpan w:val="2"/>
            <w:vMerge w:val="restart"/>
          </w:tcPr>
          <w:p>
            <w:pPr>
              <w:ind w:left="80"/>
              <w:spacing w:after="0"/>
              <w:rPr>
                <w:sz w:val="20"/>
                <w:szCs w:val="20"/>
                <w:color w:val="auto"/>
              </w:rPr>
            </w:pPr>
            <w:r>
              <w:rPr>
                <w:rFonts w:ascii="Arial" w:cs="Arial" w:eastAsia="Arial" w:hAnsi="Arial"/>
                <w:sz w:val="14"/>
                <w:szCs w:val="14"/>
                <w:color w:val="auto"/>
              </w:rPr>
              <w:t>3-Year ROIC</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11.1%</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2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81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0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00" w:type="dxa"/>
            <w:vAlign w:val="bottom"/>
            <w:tcBorders>
              <w:bottom w:val="single" w:sz="8" w:color="7C7C7C"/>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80"/>
              <w:spacing w:after="0"/>
              <w:rPr>
                <w:sz w:val="20"/>
                <w:szCs w:val="20"/>
                <w:color w:val="auto"/>
              </w:rPr>
            </w:pPr>
            <w:r>
              <w:rPr>
                <w:rFonts w:ascii="Arial" w:cs="Arial" w:eastAsia="Arial" w:hAnsi="Arial"/>
                <w:sz w:val="14"/>
                <w:szCs w:val="14"/>
                <w:color w:val="auto"/>
              </w:rPr>
              <w:t>3-Year Relative TSR vs. Companies within the S&amp;P 500 Index</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54.9th %ile</w:t>
            </w:r>
          </w:p>
        </w:tc>
        <w:tc>
          <w:tcPr>
            <w:tcW w:w="11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12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110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110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800" w:type="dxa"/>
            <w:vAlign w:val="bottom"/>
            <w:tcBorders>
              <w:bottom w:val="single" w:sz="8" w:color="7C7C7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0" w:right="280" w:hanging="212"/>
        <w:spacing w:after="0" w:line="23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Performance goals and results are based on non-GAAP financial measures. See Appendix B on page 88 for definitions of the performance metrics used for our incentive compensation plans. For additional details on how these goals and results were measured, see pages 42-43.</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annual bonus goals and results for UTC. Business unit goals and results differ. Refer to pages 42-43 for additional details.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Committee used its discretion and reduced the calculated payout factor from 129% to 125%. See page 43 for additional details on this adjustment.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20" w:type="dxa"/>
            <w:vAlign w:val="bottom"/>
          </w:tcPr>
          <w:p>
            <w:pPr>
              <w:ind w:left="5260"/>
              <w:spacing w:after="0"/>
              <w:rPr>
                <w:sz w:val="20"/>
                <w:szCs w:val="20"/>
                <w:color w:val="auto"/>
              </w:rPr>
            </w:pPr>
            <w:r>
              <w:rPr>
                <w:rFonts w:ascii="Arial" w:cs="Arial" w:eastAsia="Arial" w:hAnsi="Arial"/>
                <w:sz w:val="14"/>
                <w:szCs w:val="14"/>
                <w:color w:val="0E93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00" w:type="dxa"/>
            <w:vAlign w:val="bottom"/>
            <w:shd w:val="clear" w:color="auto" w:fill="0E93D8"/>
          </w:tcPr>
          <w:p>
            <w:pPr>
              <w:jc w:val="right"/>
              <w:ind w:right="152"/>
              <w:spacing w:after="0"/>
              <w:rPr>
                <w:sz w:val="20"/>
                <w:szCs w:val="20"/>
                <w:color w:val="auto"/>
              </w:rPr>
            </w:pPr>
            <w:r>
              <w:rPr>
                <w:rFonts w:ascii="Arial" w:cs="Arial" w:eastAsia="Arial" w:hAnsi="Arial"/>
                <w:sz w:val="18"/>
                <w:szCs w:val="18"/>
                <w:b w:val="1"/>
                <w:bCs w:val="1"/>
                <w:color w:val="FFFFFF"/>
              </w:rPr>
              <w:t>3</w:t>
            </w:r>
          </w:p>
        </w:tc>
        <w:tc>
          <w:tcPr>
            <w:tcW w:w="20" w:type="dxa"/>
            <w:vAlign w:val="bottom"/>
          </w:tcPr>
          <w:p>
            <w:pPr>
              <w:spacing w:after="0"/>
              <w:rPr>
                <w:sz w:val="21"/>
                <w:szCs w:val="21"/>
                <w:color w:val="auto"/>
              </w:rPr>
            </w:pPr>
          </w:p>
        </w:tc>
      </w:tr>
      <w:tr>
        <w:trPr>
          <w:trHeight w:val="361"/>
        </w:trPr>
        <w:tc>
          <w:tcPr>
            <w:tcW w:w="10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23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PROXY SUMMARY</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Governance and Board Highlights</w:t>
      </w:r>
    </w:p>
    <w:p>
      <w:pPr>
        <w:spacing w:after="0" w:line="25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UTC is committed to strong corporate governance practices, which the Board believes are critical to achieving long-term shareowner value and which strengthen Board and Management accountability. The following are highlights of our governance framework and the diversity of our Board: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40" w:type="dxa"/>
            <w:vAlign w:val="bottom"/>
          </w:tcPr>
          <w:p>
            <w:pPr>
              <w:spacing w:after="0"/>
              <w:rPr>
                <w:sz w:val="20"/>
                <w:szCs w:val="20"/>
                <w:color w:val="auto"/>
              </w:rPr>
            </w:pPr>
            <w:r>
              <w:rPr>
                <w:rFonts w:ascii="Arial" w:cs="Arial" w:eastAsia="Arial" w:hAnsi="Arial"/>
                <w:sz w:val="14"/>
                <w:szCs w:val="14"/>
                <w:b w:val="1"/>
                <w:bCs w:val="1"/>
                <w:color w:val="0E93D8"/>
                <w:w w:val="99"/>
              </w:rPr>
              <w:t>INDEPENDENT AND ENGAGED BOARD</w:t>
            </w:r>
          </w:p>
        </w:tc>
        <w:tc>
          <w:tcPr>
            <w:tcW w:w="2840" w:type="dxa"/>
            <w:vAlign w:val="bottom"/>
            <w:shd w:val="clear" w:color="auto" w:fill="D0E4F5"/>
          </w:tcPr>
          <w:p>
            <w:pPr>
              <w:spacing w:after="0"/>
              <w:rPr>
                <w:sz w:val="14"/>
                <w:szCs w:val="14"/>
                <w:color w:val="auto"/>
              </w:rPr>
            </w:pPr>
          </w:p>
        </w:tc>
        <w:tc>
          <w:tcPr>
            <w:tcW w:w="2640" w:type="dxa"/>
            <w:vAlign w:val="bottom"/>
          </w:tcPr>
          <w:p>
            <w:pPr>
              <w:ind w:left="460"/>
              <w:spacing w:after="0"/>
              <w:rPr>
                <w:sz w:val="20"/>
                <w:szCs w:val="20"/>
                <w:color w:val="auto"/>
              </w:rPr>
            </w:pPr>
            <w:r>
              <w:rPr>
                <w:rFonts w:ascii="Arial" w:cs="Arial" w:eastAsia="Arial" w:hAnsi="Arial"/>
                <w:sz w:val="14"/>
                <w:szCs w:val="14"/>
                <w:b w:val="1"/>
                <w:bCs w:val="1"/>
                <w:color w:val="0E93D8"/>
                <w:w w:val="95"/>
              </w:rPr>
              <w:t>GOVERNANCE BEST PRACTICES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-93980</wp:posOffset>
            </wp:positionV>
            <wp:extent cx="203263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32635" cy="9461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92%</w:t>
            </w:r>
          </w:p>
        </w:tc>
        <w:tc>
          <w:tcPr>
            <w:tcW w:w="20" w:type="dxa"/>
            <w:vAlign w:val="bottom"/>
          </w:tcPr>
          <w:p>
            <w:pPr>
              <w:spacing w:after="0"/>
              <w:rPr>
                <w:sz w:val="3"/>
                <w:szCs w:val="3"/>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of our director nominees are independent</w:t>
            </w:r>
          </w:p>
        </w:tc>
        <w:tc>
          <w:tcPr>
            <w:tcW w:w="0" w:type="dxa"/>
            <w:vAlign w:val="bottom"/>
          </w:tcPr>
          <w:p>
            <w:pPr>
              <w:spacing w:after="0" w:line="20" w:lineRule="exact"/>
              <w:rPr>
                <w:sz w:val="1"/>
                <w:szCs w:val="1"/>
                <w:color w:val="auto"/>
              </w:rPr>
            </w:pPr>
          </w:p>
        </w:tc>
      </w:tr>
      <w:tr>
        <w:trPr>
          <w:trHeight w:val="311"/>
        </w:trPr>
        <w:tc>
          <w:tcPr>
            <w:tcW w:w="10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All</w:t>
            </w:r>
          </w:p>
        </w:tc>
        <w:tc>
          <w:tcPr>
            <w:tcW w:w="20" w:type="dxa"/>
            <w:vAlign w:val="bottom"/>
          </w:tcPr>
          <w:p>
            <w:pPr>
              <w:spacing w:after="0"/>
              <w:rPr>
                <w:sz w:val="18"/>
                <w:szCs w:val="18"/>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standing committees (except Finance) are comprised</w:t>
            </w:r>
          </w:p>
        </w:tc>
        <w:tc>
          <w:tcPr>
            <w:tcW w:w="0" w:type="dxa"/>
            <w:vAlign w:val="bottom"/>
          </w:tcPr>
          <w:p>
            <w:pPr>
              <w:spacing w:after="0"/>
              <w:rPr>
                <w:sz w:val="1"/>
                <w:szCs w:val="1"/>
                <w:color w:val="auto"/>
              </w:rPr>
            </w:pPr>
          </w:p>
        </w:tc>
      </w:tr>
      <w:tr>
        <w:trPr>
          <w:trHeight w:val="206"/>
        </w:trPr>
        <w:tc>
          <w:tcPr>
            <w:tcW w:w="1080" w:type="dxa"/>
            <w:vAlign w:val="bottom"/>
            <w:vMerge w:val="continue"/>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entirely of independent directors</w:t>
            </w:r>
          </w:p>
        </w:tc>
        <w:tc>
          <w:tcPr>
            <w:tcW w:w="0" w:type="dxa"/>
            <w:vAlign w:val="bottom"/>
          </w:tcPr>
          <w:p>
            <w:pPr>
              <w:spacing w:after="0"/>
              <w:rPr>
                <w:sz w:val="1"/>
                <w:szCs w:val="1"/>
                <w:color w:val="auto"/>
              </w:rPr>
            </w:pPr>
          </w:p>
        </w:tc>
      </w:tr>
      <w:tr>
        <w:trPr>
          <w:trHeight w:val="21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99%</w:t>
            </w:r>
          </w:p>
        </w:tc>
        <w:tc>
          <w:tcPr>
            <w:tcW w:w="20" w:type="dxa"/>
            <w:vAlign w:val="bottom"/>
          </w:tcPr>
          <w:p>
            <w:pPr>
              <w:spacing w:after="0"/>
              <w:rPr>
                <w:sz w:val="18"/>
                <w:szCs w:val="18"/>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w w:val="97"/>
              </w:rPr>
              <w:t>overall attendance by directors at nine Board meetings</w:t>
            </w:r>
          </w:p>
        </w:tc>
        <w:tc>
          <w:tcPr>
            <w:tcW w:w="0" w:type="dxa"/>
            <w:vAlign w:val="bottom"/>
          </w:tcPr>
          <w:p>
            <w:pPr>
              <w:spacing w:after="0"/>
              <w:rPr>
                <w:sz w:val="1"/>
                <w:szCs w:val="1"/>
                <w:color w:val="auto"/>
              </w:rPr>
            </w:pPr>
          </w:p>
        </w:tc>
      </w:tr>
      <w:tr>
        <w:trPr>
          <w:trHeight w:val="206"/>
        </w:trPr>
        <w:tc>
          <w:tcPr>
            <w:tcW w:w="1080" w:type="dxa"/>
            <w:vAlign w:val="bottom"/>
            <w:vMerge w:val="continue"/>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in 2018</w:t>
            </w:r>
          </w:p>
        </w:tc>
        <w:tc>
          <w:tcPr>
            <w:tcW w:w="0" w:type="dxa"/>
            <w:vAlign w:val="bottom"/>
          </w:tcPr>
          <w:p>
            <w:pPr>
              <w:spacing w:after="0"/>
              <w:rPr>
                <w:sz w:val="1"/>
                <w:szCs w:val="1"/>
                <w:color w:val="auto"/>
              </w:rPr>
            </w:pPr>
          </w:p>
        </w:tc>
      </w:tr>
      <w:tr>
        <w:trPr>
          <w:trHeight w:val="21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98%</w:t>
            </w:r>
          </w:p>
        </w:tc>
        <w:tc>
          <w:tcPr>
            <w:tcW w:w="20" w:type="dxa"/>
            <w:vAlign w:val="bottom"/>
          </w:tcPr>
          <w:p>
            <w:pPr>
              <w:spacing w:after="0"/>
              <w:rPr>
                <w:sz w:val="18"/>
                <w:szCs w:val="18"/>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w w:val="98"/>
              </w:rPr>
              <w:t>overall attendance by directors at committee meetings</w:t>
            </w:r>
          </w:p>
        </w:tc>
        <w:tc>
          <w:tcPr>
            <w:tcW w:w="0" w:type="dxa"/>
            <w:vAlign w:val="bottom"/>
          </w:tcPr>
          <w:p>
            <w:pPr>
              <w:spacing w:after="0"/>
              <w:rPr>
                <w:sz w:val="1"/>
                <w:szCs w:val="1"/>
                <w:color w:val="auto"/>
              </w:rPr>
            </w:pPr>
          </w:p>
        </w:tc>
      </w:tr>
      <w:tr>
        <w:trPr>
          <w:trHeight w:val="206"/>
        </w:trPr>
        <w:tc>
          <w:tcPr>
            <w:tcW w:w="1080" w:type="dxa"/>
            <w:vAlign w:val="bottom"/>
            <w:vMerge w:val="continue"/>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in 2018</w:t>
            </w:r>
          </w:p>
        </w:tc>
        <w:tc>
          <w:tcPr>
            <w:tcW w:w="0" w:type="dxa"/>
            <w:vAlign w:val="bottom"/>
          </w:tcPr>
          <w:p>
            <w:pPr>
              <w:spacing w:after="0"/>
              <w:rPr>
                <w:sz w:val="1"/>
                <w:szCs w:val="1"/>
                <w:color w:val="auto"/>
              </w:rPr>
            </w:pPr>
          </w:p>
        </w:tc>
      </w:tr>
      <w:tr>
        <w:trPr>
          <w:trHeight w:val="21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75%</w:t>
            </w:r>
          </w:p>
        </w:tc>
        <w:tc>
          <w:tcPr>
            <w:tcW w:w="20" w:type="dxa"/>
            <w:vAlign w:val="bottom"/>
          </w:tcPr>
          <w:p>
            <w:pPr>
              <w:spacing w:after="0"/>
              <w:rPr>
                <w:sz w:val="18"/>
                <w:szCs w:val="18"/>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or more of the Board and applicable committee</w:t>
            </w:r>
          </w:p>
        </w:tc>
        <w:tc>
          <w:tcPr>
            <w:tcW w:w="0" w:type="dxa"/>
            <w:vAlign w:val="bottom"/>
          </w:tcPr>
          <w:p>
            <w:pPr>
              <w:spacing w:after="0"/>
              <w:rPr>
                <w:sz w:val="1"/>
                <w:szCs w:val="1"/>
                <w:color w:val="auto"/>
              </w:rPr>
            </w:pPr>
          </w:p>
        </w:tc>
      </w:tr>
      <w:tr>
        <w:trPr>
          <w:trHeight w:val="206"/>
        </w:trPr>
        <w:tc>
          <w:tcPr>
            <w:tcW w:w="1080" w:type="dxa"/>
            <w:vAlign w:val="bottom"/>
            <w:vMerge w:val="continue"/>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meetings were attended by each director in 2018</w:t>
            </w:r>
          </w:p>
        </w:tc>
        <w:tc>
          <w:tcPr>
            <w:tcW w:w="0" w:type="dxa"/>
            <w:vAlign w:val="bottom"/>
          </w:tcPr>
          <w:p>
            <w:pPr>
              <w:spacing w:after="0"/>
              <w:rPr>
                <w:sz w:val="1"/>
                <w:szCs w:val="1"/>
                <w:color w:val="auto"/>
              </w:rPr>
            </w:pPr>
          </w:p>
        </w:tc>
      </w:tr>
      <w:tr>
        <w:trPr>
          <w:trHeight w:val="17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100%</w:t>
            </w:r>
          </w:p>
        </w:tc>
        <w:tc>
          <w:tcPr>
            <w:tcW w:w="20" w:type="dxa"/>
            <w:vAlign w:val="bottom"/>
          </w:tcPr>
          <w:p>
            <w:pPr>
              <w:spacing w:after="0"/>
              <w:rPr>
                <w:sz w:val="15"/>
                <w:szCs w:val="15"/>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director attendance at the 2018 Annual Meeting</w:t>
            </w:r>
          </w:p>
        </w:tc>
        <w:tc>
          <w:tcPr>
            <w:tcW w:w="0" w:type="dxa"/>
            <w:vAlign w:val="bottom"/>
          </w:tcPr>
          <w:p>
            <w:pPr>
              <w:spacing w:after="0"/>
              <w:rPr>
                <w:sz w:val="1"/>
                <w:szCs w:val="1"/>
                <w:color w:val="auto"/>
              </w:rPr>
            </w:pPr>
          </w:p>
        </w:tc>
      </w:tr>
      <w:tr>
        <w:trPr>
          <w:trHeight w:val="311"/>
        </w:trPr>
        <w:tc>
          <w:tcPr>
            <w:tcW w:w="10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0E93D8"/>
              </w:rPr>
              <w:t>REFRESHED BOARD</w:t>
            </w: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460" w:type="dxa"/>
            <w:vAlign w:val="bottom"/>
            <w:gridSpan w:val="3"/>
            <w:vMerge w:val="continue"/>
          </w:tcPr>
          <w:p>
            <w:pPr>
              <w:spacing w:after="0"/>
              <w:rPr>
                <w:sz w:val="12"/>
                <w:szCs w:val="12"/>
                <w:color w:val="auto"/>
              </w:rPr>
            </w:pPr>
          </w:p>
        </w:tc>
        <w:tc>
          <w:tcPr>
            <w:tcW w:w="4020" w:type="dxa"/>
            <w:vAlign w:val="bottom"/>
            <w:shd w:val="clear" w:color="auto" w:fill="D0E4F5"/>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+7</w:t>
            </w:r>
          </w:p>
        </w:tc>
        <w:tc>
          <w:tcPr>
            <w:tcW w:w="20" w:type="dxa"/>
            <w:vAlign w:val="bottom"/>
          </w:tcPr>
          <w:p>
            <w:pPr>
              <w:spacing w:after="0"/>
              <w:rPr>
                <w:sz w:val="21"/>
                <w:szCs w:val="21"/>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new independent directors since 2016</w:t>
            </w:r>
          </w:p>
        </w:tc>
        <w:tc>
          <w:tcPr>
            <w:tcW w:w="0" w:type="dxa"/>
            <w:vAlign w:val="bottom"/>
          </w:tcPr>
          <w:p>
            <w:pPr>
              <w:spacing w:after="0"/>
              <w:rPr>
                <w:sz w:val="1"/>
                <w:szCs w:val="1"/>
                <w:color w:val="auto"/>
              </w:rPr>
            </w:pPr>
          </w:p>
        </w:tc>
      </w:tr>
      <w:tr>
        <w:trPr>
          <w:trHeight w:val="311"/>
        </w:trPr>
        <w:tc>
          <w:tcPr>
            <w:tcW w:w="10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-5</w:t>
            </w:r>
          </w:p>
        </w:tc>
        <w:tc>
          <w:tcPr>
            <w:tcW w:w="20" w:type="dxa"/>
            <w:vAlign w:val="bottom"/>
          </w:tcPr>
          <w:p>
            <w:pPr>
              <w:spacing w:after="0"/>
              <w:rPr>
                <w:sz w:val="15"/>
                <w:szCs w:val="15"/>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independent directors retired since 2016</w:t>
            </w:r>
          </w:p>
        </w:tc>
        <w:tc>
          <w:tcPr>
            <w:tcW w:w="0" w:type="dxa"/>
            <w:vAlign w:val="bottom"/>
          </w:tcPr>
          <w:p>
            <w:pPr>
              <w:spacing w:after="0"/>
              <w:rPr>
                <w:sz w:val="1"/>
                <w:szCs w:val="1"/>
                <w:color w:val="auto"/>
              </w:rPr>
            </w:pPr>
          </w:p>
        </w:tc>
      </w:tr>
      <w:tr>
        <w:trPr>
          <w:trHeight w:val="311"/>
        </w:trPr>
        <w:tc>
          <w:tcPr>
            <w:tcW w:w="10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80" w:type="dxa"/>
            <w:vAlign w:val="bottom"/>
            <w:vMerge w:val="restart"/>
          </w:tcPr>
          <w:p>
            <w:pPr>
              <w:jc w:val="right"/>
              <w:spacing w:after="0"/>
              <w:rPr>
                <w:sz w:val="20"/>
                <w:szCs w:val="20"/>
                <w:color w:val="auto"/>
              </w:rPr>
            </w:pPr>
            <w:r>
              <w:rPr>
                <w:rFonts w:ascii="Arial" w:cs="Arial" w:eastAsia="Arial" w:hAnsi="Arial"/>
                <w:sz w:val="27"/>
                <w:szCs w:val="27"/>
                <w:b w:val="1"/>
                <w:bCs w:val="1"/>
                <w:color w:val="FDB03F"/>
              </w:rPr>
              <w:t>75%</w:t>
            </w:r>
          </w:p>
        </w:tc>
        <w:tc>
          <w:tcPr>
            <w:tcW w:w="20" w:type="dxa"/>
            <w:vAlign w:val="bottom"/>
          </w:tcPr>
          <w:p>
            <w:pPr>
              <w:spacing w:after="0"/>
              <w:rPr>
                <w:sz w:val="15"/>
                <w:szCs w:val="15"/>
                <w:color w:val="auto"/>
              </w:rPr>
            </w:pPr>
          </w:p>
        </w:tc>
        <w:tc>
          <w:tcPr>
            <w:tcW w:w="4380" w:type="dxa"/>
            <w:vAlign w:val="bottom"/>
            <w:gridSpan w:val="2"/>
            <w:vMerge w:val="restart"/>
          </w:tcPr>
          <w:p>
            <w:pPr>
              <w:ind w:left="120"/>
              <w:spacing w:after="0"/>
              <w:rPr>
                <w:sz w:val="20"/>
                <w:szCs w:val="20"/>
                <w:color w:val="auto"/>
              </w:rPr>
            </w:pPr>
            <w:r>
              <w:rPr>
                <w:rFonts w:ascii="Arial" w:cs="Arial" w:eastAsia="Arial" w:hAnsi="Arial"/>
                <w:sz w:val="18"/>
                <w:szCs w:val="18"/>
                <w:color w:val="auto"/>
              </w:rPr>
              <w:t>of independent director nominees have served less</w:t>
            </w:r>
          </w:p>
        </w:tc>
        <w:tc>
          <w:tcPr>
            <w:tcW w:w="0" w:type="dxa"/>
            <w:vAlign w:val="bottom"/>
          </w:tcPr>
          <w:p>
            <w:pPr>
              <w:spacing w:after="0"/>
              <w:rPr>
                <w:sz w:val="1"/>
                <w:szCs w:val="1"/>
                <w:color w:val="auto"/>
              </w:rPr>
            </w:pPr>
          </w:p>
        </w:tc>
      </w:tr>
      <w:tr>
        <w:trPr>
          <w:trHeight w:val="206"/>
        </w:trPr>
        <w:tc>
          <w:tcPr>
            <w:tcW w:w="1080" w:type="dxa"/>
            <w:vAlign w:val="bottom"/>
            <w:vMerge w:val="continue"/>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43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than 9 years</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DIVERSITY IN BACKGROUND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139700</wp:posOffset>
            </wp:positionV>
            <wp:extent cx="3095625" cy="711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9562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860" w:val="left"/>
          <w:tab w:leader="none" w:pos="3820" w:val="left"/>
        </w:tabs>
        <w:rPr>
          <w:sz w:val="20"/>
          <w:szCs w:val="20"/>
          <w:color w:val="auto"/>
        </w:rPr>
      </w:pPr>
      <w:r>
        <w:rPr>
          <w:rFonts w:ascii="Arial" w:cs="Arial" w:eastAsia="Arial" w:hAnsi="Arial"/>
          <w:sz w:val="18"/>
          <w:szCs w:val="18"/>
          <w:b w:val="1"/>
          <w:bCs w:val="1"/>
          <w:color w:val="0E93D8"/>
        </w:rPr>
        <w:t>current or former</w:t>
      </w:r>
      <w:r>
        <w:rPr>
          <w:sz w:val="20"/>
          <w:szCs w:val="20"/>
          <w:color w:val="auto"/>
        </w:rPr>
        <w:tab/>
      </w:r>
      <w:r>
        <w:rPr>
          <w:rFonts w:ascii="Arial" w:cs="Arial" w:eastAsia="Arial" w:hAnsi="Arial"/>
          <w:sz w:val="18"/>
          <w:szCs w:val="18"/>
          <w:b w:val="1"/>
          <w:bCs w:val="1"/>
          <w:color w:val="0E93D8"/>
        </w:rPr>
        <w:t>women and people</w:t>
      </w:r>
      <w:r>
        <w:rPr>
          <w:sz w:val="20"/>
          <w:szCs w:val="20"/>
          <w:color w:val="auto"/>
        </w:rPr>
        <w:tab/>
      </w:r>
      <w:r>
        <w:rPr>
          <w:rFonts w:ascii="Arial" w:cs="Arial" w:eastAsia="Arial" w:hAnsi="Arial"/>
          <w:sz w:val="16"/>
          <w:szCs w:val="16"/>
          <w:b w:val="1"/>
          <w:bCs w:val="1"/>
          <w:color w:val="0E93D8"/>
        </w:rPr>
        <w:t>current or former</w:t>
      </w:r>
    </w:p>
    <w:p>
      <w:pPr>
        <w:spacing w:after="0" w:line="13" w:lineRule="exact"/>
        <w:rPr>
          <w:sz w:val="20"/>
          <w:szCs w:val="20"/>
          <w:color w:val="auto"/>
        </w:rPr>
      </w:pPr>
    </w:p>
    <w:p>
      <w:pPr>
        <w:ind w:left="80"/>
        <w:spacing w:after="0"/>
        <w:tabs>
          <w:tab w:leader="none" w:pos="1860" w:val="left"/>
          <w:tab w:leader="none" w:pos="3820" w:val="left"/>
        </w:tabs>
        <w:rPr>
          <w:sz w:val="20"/>
          <w:szCs w:val="20"/>
          <w:color w:val="auto"/>
        </w:rPr>
      </w:pPr>
      <w:r>
        <w:rPr>
          <w:rFonts w:ascii="Arial" w:cs="Arial" w:eastAsia="Arial" w:hAnsi="Arial"/>
          <w:sz w:val="18"/>
          <w:szCs w:val="18"/>
          <w:b w:val="1"/>
          <w:bCs w:val="1"/>
          <w:color w:val="0E93D8"/>
        </w:rPr>
        <w:t>CEOs</w:t>
      </w:r>
      <w:r>
        <w:rPr>
          <w:sz w:val="20"/>
          <w:szCs w:val="20"/>
          <w:color w:val="auto"/>
        </w:rPr>
        <w:tab/>
      </w:r>
      <w:r>
        <w:rPr>
          <w:rFonts w:ascii="Arial" w:cs="Arial" w:eastAsia="Arial" w:hAnsi="Arial"/>
          <w:sz w:val="18"/>
          <w:szCs w:val="18"/>
          <w:b w:val="1"/>
          <w:bCs w:val="1"/>
          <w:color w:val="0E93D8"/>
        </w:rPr>
        <w:t>of color</w:t>
      </w:r>
      <w:r>
        <w:rPr>
          <w:sz w:val="20"/>
          <w:szCs w:val="20"/>
          <w:color w:val="auto"/>
        </w:rPr>
        <w:tab/>
      </w:r>
      <w:r>
        <w:rPr>
          <w:rFonts w:ascii="Arial" w:cs="Arial" w:eastAsia="Arial" w:hAnsi="Arial"/>
          <w:sz w:val="16"/>
          <w:szCs w:val="16"/>
          <w:b w:val="1"/>
          <w:bCs w:val="1"/>
          <w:color w:val="0E93D8"/>
        </w:rPr>
        <w:t>CFOs or Chief</w:t>
      </w:r>
    </w:p>
    <w:p>
      <w:pPr>
        <w:jc w:val="right"/>
        <w:spacing w:after="0"/>
        <w:rPr>
          <w:sz w:val="20"/>
          <w:szCs w:val="20"/>
          <w:color w:val="auto"/>
        </w:rPr>
      </w:pPr>
      <w:r>
        <w:rPr>
          <w:rFonts w:ascii="Arial" w:cs="Arial" w:eastAsia="Arial" w:hAnsi="Arial"/>
          <w:sz w:val="18"/>
          <w:szCs w:val="18"/>
          <w:b w:val="1"/>
          <w:bCs w:val="1"/>
          <w:color w:val="0E93D8"/>
        </w:rPr>
        <w:t>Investment Officers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DIVERSITY IN TENURE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182880</wp:posOffset>
            </wp:positionV>
            <wp:extent cx="210947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9470" cy="180340"/>
                    </a:xfrm>
                    <a:prstGeom prst="rect">
                      <a:avLst/>
                    </a:prstGeom>
                    <a:noFill/>
                  </pic:spPr>
                </pic:pic>
              </a:graphicData>
            </a:graphic>
          </wp:anchor>
        </w:drawing>
      </w:r>
    </w:p>
    <w:p>
      <w:pPr>
        <w:spacing w:after="0" w:line="3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&lt;3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86995</wp:posOffset>
            </wp:positionV>
            <wp:extent cx="210121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01215" cy="180340"/>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3-8 years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≥9 years </w:t>
      </w:r>
      <w:r>
        <w:rPr>
          <w:sz w:val="1"/>
          <w:szCs w:val="1"/>
          <w:color w:val="auto"/>
        </w:rPr>
        <w:drawing>
          <wp:inline distT="0" distB="0" distL="0" distR="0">
            <wp:extent cx="1269365" cy="1803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9365" cy="1803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Annual election of all directors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Majority voting for directors in uncontested elections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Robust Lead Director role with explicit responsibilities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Proxy access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Shareowners can act by written consent</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15% of shareowners can call special meetings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Independent directors meet regularly without Management</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Board regularly reviews strategic direction and priorities</w:t>
      </w:r>
    </w:p>
    <w:p>
      <w:pPr>
        <w:spacing w:after="0" w:line="103" w:lineRule="exact"/>
        <w:rPr>
          <w:rFonts w:ascii="Arial" w:cs="Arial" w:eastAsia="Arial" w:hAnsi="Arial"/>
          <w:sz w:val="17"/>
          <w:szCs w:val="17"/>
          <w:color w:val="FDB03F"/>
        </w:rPr>
      </w:pPr>
    </w:p>
    <w:p>
      <w:pPr>
        <w:ind w:left="400" w:right="40" w:hanging="258"/>
        <w:spacing w:after="0" w:line="246" w:lineRule="auto"/>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Board regularly reviews significant risks, including cybersecurity risk</w:t>
      </w:r>
    </w:p>
    <w:p>
      <w:pPr>
        <w:spacing w:after="0" w:line="88"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Board regularly reviews government relations activities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Annual advisory vote on executive compensation</w:t>
      </w:r>
    </w:p>
    <w:p>
      <w:pPr>
        <w:spacing w:after="0" w:line="103" w:lineRule="exact"/>
        <w:rPr>
          <w:rFonts w:ascii="Arial" w:cs="Arial" w:eastAsia="Arial" w:hAnsi="Arial"/>
          <w:sz w:val="17"/>
          <w:szCs w:val="17"/>
          <w:color w:val="FDB03F"/>
        </w:rPr>
      </w:pPr>
    </w:p>
    <w:p>
      <w:pPr>
        <w:ind w:left="400" w:right="60" w:hanging="258"/>
        <w:spacing w:after="0" w:line="246" w:lineRule="auto"/>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Rigorous stock ownership requirements for directors and senior management</w:t>
      </w:r>
    </w:p>
    <w:p>
      <w:pPr>
        <w:spacing w:after="0" w:line="88"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No hedging, short sales or pledging of UTC securities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Annual Board, committee and director evaluations</w:t>
      </w:r>
    </w:p>
    <w:p>
      <w:pPr>
        <w:spacing w:after="0" w:line="103" w:lineRule="exact"/>
        <w:rPr>
          <w:rFonts w:ascii="Arial" w:cs="Arial" w:eastAsia="Arial" w:hAnsi="Arial"/>
          <w:sz w:val="17"/>
          <w:szCs w:val="17"/>
          <w:color w:val="FDB03F"/>
        </w:rPr>
      </w:pPr>
    </w:p>
    <w:p>
      <w:pPr>
        <w:ind w:left="400" w:hanging="258"/>
        <w:spacing w:after="0"/>
        <w:tabs>
          <w:tab w:leader="none" w:pos="400" w:val="left"/>
        </w:tabs>
        <w:numPr>
          <w:ilvl w:val="0"/>
          <w:numId w:val="20"/>
        </w:numPr>
        <w:rPr>
          <w:rFonts w:ascii="Arial" w:cs="Arial" w:eastAsia="Arial" w:hAnsi="Arial"/>
          <w:sz w:val="17"/>
          <w:szCs w:val="17"/>
          <w:color w:val="FDB03F"/>
        </w:rPr>
      </w:pPr>
      <w:r>
        <w:rPr>
          <w:rFonts w:ascii="Arial" w:cs="Arial" w:eastAsia="Arial" w:hAnsi="Arial"/>
          <w:sz w:val="18"/>
          <w:szCs w:val="18"/>
          <w:color w:val="auto"/>
        </w:rPr>
        <w:t>Active and ongoing shareowner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366395</wp:posOffset>
            </wp:positionV>
            <wp:extent cx="469074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90745" cy="946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598170</wp:posOffset>
            </wp:positionV>
            <wp:extent cx="702945" cy="702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 cy="70294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606425</wp:posOffset>
            </wp:positionV>
            <wp:extent cx="702945" cy="694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694690"/>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598170</wp:posOffset>
            </wp:positionV>
            <wp:extent cx="702945" cy="702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940" w:val="left"/>
          <w:tab w:leader="none" w:pos="3900" w:val="left"/>
        </w:tabs>
        <w:rPr>
          <w:sz w:val="20"/>
          <w:szCs w:val="20"/>
          <w:color w:val="auto"/>
        </w:rPr>
      </w:pPr>
      <w:r>
        <w:rPr>
          <w:rFonts w:ascii="Arial" w:cs="Arial" w:eastAsia="Arial" w:hAnsi="Arial"/>
          <w:sz w:val="18"/>
          <w:szCs w:val="18"/>
          <w:b w:val="1"/>
          <w:bCs w:val="1"/>
          <w:color w:val="0E93D8"/>
        </w:rPr>
        <w:t>with STEM degrees</w:t>
      </w:r>
      <w:r>
        <w:rPr>
          <w:sz w:val="20"/>
          <w:szCs w:val="20"/>
          <w:color w:val="auto"/>
        </w:rPr>
        <w:tab/>
      </w:r>
      <w:r>
        <w:rPr>
          <w:rFonts w:ascii="Arial" w:cs="Arial" w:eastAsia="Arial" w:hAnsi="Arial"/>
          <w:sz w:val="18"/>
          <w:szCs w:val="18"/>
          <w:b w:val="1"/>
          <w:bCs w:val="1"/>
          <w:color w:val="0E93D8"/>
        </w:rPr>
        <w:t>worked outside the</w:t>
      </w:r>
      <w:r>
        <w:rPr>
          <w:sz w:val="20"/>
          <w:szCs w:val="20"/>
          <w:color w:val="auto"/>
        </w:rPr>
        <w:tab/>
      </w:r>
      <w:r>
        <w:rPr>
          <w:rFonts w:ascii="Arial" w:cs="Arial" w:eastAsia="Arial" w:hAnsi="Arial"/>
          <w:sz w:val="16"/>
          <w:szCs w:val="16"/>
          <w:b w:val="1"/>
          <w:bCs w:val="1"/>
          <w:color w:val="0E93D8"/>
        </w:rPr>
        <w:t>worked in</w:t>
      </w:r>
    </w:p>
    <w:p>
      <w:pPr>
        <w:spacing w:after="0" w:line="18" w:lineRule="exact"/>
        <w:rPr>
          <w:sz w:val="20"/>
          <w:szCs w:val="20"/>
          <w:color w:val="auto"/>
        </w:rPr>
      </w:pPr>
    </w:p>
    <w:p>
      <w:pPr>
        <w:ind w:left="1960"/>
        <w:spacing w:after="0"/>
        <w:tabs>
          <w:tab w:leader="none" w:pos="3900" w:val="left"/>
        </w:tabs>
        <w:rPr>
          <w:sz w:val="20"/>
          <w:szCs w:val="20"/>
          <w:color w:val="auto"/>
        </w:rPr>
      </w:pPr>
      <w:r>
        <w:rPr>
          <w:rFonts w:ascii="Arial" w:cs="Arial" w:eastAsia="Arial" w:hAnsi="Arial"/>
          <w:sz w:val="18"/>
          <w:szCs w:val="18"/>
          <w:b w:val="1"/>
          <w:bCs w:val="1"/>
          <w:color w:val="0E93D8"/>
        </w:rPr>
        <w:t>United States</w:t>
      </w:r>
      <w:r>
        <w:rPr>
          <w:sz w:val="20"/>
          <w:szCs w:val="20"/>
          <w:color w:val="auto"/>
        </w:rPr>
        <w:tab/>
      </w:r>
      <w:r>
        <w:rPr>
          <w:rFonts w:ascii="Arial" w:cs="Arial" w:eastAsia="Arial" w:hAnsi="Arial"/>
          <w:sz w:val="16"/>
          <w:szCs w:val="16"/>
          <w:b w:val="1"/>
          <w:bCs w:val="1"/>
          <w:color w:val="0E93D8"/>
        </w:rPr>
        <w:t>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278130</wp:posOffset>
            </wp:positionV>
            <wp:extent cx="543687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3687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right="480"/>
        <w:spacing w:after="0"/>
        <w:rPr>
          <w:sz w:val="20"/>
          <w:szCs w:val="20"/>
          <w:color w:val="auto"/>
        </w:rPr>
      </w:pPr>
      <w:r>
        <w:rPr>
          <w:rFonts w:ascii="Arial" w:cs="Arial" w:eastAsia="Arial" w:hAnsi="Arial"/>
          <w:sz w:val="22"/>
          <w:szCs w:val="22"/>
          <w:b w:val="1"/>
          <w:bCs w:val="1"/>
          <w:color w:val="95C3EB"/>
        </w:rPr>
        <w:t xml:space="preserve">We believe that diversity in experience and perspective on the Board are of the </w:t>
      </w:r>
      <w:r>
        <w:rPr>
          <w:rFonts w:ascii="Arial" w:cs="Arial" w:eastAsia="Arial" w:hAnsi="Arial"/>
          <w:sz w:val="22"/>
          <w:szCs w:val="22"/>
          <w:b w:val="1"/>
          <w:bCs w:val="1"/>
          <w:color w:val="0E93D8"/>
        </w:rPr>
        <w:t>utmost</w:t>
      </w:r>
      <w:r>
        <w:rPr>
          <w:rFonts w:ascii="Arial" w:cs="Arial" w:eastAsia="Arial" w:hAnsi="Arial"/>
          <w:sz w:val="22"/>
          <w:szCs w:val="22"/>
          <w:b w:val="1"/>
          <w:bCs w:val="1"/>
          <w:color w:val="95C3EB"/>
        </w:rPr>
        <w:t xml:space="preserve"> </w:t>
      </w:r>
      <w:r>
        <w:rPr>
          <w:rFonts w:ascii="Arial" w:cs="Arial" w:eastAsia="Arial" w:hAnsi="Arial"/>
          <w:sz w:val="22"/>
          <w:szCs w:val="22"/>
          <w:b w:val="1"/>
          <w:bCs w:val="1"/>
          <w:color w:val="0E93D8"/>
        </w:rPr>
        <w:t>importance for reaching sound decisions that drive shareowner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81280</wp:posOffset>
            </wp:positionV>
            <wp:extent cx="3344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5480" w:space="320"/>
            <w:col w:w="5520"/>
          </w:cols>
          <w:pgMar w:left="240" w:top="121" w:right="339" w:bottom="1440" w:gutter="0" w:footer="0" w:header="0"/>
          <w:type w:val="continuous"/>
        </w:sectPr>
      </w:pPr>
    </w:p>
    <w:p>
      <w:pPr>
        <w:spacing w:after="0" w:line="115" w:lineRule="exact"/>
        <w:rPr>
          <w:sz w:val="20"/>
          <w:szCs w:val="20"/>
          <w:color w:val="auto"/>
        </w:rPr>
      </w:pPr>
    </w:p>
    <w:p>
      <w:pPr>
        <w:ind w:left="780" w:hanging="528"/>
        <w:spacing w:after="0"/>
        <w:tabs>
          <w:tab w:leader="none" w:pos="780" w:val="left"/>
        </w:tabs>
        <w:numPr>
          <w:ilvl w:val="0"/>
          <w:numId w:val="21"/>
        </w:numPr>
        <w:rPr>
          <w:rFonts w:ascii="Arial" w:cs="Arial" w:eastAsia="Arial" w:hAnsi="Arial"/>
          <w:sz w:val="16"/>
          <w:szCs w:val="16"/>
          <w:b w:val="1"/>
          <w:bCs w:val="1"/>
          <w:color w:val="FFFFFF"/>
        </w:rPr>
      </w:pPr>
      <w:r>
        <w:rPr>
          <w:rFonts w:ascii="Arial" w:cs="Arial" w:eastAsia="Arial" w:hAnsi="Arial"/>
          <w:sz w:val="13"/>
          <w:szCs w:val="13"/>
          <w:color w:val="0E93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719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719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23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FFFFFF"/>
          <w:shd w:val="clear" w:color="auto" w:fill="FDB03F"/>
        </w:rPr>
        <w:t>PROXY SUMMARY</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F94D8"/>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-90805</wp:posOffset>
            </wp:positionV>
            <wp:extent cx="6397625"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97625" cy="94615"/>
                    </a:xfrm>
                    <a:prstGeom prst="rect">
                      <a:avLst/>
                    </a:prstGeom>
                    <a:noFill/>
                  </pic:spPr>
                </pic:pic>
              </a:graphicData>
            </a:graphic>
          </wp:anchor>
        </w:drawing>
      </w:r>
    </w:p>
    <w:p>
      <w:pPr>
        <w:spacing w:after="0" w:line="211"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0F94D8"/>
        </w:rPr>
        <w:t>Skills and Expertise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98"/>
        </w:trPr>
        <w:tc>
          <w:tcPr>
            <w:tcW w:w="6500" w:type="dxa"/>
            <w:vAlign w:val="bottom"/>
            <w:tcBorders>
              <w:bottom w:val="single" w:sz="8" w:color="0F94D8"/>
            </w:tcBorders>
          </w:tcPr>
          <w:p>
            <w:pPr>
              <w:spacing w:after="0"/>
              <w:rPr>
                <w:sz w:val="24"/>
                <w:szCs w:val="24"/>
                <w:color w:val="auto"/>
              </w:rPr>
            </w:pPr>
          </w:p>
        </w:tc>
        <w:tc>
          <w:tcPr>
            <w:tcW w:w="540" w:type="dxa"/>
            <w:vAlign w:val="bottom"/>
            <w:tcBorders>
              <w:bottom w:val="single" w:sz="8" w:color="0F94D8"/>
            </w:tcBorders>
            <w:shd w:val="clear" w:color="auto" w:fill="F2F8FA"/>
          </w:tcPr>
          <w:p>
            <w:pPr>
              <w:spacing w:after="0"/>
              <w:rPr>
                <w:sz w:val="24"/>
                <w:szCs w:val="24"/>
                <w:color w:val="auto"/>
              </w:rPr>
            </w:pPr>
          </w:p>
        </w:tc>
        <w:tc>
          <w:tcPr>
            <w:tcW w:w="560" w:type="dxa"/>
            <w:vAlign w:val="bottom"/>
            <w:tcBorders>
              <w:bottom w:val="single" w:sz="8" w:color="0F94D8"/>
            </w:tcBorders>
          </w:tcPr>
          <w:p>
            <w:pPr>
              <w:spacing w:after="0"/>
              <w:rPr>
                <w:sz w:val="24"/>
                <w:szCs w:val="24"/>
                <w:color w:val="auto"/>
              </w:rPr>
            </w:pPr>
          </w:p>
        </w:tc>
        <w:tc>
          <w:tcPr>
            <w:tcW w:w="540" w:type="dxa"/>
            <w:vAlign w:val="bottom"/>
            <w:tcBorders>
              <w:top w:val="single" w:sz="8" w:color="auto"/>
              <w:bottom w:val="single" w:sz="8" w:color="0F94D8"/>
            </w:tcBorders>
            <w:shd w:val="clear" w:color="auto" w:fill="E3EFFA"/>
          </w:tcPr>
          <w:p>
            <w:pPr>
              <w:spacing w:after="0"/>
              <w:rPr>
                <w:sz w:val="24"/>
                <w:szCs w:val="24"/>
                <w:color w:val="auto"/>
              </w:rPr>
            </w:pPr>
          </w:p>
        </w:tc>
        <w:tc>
          <w:tcPr>
            <w:tcW w:w="540" w:type="dxa"/>
            <w:vAlign w:val="bottom"/>
            <w:tcBorders>
              <w:top w:val="single" w:sz="8" w:color="auto"/>
              <w:bottom w:val="single" w:sz="8" w:color="0F94D8"/>
            </w:tcBorders>
          </w:tcPr>
          <w:p>
            <w:pPr>
              <w:spacing w:after="0"/>
              <w:rPr>
                <w:sz w:val="24"/>
                <w:szCs w:val="24"/>
                <w:color w:val="auto"/>
              </w:rPr>
            </w:pPr>
          </w:p>
        </w:tc>
        <w:tc>
          <w:tcPr>
            <w:tcW w:w="540" w:type="dxa"/>
            <w:vAlign w:val="bottom"/>
            <w:tcBorders>
              <w:top w:val="single" w:sz="8" w:color="auto"/>
              <w:bottom w:val="single" w:sz="8" w:color="0F94D8"/>
            </w:tcBorders>
            <w:shd w:val="clear" w:color="auto" w:fill="E3EFFA"/>
          </w:tcPr>
          <w:p>
            <w:pPr>
              <w:spacing w:after="0"/>
              <w:rPr>
                <w:sz w:val="24"/>
                <w:szCs w:val="24"/>
                <w:color w:val="auto"/>
              </w:rPr>
            </w:pPr>
          </w:p>
        </w:tc>
        <w:tc>
          <w:tcPr>
            <w:tcW w:w="560" w:type="dxa"/>
            <w:vAlign w:val="bottom"/>
            <w:tcBorders>
              <w:top w:val="single" w:sz="8" w:color="auto"/>
              <w:bottom w:val="single" w:sz="8" w:color="0F94D8"/>
            </w:tcBorders>
          </w:tcPr>
          <w:p>
            <w:pPr>
              <w:spacing w:after="0"/>
              <w:rPr>
                <w:sz w:val="24"/>
                <w:szCs w:val="24"/>
                <w:color w:val="auto"/>
              </w:rPr>
            </w:pPr>
          </w:p>
        </w:tc>
        <w:tc>
          <w:tcPr>
            <w:tcW w:w="540" w:type="dxa"/>
            <w:vAlign w:val="bottom"/>
            <w:tcBorders>
              <w:top w:val="single" w:sz="8" w:color="auto"/>
              <w:bottom w:val="single" w:sz="8" w:color="0F94D8"/>
            </w:tcBorders>
            <w:shd w:val="clear" w:color="auto" w:fill="E3EFFA"/>
          </w:tcPr>
          <w:p>
            <w:pPr>
              <w:spacing w:after="0"/>
              <w:rPr>
                <w:sz w:val="24"/>
                <w:szCs w:val="24"/>
                <w:color w:val="auto"/>
              </w:rPr>
            </w:pPr>
          </w:p>
        </w:tc>
        <w:tc>
          <w:tcPr>
            <w:tcW w:w="540" w:type="dxa"/>
            <w:vAlign w:val="bottom"/>
            <w:tcBorders>
              <w:top w:val="single" w:sz="8" w:color="auto"/>
              <w:bottom w:val="single" w:sz="8" w:color="0F94D8"/>
            </w:tcBorders>
          </w:tcPr>
          <w:p>
            <w:pPr>
              <w:spacing w:after="0"/>
              <w:rPr>
                <w:sz w:val="24"/>
                <w:szCs w:val="24"/>
                <w:color w:val="auto"/>
              </w:rPr>
            </w:pPr>
          </w:p>
        </w:tc>
        <w:tc>
          <w:tcPr>
            <w:tcW w:w="560" w:type="dxa"/>
            <w:vAlign w:val="bottom"/>
            <w:tcBorders>
              <w:top w:val="single" w:sz="8" w:color="auto"/>
              <w:bottom w:val="single" w:sz="8" w:color="0F94D8"/>
            </w:tcBorders>
            <w:shd w:val="clear" w:color="auto" w:fill="E3EFFA"/>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LLOYD J. AUSTIN III</w:t>
            </w:r>
          </w:p>
        </w:tc>
        <w:tc>
          <w:tcPr>
            <w:tcW w:w="540" w:type="dxa"/>
            <w:vAlign w:val="bottom"/>
            <w:shd w:val="clear" w:color="auto" w:fill="F2F8FA"/>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shd w:val="clear" w:color="auto" w:fill="E3EFFA"/>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shd w:val="clear" w:color="auto" w:fill="E3EFFA"/>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shd w:val="clear" w:color="auto" w:fill="E3EFFA"/>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shd w:val="clear" w:color="auto" w:fill="E3EFFA"/>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General, U. S. Army (Retired) and Former Commander</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2016</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2</w:t>
            </w:r>
          </w:p>
        </w:tc>
        <w:tc>
          <w:tcPr>
            <w:tcW w:w="540" w:type="dxa"/>
            <w:vAlign w:val="bottom"/>
            <w:shd w:val="clear" w:color="auto" w:fill="E3EFFA"/>
          </w:tcPr>
          <w:p>
            <w:pPr>
              <w:spacing w:after="0"/>
              <w:rPr>
                <w:sz w:val="12"/>
                <w:szCs w:val="12"/>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60" w:type="dxa"/>
            <w:vAlign w:val="bottom"/>
          </w:tcPr>
          <w:p>
            <w:pPr>
              <w:spacing w:after="0"/>
              <w:rPr>
                <w:sz w:val="12"/>
                <w:szCs w:val="12"/>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500" w:type="dxa"/>
            <w:vAlign w:val="bottom"/>
            <w:vMerge w:val="restart"/>
          </w:tcPr>
          <w:p>
            <w:pPr>
              <w:ind w:left="800"/>
              <w:spacing w:after="0"/>
              <w:rPr>
                <w:sz w:val="20"/>
                <w:szCs w:val="20"/>
                <w:color w:val="auto"/>
              </w:rPr>
            </w:pPr>
            <w:r>
              <w:rPr>
                <w:rFonts w:ascii="Arial" w:cs="Arial" w:eastAsia="Arial" w:hAnsi="Arial"/>
                <w:sz w:val="14"/>
                <w:szCs w:val="14"/>
                <w:color w:val="auto"/>
              </w:rPr>
              <w:t>of U. S. Central Command</w:t>
            </w:r>
          </w:p>
        </w:tc>
        <w:tc>
          <w:tcPr>
            <w:tcW w:w="540" w:type="dxa"/>
            <w:vAlign w:val="bottom"/>
            <w:vMerge w:val="continue"/>
            <w:shd w:val="clear" w:color="auto" w:fill="F2F8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shd w:val="clear" w:color="auto" w:fill="E3EFFA"/>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vMerge w:val="continue"/>
            <w:shd w:val="clear" w:color="auto" w:fill="E3EFFA"/>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shd w:val="clear" w:color="auto" w:fill="E3EFFA"/>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500" w:type="dxa"/>
            <w:vAlign w:val="bottom"/>
            <w:vMerge w:val="continue"/>
          </w:tcPr>
          <w:p>
            <w:pPr>
              <w:spacing w:after="0"/>
              <w:rPr>
                <w:sz w:val="4"/>
                <w:szCs w:val="4"/>
                <w:color w:val="auto"/>
              </w:rPr>
            </w:pPr>
          </w:p>
        </w:tc>
        <w:tc>
          <w:tcPr>
            <w:tcW w:w="540" w:type="dxa"/>
            <w:vAlign w:val="bottom"/>
            <w:shd w:val="clear" w:color="auto" w:fill="F2F8FA"/>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shd w:val="clear" w:color="auto" w:fill="E3EFFA"/>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shd w:val="clear" w:color="auto" w:fill="E3EFFA"/>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shd w:val="clear" w:color="auto" w:fill="E3EFFA"/>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shd w:val="clear" w:color="auto" w:fill="E3EFFA"/>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6500" w:type="dxa"/>
            <w:vAlign w:val="bottom"/>
            <w:tcBorders>
              <w:bottom w:val="single" w:sz="8" w:color="7C7C7C"/>
            </w:tcBorders>
          </w:tcPr>
          <w:p>
            <w:pPr>
              <w:spacing w:after="0"/>
              <w:rPr>
                <w:sz w:val="11"/>
                <w:szCs w:val="11"/>
                <w:color w:val="auto"/>
              </w:rPr>
            </w:pPr>
          </w:p>
        </w:tc>
        <w:tc>
          <w:tcPr>
            <w:tcW w:w="540" w:type="dxa"/>
            <w:vAlign w:val="bottom"/>
            <w:tcBorders>
              <w:bottom w:val="single" w:sz="8" w:color="7C7C7C"/>
            </w:tcBorders>
            <w:shd w:val="clear" w:color="auto" w:fill="F2F8FA"/>
          </w:tcPr>
          <w:p>
            <w:pPr>
              <w:spacing w:after="0"/>
              <w:rPr>
                <w:sz w:val="11"/>
                <w:szCs w:val="11"/>
                <w:color w:val="auto"/>
              </w:rPr>
            </w:pPr>
          </w:p>
        </w:tc>
        <w:tc>
          <w:tcPr>
            <w:tcW w:w="560" w:type="dxa"/>
            <w:vAlign w:val="bottom"/>
            <w:tcBorders>
              <w:bottom w:val="single" w:sz="8" w:color="7C7C7C"/>
            </w:tcBorders>
          </w:tcPr>
          <w:p>
            <w:pPr>
              <w:spacing w:after="0"/>
              <w:rPr>
                <w:sz w:val="11"/>
                <w:szCs w:val="11"/>
                <w:color w:val="auto"/>
              </w:rPr>
            </w:pPr>
          </w:p>
        </w:tc>
        <w:tc>
          <w:tcPr>
            <w:tcW w:w="540" w:type="dxa"/>
            <w:vAlign w:val="bottom"/>
            <w:tcBorders>
              <w:bottom w:val="single" w:sz="8" w:color="7C7C7C"/>
            </w:tcBorders>
            <w:shd w:val="clear" w:color="auto" w:fill="E3EFFA"/>
          </w:tcPr>
          <w:p>
            <w:pPr>
              <w:spacing w:after="0"/>
              <w:rPr>
                <w:sz w:val="11"/>
                <w:szCs w:val="11"/>
                <w:color w:val="auto"/>
              </w:rPr>
            </w:pPr>
          </w:p>
        </w:tc>
        <w:tc>
          <w:tcPr>
            <w:tcW w:w="540" w:type="dxa"/>
            <w:vAlign w:val="bottom"/>
            <w:tcBorders>
              <w:bottom w:val="single" w:sz="8" w:color="7C7C7C"/>
            </w:tcBorders>
          </w:tcPr>
          <w:p>
            <w:pPr>
              <w:spacing w:after="0"/>
              <w:rPr>
                <w:sz w:val="11"/>
                <w:szCs w:val="11"/>
                <w:color w:val="auto"/>
              </w:rPr>
            </w:pPr>
          </w:p>
        </w:tc>
        <w:tc>
          <w:tcPr>
            <w:tcW w:w="540" w:type="dxa"/>
            <w:vAlign w:val="bottom"/>
            <w:tcBorders>
              <w:bottom w:val="single" w:sz="8" w:color="7C7C7C"/>
            </w:tcBorders>
            <w:shd w:val="clear" w:color="auto" w:fill="E3EFFA"/>
          </w:tcPr>
          <w:p>
            <w:pPr>
              <w:spacing w:after="0"/>
              <w:rPr>
                <w:sz w:val="11"/>
                <w:szCs w:val="11"/>
                <w:color w:val="auto"/>
              </w:rPr>
            </w:pPr>
          </w:p>
        </w:tc>
        <w:tc>
          <w:tcPr>
            <w:tcW w:w="560" w:type="dxa"/>
            <w:vAlign w:val="bottom"/>
            <w:tcBorders>
              <w:bottom w:val="single" w:sz="8" w:color="7C7C7C"/>
            </w:tcBorders>
          </w:tcPr>
          <w:p>
            <w:pPr>
              <w:spacing w:after="0"/>
              <w:rPr>
                <w:sz w:val="11"/>
                <w:szCs w:val="11"/>
                <w:color w:val="auto"/>
              </w:rPr>
            </w:pPr>
          </w:p>
        </w:tc>
        <w:tc>
          <w:tcPr>
            <w:tcW w:w="540" w:type="dxa"/>
            <w:vAlign w:val="bottom"/>
            <w:tcBorders>
              <w:bottom w:val="single" w:sz="8" w:color="7C7C7C"/>
            </w:tcBorders>
            <w:shd w:val="clear" w:color="auto" w:fill="E3EFFA"/>
          </w:tcPr>
          <w:p>
            <w:pPr>
              <w:spacing w:after="0"/>
              <w:rPr>
                <w:sz w:val="11"/>
                <w:szCs w:val="11"/>
                <w:color w:val="auto"/>
              </w:rPr>
            </w:pPr>
          </w:p>
        </w:tc>
        <w:tc>
          <w:tcPr>
            <w:tcW w:w="540" w:type="dxa"/>
            <w:vAlign w:val="bottom"/>
            <w:tcBorders>
              <w:bottom w:val="single" w:sz="8" w:color="7C7C7C"/>
            </w:tcBorders>
          </w:tcPr>
          <w:p>
            <w:pPr>
              <w:spacing w:after="0"/>
              <w:rPr>
                <w:sz w:val="11"/>
                <w:szCs w:val="11"/>
                <w:color w:val="auto"/>
              </w:rPr>
            </w:pPr>
          </w:p>
        </w:tc>
        <w:tc>
          <w:tcPr>
            <w:tcW w:w="560" w:type="dxa"/>
            <w:vAlign w:val="bottom"/>
            <w:tcBorders>
              <w:bottom w:val="single" w:sz="8" w:color="7C7C7C"/>
            </w:tcBorders>
            <w:shd w:val="clear" w:color="auto" w:fill="E3EFFA"/>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DIANE M. BRYANT</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Technology Industry Executive</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2017</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1</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4"/>
                <w:szCs w:val="14"/>
                <w:color w:val="auto"/>
              </w:rPr>
            </w:pPr>
          </w:p>
        </w:tc>
        <w:tc>
          <w:tcPr>
            <w:tcW w:w="56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0" w:type="dxa"/>
            <w:vAlign w:val="bottom"/>
          </w:tcPr>
          <w:p>
            <w:pPr>
              <w:spacing w:after="0"/>
              <w:rPr>
                <w:sz w:val="1"/>
                <w:szCs w:val="1"/>
                <w:color w:val="auto"/>
              </w:rPr>
            </w:pPr>
          </w:p>
        </w:tc>
      </w:tr>
      <w:tr>
        <w:trPr>
          <w:trHeight w:val="97"/>
        </w:trPr>
        <w:tc>
          <w:tcPr>
            <w:tcW w:w="6500" w:type="dxa"/>
            <w:vAlign w:val="bottom"/>
          </w:tcPr>
          <w:p>
            <w:pPr>
              <w:spacing w:after="0"/>
              <w:rPr>
                <w:sz w:val="8"/>
                <w:szCs w:val="8"/>
                <w:color w:val="auto"/>
              </w:rPr>
            </w:pPr>
          </w:p>
        </w:tc>
        <w:tc>
          <w:tcPr>
            <w:tcW w:w="540" w:type="dxa"/>
            <w:vAlign w:val="bottom"/>
            <w:vMerge w:val="continue"/>
            <w:shd w:val="clear" w:color="auto" w:fill="F2F8FA"/>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shd w:val="clear" w:color="auto" w:fill="E3EFFA"/>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vMerge w:val="continue"/>
            <w:shd w:val="clear" w:color="auto" w:fill="E3EFFA"/>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50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F2F8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60" w:type="dxa"/>
            <w:vAlign w:val="bottom"/>
            <w:tcBorders>
              <w:bottom w:val="single" w:sz="8" w:color="7C7C7C"/>
            </w:tcBorders>
            <w:shd w:val="clear" w:color="auto" w:fill="E3EFFA"/>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JOHN V. FARACI</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Retired Chairman &amp; Chief Executive Officer,</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2005</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2</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2"/>
                <w:szCs w:val="12"/>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shd w:val="clear" w:color="auto" w:fill="E3EFFA"/>
          </w:tcPr>
          <w:p>
            <w:pPr>
              <w:spacing w:after="0"/>
              <w:rPr>
                <w:sz w:val="12"/>
                <w:szCs w:val="12"/>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500" w:type="dxa"/>
            <w:vAlign w:val="bottom"/>
            <w:vMerge w:val="restart"/>
          </w:tcPr>
          <w:p>
            <w:pPr>
              <w:ind w:left="800"/>
              <w:spacing w:after="0"/>
              <w:rPr>
                <w:sz w:val="20"/>
                <w:szCs w:val="20"/>
                <w:color w:val="auto"/>
              </w:rPr>
            </w:pPr>
            <w:r>
              <w:rPr>
                <w:rFonts w:ascii="Arial" w:cs="Arial" w:eastAsia="Arial" w:hAnsi="Arial"/>
                <w:sz w:val="14"/>
                <w:szCs w:val="14"/>
                <w:color w:val="auto"/>
              </w:rPr>
              <w:t>International Paper</w:t>
            </w:r>
          </w:p>
        </w:tc>
        <w:tc>
          <w:tcPr>
            <w:tcW w:w="540" w:type="dxa"/>
            <w:vAlign w:val="bottom"/>
            <w:vMerge w:val="continue"/>
            <w:shd w:val="clear" w:color="auto" w:fill="F2F8FA"/>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shd w:val="clear" w:color="auto" w:fill="E3EFFA"/>
          </w:tcPr>
          <w:p>
            <w:pPr>
              <w:spacing w:after="0"/>
              <w:rPr>
                <w:sz w:val="8"/>
                <w:szCs w:val="8"/>
                <w:color w:val="auto"/>
              </w:rPr>
            </w:pPr>
          </w:p>
        </w:tc>
        <w:tc>
          <w:tcPr>
            <w:tcW w:w="540" w:type="dxa"/>
            <w:vAlign w:val="bottom"/>
            <w:vMerge w:val="continue"/>
          </w:tcPr>
          <w:p>
            <w:pPr>
              <w:spacing w:after="0"/>
              <w:rPr>
                <w:sz w:val="8"/>
                <w:szCs w:val="8"/>
                <w:color w:val="auto"/>
              </w:rPr>
            </w:pPr>
          </w:p>
        </w:tc>
        <w:tc>
          <w:tcPr>
            <w:tcW w:w="560" w:type="dxa"/>
            <w:vAlign w:val="bottom"/>
            <w:shd w:val="clear" w:color="auto" w:fill="E3EFFA"/>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6500" w:type="dxa"/>
            <w:vAlign w:val="bottom"/>
            <w:vMerge w:val="continue"/>
          </w:tcPr>
          <w:p>
            <w:pPr>
              <w:spacing w:after="0"/>
              <w:rPr>
                <w:sz w:val="5"/>
                <w:szCs w:val="5"/>
                <w:color w:val="auto"/>
              </w:rPr>
            </w:pPr>
          </w:p>
        </w:tc>
        <w:tc>
          <w:tcPr>
            <w:tcW w:w="540" w:type="dxa"/>
            <w:vAlign w:val="bottom"/>
            <w:shd w:val="clear" w:color="auto" w:fill="F2F8FA"/>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shd w:val="clear" w:color="auto" w:fill="E3EFFA"/>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shd w:val="clear" w:color="auto" w:fill="E3EFFA"/>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shd w:val="clear" w:color="auto" w:fill="E3EFFA"/>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shd w:val="clear" w:color="auto" w:fill="E3EFFA"/>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6500" w:type="dxa"/>
            <w:vAlign w:val="bottom"/>
            <w:tcBorders>
              <w:bottom w:val="single" w:sz="8" w:color="7C7C7C"/>
            </w:tcBorders>
          </w:tcPr>
          <w:p>
            <w:pPr>
              <w:spacing w:after="0"/>
              <w:rPr>
                <w:sz w:val="9"/>
                <w:szCs w:val="9"/>
                <w:color w:val="auto"/>
              </w:rPr>
            </w:pPr>
          </w:p>
        </w:tc>
        <w:tc>
          <w:tcPr>
            <w:tcW w:w="540" w:type="dxa"/>
            <w:vAlign w:val="bottom"/>
            <w:tcBorders>
              <w:bottom w:val="single" w:sz="8" w:color="7C7C7C"/>
            </w:tcBorders>
            <w:shd w:val="clear" w:color="auto" w:fill="F2F8FA"/>
          </w:tcPr>
          <w:p>
            <w:pPr>
              <w:spacing w:after="0"/>
              <w:rPr>
                <w:sz w:val="9"/>
                <w:szCs w:val="9"/>
                <w:color w:val="auto"/>
              </w:rPr>
            </w:pPr>
          </w:p>
        </w:tc>
        <w:tc>
          <w:tcPr>
            <w:tcW w:w="560" w:type="dxa"/>
            <w:vAlign w:val="bottom"/>
            <w:tcBorders>
              <w:bottom w:val="single" w:sz="8" w:color="7C7C7C"/>
            </w:tcBorders>
          </w:tcPr>
          <w:p>
            <w:pPr>
              <w:spacing w:after="0"/>
              <w:rPr>
                <w:sz w:val="9"/>
                <w:szCs w:val="9"/>
                <w:color w:val="auto"/>
              </w:rPr>
            </w:pPr>
          </w:p>
        </w:tc>
        <w:tc>
          <w:tcPr>
            <w:tcW w:w="540" w:type="dxa"/>
            <w:vAlign w:val="bottom"/>
            <w:tcBorders>
              <w:bottom w:val="single" w:sz="8" w:color="7C7C7C"/>
            </w:tcBorders>
            <w:shd w:val="clear" w:color="auto" w:fill="E3EFFA"/>
          </w:tcPr>
          <w:p>
            <w:pPr>
              <w:spacing w:after="0"/>
              <w:rPr>
                <w:sz w:val="9"/>
                <w:szCs w:val="9"/>
                <w:color w:val="auto"/>
              </w:rPr>
            </w:pPr>
          </w:p>
        </w:tc>
        <w:tc>
          <w:tcPr>
            <w:tcW w:w="540" w:type="dxa"/>
            <w:vAlign w:val="bottom"/>
            <w:tcBorders>
              <w:bottom w:val="single" w:sz="8" w:color="7C7C7C"/>
            </w:tcBorders>
          </w:tcPr>
          <w:p>
            <w:pPr>
              <w:spacing w:after="0"/>
              <w:rPr>
                <w:sz w:val="9"/>
                <w:szCs w:val="9"/>
                <w:color w:val="auto"/>
              </w:rPr>
            </w:pPr>
          </w:p>
        </w:tc>
        <w:tc>
          <w:tcPr>
            <w:tcW w:w="540" w:type="dxa"/>
            <w:vAlign w:val="bottom"/>
            <w:tcBorders>
              <w:bottom w:val="single" w:sz="8" w:color="7C7C7C"/>
            </w:tcBorders>
            <w:shd w:val="clear" w:color="auto" w:fill="E3EFFA"/>
          </w:tcPr>
          <w:p>
            <w:pPr>
              <w:spacing w:after="0"/>
              <w:rPr>
                <w:sz w:val="9"/>
                <w:szCs w:val="9"/>
                <w:color w:val="auto"/>
              </w:rPr>
            </w:pPr>
          </w:p>
        </w:tc>
        <w:tc>
          <w:tcPr>
            <w:tcW w:w="560" w:type="dxa"/>
            <w:vAlign w:val="bottom"/>
            <w:tcBorders>
              <w:bottom w:val="single" w:sz="8" w:color="7C7C7C"/>
            </w:tcBorders>
          </w:tcPr>
          <w:p>
            <w:pPr>
              <w:spacing w:after="0"/>
              <w:rPr>
                <w:sz w:val="9"/>
                <w:szCs w:val="9"/>
                <w:color w:val="auto"/>
              </w:rPr>
            </w:pPr>
          </w:p>
        </w:tc>
        <w:tc>
          <w:tcPr>
            <w:tcW w:w="540" w:type="dxa"/>
            <w:vAlign w:val="bottom"/>
            <w:tcBorders>
              <w:bottom w:val="single" w:sz="8" w:color="7C7C7C"/>
            </w:tcBorders>
            <w:shd w:val="clear" w:color="auto" w:fill="E3EFFA"/>
          </w:tcPr>
          <w:p>
            <w:pPr>
              <w:spacing w:after="0"/>
              <w:rPr>
                <w:sz w:val="9"/>
                <w:szCs w:val="9"/>
                <w:color w:val="auto"/>
              </w:rPr>
            </w:pPr>
          </w:p>
        </w:tc>
        <w:tc>
          <w:tcPr>
            <w:tcW w:w="540" w:type="dxa"/>
            <w:vAlign w:val="bottom"/>
            <w:tcBorders>
              <w:bottom w:val="single" w:sz="8" w:color="7C7C7C"/>
            </w:tcBorders>
          </w:tcPr>
          <w:p>
            <w:pPr>
              <w:spacing w:after="0"/>
              <w:rPr>
                <w:sz w:val="9"/>
                <w:szCs w:val="9"/>
                <w:color w:val="auto"/>
              </w:rPr>
            </w:pPr>
          </w:p>
        </w:tc>
        <w:tc>
          <w:tcPr>
            <w:tcW w:w="560" w:type="dxa"/>
            <w:vAlign w:val="bottom"/>
            <w:tcBorders>
              <w:bottom w:val="single" w:sz="8" w:color="7C7C7C"/>
            </w:tcBorders>
            <w:shd w:val="clear" w:color="auto" w:fill="E3EFFA"/>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JEAN-PIERRE GARNIER</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Chairman, Idorsia Pharmaceuticals Ltd.</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1997</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3</w:t>
            </w: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shd w:val="clear" w:color="auto" w:fill="E3EFFA"/>
          </w:tcPr>
          <w:p>
            <w:pPr>
              <w:spacing w:after="0"/>
              <w:rPr>
                <w:sz w:val="14"/>
                <w:szCs w:val="14"/>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0" w:type="dxa"/>
            <w:vAlign w:val="bottom"/>
          </w:tcPr>
          <w:p>
            <w:pPr>
              <w:spacing w:after="0"/>
              <w:rPr>
                <w:sz w:val="1"/>
                <w:szCs w:val="1"/>
                <w:color w:val="auto"/>
              </w:rPr>
            </w:pPr>
          </w:p>
        </w:tc>
      </w:tr>
      <w:tr>
        <w:trPr>
          <w:trHeight w:val="111"/>
        </w:trPr>
        <w:tc>
          <w:tcPr>
            <w:tcW w:w="6500" w:type="dxa"/>
            <w:vAlign w:val="bottom"/>
          </w:tcPr>
          <w:p>
            <w:pPr>
              <w:spacing w:after="0"/>
              <w:rPr>
                <w:sz w:val="9"/>
                <w:szCs w:val="9"/>
                <w:color w:val="auto"/>
              </w:rPr>
            </w:pPr>
          </w:p>
        </w:tc>
        <w:tc>
          <w:tcPr>
            <w:tcW w:w="540" w:type="dxa"/>
            <w:vAlign w:val="bottom"/>
            <w:vMerge w:val="continue"/>
            <w:shd w:val="clear" w:color="auto" w:fill="F2F8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shd w:val="clear" w:color="auto" w:fill="E3EF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vMerge w:val="continue"/>
            <w:shd w:val="clear" w:color="auto" w:fill="E3EFFA"/>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650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F2F8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60" w:type="dxa"/>
            <w:vAlign w:val="bottom"/>
            <w:tcBorders>
              <w:bottom w:val="single" w:sz="8" w:color="7C7C7C"/>
            </w:tcBorders>
            <w:shd w:val="clear" w:color="auto" w:fill="E3EFFA"/>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GREGORY J. HAYES</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Chairman &amp; Chief Executive Officer,</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2014</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0</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2"/>
                <w:szCs w:val="12"/>
                <w:color w:val="auto"/>
              </w:rPr>
            </w:pPr>
          </w:p>
        </w:tc>
        <w:tc>
          <w:tcPr>
            <w:tcW w:w="540" w:type="dxa"/>
            <w:vAlign w:val="bottom"/>
            <w:shd w:val="clear" w:color="auto" w:fill="E3EFFA"/>
          </w:tcPr>
          <w:p>
            <w:pPr>
              <w:spacing w:after="0"/>
              <w:rPr>
                <w:sz w:val="12"/>
                <w:szCs w:val="12"/>
                <w:color w:val="auto"/>
              </w:rPr>
            </w:pP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United Technologies Corporation</w:t>
            </w:r>
          </w:p>
        </w:tc>
        <w:tc>
          <w:tcPr>
            <w:tcW w:w="540" w:type="dxa"/>
            <w:vAlign w:val="bottom"/>
            <w:vMerge w:val="continue"/>
            <w:shd w:val="clear" w:color="auto" w:fill="F2F8FA"/>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shd w:val="clear" w:color="auto" w:fill="E3EFFA"/>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F2F8FA"/>
          </w:tcPr>
          <w:p>
            <w:pPr>
              <w:spacing w:after="0"/>
              <w:rPr>
                <w:sz w:val="15"/>
                <w:szCs w:val="15"/>
                <w:color w:val="auto"/>
              </w:rPr>
            </w:pPr>
          </w:p>
        </w:tc>
        <w:tc>
          <w:tcPr>
            <w:tcW w:w="56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E3EFFA"/>
          </w:tcPr>
          <w:p>
            <w:pPr>
              <w:spacing w:after="0"/>
              <w:rPr>
                <w:sz w:val="15"/>
                <w:szCs w:val="15"/>
                <w:color w:val="auto"/>
              </w:rPr>
            </w:pPr>
          </w:p>
        </w:tc>
        <w:tc>
          <w:tcPr>
            <w:tcW w:w="54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E3EFFA"/>
          </w:tcPr>
          <w:p>
            <w:pPr>
              <w:spacing w:after="0"/>
              <w:rPr>
                <w:sz w:val="15"/>
                <w:szCs w:val="15"/>
                <w:color w:val="auto"/>
              </w:rPr>
            </w:pPr>
          </w:p>
        </w:tc>
        <w:tc>
          <w:tcPr>
            <w:tcW w:w="56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E3EFFA"/>
          </w:tcPr>
          <w:p>
            <w:pPr>
              <w:spacing w:after="0"/>
              <w:rPr>
                <w:sz w:val="15"/>
                <w:szCs w:val="15"/>
                <w:color w:val="auto"/>
              </w:rPr>
            </w:pPr>
          </w:p>
        </w:tc>
        <w:tc>
          <w:tcPr>
            <w:tcW w:w="540" w:type="dxa"/>
            <w:vAlign w:val="bottom"/>
            <w:tcBorders>
              <w:bottom w:val="single" w:sz="8" w:color="7C7C7C"/>
            </w:tcBorders>
          </w:tcPr>
          <w:p>
            <w:pPr>
              <w:spacing w:after="0"/>
              <w:rPr>
                <w:sz w:val="15"/>
                <w:szCs w:val="15"/>
                <w:color w:val="auto"/>
              </w:rPr>
            </w:pPr>
          </w:p>
        </w:tc>
        <w:tc>
          <w:tcPr>
            <w:tcW w:w="560" w:type="dxa"/>
            <w:vAlign w:val="bottom"/>
            <w:tcBorders>
              <w:bottom w:val="single" w:sz="8" w:color="7C7C7C"/>
            </w:tcBorders>
            <w:shd w:val="clear" w:color="auto" w:fill="E3EFFA"/>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CHRISTOPHER J. KEARNEY</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Retired Chairman, SPX FLOW, Inc.</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2018</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1</w:t>
            </w: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6500" w:type="dxa"/>
            <w:vAlign w:val="bottom"/>
          </w:tcPr>
          <w:p>
            <w:pPr>
              <w:spacing w:after="0"/>
              <w:rPr>
                <w:sz w:val="8"/>
                <w:szCs w:val="8"/>
                <w:color w:val="auto"/>
              </w:rPr>
            </w:pPr>
          </w:p>
        </w:tc>
        <w:tc>
          <w:tcPr>
            <w:tcW w:w="540" w:type="dxa"/>
            <w:vAlign w:val="bottom"/>
            <w:vMerge w:val="continue"/>
            <w:shd w:val="clear" w:color="auto" w:fill="F2F8FA"/>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shd w:val="clear" w:color="auto" w:fill="E3EFFA"/>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shd w:val="clear" w:color="auto" w:fill="E3EFFA"/>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40" w:type="dxa"/>
            <w:vAlign w:val="bottom"/>
            <w:vMerge w:val="continue"/>
          </w:tcPr>
          <w:p>
            <w:pPr>
              <w:spacing w:after="0"/>
              <w:rPr>
                <w:sz w:val="8"/>
                <w:szCs w:val="8"/>
                <w:color w:val="auto"/>
              </w:rPr>
            </w:pPr>
          </w:p>
        </w:tc>
        <w:tc>
          <w:tcPr>
            <w:tcW w:w="560" w:type="dxa"/>
            <w:vAlign w:val="bottom"/>
            <w:shd w:val="clear" w:color="auto" w:fill="E3EFFA"/>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50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F2F8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60" w:type="dxa"/>
            <w:vAlign w:val="bottom"/>
            <w:tcBorders>
              <w:bottom w:val="single" w:sz="8" w:color="7C7C7C"/>
            </w:tcBorders>
            <w:shd w:val="clear" w:color="auto" w:fill="E3EFFA"/>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ELLEN J. KULLMAN</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59A7E1"/>
              </w:rPr>
              <w:t>INDEPENDENT LEAD DIRECTOR</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2011</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3</w:t>
            </w:r>
          </w:p>
        </w:tc>
        <w:tc>
          <w:tcPr>
            <w:tcW w:w="540" w:type="dxa"/>
            <w:vAlign w:val="bottom"/>
            <w:shd w:val="clear" w:color="auto" w:fill="E3EFFA"/>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shd w:val="clear" w:color="auto" w:fill="E3EFFA"/>
          </w:tcPr>
          <w:p>
            <w:pPr>
              <w:spacing w:after="0"/>
              <w:rPr>
                <w:sz w:val="12"/>
                <w:szCs w:val="12"/>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Retired Chair &amp; Chief Executive Officer,</w:t>
            </w:r>
          </w:p>
        </w:tc>
        <w:tc>
          <w:tcPr>
            <w:tcW w:w="540" w:type="dxa"/>
            <w:vAlign w:val="bottom"/>
            <w:vMerge w:val="continue"/>
            <w:shd w:val="clear" w:color="auto" w:fill="F2F8FA"/>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shd w:val="clear" w:color="auto" w:fill="E3EFFA"/>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continue"/>
            <w:shd w:val="clear" w:color="auto" w:fill="E3EFFA"/>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shd w:val="clear" w:color="auto" w:fill="E3EFFA"/>
          </w:tcPr>
          <w:p>
            <w:pPr>
              <w:spacing w:after="0"/>
              <w:rPr>
                <w:sz w:val="12"/>
                <w:szCs w:val="12"/>
                <w:color w:val="auto"/>
              </w:rPr>
            </w:pPr>
          </w:p>
        </w:tc>
        <w:tc>
          <w:tcPr>
            <w:tcW w:w="540" w:type="dxa"/>
            <w:vAlign w:val="bottom"/>
            <w:vMerge w:val="continue"/>
          </w:tcPr>
          <w:p>
            <w:pPr>
              <w:spacing w:after="0"/>
              <w:rPr>
                <w:sz w:val="12"/>
                <w:szCs w:val="12"/>
                <w:color w:val="auto"/>
              </w:rPr>
            </w:pPr>
          </w:p>
        </w:tc>
        <w:tc>
          <w:tcPr>
            <w:tcW w:w="560" w:type="dxa"/>
            <w:vAlign w:val="bottom"/>
            <w:vMerge w:val="continue"/>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00" w:type="dxa"/>
            <w:vAlign w:val="bottom"/>
            <w:tcBorders>
              <w:bottom w:val="single" w:sz="8" w:color="7C7C7C"/>
            </w:tcBorders>
          </w:tcPr>
          <w:p>
            <w:pPr>
              <w:ind w:left="800"/>
              <w:spacing w:after="0"/>
              <w:rPr>
                <w:sz w:val="20"/>
                <w:szCs w:val="20"/>
                <w:color w:val="auto"/>
              </w:rPr>
            </w:pPr>
            <w:r>
              <w:rPr>
                <w:rFonts w:ascii="Arial" w:cs="Arial" w:eastAsia="Arial" w:hAnsi="Arial"/>
                <w:sz w:val="14"/>
                <w:szCs w:val="14"/>
                <w:color w:val="auto"/>
              </w:rPr>
              <w:t>E. I. du Pont de Nemours and Company</w:t>
            </w:r>
          </w:p>
        </w:tc>
        <w:tc>
          <w:tcPr>
            <w:tcW w:w="540" w:type="dxa"/>
            <w:vAlign w:val="bottom"/>
            <w:tcBorders>
              <w:bottom w:val="single" w:sz="8" w:color="7C7C7C"/>
            </w:tcBorders>
            <w:shd w:val="clear" w:color="auto" w:fill="F2F8FA"/>
          </w:tcPr>
          <w:p>
            <w:pPr>
              <w:spacing w:after="0"/>
              <w:rPr>
                <w:sz w:val="14"/>
                <w:szCs w:val="14"/>
                <w:color w:val="auto"/>
              </w:rPr>
            </w:pPr>
          </w:p>
        </w:tc>
        <w:tc>
          <w:tcPr>
            <w:tcW w:w="56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E3EFFA"/>
          </w:tcPr>
          <w:p>
            <w:pPr>
              <w:spacing w:after="0"/>
              <w:rPr>
                <w:sz w:val="14"/>
                <w:szCs w:val="14"/>
                <w:color w:val="auto"/>
              </w:rPr>
            </w:pPr>
          </w:p>
        </w:tc>
        <w:tc>
          <w:tcPr>
            <w:tcW w:w="54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E3EFFA"/>
          </w:tcPr>
          <w:p>
            <w:pPr>
              <w:spacing w:after="0"/>
              <w:rPr>
                <w:sz w:val="14"/>
                <w:szCs w:val="14"/>
                <w:color w:val="auto"/>
              </w:rPr>
            </w:pPr>
          </w:p>
        </w:tc>
        <w:tc>
          <w:tcPr>
            <w:tcW w:w="56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E3EFFA"/>
          </w:tcPr>
          <w:p>
            <w:pPr>
              <w:spacing w:after="0"/>
              <w:rPr>
                <w:sz w:val="14"/>
                <w:szCs w:val="14"/>
                <w:color w:val="auto"/>
              </w:rPr>
            </w:pPr>
          </w:p>
        </w:tc>
        <w:tc>
          <w:tcPr>
            <w:tcW w:w="540" w:type="dxa"/>
            <w:vAlign w:val="bottom"/>
            <w:tcBorders>
              <w:bottom w:val="single" w:sz="8" w:color="7C7C7C"/>
            </w:tcBorders>
          </w:tcPr>
          <w:p>
            <w:pPr>
              <w:spacing w:after="0"/>
              <w:rPr>
                <w:sz w:val="14"/>
                <w:szCs w:val="14"/>
                <w:color w:val="auto"/>
              </w:rPr>
            </w:pPr>
          </w:p>
        </w:tc>
        <w:tc>
          <w:tcPr>
            <w:tcW w:w="560" w:type="dxa"/>
            <w:vAlign w:val="bottom"/>
            <w:tcBorders>
              <w:bottom w:val="single" w:sz="8" w:color="7C7C7C"/>
            </w:tcBorders>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MARSHALL O. LARSEN</w:t>
            </w:r>
          </w:p>
        </w:tc>
        <w:tc>
          <w:tcPr>
            <w:tcW w:w="540" w:type="dxa"/>
            <w:vAlign w:val="bottom"/>
            <w:shd w:val="clear" w:color="auto" w:fill="F2F8FA"/>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shd w:val="clear" w:color="auto" w:fill="E3EFFA"/>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shd w:val="clear" w:color="auto" w:fill="E3EFFA"/>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shd w:val="clear" w:color="auto" w:fill="E3EFFA"/>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shd w:val="clear" w:color="auto" w:fill="E3EFFA"/>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Retired Chairman, President &amp; Chief Executive Officer,</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2012</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3</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2"/>
                <w:szCs w:val="12"/>
                <w:color w:val="auto"/>
              </w:rPr>
            </w:pPr>
          </w:p>
        </w:tc>
        <w:tc>
          <w:tcPr>
            <w:tcW w:w="540" w:type="dxa"/>
            <w:vAlign w:val="bottom"/>
            <w:shd w:val="clear" w:color="auto" w:fill="E3EFFA"/>
          </w:tcPr>
          <w:p>
            <w:pPr>
              <w:spacing w:after="0"/>
              <w:rPr>
                <w:sz w:val="12"/>
                <w:szCs w:val="12"/>
                <w:color w:val="auto"/>
              </w:rPr>
            </w:pP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shd w:val="clear" w:color="auto" w:fill="E3EFFA"/>
          </w:tcPr>
          <w:p>
            <w:pPr>
              <w:spacing w:after="0"/>
              <w:rPr>
                <w:sz w:val="12"/>
                <w:szCs w:val="12"/>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500" w:type="dxa"/>
            <w:vAlign w:val="bottom"/>
            <w:vMerge w:val="restart"/>
          </w:tcPr>
          <w:p>
            <w:pPr>
              <w:ind w:left="800"/>
              <w:spacing w:after="0"/>
              <w:rPr>
                <w:sz w:val="20"/>
                <w:szCs w:val="20"/>
                <w:color w:val="auto"/>
              </w:rPr>
            </w:pPr>
            <w:r>
              <w:rPr>
                <w:rFonts w:ascii="Arial" w:cs="Arial" w:eastAsia="Arial" w:hAnsi="Arial"/>
                <w:sz w:val="14"/>
                <w:szCs w:val="14"/>
                <w:color w:val="auto"/>
              </w:rPr>
              <w:t>Goodrich Corporation</w:t>
            </w:r>
          </w:p>
        </w:tc>
        <w:tc>
          <w:tcPr>
            <w:tcW w:w="540" w:type="dxa"/>
            <w:vAlign w:val="bottom"/>
            <w:vMerge w:val="continue"/>
            <w:shd w:val="clear" w:color="auto" w:fill="F2F8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shd w:val="clear" w:color="auto" w:fill="E3EFFA"/>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shd w:val="clear" w:color="auto" w:fill="E3EFFA"/>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500" w:type="dxa"/>
            <w:vAlign w:val="bottom"/>
            <w:vMerge w:val="continue"/>
          </w:tcPr>
          <w:p>
            <w:pPr>
              <w:spacing w:after="0"/>
              <w:rPr>
                <w:sz w:val="4"/>
                <w:szCs w:val="4"/>
                <w:color w:val="auto"/>
              </w:rPr>
            </w:pPr>
          </w:p>
        </w:tc>
        <w:tc>
          <w:tcPr>
            <w:tcW w:w="540" w:type="dxa"/>
            <w:vAlign w:val="bottom"/>
            <w:shd w:val="clear" w:color="auto" w:fill="F2F8FA"/>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shd w:val="clear" w:color="auto" w:fill="E3EFFA"/>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shd w:val="clear" w:color="auto" w:fill="E3EFFA"/>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shd w:val="clear" w:color="auto" w:fill="E3EFFA"/>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shd w:val="clear" w:color="auto" w:fill="E3EFFA"/>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7C7C7C"/>
            </w:tcBorders>
          </w:tcPr>
          <w:p>
            <w:pPr>
              <w:spacing w:after="0"/>
              <w:rPr>
                <w:sz w:val="12"/>
                <w:szCs w:val="12"/>
                <w:color w:val="auto"/>
              </w:rPr>
            </w:pPr>
          </w:p>
        </w:tc>
        <w:tc>
          <w:tcPr>
            <w:tcW w:w="540" w:type="dxa"/>
            <w:vAlign w:val="bottom"/>
            <w:tcBorders>
              <w:bottom w:val="single" w:sz="8" w:color="7C7C7C"/>
            </w:tcBorders>
            <w:shd w:val="clear" w:color="auto" w:fill="F2F8FA"/>
          </w:tcPr>
          <w:p>
            <w:pPr>
              <w:spacing w:after="0"/>
              <w:rPr>
                <w:sz w:val="12"/>
                <w:szCs w:val="12"/>
                <w:color w:val="auto"/>
              </w:rPr>
            </w:pPr>
          </w:p>
        </w:tc>
        <w:tc>
          <w:tcPr>
            <w:tcW w:w="560" w:type="dxa"/>
            <w:vAlign w:val="bottom"/>
            <w:tcBorders>
              <w:bottom w:val="single" w:sz="8" w:color="7C7C7C"/>
            </w:tcBorders>
          </w:tcPr>
          <w:p>
            <w:pPr>
              <w:spacing w:after="0"/>
              <w:rPr>
                <w:sz w:val="12"/>
                <w:szCs w:val="12"/>
                <w:color w:val="auto"/>
              </w:rPr>
            </w:pPr>
          </w:p>
        </w:tc>
        <w:tc>
          <w:tcPr>
            <w:tcW w:w="540" w:type="dxa"/>
            <w:vAlign w:val="bottom"/>
            <w:tcBorders>
              <w:bottom w:val="single" w:sz="8" w:color="7C7C7C"/>
            </w:tcBorders>
            <w:shd w:val="clear" w:color="auto" w:fill="E3EFFA"/>
          </w:tcPr>
          <w:p>
            <w:pPr>
              <w:spacing w:after="0"/>
              <w:rPr>
                <w:sz w:val="12"/>
                <w:szCs w:val="12"/>
                <w:color w:val="auto"/>
              </w:rPr>
            </w:pPr>
          </w:p>
        </w:tc>
        <w:tc>
          <w:tcPr>
            <w:tcW w:w="540" w:type="dxa"/>
            <w:vAlign w:val="bottom"/>
            <w:tcBorders>
              <w:bottom w:val="single" w:sz="8" w:color="7C7C7C"/>
            </w:tcBorders>
          </w:tcPr>
          <w:p>
            <w:pPr>
              <w:spacing w:after="0"/>
              <w:rPr>
                <w:sz w:val="12"/>
                <w:szCs w:val="12"/>
                <w:color w:val="auto"/>
              </w:rPr>
            </w:pPr>
          </w:p>
        </w:tc>
        <w:tc>
          <w:tcPr>
            <w:tcW w:w="540" w:type="dxa"/>
            <w:vAlign w:val="bottom"/>
            <w:tcBorders>
              <w:bottom w:val="single" w:sz="8" w:color="7C7C7C"/>
            </w:tcBorders>
            <w:shd w:val="clear" w:color="auto" w:fill="E3EFFA"/>
          </w:tcPr>
          <w:p>
            <w:pPr>
              <w:spacing w:after="0"/>
              <w:rPr>
                <w:sz w:val="12"/>
                <w:szCs w:val="12"/>
                <w:color w:val="auto"/>
              </w:rPr>
            </w:pPr>
          </w:p>
        </w:tc>
        <w:tc>
          <w:tcPr>
            <w:tcW w:w="560" w:type="dxa"/>
            <w:vAlign w:val="bottom"/>
            <w:tcBorders>
              <w:bottom w:val="single" w:sz="8" w:color="7C7C7C"/>
            </w:tcBorders>
          </w:tcPr>
          <w:p>
            <w:pPr>
              <w:spacing w:after="0"/>
              <w:rPr>
                <w:sz w:val="12"/>
                <w:szCs w:val="12"/>
                <w:color w:val="auto"/>
              </w:rPr>
            </w:pPr>
          </w:p>
        </w:tc>
        <w:tc>
          <w:tcPr>
            <w:tcW w:w="540" w:type="dxa"/>
            <w:vAlign w:val="bottom"/>
            <w:tcBorders>
              <w:bottom w:val="single" w:sz="8" w:color="7C7C7C"/>
            </w:tcBorders>
            <w:shd w:val="clear" w:color="auto" w:fill="E3EFFA"/>
          </w:tcPr>
          <w:p>
            <w:pPr>
              <w:spacing w:after="0"/>
              <w:rPr>
                <w:sz w:val="12"/>
                <w:szCs w:val="12"/>
                <w:color w:val="auto"/>
              </w:rPr>
            </w:pPr>
          </w:p>
        </w:tc>
        <w:tc>
          <w:tcPr>
            <w:tcW w:w="540" w:type="dxa"/>
            <w:vAlign w:val="bottom"/>
            <w:tcBorders>
              <w:bottom w:val="single" w:sz="8" w:color="7C7C7C"/>
            </w:tcBorders>
          </w:tcPr>
          <w:p>
            <w:pPr>
              <w:spacing w:after="0"/>
              <w:rPr>
                <w:sz w:val="12"/>
                <w:szCs w:val="12"/>
                <w:color w:val="auto"/>
              </w:rPr>
            </w:pPr>
          </w:p>
        </w:tc>
        <w:tc>
          <w:tcPr>
            <w:tcW w:w="560" w:type="dxa"/>
            <w:vAlign w:val="bottom"/>
            <w:tcBorders>
              <w:bottom w:val="single" w:sz="8" w:color="7C7C7C"/>
            </w:tcBorders>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HAROLD W. MCGRAW III</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Chairman Emeritus, S&amp;P Global Inc.</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2003</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1</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2"/>
                <w:szCs w:val="12"/>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shd w:val="clear" w:color="auto" w:fill="E3EFFA"/>
          </w:tcPr>
          <w:p>
            <w:pPr>
              <w:spacing w:after="0"/>
              <w:rPr>
                <w:sz w:val="12"/>
                <w:szCs w:val="12"/>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(formerly McGraw Hill Financial, Inc.)</w:t>
            </w:r>
          </w:p>
        </w:tc>
        <w:tc>
          <w:tcPr>
            <w:tcW w:w="540" w:type="dxa"/>
            <w:vAlign w:val="bottom"/>
            <w:vMerge w:val="continue"/>
            <w:shd w:val="clear" w:color="auto" w:fill="F2F8FA"/>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vMerge w:val="continue"/>
            <w:shd w:val="clear" w:color="auto" w:fill="E3EFFA"/>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F2F8FA"/>
          </w:tcPr>
          <w:p>
            <w:pPr>
              <w:spacing w:after="0"/>
              <w:rPr>
                <w:sz w:val="15"/>
                <w:szCs w:val="15"/>
                <w:color w:val="auto"/>
              </w:rPr>
            </w:pPr>
          </w:p>
        </w:tc>
        <w:tc>
          <w:tcPr>
            <w:tcW w:w="56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E3EFFA"/>
          </w:tcPr>
          <w:p>
            <w:pPr>
              <w:spacing w:after="0"/>
              <w:rPr>
                <w:sz w:val="15"/>
                <w:szCs w:val="15"/>
                <w:color w:val="auto"/>
              </w:rPr>
            </w:pPr>
          </w:p>
        </w:tc>
        <w:tc>
          <w:tcPr>
            <w:tcW w:w="54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E3EFFA"/>
          </w:tcPr>
          <w:p>
            <w:pPr>
              <w:spacing w:after="0"/>
              <w:rPr>
                <w:sz w:val="15"/>
                <w:szCs w:val="15"/>
                <w:color w:val="auto"/>
              </w:rPr>
            </w:pPr>
          </w:p>
        </w:tc>
        <w:tc>
          <w:tcPr>
            <w:tcW w:w="560" w:type="dxa"/>
            <w:vAlign w:val="bottom"/>
            <w:tcBorders>
              <w:bottom w:val="single" w:sz="8" w:color="7C7C7C"/>
            </w:tcBorders>
          </w:tcPr>
          <w:p>
            <w:pPr>
              <w:spacing w:after="0"/>
              <w:rPr>
                <w:sz w:val="15"/>
                <w:szCs w:val="15"/>
                <w:color w:val="auto"/>
              </w:rPr>
            </w:pPr>
          </w:p>
        </w:tc>
        <w:tc>
          <w:tcPr>
            <w:tcW w:w="540" w:type="dxa"/>
            <w:vAlign w:val="bottom"/>
            <w:tcBorders>
              <w:bottom w:val="single" w:sz="8" w:color="7C7C7C"/>
            </w:tcBorders>
            <w:shd w:val="clear" w:color="auto" w:fill="E3EFFA"/>
          </w:tcPr>
          <w:p>
            <w:pPr>
              <w:spacing w:after="0"/>
              <w:rPr>
                <w:sz w:val="15"/>
                <w:szCs w:val="15"/>
                <w:color w:val="auto"/>
              </w:rPr>
            </w:pPr>
          </w:p>
        </w:tc>
        <w:tc>
          <w:tcPr>
            <w:tcW w:w="540" w:type="dxa"/>
            <w:vAlign w:val="bottom"/>
            <w:tcBorders>
              <w:bottom w:val="single" w:sz="8" w:color="7C7C7C"/>
            </w:tcBorders>
          </w:tcPr>
          <w:p>
            <w:pPr>
              <w:spacing w:after="0"/>
              <w:rPr>
                <w:sz w:val="15"/>
                <w:szCs w:val="15"/>
                <w:color w:val="auto"/>
              </w:rPr>
            </w:pPr>
          </w:p>
        </w:tc>
        <w:tc>
          <w:tcPr>
            <w:tcW w:w="560" w:type="dxa"/>
            <w:vAlign w:val="bottom"/>
            <w:tcBorders>
              <w:bottom w:val="single" w:sz="8" w:color="7C7C7C"/>
            </w:tcBorders>
            <w:shd w:val="clear" w:color="auto" w:fill="E3EFFA"/>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MARGARET L. O’SULLIVAN</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Professor, Harvard University Kennedy School</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2017</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0</w:t>
            </w:r>
          </w:p>
        </w:tc>
        <w:tc>
          <w:tcPr>
            <w:tcW w:w="540" w:type="dxa"/>
            <w:vAlign w:val="bottom"/>
            <w:shd w:val="clear" w:color="auto" w:fill="E3EFFA"/>
          </w:tcPr>
          <w:p>
            <w:pPr>
              <w:spacing w:after="0"/>
              <w:rPr>
                <w:sz w:val="14"/>
                <w:szCs w:val="14"/>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60" w:type="dxa"/>
            <w:vAlign w:val="bottom"/>
          </w:tcPr>
          <w:p>
            <w:pPr>
              <w:spacing w:after="0"/>
              <w:rPr>
                <w:sz w:val="14"/>
                <w:szCs w:val="14"/>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6500" w:type="dxa"/>
            <w:vAlign w:val="bottom"/>
          </w:tcPr>
          <w:p>
            <w:pPr>
              <w:spacing w:after="0"/>
              <w:rPr>
                <w:sz w:val="8"/>
                <w:szCs w:val="8"/>
                <w:color w:val="auto"/>
              </w:rPr>
            </w:pPr>
          </w:p>
        </w:tc>
        <w:tc>
          <w:tcPr>
            <w:tcW w:w="540" w:type="dxa"/>
            <w:vAlign w:val="bottom"/>
            <w:vMerge w:val="continue"/>
            <w:shd w:val="clear" w:color="auto" w:fill="F2F8FA"/>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shd w:val="clear" w:color="auto" w:fill="E3EFFA"/>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vMerge w:val="continue"/>
            <w:shd w:val="clear" w:color="auto" w:fill="E3EFFA"/>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shd w:val="clear" w:color="auto" w:fill="E3EFFA"/>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50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F2F8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60" w:type="dxa"/>
            <w:vAlign w:val="bottom"/>
            <w:tcBorders>
              <w:bottom w:val="single" w:sz="8" w:color="7C7C7C"/>
            </w:tcBorders>
            <w:shd w:val="clear" w:color="auto" w:fill="E3EFFA"/>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DENISE L. RAMOS</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Retired Chief Executive Officer, ITT Inc.</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2018</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1</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shd w:val="clear" w:color="auto" w:fill="E3EFFA"/>
          </w:tcPr>
          <w:p>
            <w:pPr>
              <w:spacing w:after="0"/>
              <w:rPr>
                <w:sz w:val="14"/>
                <w:szCs w:val="14"/>
                <w:color w:val="auto"/>
              </w:rPr>
            </w:pP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0" w:type="dxa"/>
            <w:vAlign w:val="bottom"/>
          </w:tcPr>
          <w:p>
            <w:pPr>
              <w:spacing w:after="0"/>
              <w:rPr>
                <w:sz w:val="1"/>
                <w:szCs w:val="1"/>
                <w:color w:val="auto"/>
              </w:rPr>
            </w:pPr>
          </w:p>
        </w:tc>
      </w:tr>
      <w:tr>
        <w:trPr>
          <w:trHeight w:val="111"/>
        </w:trPr>
        <w:tc>
          <w:tcPr>
            <w:tcW w:w="6500" w:type="dxa"/>
            <w:vAlign w:val="bottom"/>
          </w:tcPr>
          <w:p>
            <w:pPr>
              <w:spacing w:after="0"/>
              <w:rPr>
                <w:sz w:val="9"/>
                <w:szCs w:val="9"/>
                <w:color w:val="auto"/>
              </w:rPr>
            </w:pPr>
          </w:p>
        </w:tc>
        <w:tc>
          <w:tcPr>
            <w:tcW w:w="540" w:type="dxa"/>
            <w:vAlign w:val="bottom"/>
            <w:vMerge w:val="continue"/>
            <w:shd w:val="clear" w:color="auto" w:fill="F2F8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shd w:val="clear" w:color="auto" w:fill="E3EFFA"/>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shd w:val="clear" w:color="auto" w:fill="E3EFFA"/>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vMerge w:val="continue"/>
            <w:shd w:val="clear" w:color="auto" w:fill="E3EFFA"/>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650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F2F8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60" w:type="dxa"/>
            <w:vAlign w:val="bottom"/>
            <w:tcBorders>
              <w:bottom w:val="single" w:sz="8" w:color="7C7C7C"/>
            </w:tcBorders>
          </w:tcPr>
          <w:p>
            <w:pPr>
              <w:spacing w:after="0"/>
              <w:rPr>
                <w:sz w:val="17"/>
                <w:szCs w:val="17"/>
                <w:color w:val="auto"/>
              </w:rPr>
            </w:pPr>
          </w:p>
        </w:tc>
        <w:tc>
          <w:tcPr>
            <w:tcW w:w="540" w:type="dxa"/>
            <w:vAlign w:val="bottom"/>
            <w:tcBorders>
              <w:bottom w:val="single" w:sz="8" w:color="7C7C7C"/>
            </w:tcBorders>
            <w:shd w:val="clear" w:color="auto" w:fill="E3EFFA"/>
          </w:tcPr>
          <w:p>
            <w:pPr>
              <w:spacing w:after="0"/>
              <w:rPr>
                <w:sz w:val="17"/>
                <w:szCs w:val="17"/>
                <w:color w:val="auto"/>
              </w:rPr>
            </w:pPr>
          </w:p>
        </w:tc>
        <w:tc>
          <w:tcPr>
            <w:tcW w:w="540" w:type="dxa"/>
            <w:vAlign w:val="bottom"/>
            <w:tcBorders>
              <w:bottom w:val="single" w:sz="8" w:color="7C7C7C"/>
            </w:tcBorders>
          </w:tcPr>
          <w:p>
            <w:pPr>
              <w:spacing w:after="0"/>
              <w:rPr>
                <w:sz w:val="17"/>
                <w:szCs w:val="17"/>
                <w:color w:val="auto"/>
              </w:rPr>
            </w:pPr>
          </w:p>
        </w:tc>
        <w:tc>
          <w:tcPr>
            <w:tcW w:w="560" w:type="dxa"/>
            <w:vAlign w:val="bottom"/>
            <w:tcBorders>
              <w:bottom w:val="single" w:sz="8" w:color="7C7C7C"/>
            </w:tcBorders>
            <w:shd w:val="clear" w:color="auto" w:fill="E3EFFA"/>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FREDRIC G. REYNOLDS</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800"/>
              <w:spacing w:after="0" w:line="149" w:lineRule="exact"/>
              <w:rPr>
                <w:sz w:val="20"/>
                <w:szCs w:val="20"/>
                <w:color w:val="auto"/>
              </w:rPr>
            </w:pPr>
            <w:r>
              <w:rPr>
                <w:rFonts w:ascii="Arial" w:cs="Arial" w:eastAsia="Arial" w:hAnsi="Arial"/>
                <w:sz w:val="14"/>
                <w:szCs w:val="14"/>
                <w:color w:val="auto"/>
              </w:rPr>
              <w:t>Retired Executive Vice President &amp; Chief Financial</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2016</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2</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2"/>
                <w:szCs w:val="12"/>
                <w:color w:val="auto"/>
              </w:rPr>
            </w:pPr>
          </w:p>
        </w:tc>
        <w:tc>
          <w:tcPr>
            <w:tcW w:w="540" w:type="dxa"/>
            <w:vAlign w:val="bottom"/>
            <w:shd w:val="clear" w:color="auto" w:fill="E3EFFA"/>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2"/>
                <w:szCs w:val="12"/>
                <w:color w:val="auto"/>
              </w:rPr>
            </w:pPr>
          </w:p>
        </w:tc>
        <w:tc>
          <w:tcPr>
            <w:tcW w:w="56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Officer, CBS Corporation</w:t>
            </w:r>
          </w:p>
        </w:tc>
        <w:tc>
          <w:tcPr>
            <w:tcW w:w="540" w:type="dxa"/>
            <w:vAlign w:val="bottom"/>
            <w:vMerge w:val="continue"/>
            <w:shd w:val="clear" w:color="auto" w:fill="F2F8FA"/>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vMerge w:val="continue"/>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vMerge w:val="continue"/>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0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F2F8FA"/>
          </w:tcPr>
          <w:p>
            <w:pPr>
              <w:spacing w:after="0"/>
              <w:rPr>
                <w:sz w:val="14"/>
                <w:szCs w:val="14"/>
                <w:color w:val="auto"/>
              </w:rPr>
            </w:pPr>
          </w:p>
        </w:tc>
        <w:tc>
          <w:tcPr>
            <w:tcW w:w="56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E3EFFA"/>
          </w:tcPr>
          <w:p>
            <w:pPr>
              <w:spacing w:after="0"/>
              <w:rPr>
                <w:sz w:val="14"/>
                <w:szCs w:val="14"/>
                <w:color w:val="auto"/>
              </w:rPr>
            </w:pPr>
          </w:p>
        </w:tc>
        <w:tc>
          <w:tcPr>
            <w:tcW w:w="54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E3EFFA"/>
          </w:tcPr>
          <w:p>
            <w:pPr>
              <w:spacing w:after="0"/>
              <w:rPr>
                <w:sz w:val="14"/>
                <w:szCs w:val="14"/>
                <w:color w:val="auto"/>
              </w:rPr>
            </w:pPr>
          </w:p>
        </w:tc>
        <w:tc>
          <w:tcPr>
            <w:tcW w:w="560" w:type="dxa"/>
            <w:vAlign w:val="bottom"/>
            <w:tcBorders>
              <w:bottom w:val="single" w:sz="8" w:color="7C7C7C"/>
            </w:tcBorders>
          </w:tcPr>
          <w:p>
            <w:pPr>
              <w:spacing w:after="0"/>
              <w:rPr>
                <w:sz w:val="14"/>
                <w:szCs w:val="14"/>
                <w:color w:val="auto"/>
              </w:rPr>
            </w:pPr>
          </w:p>
        </w:tc>
        <w:tc>
          <w:tcPr>
            <w:tcW w:w="540" w:type="dxa"/>
            <w:vAlign w:val="bottom"/>
            <w:tcBorders>
              <w:bottom w:val="single" w:sz="8" w:color="7C7C7C"/>
            </w:tcBorders>
            <w:shd w:val="clear" w:color="auto" w:fill="E3EFFA"/>
          </w:tcPr>
          <w:p>
            <w:pPr>
              <w:spacing w:after="0"/>
              <w:rPr>
                <w:sz w:val="14"/>
                <w:szCs w:val="14"/>
                <w:color w:val="auto"/>
              </w:rPr>
            </w:pPr>
          </w:p>
        </w:tc>
        <w:tc>
          <w:tcPr>
            <w:tcW w:w="540" w:type="dxa"/>
            <w:vAlign w:val="bottom"/>
            <w:tcBorders>
              <w:bottom w:val="single" w:sz="8" w:color="7C7C7C"/>
            </w:tcBorders>
          </w:tcPr>
          <w:p>
            <w:pPr>
              <w:spacing w:after="0"/>
              <w:rPr>
                <w:sz w:val="14"/>
                <w:szCs w:val="14"/>
                <w:color w:val="auto"/>
              </w:rPr>
            </w:pPr>
          </w:p>
        </w:tc>
        <w:tc>
          <w:tcPr>
            <w:tcW w:w="560" w:type="dxa"/>
            <w:vAlign w:val="bottom"/>
            <w:tcBorders>
              <w:bottom w:val="single" w:sz="8" w:color="7C7C7C"/>
            </w:tcBorders>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00" w:type="dxa"/>
            <w:vAlign w:val="bottom"/>
          </w:tcPr>
          <w:p>
            <w:pPr>
              <w:ind w:left="800"/>
              <w:spacing w:after="0"/>
              <w:rPr>
                <w:sz w:val="20"/>
                <w:szCs w:val="20"/>
                <w:color w:val="auto"/>
              </w:rPr>
            </w:pPr>
            <w:r>
              <w:rPr>
                <w:rFonts w:ascii="Arial" w:cs="Arial" w:eastAsia="Arial" w:hAnsi="Arial"/>
                <w:sz w:val="14"/>
                <w:szCs w:val="14"/>
                <w:b w:val="1"/>
                <w:bCs w:val="1"/>
                <w:color w:val="0F94D8"/>
              </w:rPr>
              <w:t>BRIAN C. ROGERS</w:t>
            </w:r>
          </w:p>
        </w:tc>
        <w:tc>
          <w:tcPr>
            <w:tcW w:w="540" w:type="dxa"/>
            <w:vAlign w:val="bottom"/>
            <w:shd w:val="clear" w:color="auto" w:fill="F2F8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800"/>
              <w:spacing w:after="0"/>
              <w:rPr>
                <w:sz w:val="20"/>
                <w:szCs w:val="20"/>
                <w:color w:val="auto"/>
              </w:rPr>
            </w:pPr>
            <w:r>
              <w:rPr>
                <w:rFonts w:ascii="Arial" w:cs="Arial" w:eastAsia="Arial" w:hAnsi="Arial"/>
                <w:sz w:val="14"/>
                <w:szCs w:val="14"/>
                <w:color w:val="auto"/>
              </w:rPr>
              <w:t>Non-Executive Chairman, T. Rowe Price Group, Inc.</w:t>
            </w:r>
          </w:p>
        </w:tc>
        <w:tc>
          <w:tcPr>
            <w:tcW w:w="540" w:type="dxa"/>
            <w:vAlign w:val="bottom"/>
            <w:vMerge w:val="restart"/>
            <w:shd w:val="clear" w:color="auto" w:fill="F2F8FA"/>
          </w:tcPr>
          <w:p>
            <w:pPr>
              <w:jc w:val="right"/>
              <w:ind w:right="52"/>
              <w:spacing w:after="0"/>
              <w:rPr>
                <w:sz w:val="20"/>
                <w:szCs w:val="20"/>
                <w:color w:val="auto"/>
              </w:rPr>
            </w:pPr>
            <w:r>
              <w:rPr>
                <w:rFonts w:ascii="Arial" w:cs="Arial" w:eastAsia="Arial" w:hAnsi="Arial"/>
                <w:sz w:val="14"/>
                <w:szCs w:val="14"/>
                <w:color w:val="auto"/>
              </w:rPr>
              <w:t>2016</w:t>
            </w:r>
          </w:p>
        </w:tc>
        <w:tc>
          <w:tcPr>
            <w:tcW w:w="560" w:type="dxa"/>
            <w:vAlign w:val="bottom"/>
            <w:vMerge w:val="restart"/>
          </w:tcPr>
          <w:p>
            <w:pPr>
              <w:jc w:val="right"/>
              <w:ind w:right="172"/>
              <w:spacing w:after="0"/>
              <w:rPr>
                <w:sz w:val="20"/>
                <w:szCs w:val="20"/>
                <w:color w:val="auto"/>
              </w:rPr>
            </w:pPr>
            <w:r>
              <w:rPr>
                <w:rFonts w:ascii="Arial" w:cs="Arial" w:eastAsia="Arial" w:hAnsi="Arial"/>
                <w:sz w:val="14"/>
                <w:szCs w:val="14"/>
                <w:color w:val="auto"/>
              </w:rPr>
              <w:t>2</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tcPr>
          <w:p>
            <w:pPr>
              <w:spacing w:after="0"/>
              <w:rPr>
                <w:sz w:val="14"/>
                <w:szCs w:val="14"/>
                <w:color w:val="auto"/>
              </w:rPr>
            </w:pPr>
          </w:p>
        </w:tc>
        <w:tc>
          <w:tcPr>
            <w:tcW w:w="540" w:type="dxa"/>
            <w:vAlign w:val="bottom"/>
            <w:shd w:val="clear" w:color="auto" w:fill="E3EFFA"/>
          </w:tcPr>
          <w:p>
            <w:pPr>
              <w:spacing w:after="0"/>
              <w:rPr>
                <w:sz w:val="14"/>
                <w:szCs w:val="14"/>
                <w:color w:val="auto"/>
              </w:rPr>
            </w:pPr>
          </w:p>
        </w:tc>
        <w:tc>
          <w:tcPr>
            <w:tcW w:w="56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shd w:val="clear" w:color="auto" w:fill="E3EFFA"/>
          </w:tcPr>
          <w:p>
            <w:pPr>
              <w:ind w:left="220"/>
              <w:spacing w:after="0"/>
              <w:rPr>
                <w:sz w:val="20"/>
                <w:szCs w:val="20"/>
                <w:color w:val="auto"/>
              </w:rPr>
            </w:pPr>
            <w:r>
              <w:rPr>
                <w:rFonts w:ascii="Arial" w:cs="Arial" w:eastAsia="Arial" w:hAnsi="Arial"/>
                <w:sz w:val="19"/>
                <w:szCs w:val="19"/>
                <w:color w:val="FDB03F"/>
              </w:rPr>
              <w:t>■</w:t>
            </w:r>
          </w:p>
        </w:tc>
        <w:tc>
          <w:tcPr>
            <w:tcW w:w="540" w:type="dxa"/>
            <w:vAlign w:val="bottom"/>
            <w:vMerge w:val="restart"/>
          </w:tcPr>
          <w:p>
            <w:pPr>
              <w:ind w:left="220"/>
              <w:spacing w:after="0"/>
              <w:rPr>
                <w:sz w:val="20"/>
                <w:szCs w:val="20"/>
                <w:color w:val="auto"/>
              </w:rPr>
            </w:pPr>
            <w:r>
              <w:rPr>
                <w:rFonts w:ascii="Arial" w:cs="Arial" w:eastAsia="Arial" w:hAnsi="Arial"/>
                <w:sz w:val="19"/>
                <w:szCs w:val="19"/>
                <w:color w:val="FDB03F"/>
              </w:rPr>
              <w:t>■</w:t>
            </w:r>
          </w:p>
        </w:tc>
        <w:tc>
          <w:tcPr>
            <w:tcW w:w="560" w:type="dxa"/>
            <w:vAlign w:val="bottom"/>
            <w:shd w:val="clear" w:color="auto" w:fill="E3EFFA"/>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6500" w:type="dxa"/>
            <w:vAlign w:val="bottom"/>
          </w:tcPr>
          <w:p>
            <w:pPr>
              <w:spacing w:after="0"/>
              <w:rPr>
                <w:sz w:val="7"/>
                <w:szCs w:val="7"/>
                <w:color w:val="auto"/>
              </w:rPr>
            </w:pPr>
          </w:p>
        </w:tc>
        <w:tc>
          <w:tcPr>
            <w:tcW w:w="540" w:type="dxa"/>
            <w:vAlign w:val="bottom"/>
            <w:vMerge w:val="continue"/>
            <w:shd w:val="clear" w:color="auto" w:fill="F2F8FA"/>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vMerge w:val="continue"/>
            <w:shd w:val="clear" w:color="auto" w:fill="E3EFFA"/>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shd w:val="clear" w:color="auto" w:fill="E3EFFA"/>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vMerge w:val="continue"/>
            <w:shd w:val="clear" w:color="auto" w:fill="E3EFFA"/>
          </w:tcPr>
          <w:p>
            <w:pPr>
              <w:spacing w:after="0"/>
              <w:rPr>
                <w:sz w:val="7"/>
                <w:szCs w:val="7"/>
                <w:color w:val="auto"/>
              </w:rPr>
            </w:pPr>
          </w:p>
        </w:tc>
        <w:tc>
          <w:tcPr>
            <w:tcW w:w="540" w:type="dxa"/>
            <w:vAlign w:val="bottom"/>
            <w:vMerge w:val="continue"/>
          </w:tcPr>
          <w:p>
            <w:pPr>
              <w:spacing w:after="0"/>
              <w:rPr>
                <w:sz w:val="7"/>
                <w:szCs w:val="7"/>
                <w:color w:val="auto"/>
              </w:rPr>
            </w:pPr>
          </w:p>
        </w:tc>
        <w:tc>
          <w:tcPr>
            <w:tcW w:w="560" w:type="dxa"/>
            <w:vAlign w:val="bottom"/>
            <w:shd w:val="clear" w:color="auto" w:fill="E3EFFA"/>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6500" w:type="dxa"/>
            <w:vAlign w:val="bottom"/>
            <w:tcBorders>
              <w:bottom w:val="single" w:sz="8" w:color="7C7C7C"/>
            </w:tcBorders>
          </w:tcPr>
          <w:p>
            <w:pPr>
              <w:spacing w:after="0"/>
              <w:rPr>
                <w:sz w:val="16"/>
                <w:szCs w:val="16"/>
                <w:color w:val="auto"/>
              </w:rPr>
            </w:pPr>
          </w:p>
        </w:tc>
        <w:tc>
          <w:tcPr>
            <w:tcW w:w="540" w:type="dxa"/>
            <w:vAlign w:val="bottom"/>
            <w:tcBorders>
              <w:bottom w:val="single" w:sz="8" w:color="7C7C7C"/>
            </w:tcBorders>
            <w:shd w:val="clear" w:color="auto" w:fill="F2F8FA"/>
          </w:tcPr>
          <w:p>
            <w:pPr>
              <w:spacing w:after="0"/>
              <w:rPr>
                <w:sz w:val="16"/>
                <w:szCs w:val="16"/>
                <w:color w:val="auto"/>
              </w:rPr>
            </w:pPr>
          </w:p>
        </w:tc>
        <w:tc>
          <w:tcPr>
            <w:tcW w:w="560" w:type="dxa"/>
            <w:vAlign w:val="bottom"/>
            <w:tcBorders>
              <w:bottom w:val="single" w:sz="8" w:color="7C7C7C"/>
            </w:tcBorders>
          </w:tcPr>
          <w:p>
            <w:pPr>
              <w:spacing w:after="0"/>
              <w:rPr>
                <w:sz w:val="16"/>
                <w:szCs w:val="16"/>
                <w:color w:val="auto"/>
              </w:rPr>
            </w:pPr>
          </w:p>
        </w:tc>
        <w:tc>
          <w:tcPr>
            <w:tcW w:w="540" w:type="dxa"/>
            <w:vAlign w:val="bottom"/>
            <w:tcBorders>
              <w:bottom w:val="single" w:sz="8" w:color="7C7C7C"/>
            </w:tcBorders>
            <w:shd w:val="clear" w:color="auto" w:fill="E3EFFA"/>
          </w:tcPr>
          <w:p>
            <w:pPr>
              <w:spacing w:after="0"/>
              <w:rPr>
                <w:sz w:val="16"/>
                <w:szCs w:val="16"/>
                <w:color w:val="auto"/>
              </w:rPr>
            </w:pPr>
          </w:p>
        </w:tc>
        <w:tc>
          <w:tcPr>
            <w:tcW w:w="540" w:type="dxa"/>
            <w:vAlign w:val="bottom"/>
            <w:tcBorders>
              <w:bottom w:val="single" w:sz="8" w:color="7C7C7C"/>
            </w:tcBorders>
          </w:tcPr>
          <w:p>
            <w:pPr>
              <w:spacing w:after="0"/>
              <w:rPr>
                <w:sz w:val="16"/>
                <w:szCs w:val="16"/>
                <w:color w:val="auto"/>
              </w:rPr>
            </w:pPr>
          </w:p>
        </w:tc>
        <w:tc>
          <w:tcPr>
            <w:tcW w:w="540" w:type="dxa"/>
            <w:vAlign w:val="bottom"/>
            <w:tcBorders>
              <w:bottom w:val="single" w:sz="8" w:color="7C7C7C"/>
            </w:tcBorders>
            <w:shd w:val="clear" w:color="auto" w:fill="E3EFFA"/>
          </w:tcPr>
          <w:p>
            <w:pPr>
              <w:spacing w:after="0"/>
              <w:rPr>
                <w:sz w:val="16"/>
                <w:szCs w:val="16"/>
                <w:color w:val="auto"/>
              </w:rPr>
            </w:pPr>
          </w:p>
        </w:tc>
        <w:tc>
          <w:tcPr>
            <w:tcW w:w="560" w:type="dxa"/>
            <w:vAlign w:val="bottom"/>
            <w:tcBorders>
              <w:bottom w:val="single" w:sz="8" w:color="7C7C7C"/>
            </w:tcBorders>
          </w:tcPr>
          <w:p>
            <w:pPr>
              <w:spacing w:after="0"/>
              <w:rPr>
                <w:sz w:val="16"/>
                <w:szCs w:val="16"/>
                <w:color w:val="auto"/>
              </w:rPr>
            </w:pPr>
          </w:p>
        </w:tc>
        <w:tc>
          <w:tcPr>
            <w:tcW w:w="540" w:type="dxa"/>
            <w:vAlign w:val="bottom"/>
            <w:tcBorders>
              <w:bottom w:val="single" w:sz="8" w:color="7C7C7C"/>
            </w:tcBorders>
            <w:shd w:val="clear" w:color="auto" w:fill="E3EFFA"/>
          </w:tcPr>
          <w:p>
            <w:pPr>
              <w:spacing w:after="0"/>
              <w:rPr>
                <w:sz w:val="16"/>
                <w:szCs w:val="16"/>
                <w:color w:val="auto"/>
              </w:rPr>
            </w:pPr>
          </w:p>
        </w:tc>
        <w:tc>
          <w:tcPr>
            <w:tcW w:w="540" w:type="dxa"/>
            <w:vAlign w:val="bottom"/>
            <w:tcBorders>
              <w:bottom w:val="single" w:sz="8" w:color="7C7C7C"/>
            </w:tcBorders>
          </w:tcPr>
          <w:p>
            <w:pPr>
              <w:spacing w:after="0"/>
              <w:rPr>
                <w:sz w:val="16"/>
                <w:szCs w:val="16"/>
                <w:color w:val="auto"/>
              </w:rPr>
            </w:pPr>
          </w:p>
        </w:tc>
        <w:tc>
          <w:tcPr>
            <w:tcW w:w="560" w:type="dxa"/>
            <w:vAlign w:val="bottom"/>
            <w:tcBorders>
              <w:bottom w:val="single" w:sz="8" w:color="7C7C7C"/>
            </w:tcBorders>
            <w:shd w:val="clear" w:color="auto" w:fill="E3EFFA"/>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-6019800</wp:posOffset>
            </wp:positionV>
            <wp:extent cx="94615"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60007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-5942330</wp:posOffset>
            </wp:positionV>
            <wp:extent cx="171450" cy="523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52324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-5796915</wp:posOffset>
            </wp:positionV>
            <wp:extent cx="85725"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-5925185</wp:posOffset>
            </wp:positionV>
            <wp:extent cx="77470" cy="506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50609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-5942330</wp:posOffset>
            </wp:positionV>
            <wp:extent cx="77470" cy="523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52324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-6182360</wp:posOffset>
            </wp:positionV>
            <wp:extent cx="188595" cy="763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76327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-6182360</wp:posOffset>
            </wp:positionV>
            <wp:extent cx="188595" cy="763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76327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-6165215</wp:posOffset>
            </wp:positionV>
            <wp:extent cx="94615" cy="746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74612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-6071235</wp:posOffset>
            </wp:positionV>
            <wp:extent cx="180340" cy="651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340" cy="6515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-5333365</wp:posOffset>
            </wp:positionV>
            <wp:extent cx="411480" cy="32499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1480" cy="3249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-1611630</wp:posOffset>
            </wp:positionV>
            <wp:extent cx="428625" cy="1603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 cy="1603375"/>
                    </a:xfrm>
                    <a:prstGeom prst="rect">
                      <a:avLst/>
                    </a:prstGeom>
                    <a:noFill/>
                  </pic:spPr>
                </pic:pic>
              </a:graphicData>
            </a:graphic>
          </wp:anchor>
        </w:drawing>
      </w:r>
    </w:p>
    <w:p>
      <w:pPr>
        <w:spacing w:after="0" w:line="191"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95C3EB"/>
        </w:rPr>
        <w:t>All directors, except Mr. Hayes, are independent.</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0F94D8"/>
        </w:rPr>
        <w:t>All directors are elected annually by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-1270</wp:posOffset>
            </wp:positionV>
            <wp:extent cx="4347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20" w:type="dxa"/>
            <w:vAlign w:val="bottom"/>
          </w:tcPr>
          <w:p>
            <w:pPr>
              <w:ind w:left="52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0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5</w:t>
            </w:r>
          </w:p>
        </w:tc>
        <w:tc>
          <w:tcPr>
            <w:tcW w:w="20" w:type="dxa"/>
            <w:vAlign w:val="bottom"/>
          </w:tcPr>
          <w:p>
            <w:pPr>
              <w:spacing w:after="0"/>
              <w:rPr>
                <w:sz w:val="21"/>
                <w:szCs w:val="21"/>
                <w:color w:val="auto"/>
              </w:rPr>
            </w:pPr>
          </w:p>
        </w:tc>
      </w:tr>
      <w:tr>
        <w:trPr>
          <w:trHeight w:val="361"/>
        </w:trPr>
        <w:tc>
          <w:tcPr>
            <w:tcW w:w="10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40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DB03F"/>
          <w:highlight w:val="white"/>
        </w:rPr>
        <w:t>PROPOSAL 1</w:t>
      </w:r>
    </w:p>
    <w:p>
      <w:pPr>
        <w:spacing w:after="0" w:line="297"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1397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20" w:right="80"/>
        <w:spacing w:after="0"/>
        <w:rPr>
          <w:sz w:val="20"/>
          <w:szCs w:val="20"/>
          <w:color w:val="auto"/>
        </w:rPr>
      </w:pPr>
      <w:r>
        <w:rPr>
          <w:rFonts w:ascii="Arial" w:cs="Arial" w:eastAsia="Arial" w:hAnsi="Arial"/>
          <w:sz w:val="18"/>
          <w:szCs w:val="18"/>
          <w:color w:val="auto"/>
        </w:rPr>
        <w:t xml:space="preserve">We are seeking your support for the election of the </w:t>
      </w:r>
      <w:r>
        <w:rPr>
          <w:rFonts w:ascii="Arial" w:cs="Arial" w:eastAsia="Arial" w:hAnsi="Arial"/>
          <w:sz w:val="18"/>
          <w:szCs w:val="18"/>
          <w:b w:val="1"/>
          <w:bCs w:val="1"/>
          <w:color w:val="FDB03F"/>
        </w:rPr>
        <w:t>thirteen individuals</w:t>
      </w:r>
      <w:r>
        <w:rPr>
          <w:rFonts w:ascii="Arial" w:cs="Arial" w:eastAsia="Arial" w:hAnsi="Arial"/>
          <w:sz w:val="18"/>
          <w:szCs w:val="18"/>
          <w:color w:val="auto"/>
        </w:rPr>
        <w:t xml:space="preserve"> that the Board has nominated to serve on the Board of Directors for a </w:t>
      </w:r>
      <w:r>
        <w:rPr>
          <w:rFonts w:ascii="Arial" w:cs="Arial" w:eastAsia="Arial" w:hAnsi="Arial"/>
          <w:sz w:val="18"/>
          <w:szCs w:val="18"/>
          <w:b w:val="1"/>
          <w:bCs w:val="1"/>
          <w:color w:val="FDB03F"/>
        </w:rPr>
        <w:t>one-year term beginning on the date of the Annual Meeting</w:t>
      </w:r>
      <w:r>
        <w:rPr>
          <w:rFonts w:ascii="Arial" w:cs="Arial" w:eastAsia="Arial" w:hAnsi="Arial"/>
          <w:sz w:val="18"/>
          <w:szCs w:val="18"/>
          <w:color w:val="FDB03F"/>
        </w:rPr>
        <w:t>.</w:t>
      </w:r>
      <w:r>
        <w:rPr>
          <w:rFonts w:ascii="Arial" w:cs="Arial" w:eastAsia="Arial" w:hAnsi="Arial"/>
          <w:sz w:val="18"/>
          <w:szCs w:val="18"/>
          <w:color w:val="auto"/>
        </w:rPr>
        <w:t xml:space="preserve"> We believe that the nominees have the qualifications consistent with our position as a large, diversified industrial corporation with worldwide operations. We also believe that the nominees have the experience and perspective to guide the Company as we separate into three independent companies, and as we adjust to rapidly changing technologies, business cycles and competitive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235585</wp:posOffset>
            </wp:positionV>
            <wp:extent cx="590042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042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Criteria for Board Membership</w:t>
      </w:r>
    </w:p>
    <w:p>
      <w:pPr>
        <w:spacing w:after="0" w:line="255" w:lineRule="exact"/>
        <w:rPr>
          <w:sz w:val="20"/>
          <w:szCs w:val="20"/>
          <w:color w:val="auto"/>
        </w:rPr>
      </w:pPr>
    </w:p>
    <w:p>
      <w:pPr>
        <w:ind w:left="500" w:right="140"/>
        <w:spacing w:after="0" w:line="238" w:lineRule="auto"/>
        <w:rPr>
          <w:sz w:val="20"/>
          <w:szCs w:val="20"/>
          <w:color w:val="auto"/>
        </w:rPr>
      </w:pPr>
      <w:r>
        <w:rPr>
          <w:rFonts w:ascii="Arial" w:cs="Arial" w:eastAsia="Arial" w:hAnsi="Arial"/>
          <w:sz w:val="18"/>
          <w:szCs w:val="18"/>
          <w:color w:val="0E93D8"/>
        </w:rPr>
        <w:t>The Board and the Committee on Governance and Public Policy (the “Governance Committee”) believe that there are general attributes all directors must exhibit and that other key skills and expertise should be represented on the Board as a whole, but not necessarily by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222885" cy="368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3689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attributes are essential for all UTC directors and we believe that our current directors exhibit these attributes:</w:t>
      </w:r>
    </w:p>
    <w:p>
      <w:pPr>
        <w:spacing w:after="0" w:line="21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Objectivity and independence in making informed business decisions</w:t>
      </w:r>
    </w:p>
    <w:p>
      <w:pPr>
        <w:spacing w:after="0" w:line="63" w:lineRule="exact"/>
        <w:rPr>
          <w:rFonts w:ascii="Arial" w:cs="Arial" w:eastAsia="Arial" w:hAnsi="Arial"/>
          <w:sz w:val="17"/>
          <w:szCs w:val="17"/>
          <w:color w:val="FDB03F"/>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Extensive knowledge, experience and judgment</w:t>
      </w:r>
    </w:p>
    <w:p>
      <w:pPr>
        <w:spacing w:after="0" w:line="63" w:lineRule="exact"/>
        <w:rPr>
          <w:rFonts w:ascii="Arial" w:cs="Arial" w:eastAsia="Arial" w:hAnsi="Arial"/>
          <w:sz w:val="17"/>
          <w:szCs w:val="17"/>
          <w:color w:val="FDB03F"/>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The highest integrity</w:t>
      </w:r>
    </w:p>
    <w:p>
      <w:pPr>
        <w:spacing w:after="0" w:line="63" w:lineRule="exact"/>
        <w:rPr>
          <w:rFonts w:ascii="Arial" w:cs="Arial" w:eastAsia="Arial" w:hAnsi="Arial"/>
          <w:sz w:val="17"/>
          <w:szCs w:val="17"/>
          <w:color w:val="FDB03F"/>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Diversity of perspective</w:t>
      </w:r>
    </w:p>
    <w:p>
      <w:pPr>
        <w:spacing w:after="0" w:line="63" w:lineRule="exact"/>
        <w:rPr>
          <w:rFonts w:ascii="Arial" w:cs="Arial" w:eastAsia="Arial" w:hAnsi="Arial"/>
          <w:sz w:val="17"/>
          <w:szCs w:val="17"/>
          <w:color w:val="FDB03F"/>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A willingness to devote the extensive time necessary to fulfill a director’s duties</w:t>
      </w:r>
    </w:p>
    <w:p>
      <w:pPr>
        <w:spacing w:after="0" w:line="63" w:lineRule="exact"/>
        <w:rPr>
          <w:rFonts w:ascii="Arial" w:cs="Arial" w:eastAsia="Arial" w:hAnsi="Arial"/>
          <w:sz w:val="17"/>
          <w:szCs w:val="17"/>
          <w:color w:val="FDB03F"/>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An appreciation for the role of the corporation in society</w:t>
      </w:r>
    </w:p>
    <w:p>
      <w:pPr>
        <w:spacing w:after="0" w:line="63" w:lineRule="exact"/>
        <w:rPr>
          <w:rFonts w:ascii="Arial" w:cs="Arial" w:eastAsia="Arial" w:hAnsi="Arial"/>
          <w:sz w:val="17"/>
          <w:szCs w:val="17"/>
          <w:color w:val="FDB03F"/>
        </w:rPr>
      </w:pPr>
    </w:p>
    <w:p>
      <w:pPr>
        <w:ind w:left="260" w:hanging="252"/>
        <w:spacing w:after="0"/>
        <w:tabs>
          <w:tab w:leader="none" w:pos="260" w:val="left"/>
        </w:tabs>
        <w:numPr>
          <w:ilvl w:val="0"/>
          <w:numId w:val="22"/>
        </w:numPr>
        <w:rPr>
          <w:rFonts w:ascii="Arial" w:cs="Arial" w:eastAsia="Arial" w:hAnsi="Arial"/>
          <w:sz w:val="17"/>
          <w:szCs w:val="17"/>
          <w:color w:val="FDB03F"/>
        </w:rPr>
      </w:pPr>
      <w:r>
        <w:rPr>
          <w:rFonts w:ascii="Arial" w:cs="Arial" w:eastAsia="Arial" w:hAnsi="Arial"/>
          <w:sz w:val="18"/>
          <w:szCs w:val="18"/>
          <w:color w:val="auto"/>
        </w:rPr>
        <w:t>Loyalty to the interests of UTC and its shareowners</w:t>
      </w:r>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While we do not have a policy on Board diversity, a director’s ability to contribute to the diversity of perspectives necessary in Board deliberations is an attribute that is critical to the Company’s long-term success.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Key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and the Governance Committee have identified the following principal skills and expertise that are essential to effective oversight in light of the Company’s business requirements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685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E93D8"/>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489585</wp:posOffset>
            </wp:positionV>
            <wp:extent cx="531495" cy="4718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0E93D8"/>
        </w:rPr>
        <w:t>Government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Leadership of a financial firm, management of an enterprise’s finance function or of a large P&amp;L, resulting in proficiency in complex financial management, financial reporting processes, capital allocation, capital markets, and mergers and acquisitions — representing the importance we place on accurate financial reporting, and robust financial controls and compliance.</w:t>
      </w:r>
    </w:p>
    <w:p>
      <w:pPr>
        <w:spacing w:after="0" w:line="200" w:lineRule="exact"/>
        <w:rPr>
          <w:sz w:val="20"/>
          <w:szCs w:val="20"/>
          <w:color w:val="auto"/>
        </w:rPr>
      </w:pPr>
    </w:p>
    <w:p>
      <w:pPr>
        <w:spacing w:after="0" w:line="30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Directors who have served in senior positions in the government or the military provide constructive insights about how significant government policies and public policy issues may affect our Company and how to effectively respond to those matters.</w:t>
      </w:r>
    </w:p>
    <w:p>
      <w:pPr>
        <w:spacing w:after="0" w:line="200" w:lineRule="exact"/>
        <w:rPr>
          <w:sz w:val="20"/>
          <w:szCs w:val="20"/>
          <w:color w:val="auto"/>
        </w:rPr>
      </w:pPr>
    </w:p>
    <w:p>
      <w:pPr>
        <w:sectPr>
          <w:pgSz w:w="11900" w:h="16838" w:orient="portrait"/>
          <w:cols w:equalWidth="0" w:num="2">
            <w:col w:w="1800" w:space="320"/>
            <w:col w:w="9280"/>
          </w:cols>
          <w:pgMar w:left="240" w:top="121" w:right="259" w:bottom="1440" w:gutter="0" w:footer="0" w:header="0"/>
          <w:type w:val="continuous"/>
        </w:sectPr>
      </w:pPr>
    </w:p>
    <w:p>
      <w:pPr>
        <w:spacing w:after="0" w:line="185" w:lineRule="exact"/>
        <w:rPr>
          <w:sz w:val="20"/>
          <w:szCs w:val="20"/>
          <w:color w:val="auto"/>
        </w:rPr>
      </w:pPr>
    </w:p>
    <w:p>
      <w:pPr>
        <w:ind w:left="780" w:hanging="528"/>
        <w:spacing w:after="0"/>
        <w:tabs>
          <w:tab w:leader="none" w:pos="780" w:val="left"/>
        </w:tabs>
        <w:numPr>
          <w:ilvl w:val="0"/>
          <w:numId w:val="23"/>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719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719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1235075" cy="643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50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E93D8"/>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487045</wp:posOffset>
            </wp:positionV>
            <wp:extent cx="8890" cy="531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53149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487045</wp:posOffset>
            </wp:positionV>
            <wp:extent cx="600075" cy="4972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0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left="740"/>
        <w:spacing w:after="0" w:line="296" w:lineRule="auto"/>
        <w:rPr>
          <w:sz w:val="20"/>
          <w:szCs w:val="20"/>
          <w:color w:val="auto"/>
        </w:rPr>
      </w:pPr>
      <w:r>
        <w:rPr>
          <w:rFonts w:ascii="Arial" w:cs="Arial" w:eastAsia="Arial" w:hAnsi="Arial"/>
          <w:sz w:val="16"/>
          <w:szCs w:val="16"/>
          <w:b w:val="1"/>
          <w:bCs w:val="1"/>
          <w:color w:val="0E93D8"/>
        </w:rPr>
        <w:t>Knowledge of Company/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1235075" cy="523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5075" cy="5232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E93D8"/>
        </w:rPr>
        <w:t>Risk</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E93D8"/>
        </w:rPr>
        <w:t>Management/</w:t>
      </w:r>
    </w:p>
    <w:p>
      <w:pPr>
        <w:jc w:val="right"/>
        <w:spacing w:after="0"/>
        <w:rPr>
          <w:sz w:val="20"/>
          <w:szCs w:val="20"/>
          <w:color w:val="auto"/>
        </w:rPr>
      </w:pPr>
      <w:r>
        <w:rPr>
          <w:rFonts w:ascii="Arial" w:cs="Arial" w:eastAsia="Arial" w:hAnsi="Arial"/>
          <w:sz w:val="18"/>
          <w:szCs w:val="18"/>
          <w:b w:val="1"/>
          <w:bCs w:val="1"/>
          <w:color w:val="0E93D8"/>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278130</wp:posOffset>
            </wp:positionV>
            <wp:extent cx="8890" cy="4718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278130</wp:posOffset>
            </wp:positionV>
            <wp:extent cx="462915" cy="454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2915" cy="45466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E93D8"/>
        </w:rPr>
        <w:t>Senior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E93D8"/>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1235075" cy="685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50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left="480"/>
        <w:spacing w:after="0" w:line="264" w:lineRule="auto"/>
        <w:rPr>
          <w:sz w:val="20"/>
          <w:szCs w:val="20"/>
          <w:color w:val="auto"/>
        </w:rPr>
      </w:pPr>
      <w:r>
        <w:rPr>
          <w:rFonts w:ascii="Arial" w:cs="Arial" w:eastAsia="Arial" w:hAnsi="Arial"/>
          <w:sz w:val="18"/>
          <w:szCs w:val="18"/>
          <w:b w:val="1"/>
          <w:bCs w:val="1"/>
          <w:color w:val="0E93D8"/>
        </w:rPr>
        <w:t>Technology and Innovation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right"/>
        <w:ind w:right="140"/>
        <w:spacing w:after="0"/>
        <w:tabs>
          <w:tab w:leader="none" w:pos="1720" w:val="left"/>
        </w:tabs>
        <w:rPr>
          <w:sz w:val="20"/>
          <w:szCs w:val="20"/>
          <w:color w:val="auto"/>
        </w:rPr>
      </w:pPr>
      <w:r>
        <w:rPr>
          <w:rFonts w:ascii="Arial" w:cs="Arial" w:eastAsia="Arial" w:hAnsi="Arial"/>
          <w:sz w:val="14"/>
          <w:szCs w:val="14"/>
          <w:b w:val="1"/>
          <w:bCs w:val="1"/>
          <w:color w:val="FFFFFF"/>
        </w:rPr>
        <w:t>PROPOSAL 1</w:t>
      </w:r>
      <w:r>
        <w:rPr>
          <w:sz w:val="20"/>
          <w:szCs w:val="20"/>
          <w:color w:val="auto"/>
        </w:rPr>
        <w:tab/>
      </w:r>
      <w:r>
        <w:rPr>
          <w:rFonts w:ascii="Arial" w:cs="Arial" w:eastAsia="Arial" w:hAnsi="Arial"/>
          <w:sz w:val="12"/>
          <w:szCs w:val="12"/>
          <w:b w:val="1"/>
          <w:bCs w:val="1"/>
          <w:color w:val="0F94D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-107950</wp:posOffset>
            </wp:positionV>
            <wp:extent cx="195516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55165" cy="12890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173990</wp:posOffset>
            </wp:positionV>
            <wp:extent cx="6011545" cy="643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11545" cy="643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UTC has operations around the world and a significant portion of our sales come from outside the United States.</w:t>
      </w:r>
    </w:p>
    <w:p>
      <w:pPr>
        <w:spacing w:after="0"/>
        <w:rPr>
          <w:sz w:val="20"/>
          <w:szCs w:val="20"/>
          <w:color w:val="auto"/>
        </w:rPr>
      </w:pPr>
      <w:r>
        <w:rPr>
          <w:rFonts w:ascii="Arial" w:cs="Arial" w:eastAsia="Arial" w:hAnsi="Arial"/>
          <w:sz w:val="18"/>
          <w:szCs w:val="18"/>
          <w:color w:val="auto"/>
        </w:rPr>
        <w:t>Directors with international experience thus provide valuable business, political and cultural perspectives.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Knowledge of or experience in UTC’s specific industries, whether acquired through service as a senior leader in one of these industries, as an institutional investor, through longer-term service on the UTC Board or through experience with an industrial company that transformed its portfolio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267335</wp:posOffset>
            </wp:positionV>
            <wp:extent cx="6011545" cy="523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1154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840"/>
        <w:spacing w:after="0" w:line="299" w:lineRule="auto"/>
        <w:rPr>
          <w:sz w:val="20"/>
          <w:szCs w:val="20"/>
          <w:color w:val="auto"/>
        </w:rPr>
      </w:pPr>
      <w:r>
        <w:rPr>
          <w:rFonts w:ascii="Arial" w:cs="Arial" w:eastAsia="Arial" w:hAnsi="Arial"/>
          <w:sz w:val="16"/>
          <w:szCs w:val="16"/>
          <w:color w:val="auto"/>
        </w:rPr>
        <w:t>This experience is critical to the Board’s role in overseeing and understanding major risk exposures, including significant financial, operational, compliance, reputational, strategic, country, political, and cybersecurity risks.</w:t>
      </w:r>
    </w:p>
    <w:p>
      <w:pPr>
        <w:spacing w:after="0" w:line="200" w:lineRule="exact"/>
        <w:rPr>
          <w:sz w:val="20"/>
          <w:szCs w:val="20"/>
          <w:color w:val="auto"/>
        </w:rPr>
      </w:pPr>
    </w:p>
    <w:p>
      <w:pPr>
        <w:spacing w:after="0" w:line="341"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Extensive leadership experience with a significant enterprise, resulting in a practical understanding of organizations, processes and strategic planning, along with demonstrated strengths in developing talent, succession planning, and driving change and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233045</wp:posOffset>
            </wp:positionV>
            <wp:extent cx="6011545" cy="685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11545" cy="6858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Experience in research and development, engineering, science, digital media or technology. This translates into an understanding of UTC’s technological innovations, development and marketing challenges, how to anticipate technological trends, and how to generate disruptive innovation — all of which helps us to execute our business objectives and strategy.</w:t>
      </w:r>
    </w:p>
    <w:p>
      <w:pPr>
        <w:spacing w:after="0" w:line="200" w:lineRule="exact"/>
        <w:rPr>
          <w:sz w:val="20"/>
          <w:szCs w:val="20"/>
          <w:color w:val="auto"/>
        </w:rPr>
      </w:pPr>
    </w:p>
    <w:p>
      <w:pPr>
        <w:sectPr>
          <w:pgSz w:w="11900" w:h="16838" w:orient="portrait"/>
          <w:cols w:equalWidth="0" w:num="2">
            <w:col w:w="1800" w:space="320"/>
            <w:col w:w="9320"/>
          </w:cols>
          <w:pgMar w:left="240" w:top="121" w:right="219" w:bottom="1440" w:gutter="0" w:footer="0" w:header="0"/>
        </w:sectPr>
      </w:pPr>
    </w:p>
    <w:p>
      <w:pPr>
        <w:spacing w:after="0" w:line="14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chart below illustrates the diverse set of key skills and areas of expertise represented on our Board. Each director’s biography highlights the three key skills and areas of expertise upon which the Board particularly relies in addition to describing each director’s significant work experience and service.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KEY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-90805</wp:posOffset>
            </wp:positionV>
            <wp:extent cx="6663690" cy="2864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6369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20" w:type="dxa"/>
            <w:vAlign w:val="bottom"/>
          </w:tcPr>
          <w:p>
            <w:pPr>
              <w:ind w:left="52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0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7</w:t>
            </w:r>
          </w:p>
        </w:tc>
        <w:tc>
          <w:tcPr>
            <w:tcW w:w="20" w:type="dxa"/>
            <w:vAlign w:val="bottom"/>
          </w:tcPr>
          <w:p>
            <w:pPr>
              <w:spacing w:after="0"/>
              <w:rPr>
                <w:sz w:val="21"/>
                <w:szCs w:val="21"/>
                <w:color w:val="auto"/>
              </w:rPr>
            </w:pPr>
          </w:p>
        </w:tc>
      </w:tr>
      <w:tr>
        <w:trPr>
          <w:trHeight w:val="361"/>
        </w:trPr>
        <w:tc>
          <w:tcPr>
            <w:tcW w:w="10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95516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55165" cy="128905"/>
                    </a:xfrm>
                    <a:prstGeom prst="rect">
                      <a:avLst/>
                    </a:prstGeom>
                    <a:noFill/>
                  </pic:spPr>
                </pic:pic>
              </a:graphicData>
            </a:graphic>
          </wp:anchor>
        </w:drawing>
      </w:r>
    </w:p>
    <w:p>
      <w:pPr>
        <w:spacing w:after="0" w:line="221"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0F94D8"/>
        </w:rPr>
        <w:t>PROPOSAL 1</w:t>
      </w:r>
      <w:r>
        <w:rPr>
          <w:sz w:val="20"/>
          <w:szCs w:val="20"/>
          <w:color w:val="auto"/>
        </w:rPr>
        <w:tab/>
      </w:r>
      <w:r>
        <w:rPr>
          <w:rFonts w:ascii="Arial" w:cs="Arial" w:eastAsia="Arial" w:hAnsi="Arial"/>
          <w:sz w:val="12"/>
          <w:szCs w:val="12"/>
          <w:b w:val="1"/>
          <w:bCs w:val="1"/>
          <w:color w:val="FFFFFF"/>
        </w:rPr>
        <w:t>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Director Orientation and Education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Director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New directors participate in an orientation program to familiarize them with the roles and responsibilities of the Board, including topics tailored to each director’s committee assignments. New directors also learn about the Company’s strategy, our business units, financial statements, significant financial, accounting and risk management issues, and our compliance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Director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part of the directors’ continuing education, the Board strives to visit at least one of UTC’s business units each year. This gives directors a firsthand understanding of the business unit’s operations and facilitates interactions with employees and key executives. For example, in 2018 directors visited two facilities in Florida (Carrier’s Center for Intelligent Buildings, a state-of-the-art building technology and customer experience center, and a Pratt &amp; Whitney test facility) and two facilities in Connecticut (Pratt &amp; Whitney’s new Engineering &amp; Technology Center and the United Technologies Research Center).</w:t>
      </w:r>
    </w:p>
    <w:p>
      <w:pPr>
        <w:spacing w:after="0" w:line="211"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Directors also are encouraged to attend outside continuing education programs. Additional presentations and materials, including updates on recent business developments and on topical and beneficial subjects, are provided from time to time to certain directors or to all directors, as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Board Self-Evaluation Process</w:t>
      </w:r>
    </w:p>
    <w:p>
      <w:pPr>
        <w:spacing w:after="0" w:line="255"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Board appreciates that robust and constructive self-evaluation is an essential element of good corporate governance, Board effectiveness, and continuous improvement. To this end, the Board evaluates annually its own performance and that of the standing committees and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890" cy="685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68580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130175</wp:posOffset>
            </wp:positionV>
            <wp:extent cx="8890" cy="685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68580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130175</wp:posOffset>
            </wp:positionV>
            <wp:extent cx="1200785" cy="685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785" cy="68580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343" w:lineRule="exact"/>
        <w:rPr>
          <w:sz w:val="20"/>
          <w:szCs w:val="20"/>
          <w:color w:val="auto"/>
        </w:rPr>
      </w:pPr>
    </w:p>
    <w:p>
      <w:pPr>
        <w:ind w:left="160" w:right="3460"/>
        <w:spacing w:after="0" w:line="237" w:lineRule="auto"/>
        <w:rPr>
          <w:sz w:val="20"/>
          <w:szCs w:val="20"/>
          <w:color w:val="auto"/>
        </w:rPr>
      </w:pPr>
      <w:r>
        <w:rPr>
          <w:rFonts w:ascii="Arial" w:cs="Arial" w:eastAsia="Arial" w:hAnsi="Arial"/>
          <w:sz w:val="18"/>
          <w:szCs w:val="18"/>
          <w:color w:val="0F94D8"/>
        </w:rPr>
        <w:t>The Governance Committee is responsible for and oversees the design and the manner in which the annual self-evaluation is completed.</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self-evaluation informs the Board’s consideration of the following:</w:t>
      </w:r>
    </w:p>
    <w:p>
      <w:pPr>
        <w:spacing w:after="0" w:line="235"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7"/>
          <w:szCs w:val="17"/>
          <w:color w:val="FDB03F"/>
        </w:rPr>
      </w:pPr>
      <w:r>
        <w:rPr>
          <w:rFonts w:ascii="Arial" w:cs="Arial" w:eastAsia="Arial" w:hAnsi="Arial"/>
          <w:sz w:val="18"/>
          <w:szCs w:val="18"/>
          <w:color w:val="auto"/>
        </w:rPr>
        <w:t>Board roles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0F94D8"/>
        </w:rPr>
        <w:t>The Lead Director or non-Executive Chairman (as applicable) and the Governance Committee Chair jointly lead the self-evaluation process.</w:t>
      </w:r>
    </w:p>
    <w:p>
      <w:pPr>
        <w:spacing w:after="0" w:line="1073" w:lineRule="exact"/>
        <w:rPr>
          <w:sz w:val="20"/>
          <w:szCs w:val="20"/>
          <w:color w:val="auto"/>
        </w:rPr>
      </w:pPr>
    </w:p>
    <w:p>
      <w:pPr>
        <w:sectPr>
          <w:pgSz w:w="11900" w:h="16838" w:orient="portrait"/>
          <w:cols w:equalWidth="0" w:num="2">
            <w:col w:w="7080" w:space="720"/>
            <w:col w:w="3600"/>
          </w:cols>
          <w:pgMar w:left="240" w:top="121" w:right="259" w:bottom="1440" w:gutter="0" w:footer="0" w:header="0"/>
          <w:type w:val="continuous"/>
        </w:sectPr>
      </w:pPr>
    </w:p>
    <w:p>
      <w:pPr>
        <w:ind w:left="260" w:hanging="252"/>
        <w:spacing w:after="0"/>
        <w:tabs>
          <w:tab w:leader="none" w:pos="260" w:val="left"/>
        </w:tabs>
        <w:numPr>
          <w:ilvl w:val="0"/>
          <w:numId w:val="25"/>
        </w:numPr>
        <w:rPr>
          <w:rFonts w:ascii="Arial" w:cs="Arial" w:eastAsia="Arial" w:hAnsi="Arial"/>
          <w:sz w:val="17"/>
          <w:szCs w:val="17"/>
          <w:color w:val="FDB03F"/>
        </w:rPr>
      </w:pPr>
      <w:r>
        <w:rPr>
          <w:rFonts w:ascii="Arial" w:cs="Arial" w:eastAsia="Arial" w:hAnsi="Arial"/>
          <w:sz w:val="18"/>
          <w:szCs w:val="18"/>
          <w:color w:val="auto"/>
        </w:rPr>
        <w:t>Opportunities to increase the Board’s effectiveness, including the addition of new skills and expertise</w:t>
      </w:r>
    </w:p>
    <w:p>
      <w:pPr>
        <w:spacing w:after="0" w:line="103" w:lineRule="exact"/>
        <w:rPr>
          <w:rFonts w:ascii="Arial" w:cs="Arial" w:eastAsia="Arial" w:hAnsi="Arial"/>
          <w:sz w:val="17"/>
          <w:szCs w:val="17"/>
          <w:color w:val="FDB03F"/>
        </w:rPr>
      </w:pPr>
    </w:p>
    <w:p>
      <w:pPr>
        <w:ind w:left="260" w:hanging="252"/>
        <w:spacing w:after="0"/>
        <w:tabs>
          <w:tab w:leader="none" w:pos="260" w:val="left"/>
        </w:tabs>
        <w:numPr>
          <w:ilvl w:val="0"/>
          <w:numId w:val="25"/>
        </w:numPr>
        <w:rPr>
          <w:rFonts w:ascii="Arial" w:cs="Arial" w:eastAsia="Arial" w:hAnsi="Arial"/>
          <w:sz w:val="17"/>
          <w:szCs w:val="17"/>
          <w:color w:val="FDB03F"/>
        </w:rPr>
      </w:pPr>
      <w:r>
        <w:rPr>
          <w:rFonts w:ascii="Arial" w:cs="Arial" w:eastAsia="Arial" w:hAnsi="Arial"/>
          <w:sz w:val="18"/>
          <w:szCs w:val="18"/>
          <w:color w:val="auto"/>
        </w:rPr>
        <w:t>Refreshment objectives, including composition and diversity</w:t>
      </w:r>
    </w:p>
    <w:p>
      <w:pPr>
        <w:spacing w:after="0" w:line="103" w:lineRule="exact"/>
        <w:rPr>
          <w:rFonts w:ascii="Arial" w:cs="Arial" w:eastAsia="Arial" w:hAnsi="Arial"/>
          <w:sz w:val="17"/>
          <w:szCs w:val="17"/>
          <w:color w:val="FDB03F"/>
        </w:rPr>
      </w:pPr>
    </w:p>
    <w:p>
      <w:pPr>
        <w:ind w:left="260" w:hanging="252"/>
        <w:spacing w:after="0"/>
        <w:tabs>
          <w:tab w:leader="none" w:pos="260" w:val="left"/>
        </w:tabs>
        <w:numPr>
          <w:ilvl w:val="0"/>
          <w:numId w:val="25"/>
        </w:numPr>
        <w:rPr>
          <w:rFonts w:ascii="Arial" w:cs="Arial" w:eastAsia="Arial" w:hAnsi="Arial"/>
          <w:sz w:val="17"/>
          <w:szCs w:val="17"/>
          <w:color w:val="FDB03F"/>
        </w:rPr>
      </w:pPr>
      <w:r>
        <w:rPr>
          <w:rFonts w:ascii="Arial" w:cs="Arial" w:eastAsia="Arial" w:hAnsi="Arial"/>
          <w:sz w:val="18"/>
          <w:szCs w:val="18"/>
          <w:color w:val="auto"/>
        </w:rPr>
        <w:t>Succession planning</w:t>
      </w:r>
    </w:p>
    <w:p>
      <w:pPr>
        <w:spacing w:after="0" w:line="21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As part of the 2018 evaluation process, each of the independent directors conferred with Mrs. Kullman, our Lead Director, or Mr. Rogers, the Chair of the Governance Committee, to provide practical feedback and allow for the candid assessment of peer contributions and performance. Afterwards, Mrs. Kullman and Mr. Rogers collaborated to provide a summary of the assessment, which the Board discussed in its private session.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self-evaluation process has generated improvements to our corporate governance practices and the Board’s effectiveness, including:</w:t>
      </w:r>
    </w:p>
    <w:p>
      <w:pPr>
        <w:spacing w:after="0" w:line="21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7"/>
          <w:szCs w:val="17"/>
          <w:color w:val="FDB03F"/>
        </w:rPr>
      </w:pPr>
      <w:r>
        <w:rPr>
          <w:rFonts w:ascii="Arial" w:cs="Arial" w:eastAsia="Arial" w:hAnsi="Arial"/>
          <w:sz w:val="18"/>
          <w:szCs w:val="18"/>
          <w:color w:val="auto"/>
        </w:rPr>
        <w:t>Expanding the Lead Director’s role and responsibilities</w:t>
      </w:r>
    </w:p>
    <w:p>
      <w:pPr>
        <w:spacing w:after="0" w:line="103" w:lineRule="exact"/>
        <w:rPr>
          <w:rFonts w:ascii="Arial" w:cs="Arial" w:eastAsia="Arial" w:hAnsi="Arial"/>
          <w:sz w:val="17"/>
          <w:szCs w:val="17"/>
          <w:color w:val="FDB03F"/>
        </w:rPr>
      </w:pPr>
    </w:p>
    <w:p>
      <w:pPr>
        <w:ind w:left="260" w:hanging="252"/>
        <w:spacing w:after="0"/>
        <w:tabs>
          <w:tab w:leader="none" w:pos="260" w:val="left"/>
        </w:tabs>
        <w:numPr>
          <w:ilvl w:val="0"/>
          <w:numId w:val="26"/>
        </w:numPr>
        <w:rPr>
          <w:rFonts w:ascii="Arial" w:cs="Arial" w:eastAsia="Arial" w:hAnsi="Arial"/>
          <w:sz w:val="17"/>
          <w:szCs w:val="17"/>
          <w:color w:val="FDB03F"/>
        </w:rPr>
      </w:pPr>
      <w:r>
        <w:rPr>
          <w:rFonts w:ascii="Arial" w:cs="Arial" w:eastAsia="Arial" w:hAnsi="Arial"/>
          <w:sz w:val="18"/>
          <w:szCs w:val="18"/>
          <w:color w:val="auto"/>
        </w:rPr>
        <w:t>Allocating more time to private sessions of the independent directors</w:t>
      </w:r>
    </w:p>
    <w:p>
      <w:pPr>
        <w:spacing w:after="0" w:line="103" w:lineRule="exact"/>
        <w:rPr>
          <w:rFonts w:ascii="Arial" w:cs="Arial" w:eastAsia="Arial" w:hAnsi="Arial"/>
          <w:sz w:val="17"/>
          <w:szCs w:val="17"/>
          <w:color w:val="FDB03F"/>
        </w:rPr>
      </w:pPr>
    </w:p>
    <w:p>
      <w:pPr>
        <w:ind w:left="260" w:hanging="252"/>
        <w:spacing w:after="0"/>
        <w:tabs>
          <w:tab w:leader="none" w:pos="260" w:val="left"/>
        </w:tabs>
        <w:numPr>
          <w:ilvl w:val="0"/>
          <w:numId w:val="26"/>
        </w:numPr>
        <w:rPr>
          <w:rFonts w:ascii="Arial" w:cs="Arial" w:eastAsia="Arial" w:hAnsi="Arial"/>
          <w:sz w:val="17"/>
          <w:szCs w:val="17"/>
          <w:color w:val="FDB03F"/>
        </w:rPr>
      </w:pPr>
      <w:r>
        <w:rPr>
          <w:rFonts w:ascii="Arial" w:cs="Arial" w:eastAsia="Arial" w:hAnsi="Arial"/>
          <w:sz w:val="18"/>
          <w:szCs w:val="18"/>
          <w:color w:val="auto"/>
        </w:rPr>
        <w:t>Restructuring the standing committees to allocate more time to strategy discussion at the meetings of the full Board</w:t>
      </w:r>
    </w:p>
    <w:p>
      <w:pPr>
        <w:spacing w:after="0" w:line="103" w:lineRule="exact"/>
        <w:rPr>
          <w:rFonts w:ascii="Arial" w:cs="Arial" w:eastAsia="Arial" w:hAnsi="Arial"/>
          <w:sz w:val="17"/>
          <w:szCs w:val="17"/>
          <w:color w:val="FDB03F"/>
        </w:rPr>
      </w:pPr>
    </w:p>
    <w:p>
      <w:pPr>
        <w:ind w:left="260" w:hanging="252"/>
        <w:spacing w:after="0"/>
        <w:tabs>
          <w:tab w:leader="none" w:pos="260" w:val="left"/>
        </w:tabs>
        <w:numPr>
          <w:ilvl w:val="0"/>
          <w:numId w:val="26"/>
        </w:numPr>
        <w:rPr>
          <w:rFonts w:ascii="Arial" w:cs="Arial" w:eastAsia="Arial" w:hAnsi="Arial"/>
          <w:sz w:val="17"/>
          <w:szCs w:val="17"/>
          <w:color w:val="FDB03F"/>
        </w:rPr>
      </w:pPr>
      <w:r>
        <w:rPr>
          <w:rFonts w:ascii="Arial" w:cs="Arial" w:eastAsia="Arial" w:hAnsi="Arial"/>
          <w:sz w:val="18"/>
          <w:szCs w:val="18"/>
          <w:color w:val="auto"/>
        </w:rPr>
        <w:t>Improving the Board’s self-evaluation process itself</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Board Refreshment and Nominating Process</w:t>
      </w:r>
    </w:p>
    <w:p>
      <w:pPr>
        <w:spacing w:after="0" w:line="2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Governance Committee regularly reviews with the Board the key skills and expertise that are most important in selecting candidates to serve as directors, taking into account UTC’s varied operations and the mix of capabilities and experience represented on the Board already. As part of the Board’s annual evaluation of its overall effectiveness, the Board considers the following with regard to its composition:</w:t>
      </w:r>
    </w:p>
    <w:p>
      <w:pPr>
        <w:sectPr>
          <w:pgSz w:w="11900" w:h="16838" w:orient="portrait"/>
          <w:cols w:equalWidth="0" w:num="1">
            <w:col w:w="11400"/>
          </w:cols>
          <w:pgMar w:left="240" w:top="121" w:right="259" w:bottom="1440" w:gutter="0" w:footer="0" w:header="0"/>
          <w:type w:val="continuous"/>
        </w:sectPr>
      </w:pPr>
    </w:p>
    <w:p>
      <w:pPr>
        <w:spacing w:after="0" w:line="223" w:lineRule="exact"/>
        <w:rPr>
          <w:sz w:val="20"/>
          <w:szCs w:val="20"/>
          <w:color w:val="auto"/>
        </w:rPr>
      </w:pPr>
    </w:p>
    <w:p>
      <w:pPr>
        <w:ind w:left="780" w:hanging="528"/>
        <w:spacing w:after="0"/>
        <w:tabs>
          <w:tab w:leader="none" w:pos="780" w:val="left"/>
        </w:tabs>
        <w:numPr>
          <w:ilvl w:val="0"/>
          <w:numId w:val="27"/>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719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719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146685</wp:posOffset>
            </wp:positionV>
            <wp:extent cx="195516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55165" cy="128905"/>
                    </a:xfrm>
                    <a:prstGeom prst="rect">
                      <a:avLst/>
                    </a:prstGeom>
                    <a:noFill/>
                  </pic:spPr>
                </pic:pic>
              </a:graphicData>
            </a:graphic>
          </wp:anchor>
        </w:drawing>
      </w:r>
    </w:p>
    <w:p>
      <w:pPr>
        <w:spacing w:after="0" w:line="221" w:lineRule="exact"/>
        <w:rPr>
          <w:sz w:val="20"/>
          <w:szCs w:val="20"/>
          <w:color w:val="auto"/>
        </w:rPr>
      </w:pPr>
    </w:p>
    <w:p>
      <w:pPr>
        <w:jc w:val="right"/>
        <w:ind w:right="140"/>
        <w:spacing w:after="0"/>
        <w:tabs>
          <w:tab w:leader="none" w:pos="1720" w:val="left"/>
        </w:tabs>
        <w:rPr>
          <w:sz w:val="20"/>
          <w:szCs w:val="20"/>
          <w:color w:val="auto"/>
        </w:rPr>
      </w:pPr>
      <w:r>
        <w:rPr>
          <w:rFonts w:ascii="Arial" w:cs="Arial" w:eastAsia="Arial" w:hAnsi="Arial"/>
          <w:sz w:val="14"/>
          <w:szCs w:val="14"/>
          <w:b w:val="1"/>
          <w:bCs w:val="1"/>
          <w:color w:val="FFFFFF"/>
        </w:rPr>
        <w:t>PROPOSAL 1</w:t>
      </w:r>
      <w:r>
        <w:rPr>
          <w:sz w:val="20"/>
          <w:szCs w:val="20"/>
          <w:color w:val="auto"/>
        </w:rPr>
        <w:tab/>
      </w:r>
      <w:r>
        <w:rPr>
          <w:rFonts w:ascii="Arial" w:cs="Arial" w:eastAsia="Arial" w:hAnsi="Arial"/>
          <w:sz w:val="12"/>
          <w:szCs w:val="12"/>
          <w:b w:val="1"/>
          <w:bCs w:val="1"/>
          <w:color w:val="0F94D8"/>
        </w:rPr>
        <w:t>ELECTION OF DIRECTORS</w:t>
      </w:r>
    </w:p>
    <w:p>
      <w:pPr>
        <w:sectPr>
          <w:pgSz w:w="11900" w:h="16838" w:orient="portrait"/>
          <w:cols w:equalWidth="0" w:num="1">
            <w:col w:w="11440"/>
          </w:cols>
          <w:pgMar w:left="240" w:top="121" w:right="219" w:bottom="1440" w:gutter="0" w:footer="0" w:header="0"/>
        </w:sectPr>
      </w:pPr>
    </w:p>
    <w:p>
      <w:pPr>
        <w:spacing w:after="0" w:line="278" w:lineRule="exact"/>
        <w:rPr>
          <w:sz w:val="20"/>
          <w:szCs w:val="20"/>
          <w:color w:val="auto"/>
        </w:rPr>
      </w:pPr>
    </w:p>
    <w:p>
      <w:pPr>
        <w:ind w:left="160"/>
        <w:spacing w:after="0" w:line="273" w:lineRule="auto"/>
        <w:rPr>
          <w:sz w:val="20"/>
          <w:szCs w:val="20"/>
          <w:color w:val="auto"/>
        </w:rPr>
      </w:pPr>
      <w:r>
        <w:rPr>
          <w:rFonts w:ascii="Arial" w:cs="Arial" w:eastAsia="Arial" w:hAnsi="Arial"/>
          <w:sz w:val="16"/>
          <w:szCs w:val="16"/>
          <w:color w:val="0E93D8"/>
        </w:rPr>
        <w:t>Does the Board reflect the diversity of experience, skills and perspectives that continuously enhance its ability to carry out its oversight role and need to effectively support UTC’s growth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8890" cy="10890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281" w:lineRule="auto"/>
        <w:rPr>
          <w:sz w:val="20"/>
          <w:szCs w:val="20"/>
          <w:color w:val="auto"/>
        </w:rPr>
      </w:pPr>
      <w:r>
        <w:rPr>
          <w:rFonts w:ascii="Arial" w:cs="Arial" w:eastAsia="Arial" w:hAnsi="Arial"/>
          <w:sz w:val="16"/>
          <w:szCs w:val="16"/>
          <w:color w:val="0E93D8"/>
        </w:rPr>
        <w:t>Based on these considerations, the Board adjusts the priority it gives to various director qualifications when identifying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-411480</wp:posOffset>
            </wp:positionV>
            <wp:extent cx="8890" cy="10890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FDB03F"/>
        </w:rPr>
        <w:t>Outcomes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-118745</wp:posOffset>
            </wp:positionV>
            <wp:extent cx="8890" cy="10890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089025"/>
                    </a:xfrm>
                    <a:prstGeom prst="rect">
                      <a:avLst/>
                    </a:prstGeom>
                    <a:noFill/>
                  </pic:spPr>
                </pic:pic>
              </a:graphicData>
            </a:graphic>
          </wp:anchor>
        </w:drawing>
      </w:r>
    </w:p>
    <w:p>
      <w:pPr>
        <w:spacing w:after="0" w:line="214" w:lineRule="exact"/>
        <w:rPr>
          <w:sz w:val="20"/>
          <w:szCs w:val="20"/>
          <w:color w:val="auto"/>
        </w:rPr>
      </w:pPr>
    </w:p>
    <w:p>
      <w:pPr>
        <w:ind w:left="240" w:hanging="238"/>
        <w:spacing w:after="0"/>
        <w:tabs>
          <w:tab w:leader="none" w:pos="240" w:val="left"/>
        </w:tabs>
        <w:numPr>
          <w:ilvl w:val="0"/>
          <w:numId w:val="28"/>
        </w:numPr>
        <w:rPr>
          <w:rFonts w:ascii="Arial" w:cs="Arial" w:eastAsia="Arial" w:hAnsi="Arial"/>
          <w:sz w:val="17"/>
          <w:szCs w:val="17"/>
          <w:color w:val="FDB03F"/>
        </w:rPr>
      </w:pPr>
      <w:r>
        <w:rPr>
          <w:rFonts w:ascii="Arial" w:cs="Arial" w:eastAsia="Arial" w:hAnsi="Arial"/>
          <w:sz w:val="18"/>
          <w:szCs w:val="18"/>
          <w:color w:val="0E93D8"/>
        </w:rPr>
        <w:t>Seven new independent directors</w:t>
      </w:r>
    </w:p>
    <w:p>
      <w:pPr>
        <w:spacing w:after="0" w:line="9" w:lineRule="exact"/>
        <w:rPr>
          <w:rFonts w:ascii="Arial" w:cs="Arial" w:eastAsia="Arial" w:hAnsi="Arial"/>
          <w:sz w:val="17"/>
          <w:szCs w:val="17"/>
          <w:color w:val="FDB03F"/>
        </w:rPr>
      </w:pPr>
    </w:p>
    <w:p>
      <w:pPr>
        <w:ind w:left="240" w:hanging="238"/>
        <w:spacing w:after="0"/>
        <w:tabs>
          <w:tab w:leader="none" w:pos="240" w:val="left"/>
        </w:tabs>
        <w:numPr>
          <w:ilvl w:val="0"/>
          <w:numId w:val="28"/>
        </w:numPr>
        <w:rPr>
          <w:rFonts w:ascii="Arial" w:cs="Arial" w:eastAsia="Arial" w:hAnsi="Arial"/>
          <w:sz w:val="17"/>
          <w:szCs w:val="17"/>
          <w:color w:val="FDB03F"/>
        </w:rPr>
      </w:pPr>
      <w:r>
        <w:rPr>
          <w:rFonts w:ascii="Arial" w:cs="Arial" w:eastAsia="Arial" w:hAnsi="Arial"/>
          <w:sz w:val="18"/>
          <w:szCs w:val="18"/>
          <w:color w:val="0E93D8"/>
        </w:rPr>
        <w:t>More diverse Board</w:t>
      </w:r>
    </w:p>
    <w:p>
      <w:pPr>
        <w:spacing w:after="0" w:line="9" w:lineRule="exact"/>
        <w:rPr>
          <w:rFonts w:ascii="Arial" w:cs="Arial" w:eastAsia="Arial" w:hAnsi="Arial"/>
          <w:sz w:val="17"/>
          <w:szCs w:val="17"/>
          <w:color w:val="FDB03F"/>
        </w:rPr>
      </w:pPr>
    </w:p>
    <w:p>
      <w:pPr>
        <w:ind w:left="240" w:hanging="238"/>
        <w:spacing w:after="0"/>
        <w:tabs>
          <w:tab w:leader="none" w:pos="240" w:val="left"/>
        </w:tabs>
        <w:numPr>
          <w:ilvl w:val="0"/>
          <w:numId w:val="28"/>
        </w:numPr>
        <w:rPr>
          <w:rFonts w:ascii="Arial" w:cs="Arial" w:eastAsia="Arial" w:hAnsi="Arial"/>
          <w:sz w:val="17"/>
          <w:szCs w:val="17"/>
          <w:color w:val="FDB03F"/>
        </w:rPr>
      </w:pPr>
      <w:r>
        <w:rPr>
          <w:rFonts w:ascii="Arial" w:cs="Arial" w:eastAsia="Arial" w:hAnsi="Arial"/>
          <w:sz w:val="18"/>
          <w:szCs w:val="18"/>
          <w:color w:val="0E93D8"/>
        </w:rPr>
        <w:t>Technology &amp; cyber expertise</w:t>
      </w:r>
    </w:p>
    <w:p>
      <w:pPr>
        <w:spacing w:after="0" w:line="9" w:lineRule="exact"/>
        <w:rPr>
          <w:rFonts w:ascii="Arial" w:cs="Arial" w:eastAsia="Arial" w:hAnsi="Arial"/>
          <w:sz w:val="17"/>
          <w:szCs w:val="17"/>
          <w:color w:val="FDB03F"/>
        </w:rPr>
      </w:pPr>
    </w:p>
    <w:p>
      <w:pPr>
        <w:ind w:left="240" w:hanging="238"/>
        <w:spacing w:after="0"/>
        <w:tabs>
          <w:tab w:leader="none" w:pos="240" w:val="left"/>
        </w:tabs>
        <w:numPr>
          <w:ilvl w:val="0"/>
          <w:numId w:val="28"/>
        </w:numPr>
        <w:rPr>
          <w:rFonts w:ascii="Arial" w:cs="Arial" w:eastAsia="Arial" w:hAnsi="Arial"/>
          <w:sz w:val="16"/>
          <w:szCs w:val="16"/>
          <w:color w:val="FDB03F"/>
        </w:rPr>
      </w:pPr>
      <w:r>
        <w:rPr>
          <w:rFonts w:ascii="Arial" w:cs="Arial" w:eastAsia="Arial" w:hAnsi="Arial"/>
          <w:sz w:val="16"/>
          <w:szCs w:val="16"/>
          <w:color w:val="0E93D8"/>
        </w:rPr>
        <w:t>Senior government &amp; military experience</w:t>
      </w:r>
    </w:p>
    <w:p>
      <w:pPr>
        <w:spacing w:after="0" w:line="32" w:lineRule="exact"/>
        <w:rPr>
          <w:rFonts w:ascii="Arial" w:cs="Arial" w:eastAsia="Arial" w:hAnsi="Arial"/>
          <w:sz w:val="16"/>
          <w:szCs w:val="16"/>
          <w:color w:val="FDB03F"/>
        </w:rPr>
      </w:pPr>
    </w:p>
    <w:p>
      <w:pPr>
        <w:ind w:left="240" w:hanging="238"/>
        <w:spacing w:after="0"/>
        <w:tabs>
          <w:tab w:leader="none" w:pos="240" w:val="left"/>
        </w:tabs>
        <w:numPr>
          <w:ilvl w:val="0"/>
          <w:numId w:val="28"/>
        </w:numPr>
        <w:rPr>
          <w:rFonts w:ascii="Arial" w:cs="Arial" w:eastAsia="Arial" w:hAnsi="Arial"/>
          <w:sz w:val="17"/>
          <w:szCs w:val="17"/>
          <w:color w:val="FDB03F"/>
        </w:rPr>
      </w:pPr>
      <w:r>
        <w:rPr>
          <w:rFonts w:ascii="Arial" w:cs="Arial" w:eastAsia="Arial" w:hAnsi="Arial"/>
          <w:sz w:val="18"/>
          <w:szCs w:val="18"/>
          <w:color w:val="0E93D8"/>
        </w:rPr>
        <w:t>Enhanced financial expertise</w:t>
      </w:r>
    </w:p>
    <w:p>
      <w:pPr>
        <w:spacing w:after="0" w:line="9" w:lineRule="exact"/>
        <w:rPr>
          <w:rFonts w:ascii="Arial" w:cs="Arial" w:eastAsia="Arial" w:hAnsi="Arial"/>
          <w:sz w:val="17"/>
          <w:szCs w:val="17"/>
          <w:color w:val="FDB03F"/>
        </w:rPr>
      </w:pPr>
    </w:p>
    <w:p>
      <w:pPr>
        <w:ind w:left="240" w:hanging="238"/>
        <w:spacing w:after="0"/>
        <w:tabs>
          <w:tab w:leader="none" w:pos="240" w:val="left"/>
        </w:tabs>
        <w:numPr>
          <w:ilvl w:val="0"/>
          <w:numId w:val="28"/>
        </w:numPr>
        <w:rPr>
          <w:rFonts w:ascii="Arial" w:cs="Arial" w:eastAsia="Arial" w:hAnsi="Arial"/>
          <w:sz w:val="17"/>
          <w:szCs w:val="17"/>
          <w:color w:val="FDB03F"/>
        </w:rPr>
      </w:pPr>
      <w:r>
        <w:rPr>
          <w:rFonts w:ascii="Arial" w:cs="Arial" w:eastAsia="Arial" w:hAnsi="Arial"/>
          <w:sz w:val="18"/>
          <w:szCs w:val="18"/>
          <w:color w:val="0E93D8"/>
        </w:rPr>
        <w:t>Industrial spin-off experience</w:t>
      </w:r>
    </w:p>
    <w:p>
      <w:pPr>
        <w:spacing w:after="0" w:line="200" w:lineRule="exact"/>
        <w:rPr>
          <w:sz w:val="20"/>
          <w:szCs w:val="20"/>
          <w:color w:val="auto"/>
        </w:rPr>
      </w:pPr>
    </w:p>
    <w:p>
      <w:pPr>
        <w:sectPr>
          <w:pgSz w:w="11900" w:h="16838" w:orient="portrait"/>
          <w:cols w:equalWidth="0" w:num="3">
            <w:col w:w="3520" w:space="440"/>
            <w:col w:w="3460" w:space="360"/>
            <w:col w:w="3660"/>
          </w:cols>
          <w:pgMar w:left="240" w:top="121" w:right="219" w:bottom="1440" w:gutter="0" w:footer="0" w:header="0"/>
          <w:type w:val="continuous"/>
        </w:sectPr>
      </w:pPr>
    </w:p>
    <w:p>
      <w:pPr>
        <w:spacing w:after="0" w:line="2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Governance Guidelines require that directors retire at the annual meeting after reaching age 72, unless the Board makes an exception to the policy in special circumstances. The Governance Guidelines and Bylaws, however, do not impose term limits because the Board believes that a director who serves for an extended period develops a deep understanding of the Company’s history, practices and strategy, and is therefore uniquely positioned to provide insight and perspective regarding UTC’s current operations and strategic direction. Nonetheless, the Board’s self-evaluation process, including individual director evaluations, contributes to the Governance Committee’s consideration of each incumbent’s skills and experience as part of the nomination and refreshment process.</w:t>
      </w:r>
    </w:p>
    <w:p>
      <w:pPr>
        <w:spacing w:after="0" w:line="21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Governance Committee considers candidates recommended by directors, Management and shareowners who meet the qualifications UTC seeks in its directors. A shareowner may recommend a director candidate by submitting a letter addressed to the UTC Corporate Secretary (see page 81 for contact information). The Governance Committee also may engage search firms to assist in identifying and evaluating qualified candidates and to ensure that the Committee is considering a larger and diverse pool of potential candidates.</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Nominees</w:t>
      </w:r>
    </w:p>
    <w:p>
      <w:pPr>
        <w:spacing w:after="0" w:line="2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Board, upon the recommendation of the Governance Committee, has nominated for election to the Board the thirteen individuals listed in this Proxy Statement. All are current directors of UTC and were elected by the shareowners at the 2018 Annual Meeting, except for Mr. Kearney and Ms. Ramos who joined the Board in December 2018.</w:t>
      </w:r>
    </w:p>
    <w:p>
      <w:pPr>
        <w:spacing w:after="0" w:line="20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Christine Todd Whitman is not standing for re-election. Having reached the mandatory retirement age in the Governance Guidelines, she will retire from the Board on April 29, 2019. Management and the directors extend their sincere appreciation to Governor Whitman for her years of dedicated service to UTC.</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Mr. Kearney and Ms. Ramos possess particularly relevant experience in light of UTC’s intention to separate into three independent companies, as discussed on page 1. Among other attributes, Mr. Kearney brings to the Board and its committees (Audit and Finance) skills and expertise in Senior Leadership, Risk Management/Oversight, and Knowledge of the Company/Industry (see pages 6-7 for descriptions of these skills). Moreover, Mr. Kearney served as Chairman, President &amp; CEO at the industrial company SPX Corporation. In that role, he led the company through a portfolio transformation resulting in the spin-off of SPX FLOW, where he served in a similar position until his recent retirement. Ms. Ramos brings to the Board and its committees (Audit and Compensation) skills and expertise in Senior Leadership, Technology and Innovation, and Knowledge of the Company/Industry, among other desired attributes. Ms. Ramos has served as the chief financial officer of two companies, including ITT Corporation, which, during her tenure as CFO, separated into three publicly traded companies. One of these companies was ITT Inc., a diversified manufacturer of industrial products where Ms. Ramos recently served as President &amp; CEO.</w:t>
      </w:r>
    </w:p>
    <w:p>
      <w:pPr>
        <w:spacing w:after="0" w:line="21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prior to the 2019 Annual Meeting, any nominee becomes unavailable to serve, the Board may select a replacement nominee or reduce the number of directors to be elected. If the Board selects a replacement nominee, the proxy holders will vote the shares for which they serve as proxy for that replacement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7886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FFFFFF"/>
        </w:rPr>
        <w:t>The Board of Directors recommends a vote</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FFFFFF"/>
        </w:rPr>
        <w:t>FOR each of the following nominees: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20" w:type="dxa"/>
            <w:vAlign w:val="bottom"/>
          </w:tcPr>
          <w:p>
            <w:pPr>
              <w:ind w:left="52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0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9</w:t>
            </w:r>
          </w:p>
        </w:tc>
        <w:tc>
          <w:tcPr>
            <w:tcW w:w="20" w:type="dxa"/>
            <w:vAlign w:val="bottom"/>
          </w:tcPr>
          <w:p>
            <w:pPr>
              <w:spacing w:after="0"/>
              <w:rPr>
                <w:sz w:val="21"/>
                <w:szCs w:val="21"/>
                <w:color w:val="auto"/>
              </w:rPr>
            </w:pPr>
          </w:p>
        </w:tc>
      </w:tr>
      <w:tr>
        <w:trPr>
          <w:trHeight w:val="361"/>
        </w:trPr>
        <w:tc>
          <w:tcPr>
            <w:tcW w:w="10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95516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55165" cy="128905"/>
                    </a:xfrm>
                    <a:prstGeom prst="rect">
                      <a:avLst/>
                    </a:prstGeom>
                    <a:noFill/>
                  </pic:spPr>
                </pic:pic>
              </a:graphicData>
            </a:graphic>
          </wp:anchor>
        </w:drawing>
      </w:r>
    </w:p>
    <w:p>
      <w:pPr>
        <w:spacing w:after="0" w:line="221"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0F94D8"/>
        </w:rPr>
        <w:t>PROPOSAL 1</w:t>
      </w:r>
      <w:r>
        <w:rPr>
          <w:sz w:val="20"/>
          <w:szCs w:val="20"/>
          <w:color w:val="auto"/>
        </w:rPr>
        <w:tab/>
      </w:r>
      <w:r>
        <w:rPr>
          <w:rFonts w:ascii="Arial" w:cs="Arial" w:eastAsia="Arial" w:hAnsi="Arial"/>
          <w:sz w:val="12"/>
          <w:szCs w:val="12"/>
          <w:b w:val="1"/>
          <w:bCs w:val="1"/>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640" w:hanging="252"/>
        <w:spacing w:after="0" w:line="234" w:lineRule="auto"/>
        <w:tabs>
          <w:tab w:leader="none" w:pos="260" w:val="left"/>
        </w:tabs>
        <w:numPr>
          <w:ilvl w:val="0"/>
          <w:numId w:val="29"/>
        </w:numPr>
        <w:rPr>
          <w:rFonts w:ascii="Arial" w:cs="Arial" w:eastAsia="Arial" w:hAnsi="Arial"/>
          <w:sz w:val="17"/>
          <w:szCs w:val="17"/>
          <w:color w:val="FDB03F"/>
        </w:rPr>
      </w:pPr>
      <w:r>
        <w:rPr>
          <w:rFonts w:ascii="Arial" w:cs="Arial" w:eastAsia="Arial" w:hAnsi="Arial"/>
          <w:sz w:val="18"/>
          <w:szCs w:val="18"/>
          <w:color w:val="auto"/>
        </w:rPr>
        <w:t>Commander, U.S. Central Command (military leadership), 2013-2016</w:t>
      </w:r>
    </w:p>
    <w:p>
      <w:pPr>
        <w:spacing w:after="0" w:line="1" w:lineRule="exact"/>
        <w:rPr>
          <w:rFonts w:ascii="Arial" w:cs="Arial" w:eastAsia="Arial" w:hAnsi="Arial"/>
          <w:sz w:val="17"/>
          <w:szCs w:val="17"/>
          <w:color w:val="FDB03F"/>
        </w:rPr>
      </w:pPr>
    </w:p>
    <w:p>
      <w:pPr>
        <w:ind w:left="260" w:hanging="252"/>
        <w:spacing w:after="0" w:line="234" w:lineRule="auto"/>
        <w:tabs>
          <w:tab w:leader="none" w:pos="260" w:val="left"/>
        </w:tabs>
        <w:numPr>
          <w:ilvl w:val="0"/>
          <w:numId w:val="29"/>
        </w:numPr>
        <w:rPr>
          <w:rFonts w:ascii="Arial" w:cs="Arial" w:eastAsia="Arial" w:hAnsi="Arial"/>
          <w:sz w:val="17"/>
          <w:szCs w:val="17"/>
          <w:color w:val="FDB03F"/>
        </w:rPr>
      </w:pPr>
      <w:r>
        <w:rPr>
          <w:rFonts w:ascii="Arial" w:cs="Arial" w:eastAsia="Arial" w:hAnsi="Arial"/>
          <w:sz w:val="18"/>
          <w:szCs w:val="18"/>
          <w:color w:val="auto"/>
        </w:rPr>
        <w:t>33rd Vice Chief of Staff of the U.S. Army, 2012-2013</w:t>
      </w:r>
    </w:p>
    <w:p>
      <w:pPr>
        <w:ind w:left="260" w:right="180" w:hanging="252"/>
        <w:spacing w:after="0" w:line="246" w:lineRule="auto"/>
        <w:tabs>
          <w:tab w:leader="none" w:pos="260" w:val="left"/>
        </w:tabs>
        <w:numPr>
          <w:ilvl w:val="0"/>
          <w:numId w:val="29"/>
        </w:numPr>
        <w:rPr>
          <w:rFonts w:ascii="Arial" w:cs="Arial" w:eastAsia="Arial" w:hAnsi="Arial"/>
          <w:sz w:val="17"/>
          <w:szCs w:val="17"/>
          <w:color w:val="FDB03F"/>
        </w:rPr>
      </w:pPr>
      <w:r>
        <w:rPr>
          <w:rFonts w:ascii="Arial" w:cs="Arial" w:eastAsia="Arial" w:hAnsi="Arial"/>
          <w:sz w:val="18"/>
          <w:szCs w:val="18"/>
          <w:color w:val="auto"/>
        </w:rPr>
        <w:t>Commander of United States Forces — Iraq, 2010-2011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Other Current Directorships:</w:t>
      </w:r>
    </w:p>
    <w:p>
      <w:pPr>
        <w:spacing w:after="0" w:line="36"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7"/>
          <w:szCs w:val="17"/>
          <w:color w:val="FDB03F"/>
        </w:rPr>
      </w:pPr>
      <w:r>
        <w:rPr>
          <w:rFonts w:ascii="Arial" w:cs="Arial" w:eastAsia="Arial" w:hAnsi="Arial"/>
          <w:sz w:val="18"/>
          <w:szCs w:val="18"/>
          <w:color w:val="auto"/>
        </w:rPr>
        <w:t>Nucor Corporation, since 2017</w:t>
      </w:r>
    </w:p>
    <w:p>
      <w:pPr>
        <w:ind w:left="260" w:hanging="252"/>
        <w:spacing w:after="0" w:line="234" w:lineRule="auto"/>
        <w:tabs>
          <w:tab w:leader="none" w:pos="260" w:val="left"/>
        </w:tabs>
        <w:numPr>
          <w:ilvl w:val="0"/>
          <w:numId w:val="30"/>
        </w:numPr>
        <w:rPr>
          <w:rFonts w:ascii="Arial" w:cs="Arial" w:eastAsia="Arial" w:hAnsi="Arial"/>
          <w:sz w:val="17"/>
          <w:szCs w:val="17"/>
          <w:color w:val="FDB03F"/>
        </w:rPr>
      </w:pPr>
      <w:r>
        <w:rPr>
          <w:rFonts w:ascii="Arial" w:cs="Arial" w:eastAsia="Arial" w:hAnsi="Arial"/>
          <w:sz w:val="18"/>
          <w:szCs w:val="18"/>
          <w:color w:val="auto"/>
        </w:rPr>
        <w:t>Tenet Healthcare Corporation, since 2018</w:t>
      </w:r>
    </w:p>
    <w:p>
      <w:pPr>
        <w:ind w:left="260" w:hanging="252"/>
        <w:spacing w:after="0"/>
        <w:tabs>
          <w:tab w:leader="none" w:pos="260" w:val="left"/>
        </w:tabs>
        <w:numPr>
          <w:ilvl w:val="0"/>
          <w:numId w:val="30"/>
        </w:numPr>
        <w:rPr>
          <w:rFonts w:ascii="Arial" w:cs="Arial" w:eastAsia="Arial" w:hAnsi="Arial"/>
          <w:sz w:val="17"/>
          <w:szCs w:val="17"/>
          <w:color w:val="FDB03F"/>
        </w:rPr>
      </w:pPr>
      <w:r>
        <w:rPr>
          <w:rFonts w:ascii="Arial" w:cs="Arial" w:eastAsia="Arial" w:hAnsi="Arial"/>
          <w:sz w:val="18"/>
          <w:szCs w:val="18"/>
          <w:color w:val="auto"/>
        </w:rPr>
        <w:t>Guest Services, Inc.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240" w:hanging="252"/>
        <w:spacing w:after="0" w:line="234" w:lineRule="auto"/>
        <w:tabs>
          <w:tab w:leader="none" w:pos="260" w:val="left"/>
        </w:tabs>
        <w:numPr>
          <w:ilvl w:val="0"/>
          <w:numId w:val="31"/>
        </w:numPr>
        <w:rPr>
          <w:rFonts w:ascii="Arial" w:cs="Arial" w:eastAsia="Arial" w:hAnsi="Arial"/>
          <w:sz w:val="17"/>
          <w:szCs w:val="17"/>
          <w:color w:val="FDB03F"/>
        </w:rPr>
      </w:pPr>
      <w:r>
        <w:rPr>
          <w:rFonts w:ascii="Arial" w:cs="Arial" w:eastAsia="Arial" w:hAnsi="Arial"/>
          <w:sz w:val="18"/>
          <w:szCs w:val="18"/>
          <w:color w:val="auto"/>
        </w:rPr>
        <w:t>Chief Operating Officer, Google Cloud (technology and innovation), 2017-2018</w:t>
      </w:r>
    </w:p>
    <w:p>
      <w:pPr>
        <w:spacing w:after="0" w:line="1" w:lineRule="exact"/>
        <w:rPr>
          <w:rFonts w:ascii="Arial" w:cs="Arial" w:eastAsia="Arial" w:hAnsi="Arial"/>
          <w:sz w:val="17"/>
          <w:szCs w:val="17"/>
          <w:color w:val="FDB03F"/>
        </w:rPr>
      </w:pPr>
    </w:p>
    <w:p>
      <w:pPr>
        <w:ind w:left="260" w:right="80" w:hanging="252"/>
        <w:spacing w:after="0" w:line="234" w:lineRule="auto"/>
        <w:tabs>
          <w:tab w:leader="none" w:pos="260" w:val="left"/>
        </w:tabs>
        <w:numPr>
          <w:ilvl w:val="0"/>
          <w:numId w:val="31"/>
        </w:numPr>
        <w:rPr>
          <w:rFonts w:ascii="Arial" w:cs="Arial" w:eastAsia="Arial" w:hAnsi="Arial"/>
          <w:sz w:val="17"/>
          <w:szCs w:val="17"/>
          <w:color w:val="FDB03F"/>
        </w:rPr>
      </w:pPr>
      <w:r>
        <w:rPr>
          <w:rFonts w:ascii="Arial" w:cs="Arial" w:eastAsia="Arial" w:hAnsi="Arial"/>
          <w:sz w:val="18"/>
          <w:szCs w:val="18"/>
          <w:color w:val="auto"/>
        </w:rPr>
        <w:t>Group President, Data Center Group, Intel Corporation (advanced technology, enterprise, cloud and communications infrastructure), 2017</w:t>
      </w:r>
    </w:p>
    <w:p>
      <w:pPr>
        <w:spacing w:after="0" w:line="2" w:lineRule="exact"/>
        <w:rPr>
          <w:rFonts w:ascii="Arial" w:cs="Arial" w:eastAsia="Arial" w:hAnsi="Arial"/>
          <w:sz w:val="17"/>
          <w:szCs w:val="17"/>
          <w:color w:val="FDB03F"/>
        </w:rPr>
      </w:pPr>
    </w:p>
    <w:p>
      <w:pPr>
        <w:ind w:left="260" w:hanging="252"/>
        <w:spacing w:after="0" w:line="234" w:lineRule="auto"/>
        <w:tabs>
          <w:tab w:leader="none" w:pos="260" w:val="left"/>
        </w:tabs>
        <w:numPr>
          <w:ilvl w:val="0"/>
          <w:numId w:val="31"/>
        </w:numPr>
        <w:rPr>
          <w:rFonts w:ascii="Arial" w:cs="Arial" w:eastAsia="Arial" w:hAnsi="Arial"/>
          <w:sz w:val="17"/>
          <w:szCs w:val="17"/>
          <w:color w:val="FDB03F"/>
        </w:rPr>
      </w:pPr>
      <w:r>
        <w:rPr>
          <w:rFonts w:ascii="Arial" w:cs="Arial" w:eastAsia="Arial" w:hAnsi="Arial"/>
          <w:sz w:val="18"/>
          <w:szCs w:val="18"/>
          <w:color w:val="auto"/>
        </w:rPr>
        <w:t>Executive Vice President and General Manager, Data Center Group, Intel Corporation, 2012-2017</w:t>
      </w:r>
    </w:p>
    <w:p>
      <w:pPr>
        <w:spacing w:after="0" w:line="1" w:lineRule="exact"/>
        <w:rPr>
          <w:rFonts w:ascii="Arial" w:cs="Arial" w:eastAsia="Arial" w:hAnsi="Arial"/>
          <w:sz w:val="17"/>
          <w:szCs w:val="17"/>
          <w:color w:val="FDB03F"/>
        </w:rPr>
      </w:pPr>
    </w:p>
    <w:p>
      <w:pPr>
        <w:ind w:left="260" w:right="480" w:hanging="252"/>
        <w:spacing w:after="0" w:line="275" w:lineRule="auto"/>
        <w:tabs>
          <w:tab w:leader="none" w:pos="260" w:val="left"/>
        </w:tabs>
        <w:numPr>
          <w:ilvl w:val="0"/>
          <w:numId w:val="31"/>
        </w:numPr>
        <w:rPr>
          <w:rFonts w:ascii="Arial" w:cs="Arial" w:eastAsia="Arial" w:hAnsi="Arial"/>
          <w:sz w:val="16"/>
          <w:szCs w:val="16"/>
          <w:color w:val="FDB03F"/>
        </w:rPr>
      </w:pPr>
      <w:r>
        <w:rPr>
          <w:rFonts w:ascii="Arial" w:cs="Arial" w:eastAsia="Arial" w:hAnsi="Arial"/>
          <w:sz w:val="17"/>
          <w:szCs w:val="17"/>
          <w:color w:val="auto"/>
        </w:rPr>
        <w:t>Corporate Vice President and Chief Information Officer, Intel Corporation, 2008-2012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Other Current Directorships:</w:t>
      </w:r>
    </w:p>
    <w:p>
      <w:pPr>
        <w:spacing w:after="0" w:line="54"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7"/>
          <w:szCs w:val="17"/>
          <w:color w:val="FDB03F"/>
        </w:rPr>
      </w:pPr>
      <w:r>
        <w:rPr>
          <w:rFonts w:ascii="Arial" w:cs="Arial" w:eastAsia="Arial" w:hAnsi="Arial"/>
          <w:sz w:val="18"/>
          <w:szCs w:val="18"/>
          <w:color w:val="auto"/>
        </w:rPr>
        <w:t>Broadcom Inc.,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-2065655</wp:posOffset>
            </wp:positionV>
            <wp:extent cx="6089015" cy="18783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89015" cy="1878330"/>
                    </a:xfrm>
                    <a:prstGeom prst="rect">
                      <a:avLst/>
                    </a:prstGeom>
                    <a:noFill/>
                  </pic:spPr>
                </pic:pic>
              </a:graphicData>
            </a:graphic>
          </wp:anchor>
        </w:drawing>
      </w:r>
    </w:p>
    <w:p>
      <w:pPr>
        <w:spacing w:after="0" w:line="34" w:lineRule="exact"/>
        <w:rPr>
          <w:sz w:val="20"/>
          <w:szCs w:val="20"/>
          <w:color w:val="auto"/>
        </w:rPr>
      </w:pPr>
    </w:p>
    <w:p>
      <w:pPr>
        <w:ind w:left="266" w:right="739" w:hanging="266"/>
        <w:spacing w:after="0" w:line="234" w:lineRule="auto"/>
        <w:tabs>
          <w:tab w:leader="none" w:pos="266" w:val="left"/>
        </w:tabs>
        <w:numPr>
          <w:ilvl w:val="0"/>
          <w:numId w:val="33"/>
        </w:numPr>
        <w:rPr>
          <w:rFonts w:ascii="Arial" w:cs="Arial" w:eastAsia="Arial" w:hAnsi="Arial"/>
          <w:sz w:val="17"/>
          <w:szCs w:val="17"/>
          <w:color w:val="FDB03F"/>
        </w:rPr>
      </w:pPr>
      <w:r>
        <w:rPr>
          <w:rFonts w:ascii="Arial" w:cs="Arial" w:eastAsia="Arial" w:hAnsi="Arial"/>
          <w:sz w:val="18"/>
          <w:szCs w:val="18"/>
          <w:color w:val="auto"/>
        </w:rPr>
        <w:t>Former Class of 1951 Leadership Chair for the Study of Leadership, U.S. Military Academy at West Point, 2016-2018</w:t>
      </w:r>
    </w:p>
    <w:p>
      <w:pPr>
        <w:spacing w:after="0" w:line="2" w:lineRule="exact"/>
        <w:rPr>
          <w:rFonts w:ascii="Arial" w:cs="Arial" w:eastAsia="Arial" w:hAnsi="Arial"/>
          <w:sz w:val="17"/>
          <w:szCs w:val="17"/>
          <w:color w:val="FDB03F"/>
        </w:rPr>
      </w:pPr>
    </w:p>
    <w:p>
      <w:pPr>
        <w:ind w:left="266" w:hanging="266"/>
        <w:spacing w:after="0" w:line="234" w:lineRule="auto"/>
        <w:tabs>
          <w:tab w:leader="none" w:pos="266" w:val="left"/>
        </w:tabs>
        <w:numPr>
          <w:ilvl w:val="0"/>
          <w:numId w:val="33"/>
        </w:numPr>
        <w:rPr>
          <w:rFonts w:ascii="Arial" w:cs="Arial" w:eastAsia="Arial" w:hAnsi="Arial"/>
          <w:sz w:val="17"/>
          <w:szCs w:val="17"/>
          <w:color w:val="FDB03F"/>
        </w:rPr>
      </w:pPr>
      <w:r>
        <w:rPr>
          <w:rFonts w:ascii="Arial" w:cs="Arial" w:eastAsia="Arial" w:hAnsi="Arial"/>
          <w:sz w:val="18"/>
          <w:szCs w:val="18"/>
          <w:color w:val="auto"/>
        </w:rPr>
        <w:t>Board of Trustees, Auburn University</w:t>
      </w:r>
    </w:p>
    <w:p>
      <w:pPr>
        <w:ind w:left="266" w:hanging="266"/>
        <w:spacing w:after="0"/>
        <w:tabs>
          <w:tab w:leader="none" w:pos="266" w:val="left"/>
        </w:tabs>
        <w:numPr>
          <w:ilvl w:val="0"/>
          <w:numId w:val="33"/>
        </w:numPr>
        <w:rPr>
          <w:rFonts w:ascii="Arial" w:cs="Arial" w:eastAsia="Arial" w:hAnsi="Arial"/>
          <w:sz w:val="16"/>
          <w:szCs w:val="16"/>
          <w:color w:val="FDB03F"/>
        </w:rPr>
      </w:pPr>
      <w:r>
        <w:rPr>
          <w:rFonts w:ascii="Arial" w:cs="Arial" w:eastAsia="Arial" w:hAnsi="Arial"/>
          <w:sz w:val="17"/>
          <w:szCs w:val="17"/>
          <w:color w:val="auto"/>
        </w:rPr>
        <w:t>Board of Trustees, Carnegie Corporation of New York</w:t>
      </w:r>
    </w:p>
    <w:p>
      <w:pPr>
        <w:spacing w:after="0" w:line="7" w:lineRule="exact"/>
        <w:rPr>
          <w:rFonts w:ascii="Arial" w:cs="Arial" w:eastAsia="Arial" w:hAnsi="Arial"/>
          <w:sz w:val="16"/>
          <w:szCs w:val="16"/>
          <w:color w:val="FDB03F"/>
        </w:rPr>
      </w:pPr>
    </w:p>
    <w:p>
      <w:pPr>
        <w:ind w:left="266" w:hanging="266"/>
        <w:spacing w:after="0"/>
        <w:tabs>
          <w:tab w:leader="none" w:pos="266" w:val="left"/>
        </w:tabs>
        <w:numPr>
          <w:ilvl w:val="0"/>
          <w:numId w:val="33"/>
        </w:numPr>
        <w:rPr>
          <w:rFonts w:ascii="Arial" w:cs="Arial" w:eastAsia="Arial" w:hAnsi="Arial"/>
          <w:sz w:val="17"/>
          <w:szCs w:val="17"/>
          <w:color w:val="FDB03F"/>
        </w:rPr>
      </w:pPr>
      <w:r>
        <w:rPr>
          <w:rFonts w:ascii="Arial" w:cs="Arial" w:eastAsia="Arial" w:hAnsi="Arial"/>
          <w:sz w:val="18"/>
          <w:szCs w:val="18"/>
          <w:color w:val="auto"/>
        </w:rPr>
        <w:t>Council on Foreign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623570</wp:posOffset>
            </wp:positionV>
            <wp:extent cx="6089015" cy="19037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8901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54" w:lineRule="exact"/>
        <w:rPr>
          <w:sz w:val="20"/>
          <w:szCs w:val="20"/>
          <w:color w:val="auto"/>
        </w:rPr>
      </w:pPr>
    </w:p>
    <w:p>
      <w:pPr>
        <w:ind w:left="266" w:right="1419" w:hanging="266"/>
        <w:spacing w:after="0" w:line="234" w:lineRule="auto"/>
        <w:tabs>
          <w:tab w:leader="none" w:pos="266" w:val="left"/>
        </w:tabs>
        <w:numPr>
          <w:ilvl w:val="0"/>
          <w:numId w:val="34"/>
        </w:numPr>
        <w:rPr>
          <w:rFonts w:ascii="Arial" w:cs="Arial" w:eastAsia="Arial" w:hAnsi="Arial"/>
          <w:sz w:val="17"/>
          <w:szCs w:val="17"/>
          <w:color w:val="FDB03F"/>
        </w:rPr>
      </w:pPr>
      <w:r>
        <w:rPr>
          <w:rFonts w:ascii="Arial" w:cs="Arial" w:eastAsia="Arial" w:hAnsi="Arial"/>
          <w:sz w:val="18"/>
          <w:szCs w:val="18"/>
          <w:color w:val="auto"/>
        </w:rPr>
        <w:t>Chancellor’s Board of Advisors, University of California-Davis</w:t>
      </w:r>
    </w:p>
    <w:p>
      <w:pPr>
        <w:spacing w:after="0" w:line="1" w:lineRule="exact"/>
        <w:rPr>
          <w:rFonts w:ascii="Arial" w:cs="Arial" w:eastAsia="Arial" w:hAnsi="Arial"/>
          <w:sz w:val="17"/>
          <w:szCs w:val="17"/>
          <w:color w:val="FDB03F"/>
        </w:rPr>
      </w:pPr>
    </w:p>
    <w:p>
      <w:pPr>
        <w:ind w:left="266" w:right="699" w:hanging="266"/>
        <w:spacing w:after="0" w:line="234" w:lineRule="auto"/>
        <w:tabs>
          <w:tab w:leader="none" w:pos="266" w:val="left"/>
        </w:tabs>
        <w:numPr>
          <w:ilvl w:val="0"/>
          <w:numId w:val="34"/>
        </w:numPr>
        <w:rPr>
          <w:rFonts w:ascii="Arial" w:cs="Arial" w:eastAsia="Arial" w:hAnsi="Arial"/>
          <w:sz w:val="17"/>
          <w:szCs w:val="17"/>
          <w:color w:val="FDB03F"/>
        </w:rPr>
      </w:pPr>
      <w:r>
        <w:rPr>
          <w:rFonts w:ascii="Arial" w:cs="Arial" w:eastAsia="Arial" w:hAnsi="Arial"/>
          <w:sz w:val="18"/>
          <w:szCs w:val="18"/>
          <w:color w:val="auto"/>
        </w:rPr>
        <w:t>Dean’s Executive Committee, University of California-Davis College of Engineering</w:t>
      </w:r>
    </w:p>
    <w:p>
      <w:pPr>
        <w:spacing w:after="0" w:line="1" w:lineRule="exact"/>
        <w:rPr>
          <w:rFonts w:ascii="Arial" w:cs="Arial" w:eastAsia="Arial" w:hAnsi="Arial"/>
          <w:sz w:val="17"/>
          <w:szCs w:val="17"/>
          <w:color w:val="FDB03F"/>
        </w:rPr>
      </w:pPr>
    </w:p>
    <w:p>
      <w:pPr>
        <w:ind w:left="266" w:right="879" w:hanging="266"/>
        <w:spacing w:after="0" w:line="234" w:lineRule="auto"/>
        <w:tabs>
          <w:tab w:leader="none" w:pos="266" w:val="left"/>
        </w:tabs>
        <w:numPr>
          <w:ilvl w:val="0"/>
          <w:numId w:val="34"/>
        </w:numPr>
        <w:rPr>
          <w:rFonts w:ascii="Arial" w:cs="Arial" w:eastAsia="Arial" w:hAnsi="Arial"/>
          <w:sz w:val="17"/>
          <w:szCs w:val="17"/>
          <w:color w:val="FDB03F"/>
        </w:rPr>
      </w:pPr>
      <w:r>
        <w:rPr>
          <w:rFonts w:ascii="Arial" w:cs="Arial" w:eastAsia="Arial" w:hAnsi="Arial"/>
          <w:sz w:val="18"/>
          <w:szCs w:val="18"/>
          <w:color w:val="auto"/>
        </w:rPr>
        <w:t>Former Executive Sponsor, Network of Intel African American Employees</w:t>
      </w:r>
    </w:p>
    <w:p>
      <w:pPr>
        <w:spacing w:after="0" w:line="1" w:lineRule="exact"/>
        <w:rPr>
          <w:rFonts w:ascii="Arial" w:cs="Arial" w:eastAsia="Arial" w:hAnsi="Arial"/>
          <w:sz w:val="17"/>
          <w:szCs w:val="17"/>
          <w:color w:val="FDB03F"/>
        </w:rPr>
      </w:pPr>
    </w:p>
    <w:p>
      <w:pPr>
        <w:ind w:left="266" w:hanging="266"/>
        <w:spacing w:after="0"/>
        <w:tabs>
          <w:tab w:leader="none" w:pos="266" w:val="left"/>
        </w:tabs>
        <w:numPr>
          <w:ilvl w:val="0"/>
          <w:numId w:val="34"/>
        </w:numPr>
        <w:rPr>
          <w:rFonts w:ascii="Arial" w:cs="Arial" w:eastAsia="Arial" w:hAnsi="Arial"/>
          <w:sz w:val="16"/>
          <w:szCs w:val="16"/>
          <w:color w:val="FDB03F"/>
        </w:rPr>
      </w:pPr>
      <w:r>
        <w:rPr>
          <w:rFonts w:ascii="Arial" w:cs="Arial" w:eastAsia="Arial" w:hAnsi="Arial"/>
          <w:sz w:val="17"/>
          <w:szCs w:val="17"/>
          <w:color w:val="auto"/>
        </w:rPr>
        <w:t>Former Member, Anita Borg Institute Technical Board</w:t>
      </w:r>
    </w:p>
    <w:p>
      <w:pPr>
        <w:spacing w:after="0" w:line="7" w:lineRule="exact"/>
        <w:rPr>
          <w:rFonts w:ascii="Arial" w:cs="Arial" w:eastAsia="Arial" w:hAnsi="Arial"/>
          <w:sz w:val="16"/>
          <w:szCs w:val="16"/>
          <w:color w:val="FDB03F"/>
        </w:rPr>
      </w:pPr>
    </w:p>
    <w:p>
      <w:pPr>
        <w:ind w:left="266" w:right="699" w:hanging="266"/>
        <w:spacing w:after="0"/>
        <w:tabs>
          <w:tab w:leader="none" w:pos="266" w:val="left"/>
        </w:tabs>
        <w:numPr>
          <w:ilvl w:val="0"/>
          <w:numId w:val="34"/>
        </w:numPr>
        <w:rPr>
          <w:rFonts w:ascii="Arial" w:cs="Arial" w:eastAsia="Arial" w:hAnsi="Arial"/>
          <w:sz w:val="17"/>
          <w:szCs w:val="17"/>
          <w:color w:val="FDB03F"/>
        </w:rPr>
      </w:pPr>
      <w:r>
        <w:rPr>
          <w:rFonts w:ascii="Arial" w:cs="Arial" w:eastAsia="Arial" w:hAnsi="Arial"/>
          <w:sz w:val="18"/>
          <w:szCs w:val="18"/>
          <w:color w:val="auto"/>
        </w:rPr>
        <w:t>Established Diane Bryant Endowed Scholarship Fund for Diversity in Engineering at the University of California-Davis</w:t>
      </w:r>
    </w:p>
    <w:p>
      <w:pPr>
        <w:spacing w:after="0" w:line="542" w:lineRule="exact"/>
        <w:rPr>
          <w:sz w:val="20"/>
          <w:szCs w:val="20"/>
          <w:color w:val="auto"/>
        </w:rPr>
      </w:pPr>
    </w:p>
    <w:p>
      <w:pPr>
        <w:sectPr>
          <w:pgSz w:w="11900" w:h="16838" w:orient="portrait"/>
          <w:cols w:equalWidth="0" w:num="2">
            <w:col w:w="4520" w:space="474"/>
            <w:col w:w="5225"/>
          </w:cols>
          <w:pgMar w:left="240" w:top="121" w:right="1440" w:bottom="1440" w:gutter="0" w:footer="0" w:header="0"/>
        </w:sectPr>
      </w:pPr>
    </w:p>
    <w:p>
      <w:pPr>
        <w:spacing w:after="0" w:line="58" w:lineRule="exact"/>
        <w:rPr>
          <w:sz w:val="20"/>
          <w:szCs w:val="20"/>
          <w:color w:val="auto"/>
        </w:rPr>
      </w:pPr>
    </w:p>
    <w:p>
      <w:pPr>
        <w:ind w:left="880" w:hanging="628"/>
        <w:spacing w:after="0"/>
        <w:tabs>
          <w:tab w:leader="none" w:pos="880" w:val="left"/>
        </w:tabs>
        <w:numPr>
          <w:ilvl w:val="0"/>
          <w:numId w:val="35"/>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hanging="252"/>
        <w:spacing w:after="0" w:line="234" w:lineRule="auto"/>
        <w:tabs>
          <w:tab w:leader="none" w:pos="260" w:val="left"/>
        </w:tabs>
        <w:numPr>
          <w:ilvl w:val="0"/>
          <w:numId w:val="36"/>
        </w:numPr>
        <w:rPr>
          <w:rFonts w:ascii="Arial" w:cs="Arial" w:eastAsia="Arial" w:hAnsi="Arial"/>
          <w:sz w:val="17"/>
          <w:szCs w:val="17"/>
          <w:color w:val="FDB03F"/>
        </w:rPr>
      </w:pPr>
      <w:r>
        <w:rPr>
          <w:rFonts w:ascii="Arial" w:cs="Arial" w:eastAsia="Arial" w:hAnsi="Arial"/>
          <w:sz w:val="18"/>
          <w:szCs w:val="18"/>
          <w:color w:val="auto"/>
        </w:rPr>
        <w:t>Operating Partner, Advent International (global private equity), since 2016</w:t>
      </w:r>
    </w:p>
    <w:p>
      <w:pPr>
        <w:spacing w:after="0" w:line="1" w:lineRule="exact"/>
        <w:rPr>
          <w:rFonts w:ascii="Arial" w:cs="Arial" w:eastAsia="Arial" w:hAnsi="Arial"/>
          <w:sz w:val="17"/>
          <w:szCs w:val="17"/>
          <w:color w:val="FDB03F"/>
        </w:rPr>
      </w:pPr>
    </w:p>
    <w:p>
      <w:pPr>
        <w:ind w:left="260" w:right="40" w:hanging="252"/>
        <w:spacing w:after="0" w:line="248" w:lineRule="auto"/>
        <w:tabs>
          <w:tab w:leader="none" w:pos="260" w:val="left"/>
        </w:tabs>
        <w:numPr>
          <w:ilvl w:val="0"/>
          <w:numId w:val="36"/>
        </w:numPr>
        <w:rPr>
          <w:rFonts w:ascii="Arial" w:cs="Arial" w:eastAsia="Arial" w:hAnsi="Arial"/>
          <w:sz w:val="16"/>
          <w:szCs w:val="16"/>
          <w:color w:val="FDB03F"/>
        </w:rPr>
      </w:pPr>
      <w:r>
        <w:rPr>
          <w:rFonts w:ascii="Arial" w:cs="Arial" w:eastAsia="Arial" w:hAnsi="Arial"/>
          <w:sz w:val="17"/>
          <w:szCs w:val="17"/>
          <w:color w:val="auto"/>
        </w:rPr>
        <w:t>Chairman &amp; Chief Executive Officer, International Paper (paper, packaging and distribution), 2003-2014</w:t>
      </w:r>
    </w:p>
    <w:p>
      <w:pPr>
        <w:spacing w:after="0" w:line="1" w:lineRule="exact"/>
        <w:rPr>
          <w:rFonts w:ascii="Arial" w:cs="Arial" w:eastAsia="Arial" w:hAnsi="Arial"/>
          <w:sz w:val="16"/>
          <w:szCs w:val="16"/>
          <w:color w:val="FDB03F"/>
        </w:rPr>
      </w:pPr>
    </w:p>
    <w:p>
      <w:pPr>
        <w:ind w:left="260" w:right="100" w:hanging="252"/>
        <w:spacing w:after="0" w:line="234" w:lineRule="auto"/>
        <w:tabs>
          <w:tab w:leader="none" w:pos="260" w:val="left"/>
        </w:tabs>
        <w:numPr>
          <w:ilvl w:val="0"/>
          <w:numId w:val="36"/>
        </w:numPr>
        <w:rPr>
          <w:rFonts w:ascii="Arial" w:cs="Arial" w:eastAsia="Arial" w:hAnsi="Arial"/>
          <w:sz w:val="17"/>
          <w:szCs w:val="17"/>
          <w:color w:val="FDB03F"/>
        </w:rPr>
      </w:pPr>
      <w:r>
        <w:rPr>
          <w:rFonts w:ascii="Arial" w:cs="Arial" w:eastAsia="Arial" w:hAnsi="Arial"/>
          <w:sz w:val="18"/>
          <w:szCs w:val="18"/>
          <w:color w:val="auto"/>
        </w:rPr>
        <w:t>Executive Vice President and Chief Financial Officer, International Paper, 2000-2003</w:t>
      </w:r>
    </w:p>
    <w:p>
      <w:pPr>
        <w:spacing w:after="0" w:line="1" w:lineRule="exact"/>
        <w:rPr>
          <w:rFonts w:ascii="Arial" w:cs="Arial" w:eastAsia="Arial" w:hAnsi="Arial"/>
          <w:sz w:val="17"/>
          <w:szCs w:val="17"/>
          <w:color w:val="FDB03F"/>
        </w:rPr>
      </w:pPr>
    </w:p>
    <w:p>
      <w:pPr>
        <w:ind w:left="260" w:hanging="252"/>
        <w:spacing w:after="0"/>
        <w:tabs>
          <w:tab w:leader="none" w:pos="260" w:val="left"/>
        </w:tabs>
        <w:numPr>
          <w:ilvl w:val="0"/>
          <w:numId w:val="36"/>
        </w:numPr>
        <w:rPr>
          <w:rFonts w:ascii="Arial" w:cs="Arial" w:eastAsia="Arial" w:hAnsi="Arial"/>
          <w:sz w:val="17"/>
          <w:szCs w:val="17"/>
          <w:color w:val="FDB03F"/>
        </w:rPr>
      </w:pPr>
      <w:r>
        <w:rPr>
          <w:rFonts w:ascii="Arial" w:cs="Arial" w:eastAsia="Arial" w:hAnsi="Arial"/>
          <w:sz w:val="18"/>
          <w:szCs w:val="18"/>
          <w:color w:val="auto"/>
        </w:rPr>
        <w:t>Chief Executive Officer and Managing Director, Carter Holt Harvey, Ltd. (former New Zealand subsidiary of International Paper), 1995-1999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right"/>
        <w:ind w:right="120"/>
        <w:spacing w:after="0"/>
        <w:tabs>
          <w:tab w:leader="none" w:pos="1840" w:val="left"/>
        </w:tabs>
        <w:rPr>
          <w:sz w:val="20"/>
          <w:szCs w:val="20"/>
          <w:color w:val="auto"/>
        </w:rPr>
      </w:pPr>
      <w:r>
        <w:rPr>
          <w:rFonts w:ascii="Arial" w:cs="Arial" w:eastAsia="Arial" w:hAnsi="Arial"/>
          <w:sz w:val="14"/>
          <w:szCs w:val="14"/>
          <w:b w:val="1"/>
          <w:bCs w:val="1"/>
          <w:color w:val="FFFFFF"/>
        </w:rPr>
        <w:t>PROPOSAL 1</w:t>
      </w:r>
      <w:r>
        <w:rPr>
          <w:sz w:val="20"/>
          <w:szCs w:val="20"/>
          <w:color w:val="auto"/>
        </w:rPr>
        <w:tab/>
      </w:r>
      <w:r>
        <w:rPr>
          <w:rFonts w:ascii="Arial" w:cs="Arial" w:eastAsia="Arial" w:hAnsi="Arial"/>
          <w:sz w:val="12"/>
          <w:szCs w:val="12"/>
          <w:b w:val="1"/>
          <w:bCs w:val="1"/>
          <w:color w:val="0F94D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-107950</wp:posOffset>
            </wp:positionV>
            <wp:extent cx="7246620" cy="2186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50" w:lineRule="exact"/>
        <w:rPr>
          <w:sz w:val="20"/>
          <w:szCs w:val="20"/>
          <w:color w:val="auto"/>
        </w:rPr>
      </w:pPr>
    </w:p>
    <w:p>
      <w:pPr>
        <w:ind w:left="266" w:hanging="266"/>
        <w:spacing w:after="0"/>
        <w:tabs>
          <w:tab w:leader="none" w:pos="266" w:val="left"/>
        </w:tabs>
        <w:numPr>
          <w:ilvl w:val="0"/>
          <w:numId w:val="37"/>
        </w:numPr>
        <w:rPr>
          <w:rFonts w:ascii="Arial" w:cs="Arial" w:eastAsia="Arial" w:hAnsi="Arial"/>
          <w:sz w:val="17"/>
          <w:szCs w:val="17"/>
          <w:color w:val="FDB03F"/>
        </w:rPr>
      </w:pPr>
      <w:r>
        <w:rPr>
          <w:rFonts w:ascii="Arial" w:cs="Arial" w:eastAsia="Arial" w:hAnsi="Arial"/>
          <w:sz w:val="18"/>
          <w:szCs w:val="18"/>
          <w:color w:val="auto"/>
        </w:rPr>
        <w:t>ConocoPhillips Company, since 2015</w:t>
      </w:r>
    </w:p>
    <w:p>
      <w:pPr>
        <w:ind w:left="266" w:hanging="266"/>
        <w:spacing w:after="0"/>
        <w:tabs>
          <w:tab w:leader="none" w:pos="266" w:val="left"/>
        </w:tabs>
        <w:numPr>
          <w:ilvl w:val="0"/>
          <w:numId w:val="37"/>
        </w:numPr>
        <w:rPr>
          <w:rFonts w:ascii="Arial" w:cs="Arial" w:eastAsia="Arial" w:hAnsi="Arial"/>
          <w:sz w:val="17"/>
          <w:szCs w:val="17"/>
          <w:color w:val="FDB03F"/>
        </w:rPr>
      </w:pPr>
      <w:r>
        <w:rPr>
          <w:rFonts w:ascii="Arial" w:cs="Arial" w:eastAsia="Arial" w:hAnsi="Arial"/>
          <w:sz w:val="18"/>
          <w:szCs w:val="18"/>
          <w:color w:val="auto"/>
        </w:rPr>
        <w:t>PPG Industries, Inc., since 2012</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36" w:lineRule="exact"/>
        <w:rPr>
          <w:sz w:val="20"/>
          <w:szCs w:val="20"/>
          <w:color w:val="auto"/>
        </w:rPr>
      </w:pPr>
    </w:p>
    <w:p>
      <w:pPr>
        <w:ind w:left="266" w:hanging="266"/>
        <w:spacing w:after="0"/>
        <w:tabs>
          <w:tab w:leader="none" w:pos="266" w:val="left"/>
        </w:tabs>
        <w:numPr>
          <w:ilvl w:val="0"/>
          <w:numId w:val="38"/>
        </w:numPr>
        <w:rPr>
          <w:rFonts w:ascii="Arial" w:cs="Arial" w:eastAsia="Arial" w:hAnsi="Arial"/>
          <w:sz w:val="17"/>
          <w:szCs w:val="17"/>
          <w:color w:val="FDB03F"/>
        </w:rPr>
      </w:pPr>
      <w:r>
        <w:rPr>
          <w:rFonts w:ascii="Arial" w:cs="Arial" w:eastAsia="Arial" w:hAnsi="Arial"/>
          <w:sz w:val="18"/>
          <w:szCs w:val="18"/>
          <w:color w:val="auto"/>
        </w:rPr>
        <w:t>Board of Trustees, American Enterprise Institute</w:t>
      </w:r>
    </w:p>
    <w:p>
      <w:pPr>
        <w:ind w:left="266" w:hanging="266"/>
        <w:spacing w:after="0" w:line="234" w:lineRule="auto"/>
        <w:tabs>
          <w:tab w:leader="none" w:pos="266" w:val="left"/>
        </w:tabs>
        <w:numPr>
          <w:ilvl w:val="0"/>
          <w:numId w:val="38"/>
        </w:numPr>
        <w:rPr>
          <w:rFonts w:ascii="Arial" w:cs="Arial" w:eastAsia="Arial" w:hAnsi="Arial"/>
          <w:sz w:val="17"/>
          <w:szCs w:val="17"/>
          <w:color w:val="FDB03F"/>
        </w:rPr>
      </w:pPr>
      <w:r>
        <w:rPr>
          <w:rFonts w:ascii="Arial" w:cs="Arial" w:eastAsia="Arial" w:hAnsi="Arial"/>
          <w:sz w:val="18"/>
          <w:szCs w:val="18"/>
          <w:color w:val="auto"/>
        </w:rPr>
        <w:t>Council on Foreign Relations</w:t>
      </w:r>
    </w:p>
    <w:p>
      <w:pPr>
        <w:ind w:left="266" w:hanging="266"/>
        <w:spacing w:after="0" w:line="234" w:lineRule="auto"/>
        <w:tabs>
          <w:tab w:leader="none" w:pos="266" w:val="left"/>
        </w:tabs>
        <w:numPr>
          <w:ilvl w:val="0"/>
          <w:numId w:val="38"/>
        </w:numPr>
        <w:rPr>
          <w:rFonts w:ascii="Arial" w:cs="Arial" w:eastAsia="Arial" w:hAnsi="Arial"/>
          <w:sz w:val="17"/>
          <w:szCs w:val="17"/>
          <w:color w:val="FDB03F"/>
        </w:rPr>
      </w:pPr>
      <w:r>
        <w:rPr>
          <w:rFonts w:ascii="Arial" w:cs="Arial" w:eastAsia="Arial" w:hAnsi="Arial"/>
          <w:sz w:val="18"/>
          <w:szCs w:val="18"/>
          <w:color w:val="auto"/>
        </w:rPr>
        <w:t>Chairman, Board of Trustees, Denison University</w:t>
      </w:r>
    </w:p>
    <w:p>
      <w:pPr>
        <w:ind w:left="266" w:right="2580" w:hanging="266"/>
        <w:spacing w:after="0" w:line="234" w:lineRule="auto"/>
        <w:tabs>
          <w:tab w:leader="none" w:pos="266" w:val="left"/>
        </w:tabs>
        <w:numPr>
          <w:ilvl w:val="0"/>
          <w:numId w:val="38"/>
        </w:numPr>
        <w:rPr>
          <w:rFonts w:ascii="Arial" w:cs="Arial" w:eastAsia="Arial" w:hAnsi="Arial"/>
          <w:sz w:val="17"/>
          <w:szCs w:val="17"/>
          <w:color w:val="FDB03F"/>
        </w:rPr>
      </w:pPr>
      <w:r>
        <w:rPr>
          <w:rFonts w:ascii="Arial" w:cs="Arial" w:eastAsia="Arial" w:hAnsi="Arial"/>
          <w:sz w:val="18"/>
          <w:szCs w:val="18"/>
          <w:color w:val="auto"/>
        </w:rPr>
        <w:t>Board of Directors, National Fish and Wildlife Foundation</w:t>
      </w:r>
    </w:p>
    <w:p>
      <w:pPr>
        <w:spacing w:after="0" w:line="1" w:lineRule="exact"/>
        <w:rPr>
          <w:rFonts w:ascii="Arial" w:cs="Arial" w:eastAsia="Arial" w:hAnsi="Arial"/>
          <w:sz w:val="17"/>
          <w:szCs w:val="17"/>
          <w:color w:val="FDB03F"/>
        </w:rPr>
      </w:pPr>
    </w:p>
    <w:p>
      <w:pPr>
        <w:ind w:left="266" w:hanging="266"/>
        <w:spacing w:after="0"/>
        <w:tabs>
          <w:tab w:leader="none" w:pos="266" w:val="left"/>
        </w:tabs>
        <w:numPr>
          <w:ilvl w:val="0"/>
          <w:numId w:val="38"/>
        </w:numPr>
        <w:rPr>
          <w:rFonts w:ascii="Arial" w:cs="Arial" w:eastAsia="Arial" w:hAnsi="Arial"/>
          <w:sz w:val="17"/>
          <w:szCs w:val="17"/>
          <w:color w:val="FDB03F"/>
        </w:rPr>
      </w:pPr>
      <w:r>
        <w:rPr>
          <w:rFonts w:ascii="Arial" w:cs="Arial" w:eastAsia="Arial" w:hAnsi="Arial"/>
          <w:sz w:val="18"/>
          <w:szCs w:val="18"/>
          <w:color w:val="auto"/>
        </w:rPr>
        <w:t>Advisory Board, Royal Bank of Canada</w:t>
      </w:r>
    </w:p>
    <w:p>
      <w:pPr>
        <w:spacing w:after="0" w:line="240" w:lineRule="exact"/>
        <w:rPr>
          <w:sz w:val="20"/>
          <w:szCs w:val="20"/>
          <w:color w:val="auto"/>
        </w:rPr>
      </w:pPr>
    </w:p>
    <w:tbl>
      <w:tblPr>
        <w:tblLayout w:type="fixed"/>
        <w:tblInd w:w="166"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220980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560" w:space="434"/>
            <w:col w:w="6426"/>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95516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55165" cy="128905"/>
                    </a:xfrm>
                    <a:prstGeom prst="rect">
                      <a:avLst/>
                    </a:prstGeom>
                    <a:noFill/>
                  </pic:spPr>
                </pic:pic>
              </a:graphicData>
            </a:graphic>
          </wp:anchor>
        </w:drawing>
      </w:r>
    </w:p>
    <w:p>
      <w:pPr>
        <w:spacing w:after="0" w:line="221"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0F94D8"/>
        </w:rPr>
        <w:t>PROPOSAL 1</w:t>
      </w:r>
      <w:r>
        <w:rPr>
          <w:sz w:val="20"/>
          <w:szCs w:val="20"/>
          <w:color w:val="auto"/>
        </w:rPr>
        <w:tab/>
      </w:r>
      <w:r>
        <w:rPr>
          <w:rFonts w:ascii="Arial" w:cs="Arial" w:eastAsia="Arial" w:hAnsi="Arial"/>
          <w:sz w:val="12"/>
          <w:szCs w:val="12"/>
          <w:b w:val="1"/>
          <w:bCs w:val="1"/>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220" w:hanging="252"/>
        <w:spacing w:after="0" w:line="234" w:lineRule="auto"/>
        <w:tabs>
          <w:tab w:leader="none" w:pos="260" w:val="left"/>
        </w:tabs>
        <w:numPr>
          <w:ilvl w:val="0"/>
          <w:numId w:val="39"/>
        </w:numPr>
        <w:rPr>
          <w:rFonts w:ascii="Arial" w:cs="Arial" w:eastAsia="Arial" w:hAnsi="Arial"/>
          <w:sz w:val="17"/>
          <w:szCs w:val="17"/>
          <w:color w:val="FDB03F"/>
        </w:rPr>
      </w:pPr>
      <w:r>
        <w:rPr>
          <w:rFonts w:ascii="Arial" w:cs="Arial" w:eastAsia="Arial" w:hAnsi="Arial"/>
          <w:sz w:val="18"/>
          <w:szCs w:val="18"/>
          <w:color w:val="auto"/>
        </w:rPr>
        <w:t>Chairman of the Board of Directors (non-executive), Idorsia Pharmaceuticals Ltd. (biopharmaceuticals), since 2017</w:t>
      </w:r>
    </w:p>
    <w:p>
      <w:pPr>
        <w:spacing w:after="0" w:line="2" w:lineRule="exact"/>
        <w:rPr>
          <w:rFonts w:ascii="Arial" w:cs="Arial" w:eastAsia="Arial" w:hAnsi="Arial"/>
          <w:sz w:val="17"/>
          <w:szCs w:val="17"/>
          <w:color w:val="FDB03F"/>
        </w:rPr>
      </w:pPr>
    </w:p>
    <w:p>
      <w:pPr>
        <w:ind w:left="260" w:right="40" w:hanging="252"/>
        <w:spacing w:after="0" w:line="234" w:lineRule="auto"/>
        <w:tabs>
          <w:tab w:leader="none" w:pos="260" w:val="left"/>
        </w:tabs>
        <w:numPr>
          <w:ilvl w:val="0"/>
          <w:numId w:val="39"/>
        </w:numPr>
        <w:rPr>
          <w:rFonts w:ascii="Arial" w:cs="Arial" w:eastAsia="Arial" w:hAnsi="Arial"/>
          <w:sz w:val="17"/>
          <w:szCs w:val="17"/>
          <w:color w:val="FDB03F"/>
        </w:rPr>
      </w:pPr>
      <w:r>
        <w:rPr>
          <w:rFonts w:ascii="Arial" w:cs="Arial" w:eastAsia="Arial" w:hAnsi="Arial"/>
          <w:sz w:val="18"/>
          <w:szCs w:val="18"/>
          <w:color w:val="auto"/>
        </w:rPr>
        <w:t>Operating Partner, Advent International (global private equity), since 2011</w:t>
      </w:r>
    </w:p>
    <w:p>
      <w:pPr>
        <w:spacing w:after="0" w:line="1" w:lineRule="exact"/>
        <w:rPr>
          <w:rFonts w:ascii="Arial" w:cs="Arial" w:eastAsia="Arial" w:hAnsi="Arial"/>
          <w:sz w:val="17"/>
          <w:szCs w:val="17"/>
          <w:color w:val="FDB03F"/>
        </w:rPr>
      </w:pPr>
    </w:p>
    <w:p>
      <w:pPr>
        <w:ind w:left="260" w:right="460" w:hanging="252"/>
        <w:spacing w:after="0" w:line="234" w:lineRule="auto"/>
        <w:tabs>
          <w:tab w:leader="none" w:pos="260" w:val="left"/>
        </w:tabs>
        <w:numPr>
          <w:ilvl w:val="0"/>
          <w:numId w:val="39"/>
        </w:numPr>
        <w:rPr>
          <w:rFonts w:ascii="Arial" w:cs="Arial" w:eastAsia="Arial" w:hAnsi="Arial"/>
          <w:sz w:val="17"/>
          <w:szCs w:val="17"/>
          <w:color w:val="FDB03F"/>
        </w:rPr>
      </w:pPr>
      <w:r>
        <w:rPr>
          <w:rFonts w:ascii="Arial" w:cs="Arial" w:eastAsia="Arial" w:hAnsi="Arial"/>
          <w:sz w:val="18"/>
          <w:szCs w:val="18"/>
          <w:color w:val="auto"/>
        </w:rPr>
        <w:t>Actelion Ltd., Chairman of the Board of Directors (non-executive), 2011-2017</w:t>
      </w:r>
    </w:p>
    <w:p>
      <w:pPr>
        <w:spacing w:after="0" w:line="1" w:lineRule="exact"/>
        <w:rPr>
          <w:rFonts w:ascii="Arial" w:cs="Arial" w:eastAsia="Arial" w:hAnsi="Arial"/>
          <w:sz w:val="17"/>
          <w:szCs w:val="17"/>
          <w:color w:val="FDB03F"/>
        </w:rPr>
      </w:pPr>
    </w:p>
    <w:p>
      <w:pPr>
        <w:ind w:left="260" w:right="1020" w:hanging="252"/>
        <w:spacing w:after="0" w:line="234" w:lineRule="auto"/>
        <w:tabs>
          <w:tab w:leader="none" w:pos="260" w:val="left"/>
        </w:tabs>
        <w:numPr>
          <w:ilvl w:val="0"/>
          <w:numId w:val="39"/>
        </w:numPr>
        <w:rPr>
          <w:rFonts w:ascii="Arial" w:cs="Arial" w:eastAsia="Arial" w:hAnsi="Arial"/>
          <w:sz w:val="17"/>
          <w:szCs w:val="17"/>
          <w:color w:val="FDB03F"/>
        </w:rPr>
      </w:pPr>
      <w:r>
        <w:rPr>
          <w:rFonts w:ascii="Arial" w:cs="Arial" w:eastAsia="Arial" w:hAnsi="Arial"/>
          <w:sz w:val="18"/>
          <w:szCs w:val="18"/>
          <w:color w:val="auto"/>
        </w:rPr>
        <w:t>Chief Executive Officer, Pierre Fabre S.A. (pharmaceuticals), 2008-2010</w:t>
      </w:r>
    </w:p>
    <w:p>
      <w:pPr>
        <w:spacing w:after="0" w:line="1" w:lineRule="exact"/>
        <w:rPr>
          <w:rFonts w:ascii="Arial" w:cs="Arial" w:eastAsia="Arial" w:hAnsi="Arial"/>
          <w:sz w:val="17"/>
          <w:szCs w:val="17"/>
          <w:color w:val="FDB03F"/>
        </w:rPr>
      </w:pPr>
    </w:p>
    <w:p>
      <w:pPr>
        <w:ind w:left="260" w:right="120" w:hanging="252"/>
        <w:spacing w:after="0" w:line="234" w:lineRule="auto"/>
        <w:tabs>
          <w:tab w:leader="none" w:pos="260" w:val="left"/>
        </w:tabs>
        <w:numPr>
          <w:ilvl w:val="0"/>
          <w:numId w:val="39"/>
        </w:numPr>
        <w:rPr>
          <w:rFonts w:ascii="Arial" w:cs="Arial" w:eastAsia="Arial" w:hAnsi="Arial"/>
          <w:sz w:val="17"/>
          <w:szCs w:val="17"/>
          <w:color w:val="FDB03F"/>
        </w:rPr>
      </w:pPr>
      <w:r>
        <w:rPr>
          <w:rFonts w:ascii="Arial" w:cs="Arial" w:eastAsia="Arial" w:hAnsi="Arial"/>
          <w:sz w:val="18"/>
          <w:szCs w:val="18"/>
          <w:color w:val="auto"/>
        </w:rPr>
        <w:t>Chief Executive Officer and Executive Member of the Board of Directors, GlaxoSmithKline plc (pharmaceuticals), 2000-2008</w:t>
      </w:r>
    </w:p>
    <w:p>
      <w:pPr>
        <w:spacing w:after="0" w:line="2" w:lineRule="exact"/>
        <w:rPr>
          <w:rFonts w:ascii="Arial" w:cs="Arial" w:eastAsia="Arial" w:hAnsi="Arial"/>
          <w:sz w:val="17"/>
          <w:szCs w:val="17"/>
          <w:color w:val="FDB03F"/>
        </w:rPr>
      </w:pPr>
    </w:p>
    <w:p>
      <w:pPr>
        <w:ind w:left="260" w:right="460" w:hanging="252"/>
        <w:spacing w:after="0" w:line="246" w:lineRule="auto"/>
        <w:tabs>
          <w:tab w:leader="none" w:pos="260" w:val="left"/>
        </w:tabs>
        <w:numPr>
          <w:ilvl w:val="0"/>
          <w:numId w:val="39"/>
        </w:numPr>
        <w:rPr>
          <w:rFonts w:ascii="Arial" w:cs="Arial" w:eastAsia="Arial" w:hAnsi="Arial"/>
          <w:sz w:val="17"/>
          <w:szCs w:val="17"/>
          <w:color w:val="FDB03F"/>
        </w:rPr>
      </w:pPr>
      <w:r>
        <w:rPr>
          <w:rFonts w:ascii="Arial" w:cs="Arial" w:eastAsia="Arial" w:hAnsi="Arial"/>
          <w:sz w:val="18"/>
          <w:szCs w:val="18"/>
          <w:color w:val="auto"/>
        </w:rPr>
        <w:t>Chief Executive Officer, SmithKline Beecham plc (pharmaceuticals),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900" w:hanging="252"/>
        <w:spacing w:after="0" w:line="248" w:lineRule="auto"/>
        <w:tabs>
          <w:tab w:leader="none" w:pos="260" w:val="left"/>
        </w:tabs>
        <w:numPr>
          <w:ilvl w:val="0"/>
          <w:numId w:val="40"/>
        </w:numPr>
        <w:rPr>
          <w:rFonts w:ascii="Arial" w:cs="Arial" w:eastAsia="Arial" w:hAnsi="Arial"/>
          <w:sz w:val="16"/>
          <w:szCs w:val="16"/>
          <w:color w:val="FDB03F"/>
        </w:rPr>
      </w:pPr>
      <w:r>
        <w:rPr>
          <w:rFonts w:ascii="Arial" w:cs="Arial" w:eastAsia="Arial" w:hAnsi="Arial"/>
          <w:sz w:val="17"/>
          <w:szCs w:val="17"/>
          <w:color w:val="auto"/>
        </w:rPr>
        <w:t>Chairman &amp; Chief Executive Officer, United Technologies Corporation, since 2016</w:t>
      </w:r>
    </w:p>
    <w:p>
      <w:pPr>
        <w:spacing w:after="0" w:line="1" w:lineRule="exact"/>
        <w:rPr>
          <w:rFonts w:ascii="Arial" w:cs="Arial" w:eastAsia="Arial" w:hAnsi="Arial"/>
          <w:sz w:val="16"/>
          <w:szCs w:val="16"/>
          <w:color w:val="FDB03F"/>
        </w:rPr>
      </w:pPr>
    </w:p>
    <w:p>
      <w:pPr>
        <w:ind w:left="260" w:hanging="252"/>
        <w:spacing w:after="0" w:line="234" w:lineRule="auto"/>
        <w:tabs>
          <w:tab w:leader="none" w:pos="260" w:val="left"/>
        </w:tabs>
        <w:numPr>
          <w:ilvl w:val="0"/>
          <w:numId w:val="40"/>
        </w:numPr>
        <w:rPr>
          <w:rFonts w:ascii="Arial" w:cs="Arial" w:eastAsia="Arial" w:hAnsi="Arial"/>
          <w:sz w:val="17"/>
          <w:szCs w:val="17"/>
          <w:color w:val="FDB03F"/>
        </w:rPr>
      </w:pPr>
      <w:r>
        <w:rPr>
          <w:rFonts w:ascii="Arial" w:cs="Arial" w:eastAsia="Arial" w:hAnsi="Arial"/>
          <w:sz w:val="18"/>
          <w:szCs w:val="18"/>
          <w:color w:val="auto"/>
        </w:rPr>
        <w:t>President, Chief Executive Officer and Director, United Technologies Corporation, 2014-2016</w:t>
      </w:r>
    </w:p>
    <w:p>
      <w:pPr>
        <w:spacing w:after="0" w:line="1" w:lineRule="exact"/>
        <w:rPr>
          <w:rFonts w:ascii="Arial" w:cs="Arial" w:eastAsia="Arial" w:hAnsi="Arial"/>
          <w:sz w:val="17"/>
          <w:szCs w:val="17"/>
          <w:color w:val="FDB03F"/>
        </w:rPr>
      </w:pPr>
    </w:p>
    <w:p>
      <w:pPr>
        <w:ind w:left="260" w:right="400" w:hanging="252"/>
        <w:spacing w:after="0" w:line="275" w:lineRule="auto"/>
        <w:tabs>
          <w:tab w:leader="none" w:pos="260" w:val="left"/>
        </w:tabs>
        <w:numPr>
          <w:ilvl w:val="0"/>
          <w:numId w:val="40"/>
        </w:numPr>
        <w:rPr>
          <w:rFonts w:ascii="Arial" w:cs="Arial" w:eastAsia="Arial" w:hAnsi="Arial"/>
          <w:sz w:val="16"/>
          <w:szCs w:val="16"/>
          <w:color w:val="FDB03F"/>
        </w:rPr>
      </w:pPr>
      <w:r>
        <w:rPr>
          <w:rFonts w:ascii="Arial" w:cs="Arial" w:eastAsia="Arial" w:hAnsi="Arial"/>
          <w:sz w:val="17"/>
          <w:szCs w:val="17"/>
          <w:color w:val="auto"/>
        </w:rPr>
        <w:t>Senior Vice President and Chief Financial Officer, United Technologies Corporation, 2008-2014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6" w:right="739" w:hanging="266"/>
        <w:spacing w:after="0"/>
        <w:tabs>
          <w:tab w:leader="none" w:pos="266" w:val="left"/>
        </w:tabs>
        <w:numPr>
          <w:ilvl w:val="0"/>
          <w:numId w:val="41"/>
        </w:numPr>
        <w:rPr>
          <w:rFonts w:ascii="Arial" w:cs="Arial" w:eastAsia="Arial" w:hAnsi="Arial"/>
          <w:sz w:val="17"/>
          <w:szCs w:val="17"/>
          <w:color w:val="FDB03F"/>
        </w:rPr>
      </w:pPr>
      <w:r>
        <w:rPr>
          <w:rFonts w:ascii="Arial" w:cs="Arial" w:eastAsia="Arial" w:hAnsi="Arial"/>
          <w:sz w:val="18"/>
          <w:szCs w:val="18"/>
          <w:color w:val="auto"/>
        </w:rPr>
        <w:t>Chief Operating Officer and Executive Member of the Board of Directors, SmithKline Beecham plc, 1996-2000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-2374265</wp:posOffset>
            </wp:positionV>
            <wp:extent cx="6089015" cy="1912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89015" cy="1912620"/>
                    </a:xfrm>
                    <a:prstGeom prst="rect">
                      <a:avLst/>
                    </a:prstGeom>
                    <a:noFill/>
                  </pic:spPr>
                </pic:pic>
              </a:graphicData>
            </a:graphic>
          </wp:anchor>
        </w:drawing>
      </w:r>
    </w:p>
    <w:p>
      <w:pPr>
        <w:spacing w:after="0" w:line="5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54" w:lineRule="exact"/>
        <w:rPr>
          <w:sz w:val="20"/>
          <w:szCs w:val="20"/>
          <w:color w:val="auto"/>
        </w:rPr>
      </w:pPr>
    </w:p>
    <w:p>
      <w:pPr>
        <w:ind w:left="266" w:right="839" w:hanging="266"/>
        <w:spacing w:after="0" w:line="234" w:lineRule="auto"/>
        <w:tabs>
          <w:tab w:leader="none" w:pos="266" w:val="left"/>
        </w:tabs>
        <w:numPr>
          <w:ilvl w:val="0"/>
          <w:numId w:val="42"/>
        </w:numPr>
        <w:rPr>
          <w:rFonts w:ascii="Arial" w:cs="Arial" w:eastAsia="Arial" w:hAnsi="Arial"/>
          <w:sz w:val="17"/>
          <w:szCs w:val="17"/>
          <w:color w:val="FDB03F"/>
        </w:rPr>
      </w:pPr>
      <w:r>
        <w:rPr>
          <w:rFonts w:ascii="Arial" w:cs="Arial" w:eastAsia="Arial" w:hAnsi="Arial"/>
          <w:sz w:val="18"/>
          <w:szCs w:val="18"/>
          <w:color w:val="auto"/>
        </w:rPr>
        <w:t>Chairman of the Board of Directors (non-executive), CARMAT, since December 2018</w:t>
      </w:r>
    </w:p>
    <w:p>
      <w:pPr>
        <w:spacing w:after="0" w:line="1" w:lineRule="exact"/>
        <w:rPr>
          <w:rFonts w:ascii="Arial" w:cs="Arial" w:eastAsia="Arial" w:hAnsi="Arial"/>
          <w:sz w:val="17"/>
          <w:szCs w:val="17"/>
          <w:color w:val="FDB03F"/>
        </w:rPr>
      </w:pPr>
    </w:p>
    <w:p>
      <w:pPr>
        <w:ind w:left="266" w:hanging="266"/>
        <w:spacing w:after="0"/>
        <w:tabs>
          <w:tab w:leader="none" w:pos="266" w:val="left"/>
        </w:tabs>
        <w:numPr>
          <w:ilvl w:val="0"/>
          <w:numId w:val="42"/>
        </w:numPr>
        <w:rPr>
          <w:rFonts w:ascii="Arial" w:cs="Arial" w:eastAsia="Arial" w:hAnsi="Arial"/>
          <w:sz w:val="17"/>
          <w:szCs w:val="17"/>
          <w:color w:val="FDB03F"/>
        </w:rPr>
      </w:pPr>
      <w:r>
        <w:rPr>
          <w:rFonts w:ascii="Arial" w:cs="Arial" w:eastAsia="Arial" w:hAnsi="Arial"/>
          <w:sz w:val="18"/>
          <w:szCs w:val="18"/>
          <w:color w:val="auto"/>
        </w:rPr>
        <w:t>Radius Health, Inc., since 2015</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Former Public Company Directorships:</w:t>
      </w:r>
    </w:p>
    <w:p>
      <w:pPr>
        <w:spacing w:after="0" w:line="41" w:lineRule="exact"/>
        <w:rPr>
          <w:sz w:val="20"/>
          <w:szCs w:val="20"/>
          <w:color w:val="auto"/>
        </w:rPr>
      </w:pPr>
    </w:p>
    <w:p>
      <w:pPr>
        <w:ind w:left="266" w:hanging="266"/>
        <w:spacing w:after="0"/>
        <w:tabs>
          <w:tab w:leader="none" w:pos="266" w:val="left"/>
        </w:tabs>
        <w:numPr>
          <w:ilvl w:val="0"/>
          <w:numId w:val="43"/>
        </w:numPr>
        <w:rPr>
          <w:rFonts w:ascii="Arial" w:cs="Arial" w:eastAsia="Arial" w:hAnsi="Arial"/>
          <w:sz w:val="17"/>
          <w:szCs w:val="17"/>
          <w:color w:val="FDB03F"/>
        </w:rPr>
      </w:pPr>
      <w:r>
        <w:rPr>
          <w:rFonts w:ascii="Arial" w:cs="Arial" w:eastAsia="Arial" w:hAnsi="Arial"/>
          <w:sz w:val="18"/>
          <w:szCs w:val="18"/>
          <w:color w:val="auto"/>
        </w:rPr>
        <w:t>Renault S.A., 2009-2016</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50" w:lineRule="exact"/>
        <w:rPr>
          <w:sz w:val="20"/>
          <w:szCs w:val="20"/>
          <w:color w:val="auto"/>
        </w:rPr>
      </w:pPr>
    </w:p>
    <w:p>
      <w:pPr>
        <w:ind w:left="266" w:hanging="266"/>
        <w:spacing w:after="0"/>
        <w:tabs>
          <w:tab w:leader="none" w:pos="266" w:val="left"/>
        </w:tabs>
        <w:numPr>
          <w:ilvl w:val="0"/>
          <w:numId w:val="44"/>
        </w:numPr>
        <w:rPr>
          <w:rFonts w:ascii="Arial" w:cs="Arial" w:eastAsia="Arial" w:hAnsi="Arial"/>
          <w:sz w:val="17"/>
          <w:szCs w:val="17"/>
          <w:color w:val="FDB03F"/>
        </w:rPr>
      </w:pPr>
      <w:r>
        <w:rPr>
          <w:rFonts w:ascii="Arial" w:cs="Arial" w:eastAsia="Arial" w:hAnsi="Arial"/>
          <w:sz w:val="18"/>
          <w:szCs w:val="18"/>
          <w:color w:val="auto"/>
        </w:rPr>
        <w:t>Advisory Board, Newman’s Own Foundation</w:t>
      </w:r>
    </w:p>
    <w:p>
      <w:pPr>
        <w:ind w:left="266" w:right="979" w:hanging="266"/>
        <w:spacing w:after="0" w:line="234" w:lineRule="auto"/>
        <w:tabs>
          <w:tab w:leader="none" w:pos="266" w:val="left"/>
        </w:tabs>
        <w:numPr>
          <w:ilvl w:val="0"/>
          <w:numId w:val="44"/>
        </w:numPr>
        <w:rPr>
          <w:rFonts w:ascii="Arial" w:cs="Arial" w:eastAsia="Arial" w:hAnsi="Arial"/>
          <w:sz w:val="17"/>
          <w:szCs w:val="17"/>
          <w:color w:val="FDB03F"/>
        </w:rPr>
      </w:pPr>
      <w:r>
        <w:rPr>
          <w:rFonts w:ascii="Arial" w:cs="Arial" w:eastAsia="Arial" w:hAnsi="Arial"/>
          <w:sz w:val="18"/>
          <w:szCs w:val="18"/>
          <w:color w:val="auto"/>
        </w:rPr>
        <w:t>Board of Trustees, Max Planck Florida Institute for Neuroscience</w:t>
      </w:r>
    </w:p>
    <w:p>
      <w:pPr>
        <w:spacing w:after="0" w:line="1" w:lineRule="exact"/>
        <w:rPr>
          <w:rFonts w:ascii="Arial" w:cs="Arial" w:eastAsia="Arial" w:hAnsi="Arial"/>
          <w:sz w:val="17"/>
          <w:szCs w:val="17"/>
          <w:color w:val="FDB03F"/>
        </w:rPr>
      </w:pPr>
    </w:p>
    <w:p>
      <w:pPr>
        <w:ind w:left="266" w:hanging="266"/>
        <w:spacing w:after="0"/>
        <w:tabs>
          <w:tab w:leader="none" w:pos="266" w:val="left"/>
        </w:tabs>
        <w:numPr>
          <w:ilvl w:val="0"/>
          <w:numId w:val="44"/>
        </w:numPr>
        <w:rPr>
          <w:rFonts w:ascii="Arial" w:cs="Arial" w:eastAsia="Arial" w:hAnsi="Arial"/>
          <w:sz w:val="16"/>
          <w:szCs w:val="16"/>
          <w:color w:val="FDB03F"/>
        </w:rPr>
      </w:pPr>
      <w:r>
        <w:rPr>
          <w:rFonts w:ascii="Arial" w:cs="Arial" w:eastAsia="Arial" w:hAnsi="Arial"/>
          <w:sz w:val="17"/>
          <w:szCs w:val="17"/>
          <w:color w:val="auto"/>
        </w:rPr>
        <w:t>Knight Commander of the Order of the British Empire</w:t>
      </w:r>
    </w:p>
    <w:p>
      <w:pPr>
        <w:spacing w:after="0" w:line="7" w:lineRule="exact"/>
        <w:rPr>
          <w:rFonts w:ascii="Arial" w:cs="Arial" w:eastAsia="Arial" w:hAnsi="Arial"/>
          <w:sz w:val="16"/>
          <w:szCs w:val="16"/>
          <w:color w:val="FDB03F"/>
        </w:rPr>
      </w:pPr>
    </w:p>
    <w:p>
      <w:pPr>
        <w:ind w:left="266" w:hanging="266"/>
        <w:spacing w:after="0"/>
        <w:tabs>
          <w:tab w:leader="none" w:pos="266" w:val="left"/>
        </w:tabs>
        <w:numPr>
          <w:ilvl w:val="0"/>
          <w:numId w:val="44"/>
        </w:numPr>
        <w:rPr>
          <w:rFonts w:ascii="Arial" w:cs="Arial" w:eastAsia="Arial" w:hAnsi="Arial"/>
          <w:sz w:val="17"/>
          <w:szCs w:val="17"/>
          <w:color w:val="FDB03F"/>
        </w:rPr>
      </w:pPr>
      <w:r>
        <w:rPr>
          <w:rFonts w:ascii="Arial" w:cs="Arial" w:eastAsia="Arial" w:hAnsi="Arial"/>
          <w:sz w:val="18"/>
          <w:szCs w:val="18"/>
          <w:color w:val="auto"/>
        </w:rPr>
        <w:t>Officier de la Légion d’Honneur of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152400</wp:posOffset>
            </wp:positionV>
            <wp:extent cx="6089015" cy="1929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8901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6" w:right="959" w:hanging="266"/>
        <w:spacing w:after="0" w:line="238" w:lineRule="auto"/>
        <w:tabs>
          <w:tab w:leader="none" w:pos="266" w:val="left"/>
        </w:tabs>
        <w:numPr>
          <w:ilvl w:val="0"/>
          <w:numId w:val="45"/>
        </w:numPr>
        <w:rPr>
          <w:rFonts w:ascii="Arial" w:cs="Arial" w:eastAsia="Arial" w:hAnsi="Arial"/>
          <w:sz w:val="17"/>
          <w:szCs w:val="17"/>
          <w:color w:val="FDB03F"/>
        </w:rPr>
      </w:pPr>
      <w:r>
        <w:rPr>
          <w:rFonts w:ascii="Arial" w:cs="Arial" w:eastAsia="Arial" w:hAnsi="Arial"/>
          <w:sz w:val="18"/>
          <w:szCs w:val="18"/>
          <w:color w:val="auto"/>
        </w:rPr>
        <w:t>Various senior positions since joining UTC in 1999 through the merger with Sundstrand Corporation, including Vice President, Accounting and Finance, and responsibility for UTC’s Corporate Strategy function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Former Public Company Directorships:</w:t>
      </w:r>
    </w:p>
    <w:p>
      <w:pPr>
        <w:spacing w:after="0" w:line="54" w:lineRule="exact"/>
        <w:rPr>
          <w:sz w:val="20"/>
          <w:szCs w:val="20"/>
          <w:color w:val="auto"/>
        </w:rPr>
      </w:pPr>
    </w:p>
    <w:p>
      <w:pPr>
        <w:ind w:left="266" w:hanging="266"/>
        <w:spacing w:after="0"/>
        <w:tabs>
          <w:tab w:leader="none" w:pos="266" w:val="left"/>
        </w:tabs>
        <w:numPr>
          <w:ilvl w:val="0"/>
          <w:numId w:val="46"/>
        </w:numPr>
        <w:rPr>
          <w:rFonts w:ascii="Arial" w:cs="Arial" w:eastAsia="Arial" w:hAnsi="Arial"/>
          <w:sz w:val="17"/>
          <w:szCs w:val="17"/>
          <w:color w:val="FDB03F"/>
        </w:rPr>
      </w:pPr>
      <w:r>
        <w:rPr>
          <w:rFonts w:ascii="Arial" w:cs="Arial" w:eastAsia="Arial" w:hAnsi="Arial"/>
          <w:sz w:val="18"/>
          <w:szCs w:val="18"/>
          <w:color w:val="auto"/>
        </w:rPr>
        <w:t>Nucor Corporation, 2014-2018</w:t>
      </w:r>
    </w:p>
    <w:p>
      <w:pPr>
        <w:spacing w:after="0" w:line="200" w:lineRule="exact"/>
        <w:rPr>
          <w:sz w:val="20"/>
          <w:szCs w:val="20"/>
          <w:color w:val="auto"/>
        </w:rPr>
      </w:pPr>
    </w:p>
    <w:p>
      <w:pPr>
        <w:sectPr>
          <w:pgSz w:w="11900" w:h="16838" w:orient="portrait"/>
          <w:cols w:equalWidth="0" w:num="2">
            <w:col w:w="4600" w:space="394"/>
            <w:col w:w="5225"/>
          </w:cols>
          <w:pgMar w:left="240" w:top="121" w:right="1440" w:bottom="1440" w:gutter="0" w:footer="0" w:header="0"/>
        </w:sectPr>
      </w:pPr>
    </w:p>
    <w:p>
      <w:pPr>
        <w:spacing w:after="0" w:line="58" w:lineRule="exact"/>
        <w:rPr>
          <w:sz w:val="20"/>
          <w:szCs w:val="20"/>
          <w:color w:val="auto"/>
        </w:rPr>
      </w:pPr>
    </w:p>
    <w:p>
      <w:pPr>
        <w:ind w:left="880" w:hanging="628"/>
        <w:spacing w:after="0"/>
        <w:tabs>
          <w:tab w:leader="none" w:pos="880" w:val="left"/>
        </w:tabs>
        <w:numPr>
          <w:ilvl w:val="0"/>
          <w:numId w:val="47"/>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220" w:hanging="252"/>
        <w:spacing w:after="0" w:line="234" w:lineRule="auto"/>
        <w:tabs>
          <w:tab w:leader="none" w:pos="260" w:val="left"/>
        </w:tabs>
        <w:numPr>
          <w:ilvl w:val="0"/>
          <w:numId w:val="48"/>
        </w:numPr>
        <w:rPr>
          <w:rFonts w:ascii="Arial" w:cs="Arial" w:eastAsia="Arial" w:hAnsi="Arial"/>
          <w:sz w:val="17"/>
          <w:szCs w:val="17"/>
          <w:color w:val="FDB03F"/>
        </w:rPr>
      </w:pPr>
      <w:r>
        <w:rPr>
          <w:rFonts w:ascii="Arial" w:cs="Arial" w:eastAsia="Arial" w:hAnsi="Arial"/>
          <w:sz w:val="18"/>
          <w:szCs w:val="18"/>
          <w:color w:val="auto"/>
        </w:rPr>
        <w:t>Managing Partner, Eagle Marsh Holdings, LLC (business and real estate investments), since 2016</w:t>
      </w:r>
    </w:p>
    <w:p>
      <w:pPr>
        <w:spacing w:after="0" w:line="1" w:lineRule="exact"/>
        <w:rPr>
          <w:rFonts w:ascii="Arial" w:cs="Arial" w:eastAsia="Arial" w:hAnsi="Arial"/>
          <w:sz w:val="17"/>
          <w:szCs w:val="17"/>
          <w:color w:val="FDB03F"/>
        </w:rPr>
      </w:pPr>
    </w:p>
    <w:p>
      <w:pPr>
        <w:ind w:left="260" w:hanging="252"/>
        <w:spacing w:after="0" w:line="234" w:lineRule="auto"/>
        <w:tabs>
          <w:tab w:leader="none" w:pos="260" w:val="left"/>
        </w:tabs>
        <w:numPr>
          <w:ilvl w:val="0"/>
          <w:numId w:val="48"/>
        </w:numPr>
        <w:rPr>
          <w:rFonts w:ascii="Arial" w:cs="Arial" w:eastAsia="Arial" w:hAnsi="Arial"/>
          <w:sz w:val="17"/>
          <w:szCs w:val="17"/>
          <w:color w:val="FDB03F"/>
        </w:rPr>
      </w:pPr>
      <w:r>
        <w:rPr>
          <w:rFonts w:ascii="Arial" w:cs="Arial" w:eastAsia="Arial" w:hAnsi="Arial"/>
          <w:sz w:val="18"/>
          <w:szCs w:val="18"/>
          <w:color w:val="auto"/>
        </w:rPr>
        <w:t>Chairman, SPX FLOW, Inc. (global supplier of highly engineered flow components, process equipment and turnkey solutions for the power and energy, food and beverage, and industrial markets), 2016-2017</w:t>
      </w:r>
    </w:p>
    <w:p>
      <w:pPr>
        <w:spacing w:after="0" w:line="3" w:lineRule="exact"/>
        <w:rPr>
          <w:rFonts w:ascii="Arial" w:cs="Arial" w:eastAsia="Arial" w:hAnsi="Arial"/>
          <w:sz w:val="17"/>
          <w:szCs w:val="17"/>
          <w:color w:val="FDB03F"/>
        </w:rPr>
      </w:pPr>
    </w:p>
    <w:p>
      <w:pPr>
        <w:ind w:left="260" w:right="140" w:hanging="252"/>
        <w:spacing w:after="0" w:line="234" w:lineRule="auto"/>
        <w:tabs>
          <w:tab w:leader="none" w:pos="260" w:val="left"/>
        </w:tabs>
        <w:numPr>
          <w:ilvl w:val="0"/>
          <w:numId w:val="48"/>
        </w:numPr>
        <w:rPr>
          <w:rFonts w:ascii="Arial" w:cs="Arial" w:eastAsia="Arial" w:hAnsi="Arial"/>
          <w:sz w:val="17"/>
          <w:szCs w:val="17"/>
          <w:color w:val="FDB03F"/>
        </w:rPr>
      </w:pPr>
      <w:r>
        <w:rPr>
          <w:rFonts w:ascii="Arial" w:cs="Arial" w:eastAsia="Arial" w:hAnsi="Arial"/>
          <w:sz w:val="18"/>
          <w:szCs w:val="18"/>
          <w:color w:val="auto"/>
        </w:rPr>
        <w:t>Chairman, President &amp; Chief Executive Officer, SPX FLOW, Inc., 2015</w:t>
      </w:r>
    </w:p>
    <w:p>
      <w:pPr>
        <w:spacing w:after="0" w:line="1" w:lineRule="exact"/>
        <w:rPr>
          <w:rFonts w:ascii="Arial" w:cs="Arial" w:eastAsia="Arial" w:hAnsi="Arial"/>
          <w:sz w:val="17"/>
          <w:szCs w:val="17"/>
          <w:color w:val="FDB03F"/>
        </w:rPr>
      </w:pPr>
    </w:p>
    <w:p>
      <w:pPr>
        <w:ind w:left="260" w:right="140" w:hanging="252"/>
        <w:spacing w:after="0"/>
        <w:tabs>
          <w:tab w:leader="none" w:pos="260" w:val="left"/>
        </w:tabs>
        <w:numPr>
          <w:ilvl w:val="0"/>
          <w:numId w:val="48"/>
        </w:numPr>
        <w:rPr>
          <w:rFonts w:ascii="Arial" w:cs="Arial" w:eastAsia="Arial" w:hAnsi="Arial"/>
          <w:sz w:val="17"/>
          <w:szCs w:val="17"/>
          <w:color w:val="FDB03F"/>
        </w:rPr>
      </w:pPr>
      <w:r>
        <w:rPr>
          <w:rFonts w:ascii="Arial" w:cs="Arial" w:eastAsia="Arial" w:hAnsi="Arial"/>
          <w:sz w:val="18"/>
          <w:szCs w:val="18"/>
          <w:color w:val="auto"/>
        </w:rPr>
        <w:t>Chairman, President &amp; Chief Executive Officer, SPX Corporation (global multi-industry manufacturer), 2007-2015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160" w:hanging="252"/>
        <w:spacing w:after="0" w:line="234" w:lineRule="auto"/>
        <w:tabs>
          <w:tab w:leader="none" w:pos="260" w:val="left"/>
        </w:tabs>
        <w:numPr>
          <w:ilvl w:val="0"/>
          <w:numId w:val="49"/>
        </w:numPr>
        <w:rPr>
          <w:rFonts w:ascii="Arial" w:cs="Arial" w:eastAsia="Arial" w:hAnsi="Arial"/>
          <w:sz w:val="17"/>
          <w:szCs w:val="17"/>
          <w:color w:val="FDB03F"/>
        </w:rPr>
      </w:pPr>
      <w:r>
        <w:rPr>
          <w:rFonts w:ascii="Arial" w:cs="Arial" w:eastAsia="Arial" w:hAnsi="Arial"/>
          <w:sz w:val="18"/>
          <w:szCs w:val="18"/>
          <w:color w:val="auto"/>
        </w:rPr>
        <w:t>Chair &amp; Chief Executive Officer, E. I. du Pont de Nemours and Company (provider of basic materials and innovative products and services for diverse industries), 2009-2015</w:t>
      </w:r>
    </w:p>
    <w:p>
      <w:pPr>
        <w:spacing w:after="0" w:line="3" w:lineRule="exact"/>
        <w:rPr>
          <w:rFonts w:ascii="Arial" w:cs="Arial" w:eastAsia="Arial" w:hAnsi="Arial"/>
          <w:sz w:val="17"/>
          <w:szCs w:val="17"/>
          <w:color w:val="FDB03F"/>
        </w:rPr>
      </w:pPr>
    </w:p>
    <w:p>
      <w:pPr>
        <w:ind w:left="260" w:right="180" w:hanging="252"/>
        <w:spacing w:after="0" w:line="234" w:lineRule="auto"/>
        <w:tabs>
          <w:tab w:leader="none" w:pos="260" w:val="left"/>
        </w:tabs>
        <w:numPr>
          <w:ilvl w:val="0"/>
          <w:numId w:val="49"/>
        </w:numPr>
        <w:rPr>
          <w:rFonts w:ascii="Arial" w:cs="Arial" w:eastAsia="Arial" w:hAnsi="Arial"/>
          <w:sz w:val="17"/>
          <w:szCs w:val="17"/>
          <w:color w:val="FDB03F"/>
        </w:rPr>
      </w:pPr>
      <w:r>
        <w:rPr>
          <w:rFonts w:ascii="Arial" w:cs="Arial" w:eastAsia="Arial" w:hAnsi="Arial"/>
          <w:sz w:val="18"/>
          <w:szCs w:val="18"/>
          <w:color w:val="auto"/>
        </w:rPr>
        <w:t>President, E. I. du Pont de Nemours and Company, 2008</w:t>
      </w:r>
    </w:p>
    <w:p>
      <w:pPr>
        <w:spacing w:after="0" w:line="1" w:lineRule="exact"/>
        <w:rPr>
          <w:rFonts w:ascii="Arial" w:cs="Arial" w:eastAsia="Arial" w:hAnsi="Arial"/>
          <w:sz w:val="17"/>
          <w:szCs w:val="17"/>
          <w:color w:val="FDB03F"/>
        </w:rPr>
      </w:pPr>
    </w:p>
    <w:p>
      <w:pPr>
        <w:ind w:left="260" w:right="160" w:hanging="252"/>
        <w:spacing w:after="0" w:line="234" w:lineRule="auto"/>
        <w:tabs>
          <w:tab w:leader="none" w:pos="260" w:val="left"/>
        </w:tabs>
        <w:numPr>
          <w:ilvl w:val="0"/>
          <w:numId w:val="49"/>
        </w:numPr>
        <w:rPr>
          <w:rFonts w:ascii="Arial" w:cs="Arial" w:eastAsia="Arial" w:hAnsi="Arial"/>
          <w:sz w:val="17"/>
          <w:szCs w:val="17"/>
          <w:color w:val="FDB03F"/>
        </w:rPr>
      </w:pPr>
      <w:r>
        <w:rPr>
          <w:rFonts w:ascii="Arial" w:cs="Arial" w:eastAsia="Arial" w:hAnsi="Arial"/>
          <w:sz w:val="18"/>
          <w:szCs w:val="18"/>
          <w:color w:val="auto"/>
        </w:rPr>
        <w:t>Executive Vice President, E. I. du Pont de Nemours and Company, 2006-2008</w:t>
      </w:r>
    </w:p>
    <w:p>
      <w:pPr>
        <w:spacing w:after="0" w:line="1" w:lineRule="exact"/>
        <w:rPr>
          <w:rFonts w:ascii="Arial" w:cs="Arial" w:eastAsia="Arial" w:hAnsi="Arial"/>
          <w:sz w:val="17"/>
          <w:szCs w:val="17"/>
          <w:color w:val="FDB03F"/>
        </w:rPr>
      </w:pPr>
    </w:p>
    <w:p>
      <w:pPr>
        <w:ind w:left="260" w:right="100" w:hanging="252"/>
        <w:spacing w:after="0" w:line="246" w:lineRule="auto"/>
        <w:tabs>
          <w:tab w:leader="none" w:pos="260" w:val="left"/>
        </w:tabs>
        <w:numPr>
          <w:ilvl w:val="0"/>
          <w:numId w:val="49"/>
        </w:numPr>
        <w:rPr>
          <w:rFonts w:ascii="Arial" w:cs="Arial" w:eastAsia="Arial" w:hAnsi="Arial"/>
          <w:sz w:val="17"/>
          <w:szCs w:val="17"/>
          <w:color w:val="FDB03F"/>
        </w:rPr>
      </w:pPr>
      <w:r>
        <w:rPr>
          <w:rFonts w:ascii="Arial" w:cs="Arial" w:eastAsia="Arial" w:hAnsi="Arial"/>
          <w:sz w:val="18"/>
          <w:szCs w:val="18"/>
          <w:color w:val="auto"/>
        </w:rPr>
        <w:t>Group Vice President, E. I. du Pont de Nemours and Company, 1998-2006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Other Current Directorships:</w:t>
      </w:r>
    </w:p>
    <w:p>
      <w:pPr>
        <w:spacing w:after="0" w:line="41"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7"/>
          <w:szCs w:val="17"/>
          <w:color w:val="FDB03F"/>
        </w:rPr>
      </w:pPr>
      <w:r>
        <w:rPr>
          <w:rFonts w:ascii="Arial" w:cs="Arial" w:eastAsia="Arial" w:hAnsi="Arial"/>
          <w:sz w:val="18"/>
          <w:szCs w:val="18"/>
          <w:color w:val="auto"/>
        </w:rPr>
        <w:t>Amgen Inc., since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right"/>
        <w:ind w:right="120"/>
        <w:spacing w:after="0"/>
        <w:tabs>
          <w:tab w:leader="none" w:pos="1840" w:val="left"/>
        </w:tabs>
        <w:rPr>
          <w:sz w:val="20"/>
          <w:szCs w:val="20"/>
          <w:color w:val="auto"/>
        </w:rPr>
      </w:pPr>
      <w:r>
        <w:rPr>
          <w:rFonts w:ascii="Arial" w:cs="Arial" w:eastAsia="Arial" w:hAnsi="Arial"/>
          <w:sz w:val="14"/>
          <w:szCs w:val="14"/>
          <w:b w:val="1"/>
          <w:bCs w:val="1"/>
          <w:color w:val="FFFFFF"/>
        </w:rPr>
        <w:t>PROPOSAL 1</w:t>
      </w:r>
      <w:r>
        <w:rPr>
          <w:sz w:val="20"/>
          <w:szCs w:val="20"/>
          <w:color w:val="auto"/>
        </w:rPr>
        <w:tab/>
      </w:r>
      <w:r>
        <w:rPr>
          <w:rFonts w:ascii="Arial" w:cs="Arial" w:eastAsia="Arial" w:hAnsi="Arial"/>
          <w:sz w:val="12"/>
          <w:szCs w:val="12"/>
          <w:b w:val="1"/>
          <w:bCs w:val="1"/>
          <w:color w:val="0E93D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-107950</wp:posOffset>
            </wp:positionV>
            <wp:extent cx="7246620" cy="21526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6" w:right="1840" w:hanging="266"/>
        <w:spacing w:after="0" w:line="234" w:lineRule="auto"/>
        <w:tabs>
          <w:tab w:leader="none" w:pos="266" w:val="left"/>
        </w:tabs>
        <w:numPr>
          <w:ilvl w:val="0"/>
          <w:numId w:val="51"/>
        </w:numPr>
        <w:rPr>
          <w:rFonts w:ascii="Arial" w:cs="Arial" w:eastAsia="Arial" w:hAnsi="Arial"/>
          <w:sz w:val="17"/>
          <w:szCs w:val="17"/>
          <w:color w:val="FDB03F"/>
        </w:rPr>
      </w:pPr>
      <w:r>
        <w:rPr>
          <w:rFonts w:ascii="Arial" w:cs="Arial" w:eastAsia="Arial" w:hAnsi="Arial"/>
          <w:sz w:val="18"/>
          <w:szCs w:val="18"/>
          <w:color w:val="auto"/>
        </w:rPr>
        <w:t>President &amp; Chief Executive Officer, SPX Corporation, 2004-2007</w:t>
      </w:r>
    </w:p>
    <w:p>
      <w:pPr>
        <w:spacing w:after="0" w:line="1" w:lineRule="exact"/>
        <w:rPr>
          <w:rFonts w:ascii="Arial" w:cs="Arial" w:eastAsia="Arial" w:hAnsi="Arial"/>
          <w:sz w:val="17"/>
          <w:szCs w:val="17"/>
          <w:color w:val="FDB03F"/>
        </w:rPr>
      </w:pPr>
    </w:p>
    <w:p>
      <w:pPr>
        <w:ind w:left="266" w:right="1840" w:hanging="266"/>
        <w:spacing w:after="0" w:line="246" w:lineRule="auto"/>
        <w:tabs>
          <w:tab w:leader="none" w:pos="266" w:val="left"/>
        </w:tabs>
        <w:numPr>
          <w:ilvl w:val="0"/>
          <w:numId w:val="51"/>
        </w:numPr>
        <w:rPr>
          <w:rFonts w:ascii="Arial" w:cs="Arial" w:eastAsia="Arial" w:hAnsi="Arial"/>
          <w:sz w:val="17"/>
          <w:szCs w:val="17"/>
          <w:color w:val="FDB03F"/>
        </w:rPr>
      </w:pPr>
      <w:r>
        <w:rPr>
          <w:rFonts w:ascii="Arial" w:cs="Arial" w:eastAsia="Arial" w:hAnsi="Arial"/>
          <w:sz w:val="18"/>
          <w:szCs w:val="18"/>
          <w:color w:val="auto"/>
        </w:rPr>
        <w:t>Vice President, Secretary and General Counsel, SPX Corporation, 1997-2004</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54" w:lineRule="exact"/>
        <w:rPr>
          <w:sz w:val="20"/>
          <w:szCs w:val="20"/>
          <w:color w:val="auto"/>
        </w:rPr>
      </w:pPr>
    </w:p>
    <w:p>
      <w:pPr>
        <w:ind w:left="266" w:hanging="266"/>
        <w:spacing w:after="0"/>
        <w:tabs>
          <w:tab w:leader="none" w:pos="266" w:val="left"/>
        </w:tabs>
        <w:numPr>
          <w:ilvl w:val="0"/>
          <w:numId w:val="52"/>
        </w:numPr>
        <w:rPr>
          <w:rFonts w:ascii="Arial" w:cs="Arial" w:eastAsia="Arial" w:hAnsi="Arial"/>
          <w:sz w:val="17"/>
          <w:szCs w:val="17"/>
          <w:color w:val="FDB03F"/>
        </w:rPr>
      </w:pPr>
      <w:r>
        <w:rPr>
          <w:rFonts w:ascii="Arial" w:cs="Arial" w:eastAsia="Arial" w:hAnsi="Arial"/>
          <w:sz w:val="18"/>
          <w:szCs w:val="18"/>
          <w:color w:val="auto"/>
        </w:rPr>
        <w:t>Nucor Corporation, since 2008</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Former Public Company Directorships:</w:t>
      </w:r>
    </w:p>
    <w:p>
      <w:pPr>
        <w:spacing w:after="0" w:line="41" w:lineRule="exact"/>
        <w:rPr>
          <w:sz w:val="20"/>
          <w:szCs w:val="20"/>
          <w:color w:val="auto"/>
        </w:rPr>
      </w:pPr>
    </w:p>
    <w:p>
      <w:pPr>
        <w:ind w:left="266" w:hanging="266"/>
        <w:spacing w:after="0"/>
        <w:tabs>
          <w:tab w:leader="none" w:pos="266" w:val="left"/>
        </w:tabs>
        <w:numPr>
          <w:ilvl w:val="0"/>
          <w:numId w:val="53"/>
        </w:numPr>
        <w:rPr>
          <w:rFonts w:ascii="Arial" w:cs="Arial" w:eastAsia="Arial" w:hAnsi="Arial"/>
          <w:sz w:val="17"/>
          <w:szCs w:val="17"/>
          <w:color w:val="FDB03F"/>
        </w:rPr>
      </w:pPr>
      <w:r>
        <w:rPr>
          <w:rFonts w:ascii="Arial" w:cs="Arial" w:eastAsia="Arial" w:hAnsi="Arial"/>
          <w:sz w:val="18"/>
          <w:szCs w:val="18"/>
          <w:color w:val="auto"/>
        </w:rPr>
        <w:t>Polypore International Inc., 2012-2015</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50" w:lineRule="exact"/>
        <w:rPr>
          <w:sz w:val="20"/>
          <w:szCs w:val="20"/>
          <w:color w:val="auto"/>
        </w:rPr>
      </w:pPr>
    </w:p>
    <w:p>
      <w:pPr>
        <w:ind w:left="266" w:hanging="266"/>
        <w:spacing w:after="0"/>
        <w:tabs>
          <w:tab w:leader="none" w:pos="266" w:val="left"/>
        </w:tabs>
        <w:numPr>
          <w:ilvl w:val="0"/>
          <w:numId w:val="54"/>
        </w:numPr>
        <w:rPr>
          <w:rFonts w:ascii="Arial" w:cs="Arial" w:eastAsia="Arial" w:hAnsi="Arial"/>
          <w:sz w:val="17"/>
          <w:szCs w:val="17"/>
          <w:color w:val="FDB03F"/>
        </w:rPr>
      </w:pPr>
      <w:r>
        <w:rPr>
          <w:rFonts w:ascii="Arial" w:cs="Arial" w:eastAsia="Arial" w:hAnsi="Arial"/>
          <w:sz w:val="18"/>
          <w:szCs w:val="18"/>
          <w:color w:val="auto"/>
        </w:rPr>
        <w:t>Advisory Board, Warburg Pincus, LLC</w:t>
      </w:r>
    </w:p>
    <w:p>
      <w:pPr>
        <w:ind w:left="266" w:hanging="266"/>
        <w:spacing w:after="0"/>
        <w:tabs>
          <w:tab w:leader="none" w:pos="266" w:val="left"/>
        </w:tabs>
        <w:numPr>
          <w:ilvl w:val="0"/>
          <w:numId w:val="54"/>
        </w:numPr>
        <w:rPr>
          <w:rFonts w:ascii="Arial" w:cs="Arial" w:eastAsia="Arial" w:hAnsi="Arial"/>
          <w:sz w:val="17"/>
          <w:szCs w:val="17"/>
          <w:color w:val="FDB03F"/>
        </w:rPr>
      </w:pPr>
      <w:r>
        <w:rPr>
          <w:rFonts w:ascii="Arial" w:cs="Arial" w:eastAsia="Arial" w:hAnsi="Arial"/>
          <w:sz w:val="18"/>
          <w:szCs w:val="18"/>
          <w:color w:val="auto"/>
        </w:rPr>
        <w:t>Former Chairman, Foundation for the Carolinas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152400</wp:posOffset>
            </wp:positionV>
            <wp:extent cx="6089015" cy="1955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8901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6" w:hanging="266"/>
        <w:spacing w:after="0"/>
        <w:tabs>
          <w:tab w:leader="none" w:pos="266" w:val="left"/>
        </w:tabs>
        <w:numPr>
          <w:ilvl w:val="0"/>
          <w:numId w:val="55"/>
        </w:numPr>
        <w:rPr>
          <w:rFonts w:ascii="Arial" w:cs="Arial" w:eastAsia="Arial" w:hAnsi="Arial"/>
          <w:sz w:val="17"/>
          <w:szCs w:val="17"/>
          <w:color w:val="FDB03F"/>
        </w:rPr>
      </w:pPr>
      <w:r>
        <w:rPr>
          <w:rFonts w:ascii="Arial" w:cs="Arial" w:eastAsia="Arial" w:hAnsi="Arial"/>
          <w:sz w:val="18"/>
          <w:szCs w:val="18"/>
          <w:color w:val="auto"/>
        </w:rPr>
        <w:t>Goldman Sachs, since 2016</w:t>
      </w:r>
    </w:p>
    <w:p>
      <w:pPr>
        <w:ind w:left="266" w:right="2080" w:hanging="266"/>
        <w:spacing w:after="0" w:line="234" w:lineRule="auto"/>
        <w:tabs>
          <w:tab w:leader="none" w:pos="266" w:val="left"/>
        </w:tabs>
        <w:numPr>
          <w:ilvl w:val="0"/>
          <w:numId w:val="55"/>
        </w:numPr>
        <w:rPr>
          <w:rFonts w:ascii="Arial" w:cs="Arial" w:eastAsia="Arial" w:hAnsi="Arial"/>
          <w:sz w:val="17"/>
          <w:szCs w:val="17"/>
          <w:color w:val="FDB03F"/>
        </w:rPr>
      </w:pPr>
      <w:r>
        <w:rPr>
          <w:rFonts w:ascii="Arial" w:cs="Arial" w:eastAsia="Arial" w:hAnsi="Arial"/>
          <w:sz w:val="18"/>
          <w:szCs w:val="18"/>
          <w:color w:val="auto"/>
        </w:rPr>
        <w:t>Dell Technologies Inc., since 2016 (public company since December 2018)</w:t>
      </w:r>
    </w:p>
    <w:p>
      <w:pPr>
        <w:spacing w:after="0" w:line="1" w:lineRule="exact"/>
        <w:rPr>
          <w:rFonts w:ascii="Arial" w:cs="Arial" w:eastAsia="Arial" w:hAnsi="Arial"/>
          <w:sz w:val="17"/>
          <w:szCs w:val="17"/>
          <w:color w:val="FDB03F"/>
        </w:rPr>
      </w:pPr>
    </w:p>
    <w:p>
      <w:pPr>
        <w:ind w:left="266" w:hanging="266"/>
        <w:spacing w:after="0"/>
        <w:tabs>
          <w:tab w:leader="none" w:pos="266" w:val="left"/>
        </w:tabs>
        <w:numPr>
          <w:ilvl w:val="0"/>
          <w:numId w:val="55"/>
        </w:numPr>
        <w:rPr>
          <w:rFonts w:ascii="Arial" w:cs="Arial" w:eastAsia="Arial" w:hAnsi="Arial"/>
          <w:sz w:val="17"/>
          <w:szCs w:val="17"/>
          <w:color w:val="FDB03F"/>
        </w:rPr>
      </w:pPr>
      <w:r>
        <w:rPr>
          <w:rFonts w:ascii="Arial" w:cs="Arial" w:eastAsia="Arial" w:hAnsi="Arial"/>
          <w:sz w:val="18"/>
          <w:szCs w:val="18"/>
          <w:color w:val="auto"/>
        </w:rPr>
        <w:t>Carbon3D, Inc. (non-public)</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50" w:lineRule="exact"/>
        <w:rPr>
          <w:sz w:val="20"/>
          <w:szCs w:val="20"/>
          <w:color w:val="auto"/>
        </w:rPr>
      </w:pPr>
    </w:p>
    <w:p>
      <w:pPr>
        <w:ind w:left="266" w:hanging="266"/>
        <w:spacing w:after="0"/>
        <w:tabs>
          <w:tab w:leader="none" w:pos="266" w:val="left"/>
        </w:tabs>
        <w:numPr>
          <w:ilvl w:val="0"/>
          <w:numId w:val="56"/>
        </w:numPr>
        <w:rPr>
          <w:rFonts w:ascii="Arial" w:cs="Arial" w:eastAsia="Arial" w:hAnsi="Arial"/>
          <w:sz w:val="17"/>
          <w:szCs w:val="17"/>
          <w:color w:val="FDB03F"/>
        </w:rPr>
      </w:pPr>
      <w:r>
        <w:rPr>
          <w:rFonts w:ascii="Arial" w:cs="Arial" w:eastAsia="Arial" w:hAnsi="Arial"/>
          <w:sz w:val="18"/>
          <w:szCs w:val="18"/>
          <w:color w:val="auto"/>
        </w:rPr>
        <w:t>Co-Chair, Paradigm for Parity</w:t>
      </w:r>
    </w:p>
    <w:p>
      <w:pPr>
        <w:ind w:left="266" w:hanging="266"/>
        <w:spacing w:after="0" w:line="234" w:lineRule="auto"/>
        <w:tabs>
          <w:tab w:leader="none" w:pos="266" w:val="left"/>
        </w:tabs>
        <w:numPr>
          <w:ilvl w:val="0"/>
          <w:numId w:val="56"/>
        </w:numPr>
        <w:rPr>
          <w:rFonts w:ascii="Arial" w:cs="Arial" w:eastAsia="Arial" w:hAnsi="Arial"/>
          <w:sz w:val="17"/>
          <w:szCs w:val="17"/>
          <w:color w:val="FDB03F"/>
        </w:rPr>
      </w:pPr>
      <w:r>
        <w:rPr>
          <w:rFonts w:ascii="Arial" w:cs="Arial" w:eastAsia="Arial" w:hAnsi="Arial"/>
          <w:sz w:val="18"/>
          <w:szCs w:val="18"/>
          <w:color w:val="auto"/>
        </w:rPr>
        <w:t>National Academy of Engineering</w:t>
      </w:r>
    </w:p>
    <w:p>
      <w:pPr>
        <w:ind w:left="266" w:right="2620" w:hanging="266"/>
        <w:spacing w:after="0" w:line="234" w:lineRule="auto"/>
        <w:tabs>
          <w:tab w:leader="none" w:pos="266" w:val="left"/>
        </w:tabs>
        <w:numPr>
          <w:ilvl w:val="0"/>
          <w:numId w:val="56"/>
        </w:numPr>
        <w:rPr>
          <w:rFonts w:ascii="Arial" w:cs="Arial" w:eastAsia="Arial" w:hAnsi="Arial"/>
          <w:sz w:val="17"/>
          <w:szCs w:val="17"/>
          <w:color w:val="FDB03F"/>
        </w:rPr>
      </w:pPr>
      <w:r>
        <w:rPr>
          <w:rFonts w:ascii="Arial" w:cs="Arial" w:eastAsia="Arial" w:hAnsi="Arial"/>
          <w:sz w:val="18"/>
          <w:szCs w:val="18"/>
          <w:color w:val="auto"/>
        </w:rPr>
        <w:t>Board of Advisors, Tufts University School of Engineering</w:t>
      </w:r>
    </w:p>
    <w:p>
      <w:pPr>
        <w:spacing w:after="0" w:line="1" w:lineRule="exact"/>
        <w:rPr>
          <w:rFonts w:ascii="Arial" w:cs="Arial" w:eastAsia="Arial" w:hAnsi="Arial"/>
          <w:sz w:val="17"/>
          <w:szCs w:val="17"/>
          <w:color w:val="FDB03F"/>
        </w:rPr>
      </w:pPr>
    </w:p>
    <w:p>
      <w:pPr>
        <w:ind w:left="266" w:hanging="266"/>
        <w:spacing w:after="0" w:line="234" w:lineRule="auto"/>
        <w:tabs>
          <w:tab w:leader="none" w:pos="266" w:val="left"/>
        </w:tabs>
        <w:numPr>
          <w:ilvl w:val="0"/>
          <w:numId w:val="56"/>
        </w:numPr>
        <w:rPr>
          <w:rFonts w:ascii="Arial" w:cs="Arial" w:eastAsia="Arial" w:hAnsi="Arial"/>
          <w:sz w:val="17"/>
          <w:szCs w:val="17"/>
          <w:color w:val="FDB03F"/>
        </w:rPr>
      </w:pPr>
      <w:r>
        <w:rPr>
          <w:rFonts w:ascii="Arial" w:cs="Arial" w:eastAsia="Arial" w:hAnsi="Arial"/>
          <w:sz w:val="18"/>
          <w:szCs w:val="18"/>
          <w:color w:val="auto"/>
        </w:rPr>
        <w:t>Board of Trustees, Northwestern University</w:t>
      </w:r>
    </w:p>
    <w:p>
      <w:pPr>
        <w:ind w:left="266" w:hanging="266"/>
        <w:spacing w:after="0" w:line="234" w:lineRule="auto"/>
        <w:tabs>
          <w:tab w:leader="none" w:pos="266" w:val="left"/>
        </w:tabs>
        <w:numPr>
          <w:ilvl w:val="0"/>
          <w:numId w:val="56"/>
        </w:numPr>
        <w:rPr>
          <w:rFonts w:ascii="Arial" w:cs="Arial" w:eastAsia="Arial" w:hAnsi="Arial"/>
          <w:sz w:val="17"/>
          <w:szCs w:val="17"/>
          <w:color w:val="FDB03F"/>
        </w:rPr>
      </w:pPr>
      <w:r>
        <w:rPr>
          <w:rFonts w:ascii="Arial" w:cs="Arial" w:eastAsia="Arial" w:hAnsi="Arial"/>
          <w:sz w:val="18"/>
          <w:szCs w:val="18"/>
          <w:color w:val="auto"/>
        </w:rPr>
        <w:t>The Business Council</w:t>
      </w:r>
    </w:p>
    <w:p>
      <w:pPr>
        <w:ind w:left="266" w:hanging="266"/>
        <w:spacing w:after="0"/>
        <w:tabs>
          <w:tab w:leader="none" w:pos="266" w:val="left"/>
        </w:tabs>
        <w:numPr>
          <w:ilvl w:val="0"/>
          <w:numId w:val="56"/>
        </w:numPr>
        <w:rPr>
          <w:rFonts w:ascii="Arial" w:cs="Arial" w:eastAsia="Arial" w:hAnsi="Arial"/>
          <w:sz w:val="17"/>
          <w:szCs w:val="17"/>
          <w:color w:val="FDB03F"/>
        </w:rPr>
      </w:pPr>
      <w:r>
        <w:rPr>
          <w:rFonts w:ascii="Arial" w:cs="Arial" w:eastAsia="Arial" w:hAnsi="Arial"/>
          <w:sz w:val="18"/>
          <w:szCs w:val="18"/>
          <w:color w:val="auto"/>
        </w:rPr>
        <w:t>North American Advisory Council, Temasek Holdings</w:t>
      </w:r>
    </w:p>
    <w:p>
      <w:pPr>
        <w:spacing w:after="0" w:line="200" w:lineRule="exact"/>
        <w:rPr>
          <w:sz w:val="20"/>
          <w:szCs w:val="20"/>
          <w:color w:val="auto"/>
        </w:rPr>
      </w:pPr>
    </w:p>
    <w:p>
      <w:pPr>
        <w:spacing w:after="0" w:line="269" w:lineRule="exact"/>
        <w:rPr>
          <w:sz w:val="20"/>
          <w:szCs w:val="20"/>
          <w:color w:val="auto"/>
        </w:rPr>
      </w:pPr>
    </w:p>
    <w:tbl>
      <w:tblPr>
        <w:tblLayout w:type="fixed"/>
        <w:tblInd w:w="166"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220980</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540" w:space="454"/>
            <w:col w:w="6426"/>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96405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4055" cy="128905"/>
                    </a:xfrm>
                    <a:prstGeom prst="rect">
                      <a:avLst/>
                    </a:prstGeom>
                    <a:noFill/>
                  </pic:spPr>
                </pic:pic>
              </a:graphicData>
            </a:graphic>
          </wp:anchor>
        </w:drawing>
      </w:r>
    </w:p>
    <w:p>
      <w:pPr>
        <w:spacing w:after="0" w:line="221"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4"/>
          <w:szCs w:val="14"/>
          <w:b w:val="1"/>
          <w:bCs w:val="1"/>
          <w:color w:val="0E93D8"/>
        </w:rPr>
        <w:t>PROPOSAL 1</w:t>
      </w:r>
      <w:r>
        <w:rPr>
          <w:sz w:val="20"/>
          <w:szCs w:val="20"/>
          <w:color w:val="auto"/>
        </w:rPr>
        <w:tab/>
      </w:r>
      <w:r>
        <w:rPr>
          <w:rFonts w:ascii="Arial" w:cs="Arial" w:eastAsia="Arial" w:hAnsi="Arial"/>
          <w:sz w:val="12"/>
          <w:szCs w:val="12"/>
          <w:b w:val="1"/>
          <w:bCs w:val="1"/>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400" w:hanging="252"/>
        <w:spacing w:after="0" w:line="234" w:lineRule="auto"/>
        <w:tabs>
          <w:tab w:leader="none" w:pos="260" w:val="left"/>
        </w:tabs>
        <w:numPr>
          <w:ilvl w:val="0"/>
          <w:numId w:val="57"/>
        </w:numPr>
        <w:rPr>
          <w:rFonts w:ascii="Arial" w:cs="Arial" w:eastAsia="Arial" w:hAnsi="Arial"/>
          <w:sz w:val="17"/>
          <w:szCs w:val="17"/>
          <w:color w:val="FDB03F"/>
        </w:rPr>
      </w:pPr>
      <w:r>
        <w:rPr>
          <w:rFonts w:ascii="Arial" w:cs="Arial" w:eastAsia="Arial" w:hAnsi="Arial"/>
          <w:sz w:val="18"/>
          <w:szCs w:val="18"/>
          <w:color w:val="auto"/>
        </w:rPr>
        <w:t>Chairman, President &amp; Chief Executive Officer, Goodrich Corporation (supplier of systems and services to the aerospace and defense industry), 2003-2012</w:t>
      </w:r>
    </w:p>
    <w:p>
      <w:pPr>
        <w:spacing w:after="0" w:line="3" w:lineRule="exact"/>
        <w:rPr>
          <w:rFonts w:ascii="Arial" w:cs="Arial" w:eastAsia="Arial" w:hAnsi="Arial"/>
          <w:sz w:val="17"/>
          <w:szCs w:val="17"/>
          <w:color w:val="FDB03F"/>
        </w:rPr>
      </w:pPr>
    </w:p>
    <w:p>
      <w:pPr>
        <w:ind w:left="260" w:right="500" w:hanging="252"/>
        <w:spacing w:after="0" w:line="234" w:lineRule="auto"/>
        <w:tabs>
          <w:tab w:leader="none" w:pos="260" w:val="left"/>
        </w:tabs>
        <w:numPr>
          <w:ilvl w:val="0"/>
          <w:numId w:val="57"/>
        </w:numPr>
        <w:rPr>
          <w:rFonts w:ascii="Arial" w:cs="Arial" w:eastAsia="Arial" w:hAnsi="Arial"/>
          <w:sz w:val="17"/>
          <w:szCs w:val="17"/>
          <w:color w:val="FDB03F"/>
        </w:rPr>
      </w:pPr>
      <w:r>
        <w:rPr>
          <w:rFonts w:ascii="Arial" w:cs="Arial" w:eastAsia="Arial" w:hAnsi="Arial"/>
          <w:sz w:val="18"/>
          <w:szCs w:val="18"/>
          <w:color w:val="auto"/>
        </w:rPr>
        <w:t>President, Chief Operating Officer and Director, Goodrich Corporation, 2002-2003</w:t>
      </w:r>
    </w:p>
    <w:p>
      <w:pPr>
        <w:spacing w:after="0" w:line="1" w:lineRule="exact"/>
        <w:rPr>
          <w:rFonts w:ascii="Arial" w:cs="Arial" w:eastAsia="Arial" w:hAnsi="Arial"/>
          <w:sz w:val="17"/>
          <w:szCs w:val="17"/>
          <w:color w:val="FDB03F"/>
        </w:rPr>
      </w:pPr>
    </w:p>
    <w:p>
      <w:pPr>
        <w:ind w:left="260" w:right="60" w:hanging="252"/>
        <w:spacing w:after="0"/>
        <w:tabs>
          <w:tab w:leader="none" w:pos="260" w:val="left"/>
        </w:tabs>
        <w:numPr>
          <w:ilvl w:val="0"/>
          <w:numId w:val="57"/>
        </w:numPr>
        <w:rPr>
          <w:rFonts w:ascii="Arial" w:cs="Arial" w:eastAsia="Arial" w:hAnsi="Arial"/>
          <w:sz w:val="17"/>
          <w:szCs w:val="17"/>
          <w:color w:val="FDB03F"/>
        </w:rPr>
      </w:pPr>
      <w:r>
        <w:rPr>
          <w:rFonts w:ascii="Arial" w:cs="Arial" w:eastAsia="Arial" w:hAnsi="Arial"/>
          <w:sz w:val="18"/>
          <w:szCs w:val="18"/>
          <w:color w:val="auto"/>
        </w:rPr>
        <w:t>Executive Vice President, Goodrich Corporation, and President and Chief Operating Officer, Goodrich Aerospace, 1995-2002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41" w:lineRule="exact"/>
        <w:rPr>
          <w:sz w:val="20"/>
          <w:szCs w:val="20"/>
          <w:color w:val="auto"/>
        </w:rPr>
      </w:pPr>
    </w:p>
    <w:p>
      <w:pPr>
        <w:ind w:left="260" w:hanging="252"/>
        <w:spacing w:after="0" w:line="234" w:lineRule="auto"/>
        <w:tabs>
          <w:tab w:leader="none" w:pos="260" w:val="left"/>
        </w:tabs>
        <w:numPr>
          <w:ilvl w:val="0"/>
          <w:numId w:val="58"/>
        </w:numPr>
        <w:rPr>
          <w:rFonts w:ascii="Arial" w:cs="Arial" w:eastAsia="Arial" w:hAnsi="Arial"/>
          <w:sz w:val="17"/>
          <w:szCs w:val="17"/>
          <w:color w:val="FDB03F"/>
        </w:rPr>
      </w:pPr>
      <w:r>
        <w:rPr>
          <w:rFonts w:ascii="Arial" w:cs="Arial" w:eastAsia="Arial" w:hAnsi="Arial"/>
          <w:sz w:val="18"/>
          <w:szCs w:val="18"/>
          <w:color w:val="auto"/>
        </w:rPr>
        <w:t>Chairman Emeritus, S&amp;P Global Inc. (formerly McGraw Hill Financial, Inc.) (ratings, benchmarks and analytics for financial reports), since 2015</w:t>
      </w:r>
    </w:p>
    <w:p>
      <w:pPr>
        <w:spacing w:after="0" w:line="2" w:lineRule="exact"/>
        <w:rPr>
          <w:rFonts w:ascii="Arial" w:cs="Arial" w:eastAsia="Arial" w:hAnsi="Arial"/>
          <w:sz w:val="17"/>
          <w:szCs w:val="17"/>
          <w:color w:val="FDB03F"/>
        </w:rPr>
      </w:pPr>
    </w:p>
    <w:p>
      <w:pPr>
        <w:ind w:left="260" w:hanging="252"/>
        <w:spacing w:after="0" w:line="234" w:lineRule="auto"/>
        <w:tabs>
          <w:tab w:leader="none" w:pos="260" w:val="left"/>
        </w:tabs>
        <w:numPr>
          <w:ilvl w:val="0"/>
          <w:numId w:val="58"/>
        </w:numPr>
        <w:rPr>
          <w:rFonts w:ascii="Arial" w:cs="Arial" w:eastAsia="Arial" w:hAnsi="Arial"/>
          <w:sz w:val="17"/>
          <w:szCs w:val="17"/>
          <w:color w:val="FDB03F"/>
        </w:rPr>
      </w:pPr>
      <w:r>
        <w:rPr>
          <w:rFonts w:ascii="Arial" w:cs="Arial" w:eastAsia="Arial" w:hAnsi="Arial"/>
          <w:sz w:val="18"/>
          <w:szCs w:val="18"/>
          <w:color w:val="auto"/>
        </w:rPr>
        <w:t>Chairman, McGraw Hill Financial, Inc., 1999-2015</w:t>
      </w:r>
    </w:p>
    <w:p>
      <w:pPr>
        <w:ind w:left="260" w:right="100" w:hanging="252"/>
        <w:spacing w:after="0" w:line="234" w:lineRule="auto"/>
        <w:tabs>
          <w:tab w:leader="none" w:pos="260" w:val="left"/>
        </w:tabs>
        <w:numPr>
          <w:ilvl w:val="0"/>
          <w:numId w:val="58"/>
        </w:numPr>
        <w:rPr>
          <w:rFonts w:ascii="Arial" w:cs="Arial" w:eastAsia="Arial" w:hAnsi="Arial"/>
          <w:sz w:val="17"/>
          <w:szCs w:val="17"/>
          <w:color w:val="FDB03F"/>
        </w:rPr>
      </w:pPr>
      <w:r>
        <w:rPr>
          <w:rFonts w:ascii="Arial" w:cs="Arial" w:eastAsia="Arial" w:hAnsi="Arial"/>
          <w:sz w:val="18"/>
          <w:szCs w:val="18"/>
          <w:color w:val="auto"/>
        </w:rPr>
        <w:t>President and Chief Executive Officer, The McGraw-Hill Companies, 1998-2013</w:t>
      </w:r>
    </w:p>
    <w:p>
      <w:pPr>
        <w:spacing w:after="0" w:line="1" w:lineRule="exact"/>
        <w:rPr>
          <w:rFonts w:ascii="Arial" w:cs="Arial" w:eastAsia="Arial" w:hAnsi="Arial"/>
          <w:sz w:val="17"/>
          <w:szCs w:val="17"/>
          <w:color w:val="FDB03F"/>
        </w:rPr>
      </w:pPr>
    </w:p>
    <w:p>
      <w:pPr>
        <w:ind w:left="260" w:right="100" w:hanging="252"/>
        <w:spacing w:after="0" w:line="246" w:lineRule="auto"/>
        <w:tabs>
          <w:tab w:leader="none" w:pos="260" w:val="left"/>
        </w:tabs>
        <w:numPr>
          <w:ilvl w:val="0"/>
          <w:numId w:val="58"/>
        </w:numPr>
        <w:rPr>
          <w:rFonts w:ascii="Arial" w:cs="Arial" w:eastAsia="Arial" w:hAnsi="Arial"/>
          <w:sz w:val="17"/>
          <w:szCs w:val="17"/>
          <w:color w:val="FDB03F"/>
        </w:rPr>
      </w:pPr>
      <w:r>
        <w:rPr>
          <w:rFonts w:ascii="Arial" w:cs="Arial" w:eastAsia="Arial" w:hAnsi="Arial"/>
          <w:sz w:val="18"/>
          <w:szCs w:val="18"/>
          <w:color w:val="auto"/>
        </w:rPr>
        <w:t>President and Chief Operating Officer, The McGraw-Hill Companies, 1993-1998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Other Current Directorships:</w:t>
      </w:r>
    </w:p>
    <w:p>
      <w:pPr>
        <w:spacing w:after="0" w:line="54"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7"/>
          <w:szCs w:val="17"/>
          <w:color w:val="FDB03F"/>
        </w:rPr>
      </w:pPr>
      <w:r>
        <w:rPr>
          <w:rFonts w:ascii="Arial" w:cs="Arial" w:eastAsia="Arial" w:hAnsi="Arial"/>
          <w:sz w:val="18"/>
          <w:szCs w:val="18"/>
          <w:color w:val="auto"/>
        </w:rPr>
        <w:t>Phillips 66 Company, since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-2099945</wp:posOffset>
            </wp:positionV>
            <wp:extent cx="6089015" cy="1912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89015" cy="1912620"/>
                    </a:xfrm>
                    <a:prstGeom prst="rect">
                      <a:avLst/>
                    </a:prstGeom>
                    <a:noFill/>
                  </pic:spPr>
                </pic:pic>
              </a:graphicData>
            </a:graphic>
          </wp:anchor>
        </w:drawing>
      </w:r>
    </w:p>
    <w:p>
      <w:pPr>
        <w:spacing w:after="0" w:line="30" w:lineRule="exact"/>
        <w:rPr>
          <w:sz w:val="20"/>
          <w:szCs w:val="20"/>
          <w:color w:val="auto"/>
        </w:rPr>
      </w:pPr>
    </w:p>
    <w:p>
      <w:pPr>
        <w:ind w:left="266" w:hanging="266"/>
        <w:spacing w:after="0"/>
        <w:tabs>
          <w:tab w:leader="none" w:pos="266" w:val="left"/>
        </w:tabs>
        <w:numPr>
          <w:ilvl w:val="0"/>
          <w:numId w:val="60"/>
        </w:numPr>
        <w:rPr>
          <w:rFonts w:ascii="Arial" w:cs="Arial" w:eastAsia="Arial" w:hAnsi="Arial"/>
          <w:sz w:val="17"/>
          <w:szCs w:val="17"/>
          <w:color w:val="FDB03F"/>
        </w:rPr>
      </w:pPr>
      <w:r>
        <w:rPr>
          <w:rFonts w:ascii="Arial" w:cs="Arial" w:eastAsia="Arial" w:hAnsi="Arial"/>
          <w:sz w:val="18"/>
          <w:szCs w:val="18"/>
          <w:color w:val="auto"/>
        </w:rPr>
        <w:t>Air Lease Corporation, since 2014</w:t>
      </w:r>
    </w:p>
    <w:p>
      <w:pPr>
        <w:ind w:left="266" w:hanging="266"/>
        <w:spacing w:after="0" w:line="234" w:lineRule="auto"/>
        <w:tabs>
          <w:tab w:leader="none" w:pos="266" w:val="left"/>
        </w:tabs>
        <w:numPr>
          <w:ilvl w:val="0"/>
          <w:numId w:val="60"/>
        </w:numPr>
        <w:rPr>
          <w:rFonts w:ascii="Arial" w:cs="Arial" w:eastAsia="Arial" w:hAnsi="Arial"/>
          <w:sz w:val="17"/>
          <w:szCs w:val="17"/>
          <w:color w:val="FDB03F"/>
        </w:rPr>
      </w:pPr>
      <w:r>
        <w:rPr>
          <w:rFonts w:ascii="Arial" w:cs="Arial" w:eastAsia="Arial" w:hAnsi="Arial"/>
          <w:sz w:val="18"/>
          <w:szCs w:val="18"/>
          <w:color w:val="auto"/>
        </w:rPr>
        <w:t>Becton, Dickinson and Company, since 2007</w:t>
      </w:r>
    </w:p>
    <w:p>
      <w:pPr>
        <w:ind w:left="266" w:hanging="266"/>
        <w:spacing w:after="0"/>
        <w:tabs>
          <w:tab w:leader="none" w:pos="266" w:val="left"/>
        </w:tabs>
        <w:numPr>
          <w:ilvl w:val="0"/>
          <w:numId w:val="60"/>
        </w:numPr>
        <w:rPr>
          <w:rFonts w:ascii="Arial" w:cs="Arial" w:eastAsia="Arial" w:hAnsi="Arial"/>
          <w:sz w:val="17"/>
          <w:szCs w:val="17"/>
          <w:color w:val="FDB03F"/>
        </w:rPr>
      </w:pPr>
      <w:r>
        <w:rPr>
          <w:rFonts w:ascii="Arial" w:cs="Arial" w:eastAsia="Arial" w:hAnsi="Arial"/>
          <w:sz w:val="18"/>
          <w:szCs w:val="18"/>
          <w:color w:val="auto"/>
        </w:rPr>
        <w:t>Lowe’s Companies, Inc., since 2004</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41" w:lineRule="exact"/>
        <w:rPr>
          <w:sz w:val="20"/>
          <w:szCs w:val="20"/>
          <w:color w:val="auto"/>
        </w:rPr>
      </w:pPr>
    </w:p>
    <w:p>
      <w:pPr>
        <w:ind w:left="266" w:right="1439" w:hanging="266"/>
        <w:spacing w:after="0" w:line="246" w:lineRule="auto"/>
        <w:tabs>
          <w:tab w:leader="none" w:pos="266" w:val="left"/>
        </w:tabs>
        <w:numPr>
          <w:ilvl w:val="0"/>
          <w:numId w:val="61"/>
        </w:numPr>
        <w:rPr>
          <w:rFonts w:ascii="Arial" w:cs="Arial" w:eastAsia="Arial" w:hAnsi="Arial"/>
          <w:sz w:val="17"/>
          <w:szCs w:val="17"/>
          <w:color w:val="FDB03F"/>
        </w:rPr>
      </w:pPr>
      <w:r>
        <w:rPr>
          <w:rFonts w:ascii="Arial" w:cs="Arial" w:eastAsia="Arial" w:hAnsi="Arial"/>
          <w:sz w:val="18"/>
          <w:szCs w:val="18"/>
          <w:color w:val="auto"/>
        </w:rPr>
        <w:t>Dean’s Advisory Council, Krannert School of Management, Purdue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288290</wp:posOffset>
            </wp:positionV>
            <wp:extent cx="6089015" cy="19037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901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36" w:lineRule="exact"/>
        <w:rPr>
          <w:sz w:val="20"/>
          <w:szCs w:val="20"/>
          <w:color w:val="auto"/>
        </w:rPr>
      </w:pPr>
    </w:p>
    <w:p>
      <w:pPr>
        <w:ind w:left="266" w:hanging="266"/>
        <w:spacing w:after="0"/>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Board of Trustees, Asia Society</w:t>
      </w:r>
    </w:p>
    <w:p>
      <w:pPr>
        <w:ind w:left="266" w:hanging="266"/>
        <w:spacing w:after="0" w:line="234" w:lineRule="auto"/>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Former Chairman, Business Roundtable</w:t>
      </w:r>
    </w:p>
    <w:p>
      <w:pPr>
        <w:ind w:left="266" w:hanging="266"/>
        <w:spacing w:after="0" w:line="234" w:lineRule="auto"/>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Board of Trustees, Carnegie Hall</w:t>
      </w:r>
    </w:p>
    <w:p>
      <w:pPr>
        <w:ind w:left="266" w:right="699" w:hanging="266"/>
        <w:spacing w:after="0" w:line="234" w:lineRule="auto"/>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Director Emeritus, Committee Encouraging Corporate Philanthropy</w:t>
      </w:r>
    </w:p>
    <w:p>
      <w:pPr>
        <w:spacing w:after="0" w:line="1" w:lineRule="exact"/>
        <w:rPr>
          <w:rFonts w:ascii="Arial" w:cs="Arial" w:eastAsia="Arial" w:hAnsi="Arial"/>
          <w:sz w:val="17"/>
          <w:szCs w:val="17"/>
          <w:color w:val="FDB03F"/>
        </w:rPr>
      </w:pPr>
    </w:p>
    <w:p>
      <w:pPr>
        <w:ind w:left="266" w:hanging="266"/>
        <w:spacing w:after="0" w:line="234" w:lineRule="auto"/>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Board of Trustees, New York Public Library</w:t>
      </w:r>
    </w:p>
    <w:p>
      <w:pPr>
        <w:ind w:left="266" w:hanging="266"/>
        <w:spacing w:after="0" w:line="234" w:lineRule="auto"/>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Chairman, U.S. Council for International Business</w:t>
      </w:r>
    </w:p>
    <w:p>
      <w:pPr>
        <w:ind w:left="266" w:right="799" w:hanging="266"/>
        <w:spacing w:after="0" w:line="246" w:lineRule="auto"/>
        <w:tabs>
          <w:tab w:leader="none" w:pos="266" w:val="left"/>
        </w:tabs>
        <w:numPr>
          <w:ilvl w:val="0"/>
          <w:numId w:val="62"/>
        </w:numPr>
        <w:rPr>
          <w:rFonts w:ascii="Arial" w:cs="Arial" w:eastAsia="Arial" w:hAnsi="Arial"/>
          <w:sz w:val="17"/>
          <w:szCs w:val="17"/>
          <w:color w:val="FDB03F"/>
        </w:rPr>
      </w:pPr>
      <w:r>
        <w:rPr>
          <w:rFonts w:ascii="Arial" w:cs="Arial" w:eastAsia="Arial" w:hAnsi="Arial"/>
          <w:sz w:val="18"/>
          <w:szCs w:val="18"/>
          <w:color w:val="auto"/>
        </w:rPr>
        <w:t>U.S. Trade Representative’s Advisory Committee for Trade Policy and Negotiations</w:t>
      </w:r>
    </w:p>
    <w:p>
      <w:pPr>
        <w:spacing w:after="0" w:line="536" w:lineRule="exact"/>
        <w:rPr>
          <w:sz w:val="20"/>
          <w:szCs w:val="20"/>
          <w:color w:val="auto"/>
        </w:rPr>
      </w:pPr>
    </w:p>
    <w:p>
      <w:pPr>
        <w:sectPr>
          <w:pgSz w:w="11900" w:h="16838" w:orient="portrait"/>
          <w:cols w:equalWidth="0" w:num="2">
            <w:col w:w="4540" w:space="454"/>
            <w:col w:w="5225"/>
          </w:cols>
          <w:pgMar w:left="240" w:top="121" w:right="1440" w:bottom="1440" w:gutter="0" w:footer="0" w:header="0"/>
        </w:sectPr>
      </w:pPr>
    </w:p>
    <w:p>
      <w:pPr>
        <w:spacing w:after="0" w:line="58" w:lineRule="exact"/>
        <w:rPr>
          <w:sz w:val="20"/>
          <w:szCs w:val="20"/>
          <w:color w:val="auto"/>
        </w:rPr>
      </w:pPr>
    </w:p>
    <w:p>
      <w:pPr>
        <w:ind w:left="880" w:hanging="628"/>
        <w:spacing w:after="0"/>
        <w:tabs>
          <w:tab w:leader="none" w:pos="880" w:val="left"/>
        </w:tabs>
        <w:numPr>
          <w:ilvl w:val="0"/>
          <w:numId w:val="63"/>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right="400" w:hanging="252"/>
        <w:spacing w:after="0" w:line="234" w:lineRule="auto"/>
        <w:tabs>
          <w:tab w:leader="none" w:pos="260" w:val="left"/>
        </w:tabs>
        <w:numPr>
          <w:ilvl w:val="0"/>
          <w:numId w:val="64"/>
        </w:numPr>
        <w:rPr>
          <w:rFonts w:ascii="Arial" w:cs="Arial" w:eastAsia="Arial" w:hAnsi="Arial"/>
          <w:sz w:val="17"/>
          <w:szCs w:val="17"/>
          <w:color w:val="FDB03F"/>
        </w:rPr>
      </w:pPr>
      <w:r>
        <w:rPr>
          <w:rFonts w:ascii="Arial" w:cs="Arial" w:eastAsia="Arial" w:hAnsi="Arial"/>
          <w:sz w:val="18"/>
          <w:szCs w:val="18"/>
          <w:color w:val="auto"/>
        </w:rPr>
        <w:t>Jeane Kirkpatrick Professor of the Practice of International Affairs, Harvard University Kennedy School (higher education), since 2009</w:t>
      </w:r>
    </w:p>
    <w:p>
      <w:pPr>
        <w:spacing w:after="0" w:line="2" w:lineRule="exact"/>
        <w:rPr>
          <w:rFonts w:ascii="Arial" w:cs="Arial" w:eastAsia="Arial" w:hAnsi="Arial"/>
          <w:sz w:val="17"/>
          <w:szCs w:val="17"/>
          <w:color w:val="FDB03F"/>
        </w:rPr>
      </w:pPr>
    </w:p>
    <w:p>
      <w:pPr>
        <w:ind w:left="260" w:right="60" w:hanging="252"/>
        <w:spacing w:after="0" w:line="234" w:lineRule="auto"/>
        <w:tabs>
          <w:tab w:leader="none" w:pos="260" w:val="left"/>
        </w:tabs>
        <w:numPr>
          <w:ilvl w:val="0"/>
          <w:numId w:val="64"/>
        </w:numPr>
        <w:rPr>
          <w:rFonts w:ascii="Arial" w:cs="Arial" w:eastAsia="Arial" w:hAnsi="Arial"/>
          <w:sz w:val="17"/>
          <w:szCs w:val="17"/>
          <w:color w:val="FDB03F"/>
        </w:rPr>
      </w:pPr>
      <w:r>
        <w:rPr>
          <w:rFonts w:ascii="Arial" w:cs="Arial" w:eastAsia="Arial" w:hAnsi="Arial"/>
          <w:sz w:val="18"/>
          <w:szCs w:val="18"/>
          <w:color w:val="auto"/>
        </w:rPr>
        <w:t>Director of the Geopolitics of Energy Project, Harvard University Kennedy School, since 2011</w:t>
      </w:r>
    </w:p>
    <w:p>
      <w:pPr>
        <w:spacing w:after="0" w:line="1" w:lineRule="exact"/>
        <w:rPr>
          <w:rFonts w:ascii="Arial" w:cs="Arial" w:eastAsia="Arial" w:hAnsi="Arial"/>
          <w:sz w:val="17"/>
          <w:szCs w:val="17"/>
          <w:color w:val="FDB03F"/>
        </w:rPr>
      </w:pPr>
    </w:p>
    <w:p>
      <w:pPr>
        <w:ind w:left="260" w:right="580" w:hanging="252"/>
        <w:spacing w:after="0" w:line="234" w:lineRule="auto"/>
        <w:tabs>
          <w:tab w:leader="none" w:pos="260" w:val="left"/>
        </w:tabs>
        <w:numPr>
          <w:ilvl w:val="0"/>
          <w:numId w:val="64"/>
        </w:numPr>
        <w:rPr>
          <w:rFonts w:ascii="Arial" w:cs="Arial" w:eastAsia="Arial" w:hAnsi="Arial"/>
          <w:sz w:val="17"/>
          <w:szCs w:val="17"/>
          <w:color w:val="FDB03F"/>
        </w:rPr>
      </w:pPr>
      <w:r>
        <w:rPr>
          <w:rFonts w:ascii="Arial" w:cs="Arial" w:eastAsia="Arial" w:hAnsi="Arial"/>
          <w:sz w:val="18"/>
          <w:szCs w:val="18"/>
          <w:color w:val="auto"/>
        </w:rPr>
        <w:t>Lecturer and Senior Fellow, Harvard University Kennedy School, 2008-2009</w:t>
      </w:r>
    </w:p>
    <w:p>
      <w:pPr>
        <w:spacing w:after="0" w:line="1" w:lineRule="exact"/>
        <w:rPr>
          <w:rFonts w:ascii="Arial" w:cs="Arial" w:eastAsia="Arial" w:hAnsi="Arial"/>
          <w:sz w:val="17"/>
          <w:szCs w:val="17"/>
          <w:color w:val="FDB03F"/>
        </w:rPr>
      </w:pPr>
    </w:p>
    <w:p>
      <w:pPr>
        <w:ind w:left="260" w:right="280" w:hanging="252"/>
        <w:spacing w:after="0" w:line="248" w:lineRule="auto"/>
        <w:tabs>
          <w:tab w:leader="none" w:pos="260" w:val="left"/>
        </w:tabs>
        <w:numPr>
          <w:ilvl w:val="0"/>
          <w:numId w:val="64"/>
        </w:numPr>
        <w:rPr>
          <w:rFonts w:ascii="Arial" w:cs="Arial" w:eastAsia="Arial" w:hAnsi="Arial"/>
          <w:sz w:val="16"/>
          <w:szCs w:val="16"/>
          <w:color w:val="FDB03F"/>
        </w:rPr>
      </w:pPr>
      <w:r>
        <w:rPr>
          <w:rFonts w:ascii="Arial" w:cs="Arial" w:eastAsia="Arial" w:hAnsi="Arial"/>
          <w:sz w:val="17"/>
          <w:szCs w:val="17"/>
          <w:color w:val="auto"/>
        </w:rPr>
        <w:t>Deputy National Security Advisor for Iraq and Afghanistan, National Security Council, 2005-2007</w:t>
      </w:r>
    </w:p>
    <w:p>
      <w:pPr>
        <w:spacing w:after="0" w:line="1" w:lineRule="exact"/>
        <w:rPr>
          <w:rFonts w:ascii="Arial" w:cs="Arial" w:eastAsia="Arial" w:hAnsi="Arial"/>
          <w:sz w:val="16"/>
          <w:szCs w:val="16"/>
          <w:color w:val="FDB03F"/>
        </w:rPr>
      </w:pPr>
    </w:p>
    <w:p>
      <w:pPr>
        <w:ind w:left="260" w:right="160" w:hanging="252"/>
        <w:spacing w:after="0" w:line="234" w:lineRule="auto"/>
        <w:tabs>
          <w:tab w:leader="none" w:pos="260" w:val="left"/>
        </w:tabs>
        <w:numPr>
          <w:ilvl w:val="0"/>
          <w:numId w:val="64"/>
        </w:numPr>
        <w:rPr>
          <w:rFonts w:ascii="Arial" w:cs="Arial" w:eastAsia="Arial" w:hAnsi="Arial"/>
          <w:sz w:val="17"/>
          <w:szCs w:val="17"/>
          <w:color w:val="FDB03F"/>
        </w:rPr>
      </w:pPr>
      <w:r>
        <w:rPr>
          <w:rFonts w:ascii="Arial" w:cs="Arial" w:eastAsia="Arial" w:hAnsi="Arial"/>
          <w:sz w:val="18"/>
          <w:szCs w:val="18"/>
          <w:color w:val="auto"/>
        </w:rPr>
        <w:t>Special Assistant to the President, National Security Council, 2004-2007</w:t>
      </w:r>
    </w:p>
    <w:p>
      <w:pPr>
        <w:spacing w:after="0" w:line="1" w:lineRule="exact"/>
        <w:rPr>
          <w:rFonts w:ascii="Arial" w:cs="Arial" w:eastAsia="Arial" w:hAnsi="Arial"/>
          <w:sz w:val="17"/>
          <w:szCs w:val="17"/>
          <w:color w:val="FDB03F"/>
        </w:rPr>
      </w:pPr>
    </w:p>
    <w:p>
      <w:pPr>
        <w:ind w:left="260" w:right="740" w:hanging="252"/>
        <w:spacing w:after="0" w:line="246" w:lineRule="auto"/>
        <w:tabs>
          <w:tab w:leader="none" w:pos="260" w:val="left"/>
        </w:tabs>
        <w:numPr>
          <w:ilvl w:val="0"/>
          <w:numId w:val="64"/>
        </w:numPr>
        <w:rPr>
          <w:rFonts w:ascii="Arial" w:cs="Arial" w:eastAsia="Arial" w:hAnsi="Arial"/>
          <w:sz w:val="17"/>
          <w:szCs w:val="17"/>
          <w:color w:val="FDB03F"/>
        </w:rPr>
      </w:pPr>
      <w:r>
        <w:rPr>
          <w:rFonts w:ascii="Arial" w:cs="Arial" w:eastAsia="Arial" w:hAnsi="Arial"/>
          <w:sz w:val="18"/>
          <w:szCs w:val="18"/>
          <w:color w:val="auto"/>
        </w:rPr>
        <w:t>Deputy Director (Governance), Iraq Coalition Provisional Authority, 2003-2004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41" w:lineRule="exact"/>
        <w:rPr>
          <w:sz w:val="20"/>
          <w:szCs w:val="20"/>
          <w:color w:val="auto"/>
        </w:rPr>
      </w:pPr>
    </w:p>
    <w:p>
      <w:pPr>
        <w:ind w:left="260" w:hanging="252"/>
        <w:spacing w:after="0" w:line="234" w:lineRule="auto"/>
        <w:tabs>
          <w:tab w:leader="none" w:pos="260" w:val="left"/>
        </w:tabs>
        <w:numPr>
          <w:ilvl w:val="0"/>
          <w:numId w:val="65"/>
        </w:numPr>
        <w:rPr>
          <w:rFonts w:ascii="Arial" w:cs="Arial" w:eastAsia="Arial" w:hAnsi="Arial"/>
          <w:sz w:val="17"/>
          <w:szCs w:val="17"/>
          <w:color w:val="FDB03F"/>
        </w:rPr>
      </w:pPr>
      <w:r>
        <w:rPr>
          <w:rFonts w:ascii="Arial" w:cs="Arial" w:eastAsia="Arial" w:hAnsi="Arial"/>
          <w:sz w:val="18"/>
          <w:szCs w:val="18"/>
          <w:color w:val="auto"/>
        </w:rPr>
        <w:t>Chief Executive Officer &amp; President, ITT Inc. (formerly ITT Corporation – a diversified manufacturer of critical components and customized technology solutions), 2011-2018</w:t>
      </w:r>
    </w:p>
    <w:p>
      <w:pPr>
        <w:spacing w:after="0" w:line="3" w:lineRule="exact"/>
        <w:rPr>
          <w:rFonts w:ascii="Arial" w:cs="Arial" w:eastAsia="Arial" w:hAnsi="Arial"/>
          <w:sz w:val="17"/>
          <w:szCs w:val="17"/>
          <w:color w:val="FDB03F"/>
        </w:rPr>
      </w:pPr>
    </w:p>
    <w:p>
      <w:pPr>
        <w:ind w:left="260" w:right="40" w:hanging="252"/>
        <w:spacing w:after="0" w:line="234" w:lineRule="auto"/>
        <w:tabs>
          <w:tab w:leader="none" w:pos="260" w:val="left"/>
        </w:tabs>
        <w:numPr>
          <w:ilvl w:val="0"/>
          <w:numId w:val="65"/>
        </w:numPr>
        <w:rPr>
          <w:rFonts w:ascii="Arial" w:cs="Arial" w:eastAsia="Arial" w:hAnsi="Arial"/>
          <w:sz w:val="17"/>
          <w:szCs w:val="17"/>
          <w:color w:val="FDB03F"/>
        </w:rPr>
      </w:pPr>
      <w:r>
        <w:rPr>
          <w:rFonts w:ascii="Arial" w:cs="Arial" w:eastAsia="Arial" w:hAnsi="Arial"/>
          <w:sz w:val="18"/>
          <w:szCs w:val="18"/>
          <w:color w:val="auto"/>
        </w:rPr>
        <w:t>Senior Vice President and Chief Financial Officer, ITT Corporation, 2007-2011</w:t>
      </w:r>
    </w:p>
    <w:p>
      <w:pPr>
        <w:spacing w:after="0" w:line="1" w:lineRule="exact"/>
        <w:rPr>
          <w:rFonts w:ascii="Arial" w:cs="Arial" w:eastAsia="Arial" w:hAnsi="Arial"/>
          <w:sz w:val="17"/>
          <w:szCs w:val="17"/>
          <w:color w:val="FDB03F"/>
        </w:rPr>
      </w:pPr>
    </w:p>
    <w:p>
      <w:pPr>
        <w:ind w:left="260" w:right="60" w:hanging="252"/>
        <w:spacing w:after="0" w:line="246" w:lineRule="auto"/>
        <w:tabs>
          <w:tab w:leader="none" w:pos="260" w:val="left"/>
        </w:tabs>
        <w:numPr>
          <w:ilvl w:val="0"/>
          <w:numId w:val="65"/>
        </w:numPr>
        <w:rPr>
          <w:rFonts w:ascii="Arial" w:cs="Arial" w:eastAsia="Arial" w:hAnsi="Arial"/>
          <w:sz w:val="17"/>
          <w:szCs w:val="17"/>
          <w:color w:val="FDB03F"/>
        </w:rPr>
      </w:pPr>
      <w:r>
        <w:rPr>
          <w:rFonts w:ascii="Arial" w:cs="Arial" w:eastAsia="Arial" w:hAnsi="Arial"/>
          <w:sz w:val="18"/>
          <w:szCs w:val="18"/>
          <w:color w:val="auto"/>
        </w:rPr>
        <w:t>Chief Financial Officer, Furniture Brands International (home furnishings), 2005-2007</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FFFFFF"/>
        </w:rPr>
        <w:t xml:space="preserve">PROPOSAL 1  </w:t>
      </w:r>
      <w:r>
        <w:rPr>
          <w:sz w:val="1"/>
          <w:szCs w:val="1"/>
          <w:color w:val="auto"/>
        </w:rPr>
        <w:drawing>
          <wp:inline distT="0" distB="0" distL="0" distR="0">
            <wp:extent cx="26035" cy="1289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4"/>
          <w:szCs w:val="14"/>
          <w:b w:val="1"/>
          <w:bCs w:val="1"/>
          <w:color w:val="0E93D8"/>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-128270</wp:posOffset>
            </wp:positionV>
            <wp:extent cx="7246620" cy="2212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6" w:right="1860" w:hanging="266"/>
        <w:spacing w:after="0" w:line="234" w:lineRule="auto"/>
        <w:tabs>
          <w:tab w:leader="none" w:pos="266" w:val="left"/>
        </w:tabs>
        <w:numPr>
          <w:ilvl w:val="0"/>
          <w:numId w:val="66"/>
        </w:numPr>
        <w:rPr>
          <w:rFonts w:ascii="Arial" w:cs="Arial" w:eastAsia="Arial" w:hAnsi="Arial"/>
          <w:sz w:val="17"/>
          <w:szCs w:val="17"/>
          <w:color w:val="FDB03F"/>
        </w:rPr>
      </w:pPr>
      <w:r>
        <w:rPr>
          <w:rFonts w:ascii="Arial" w:cs="Arial" w:eastAsia="Arial" w:hAnsi="Arial"/>
          <w:sz w:val="18"/>
          <w:szCs w:val="18"/>
          <w:color w:val="auto"/>
        </w:rPr>
        <w:t>Principal Advisor to the President’s Special Envoy to the Northern Ireland Peace Process, U.S. Department of State, 2001-2003</w:t>
      </w:r>
    </w:p>
    <w:p>
      <w:pPr>
        <w:spacing w:after="0" w:line="2" w:lineRule="exact"/>
        <w:rPr>
          <w:rFonts w:ascii="Arial" w:cs="Arial" w:eastAsia="Arial" w:hAnsi="Arial"/>
          <w:sz w:val="17"/>
          <w:szCs w:val="17"/>
          <w:color w:val="FDB03F"/>
        </w:rPr>
      </w:pPr>
    </w:p>
    <w:p>
      <w:pPr>
        <w:ind w:left="266" w:hanging="266"/>
        <w:spacing w:after="0"/>
        <w:tabs>
          <w:tab w:leader="none" w:pos="266" w:val="left"/>
        </w:tabs>
        <w:numPr>
          <w:ilvl w:val="0"/>
          <w:numId w:val="66"/>
        </w:numPr>
        <w:rPr>
          <w:rFonts w:ascii="Arial" w:cs="Arial" w:eastAsia="Arial" w:hAnsi="Arial"/>
          <w:sz w:val="17"/>
          <w:szCs w:val="17"/>
          <w:color w:val="FDB03F"/>
        </w:rPr>
      </w:pPr>
      <w:r>
        <w:rPr>
          <w:rFonts w:ascii="Arial" w:cs="Arial" w:eastAsia="Arial" w:hAnsi="Arial"/>
          <w:sz w:val="18"/>
          <w:szCs w:val="18"/>
          <w:color w:val="auto"/>
        </w:rPr>
        <w:t>Fellow, The Brookings Institution, 1997-2001</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50" w:lineRule="exact"/>
        <w:rPr>
          <w:sz w:val="20"/>
          <w:szCs w:val="20"/>
          <w:color w:val="auto"/>
        </w:rPr>
      </w:pPr>
    </w:p>
    <w:p>
      <w:pPr>
        <w:ind w:left="266" w:hanging="266"/>
        <w:spacing w:after="0"/>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Aspen Strategy Group</w:t>
      </w:r>
    </w:p>
    <w:p>
      <w:pPr>
        <w:ind w:left="266" w:hanging="266"/>
        <w:spacing w:after="0" w:line="234" w:lineRule="auto"/>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Adjunct Senior Fellow, Council on Foreign Relations</w:t>
      </w:r>
    </w:p>
    <w:p>
      <w:pPr>
        <w:ind w:left="266" w:right="1940" w:hanging="266"/>
        <w:spacing w:after="0" w:line="234" w:lineRule="auto"/>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Advisory Council, George W. Bush Institute Women’s Initiative</w:t>
      </w:r>
    </w:p>
    <w:p>
      <w:pPr>
        <w:spacing w:after="0" w:line="1" w:lineRule="exact"/>
        <w:rPr>
          <w:rFonts w:ascii="Arial" w:cs="Arial" w:eastAsia="Arial" w:hAnsi="Arial"/>
          <w:sz w:val="17"/>
          <w:szCs w:val="17"/>
          <w:color w:val="FDB03F"/>
        </w:rPr>
      </w:pPr>
    </w:p>
    <w:p>
      <w:pPr>
        <w:ind w:left="266" w:right="1940" w:hanging="266"/>
        <w:spacing w:after="0" w:line="234" w:lineRule="auto"/>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Board of Trustees, The German Marshall Fund of the United States</w:t>
      </w:r>
    </w:p>
    <w:p>
      <w:pPr>
        <w:spacing w:after="0" w:line="1" w:lineRule="exact"/>
        <w:rPr>
          <w:rFonts w:ascii="Arial" w:cs="Arial" w:eastAsia="Arial" w:hAnsi="Arial"/>
          <w:sz w:val="17"/>
          <w:szCs w:val="17"/>
          <w:color w:val="FDB03F"/>
        </w:rPr>
      </w:pPr>
    </w:p>
    <w:p>
      <w:pPr>
        <w:ind w:left="266" w:hanging="266"/>
        <w:spacing w:after="0" w:line="234" w:lineRule="auto"/>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Board of Trustees, The International Crisis Group</w:t>
      </w:r>
    </w:p>
    <w:p>
      <w:pPr>
        <w:ind w:left="266" w:hanging="266"/>
        <w:spacing w:after="0" w:line="234" w:lineRule="auto"/>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International Advisory Board, Linklaters LLP</w:t>
      </w:r>
    </w:p>
    <w:p>
      <w:pPr>
        <w:ind w:left="266" w:hanging="266"/>
        <w:spacing w:after="0" w:line="234" w:lineRule="auto"/>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Board of Directors, The Mission Continues</w:t>
      </w:r>
    </w:p>
    <w:p>
      <w:pPr>
        <w:ind w:left="266" w:hanging="266"/>
        <w:spacing w:after="0"/>
        <w:tabs>
          <w:tab w:leader="none" w:pos="266" w:val="left"/>
        </w:tabs>
        <w:numPr>
          <w:ilvl w:val="0"/>
          <w:numId w:val="67"/>
        </w:numPr>
        <w:rPr>
          <w:rFonts w:ascii="Arial" w:cs="Arial" w:eastAsia="Arial" w:hAnsi="Arial"/>
          <w:sz w:val="17"/>
          <w:szCs w:val="17"/>
          <w:color w:val="FDB03F"/>
        </w:rPr>
      </w:pPr>
      <w:r>
        <w:rPr>
          <w:rFonts w:ascii="Arial" w:cs="Arial" w:eastAsia="Arial" w:hAnsi="Arial"/>
          <w:sz w:val="18"/>
          <w:szCs w:val="18"/>
          <w:color w:val="auto"/>
        </w:rPr>
        <w:t>North America Chair, The Trilateral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135255</wp:posOffset>
            </wp:positionV>
            <wp:extent cx="6089015" cy="18611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8901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6" w:right="2100" w:hanging="266"/>
        <w:spacing w:after="0"/>
        <w:tabs>
          <w:tab w:leader="none" w:pos="266" w:val="left"/>
        </w:tabs>
        <w:numPr>
          <w:ilvl w:val="0"/>
          <w:numId w:val="68"/>
        </w:numPr>
        <w:rPr>
          <w:rFonts w:ascii="Arial" w:cs="Arial" w:eastAsia="Arial" w:hAnsi="Arial"/>
          <w:sz w:val="17"/>
          <w:szCs w:val="17"/>
          <w:color w:val="FDB03F"/>
        </w:rPr>
      </w:pPr>
      <w:r>
        <w:rPr>
          <w:rFonts w:ascii="Arial" w:cs="Arial" w:eastAsia="Arial" w:hAnsi="Arial"/>
          <w:sz w:val="18"/>
          <w:szCs w:val="18"/>
          <w:color w:val="auto"/>
        </w:rPr>
        <w:t>Senior Vice President &amp; Corporate Treasurer, Yum! Brands, Inc., and Chief Financial Officer, KFC Corporation (U.S. Division), 2000-2005</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41" w:lineRule="exact"/>
        <w:rPr>
          <w:sz w:val="20"/>
          <w:szCs w:val="20"/>
          <w:color w:val="auto"/>
        </w:rPr>
      </w:pPr>
    </w:p>
    <w:p>
      <w:pPr>
        <w:ind w:left="266" w:hanging="266"/>
        <w:spacing w:after="0"/>
        <w:tabs>
          <w:tab w:leader="none" w:pos="266" w:val="left"/>
        </w:tabs>
        <w:numPr>
          <w:ilvl w:val="0"/>
          <w:numId w:val="69"/>
        </w:numPr>
        <w:rPr>
          <w:rFonts w:ascii="Arial" w:cs="Arial" w:eastAsia="Arial" w:hAnsi="Arial"/>
          <w:sz w:val="17"/>
          <w:szCs w:val="17"/>
          <w:color w:val="FDB03F"/>
        </w:rPr>
      </w:pPr>
      <w:r>
        <w:rPr>
          <w:rFonts w:ascii="Arial" w:cs="Arial" w:eastAsia="Arial" w:hAnsi="Arial"/>
          <w:sz w:val="18"/>
          <w:szCs w:val="18"/>
          <w:color w:val="auto"/>
        </w:rPr>
        <w:t>Phillips 66 Company, since 2016</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Former Public Company Directorships:</w:t>
      </w:r>
    </w:p>
    <w:p>
      <w:pPr>
        <w:spacing w:after="0" w:line="50" w:lineRule="exact"/>
        <w:rPr>
          <w:sz w:val="20"/>
          <w:szCs w:val="20"/>
          <w:color w:val="auto"/>
        </w:rPr>
      </w:pPr>
    </w:p>
    <w:p>
      <w:pPr>
        <w:ind w:left="266" w:hanging="266"/>
        <w:spacing w:after="0"/>
        <w:tabs>
          <w:tab w:leader="none" w:pos="266" w:val="left"/>
        </w:tabs>
        <w:numPr>
          <w:ilvl w:val="0"/>
          <w:numId w:val="70"/>
        </w:numPr>
        <w:rPr>
          <w:rFonts w:ascii="Arial" w:cs="Arial" w:eastAsia="Arial" w:hAnsi="Arial"/>
          <w:sz w:val="17"/>
          <w:szCs w:val="17"/>
          <w:color w:val="FDB03F"/>
        </w:rPr>
      </w:pPr>
      <w:r>
        <w:rPr>
          <w:rFonts w:ascii="Arial" w:cs="Arial" w:eastAsia="Arial" w:hAnsi="Arial"/>
          <w:sz w:val="18"/>
          <w:szCs w:val="18"/>
          <w:color w:val="auto"/>
        </w:rPr>
        <w:t>ITT Inc., 2011-2018</w:t>
      </w:r>
    </w:p>
    <w:p>
      <w:pPr>
        <w:ind w:left="266" w:hanging="266"/>
        <w:spacing w:after="0"/>
        <w:tabs>
          <w:tab w:leader="none" w:pos="266" w:val="left"/>
        </w:tabs>
        <w:numPr>
          <w:ilvl w:val="0"/>
          <w:numId w:val="70"/>
        </w:numPr>
        <w:rPr>
          <w:rFonts w:ascii="Arial" w:cs="Arial" w:eastAsia="Arial" w:hAnsi="Arial"/>
          <w:sz w:val="17"/>
          <w:szCs w:val="17"/>
          <w:color w:val="FDB03F"/>
        </w:rPr>
      </w:pPr>
      <w:r>
        <w:rPr>
          <w:rFonts w:ascii="Arial" w:cs="Arial" w:eastAsia="Arial" w:hAnsi="Arial"/>
          <w:sz w:val="18"/>
          <w:szCs w:val="18"/>
          <w:color w:val="auto"/>
        </w:rPr>
        <w:t>Praxair, Inc., 2014-2016</w:t>
      </w:r>
    </w:p>
    <w:p>
      <w:pPr>
        <w:spacing w:after="0" w:line="240" w:lineRule="exact"/>
        <w:rPr>
          <w:sz w:val="20"/>
          <w:szCs w:val="20"/>
          <w:color w:val="auto"/>
        </w:rPr>
      </w:pPr>
    </w:p>
    <w:tbl>
      <w:tblPr>
        <w:tblLayout w:type="fixed"/>
        <w:tblInd w:w="166"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220980</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560" w:space="434"/>
            <w:col w:w="6426"/>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96405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64055" cy="128905"/>
                    </a:xfrm>
                    <a:prstGeom prst="rect">
                      <a:avLst/>
                    </a:prstGeom>
                    <a:noFill/>
                  </pic:spPr>
                </pic:pic>
              </a:graphicData>
            </a:graphic>
          </wp:anchor>
        </w:drawing>
      </w:r>
    </w:p>
    <w:p>
      <w:pPr>
        <w:spacing w:after="0" w:line="221"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4"/>
          <w:szCs w:val="14"/>
          <w:b w:val="1"/>
          <w:bCs w:val="1"/>
          <w:color w:val="0E93D8"/>
        </w:rPr>
        <w:t>PROPOSAL 1</w:t>
      </w:r>
      <w:r>
        <w:rPr>
          <w:sz w:val="20"/>
          <w:szCs w:val="20"/>
          <w:color w:val="auto"/>
        </w:rPr>
        <w:tab/>
      </w:r>
      <w:r>
        <w:rPr>
          <w:rFonts w:ascii="Arial" w:cs="Arial" w:eastAsia="Arial" w:hAnsi="Arial"/>
          <w:sz w:val="12"/>
          <w:szCs w:val="12"/>
          <w:b w:val="1"/>
          <w:bCs w:val="1"/>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54" w:lineRule="exact"/>
        <w:rPr>
          <w:sz w:val="20"/>
          <w:szCs w:val="20"/>
          <w:color w:val="auto"/>
        </w:rPr>
      </w:pPr>
    </w:p>
    <w:p>
      <w:pPr>
        <w:ind w:left="260" w:hanging="252"/>
        <w:spacing w:after="0" w:line="234" w:lineRule="auto"/>
        <w:tabs>
          <w:tab w:leader="none" w:pos="260" w:val="left"/>
        </w:tabs>
        <w:numPr>
          <w:ilvl w:val="0"/>
          <w:numId w:val="71"/>
        </w:numPr>
        <w:rPr>
          <w:rFonts w:ascii="Arial" w:cs="Arial" w:eastAsia="Arial" w:hAnsi="Arial"/>
          <w:sz w:val="17"/>
          <w:szCs w:val="17"/>
          <w:color w:val="FDB03F"/>
        </w:rPr>
      </w:pPr>
      <w:r>
        <w:rPr>
          <w:rFonts w:ascii="Arial" w:cs="Arial" w:eastAsia="Arial" w:hAnsi="Arial"/>
          <w:sz w:val="18"/>
          <w:szCs w:val="18"/>
          <w:color w:val="auto"/>
        </w:rPr>
        <w:t>Executive Vice President and Chief Financial Officer, CBS Corporation (mass media), 2005-2009</w:t>
      </w:r>
    </w:p>
    <w:p>
      <w:pPr>
        <w:spacing w:after="0" w:line="1" w:lineRule="exact"/>
        <w:rPr>
          <w:rFonts w:ascii="Arial" w:cs="Arial" w:eastAsia="Arial" w:hAnsi="Arial"/>
          <w:sz w:val="17"/>
          <w:szCs w:val="17"/>
          <w:color w:val="FDB03F"/>
        </w:rPr>
      </w:pPr>
    </w:p>
    <w:p>
      <w:pPr>
        <w:ind w:left="260" w:right="20" w:hanging="252"/>
        <w:spacing w:after="0" w:line="234" w:lineRule="auto"/>
        <w:tabs>
          <w:tab w:leader="none" w:pos="260" w:val="left"/>
        </w:tabs>
        <w:numPr>
          <w:ilvl w:val="0"/>
          <w:numId w:val="71"/>
        </w:numPr>
        <w:rPr>
          <w:rFonts w:ascii="Arial" w:cs="Arial" w:eastAsia="Arial" w:hAnsi="Arial"/>
          <w:sz w:val="17"/>
          <w:szCs w:val="17"/>
          <w:color w:val="FDB03F"/>
        </w:rPr>
      </w:pPr>
      <w:r>
        <w:rPr>
          <w:rFonts w:ascii="Arial" w:cs="Arial" w:eastAsia="Arial" w:hAnsi="Arial"/>
          <w:sz w:val="18"/>
          <w:szCs w:val="18"/>
          <w:color w:val="auto"/>
        </w:rPr>
        <w:t>President and Chief Executive Officer, Viacom Television Stations Group (CBS predecessor), 2001-2005</w:t>
      </w:r>
    </w:p>
    <w:p>
      <w:pPr>
        <w:spacing w:after="0" w:line="2" w:lineRule="exact"/>
        <w:rPr>
          <w:rFonts w:ascii="Arial" w:cs="Arial" w:eastAsia="Arial" w:hAnsi="Arial"/>
          <w:sz w:val="17"/>
          <w:szCs w:val="17"/>
          <w:color w:val="FDB03F"/>
        </w:rPr>
      </w:pPr>
    </w:p>
    <w:p>
      <w:pPr>
        <w:ind w:left="260" w:hanging="252"/>
        <w:spacing w:after="0" w:line="234" w:lineRule="auto"/>
        <w:tabs>
          <w:tab w:leader="none" w:pos="260" w:val="left"/>
        </w:tabs>
        <w:numPr>
          <w:ilvl w:val="0"/>
          <w:numId w:val="71"/>
        </w:numPr>
        <w:rPr>
          <w:rFonts w:ascii="Arial" w:cs="Arial" w:eastAsia="Arial" w:hAnsi="Arial"/>
          <w:sz w:val="17"/>
          <w:szCs w:val="17"/>
          <w:color w:val="FDB03F"/>
        </w:rPr>
      </w:pPr>
      <w:r>
        <w:rPr>
          <w:rFonts w:ascii="Arial" w:cs="Arial" w:eastAsia="Arial" w:hAnsi="Arial"/>
          <w:sz w:val="18"/>
          <w:szCs w:val="18"/>
          <w:color w:val="auto"/>
        </w:rPr>
        <w:t>Executive Vice President and Chief Financial Officer, Viacom, Inc., 2000-2001</w:t>
      </w:r>
    </w:p>
    <w:p>
      <w:pPr>
        <w:spacing w:after="0" w:line="1" w:lineRule="exact"/>
        <w:rPr>
          <w:rFonts w:ascii="Arial" w:cs="Arial" w:eastAsia="Arial" w:hAnsi="Arial"/>
          <w:sz w:val="17"/>
          <w:szCs w:val="17"/>
          <w:color w:val="FDB03F"/>
        </w:rPr>
      </w:pPr>
    </w:p>
    <w:p>
      <w:pPr>
        <w:ind w:left="260" w:hanging="252"/>
        <w:spacing w:after="0" w:line="248" w:lineRule="auto"/>
        <w:tabs>
          <w:tab w:leader="none" w:pos="260" w:val="left"/>
        </w:tabs>
        <w:numPr>
          <w:ilvl w:val="0"/>
          <w:numId w:val="71"/>
        </w:numPr>
        <w:rPr>
          <w:rFonts w:ascii="Arial" w:cs="Arial" w:eastAsia="Arial" w:hAnsi="Arial"/>
          <w:sz w:val="16"/>
          <w:szCs w:val="16"/>
          <w:color w:val="FDB03F"/>
        </w:rPr>
      </w:pPr>
      <w:r>
        <w:rPr>
          <w:rFonts w:ascii="Arial" w:cs="Arial" w:eastAsia="Arial" w:hAnsi="Arial"/>
          <w:sz w:val="17"/>
          <w:szCs w:val="17"/>
          <w:color w:val="auto"/>
        </w:rPr>
        <w:t>Executive Vice President and Chief Financial Officer, Westinghouse Electric Corporation, 1994-2000</w:t>
      </w:r>
    </w:p>
    <w:p>
      <w:pPr>
        <w:spacing w:after="0" w:line="1" w:lineRule="exact"/>
        <w:rPr>
          <w:rFonts w:ascii="Arial" w:cs="Arial" w:eastAsia="Arial" w:hAnsi="Arial"/>
          <w:sz w:val="16"/>
          <w:szCs w:val="16"/>
          <w:color w:val="FDB03F"/>
        </w:rPr>
      </w:pPr>
    </w:p>
    <w:p>
      <w:pPr>
        <w:ind w:left="260" w:hanging="252"/>
        <w:spacing w:after="0"/>
        <w:tabs>
          <w:tab w:leader="none" w:pos="260" w:val="left"/>
        </w:tabs>
        <w:numPr>
          <w:ilvl w:val="0"/>
          <w:numId w:val="71"/>
        </w:numPr>
        <w:rPr>
          <w:rFonts w:ascii="Arial" w:cs="Arial" w:eastAsia="Arial" w:hAnsi="Arial"/>
          <w:sz w:val="17"/>
          <w:szCs w:val="17"/>
          <w:color w:val="FDB03F"/>
        </w:rPr>
      </w:pPr>
      <w:r>
        <w:rPr>
          <w:rFonts w:ascii="Arial" w:cs="Arial" w:eastAsia="Arial" w:hAnsi="Arial"/>
          <w:sz w:val="18"/>
          <w:szCs w:val="18"/>
          <w:color w:val="auto"/>
        </w:rPr>
        <w:t>Various positions at PepsiCo, Inc., 1982-1994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Experience:</w:t>
      </w:r>
    </w:p>
    <w:p>
      <w:pPr>
        <w:spacing w:after="0" w:line="41" w:lineRule="exact"/>
        <w:rPr>
          <w:sz w:val="20"/>
          <w:szCs w:val="20"/>
          <w:color w:val="auto"/>
        </w:rPr>
      </w:pPr>
    </w:p>
    <w:p>
      <w:pPr>
        <w:jc w:val="both"/>
        <w:ind w:left="260" w:right="200" w:hanging="252"/>
        <w:spacing w:after="0" w:line="248" w:lineRule="auto"/>
        <w:tabs>
          <w:tab w:leader="none" w:pos="260" w:val="left"/>
        </w:tabs>
        <w:numPr>
          <w:ilvl w:val="0"/>
          <w:numId w:val="72"/>
        </w:numPr>
        <w:rPr>
          <w:rFonts w:ascii="Arial" w:cs="Arial" w:eastAsia="Arial" w:hAnsi="Arial"/>
          <w:sz w:val="16"/>
          <w:szCs w:val="16"/>
          <w:color w:val="FDB03F"/>
        </w:rPr>
      </w:pPr>
      <w:r>
        <w:rPr>
          <w:rFonts w:ascii="Arial" w:cs="Arial" w:eastAsia="Arial" w:hAnsi="Arial"/>
          <w:sz w:val="17"/>
          <w:szCs w:val="17"/>
          <w:color w:val="auto"/>
        </w:rPr>
        <w:t>Chairman of the Board of Directors, T. Rowe Price Group, Inc. (investment management), 2007-2017</w:t>
      </w:r>
    </w:p>
    <w:p>
      <w:pPr>
        <w:spacing w:after="0" w:line="1" w:lineRule="exact"/>
        <w:rPr>
          <w:rFonts w:ascii="Arial" w:cs="Arial" w:eastAsia="Arial" w:hAnsi="Arial"/>
          <w:sz w:val="16"/>
          <w:szCs w:val="16"/>
          <w:color w:val="FDB03F"/>
        </w:rPr>
      </w:pPr>
    </w:p>
    <w:p>
      <w:pPr>
        <w:ind w:left="260" w:right="80" w:hanging="252"/>
        <w:spacing w:after="0" w:line="234" w:lineRule="auto"/>
        <w:tabs>
          <w:tab w:leader="none" w:pos="260" w:val="left"/>
        </w:tabs>
        <w:numPr>
          <w:ilvl w:val="0"/>
          <w:numId w:val="72"/>
        </w:numPr>
        <w:rPr>
          <w:rFonts w:ascii="Arial" w:cs="Arial" w:eastAsia="Arial" w:hAnsi="Arial"/>
          <w:sz w:val="17"/>
          <w:szCs w:val="17"/>
          <w:color w:val="FDB03F"/>
        </w:rPr>
      </w:pPr>
      <w:r>
        <w:rPr>
          <w:rFonts w:ascii="Arial" w:cs="Arial" w:eastAsia="Arial" w:hAnsi="Arial"/>
          <w:sz w:val="18"/>
          <w:szCs w:val="18"/>
          <w:color w:val="auto"/>
        </w:rPr>
        <w:t>Chief Investment Officer, T. Rowe Price Group, Inc., 2004-2017</w:t>
      </w:r>
    </w:p>
    <w:p>
      <w:pPr>
        <w:spacing w:after="0" w:line="1" w:lineRule="exact"/>
        <w:rPr>
          <w:rFonts w:ascii="Arial" w:cs="Arial" w:eastAsia="Arial" w:hAnsi="Arial"/>
          <w:sz w:val="17"/>
          <w:szCs w:val="17"/>
          <w:color w:val="FDB03F"/>
        </w:rPr>
      </w:pPr>
    </w:p>
    <w:p>
      <w:pPr>
        <w:ind w:left="260" w:right="40" w:hanging="252"/>
        <w:spacing w:after="0" w:line="246" w:lineRule="auto"/>
        <w:tabs>
          <w:tab w:leader="none" w:pos="260" w:val="left"/>
        </w:tabs>
        <w:numPr>
          <w:ilvl w:val="0"/>
          <w:numId w:val="72"/>
        </w:numPr>
        <w:rPr>
          <w:rFonts w:ascii="Arial" w:cs="Arial" w:eastAsia="Arial" w:hAnsi="Arial"/>
          <w:sz w:val="17"/>
          <w:szCs w:val="17"/>
          <w:color w:val="FDB03F"/>
        </w:rPr>
      </w:pPr>
      <w:r>
        <w:rPr>
          <w:rFonts w:ascii="Arial" w:cs="Arial" w:eastAsia="Arial" w:hAnsi="Arial"/>
          <w:sz w:val="18"/>
          <w:szCs w:val="18"/>
          <w:color w:val="auto"/>
        </w:rPr>
        <w:t>Various other senior leadership roles since joining T. Rowe Price Group, Inc., in 1982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-2031365</wp:posOffset>
            </wp:positionV>
            <wp:extent cx="6089015" cy="18440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89015" cy="1844040"/>
                    </a:xfrm>
                    <a:prstGeom prst="rect">
                      <a:avLst/>
                    </a:prstGeom>
                    <a:noFill/>
                  </pic:spPr>
                </pic:pic>
              </a:graphicData>
            </a:graphic>
          </wp:anchor>
        </w:drawing>
      </w:r>
    </w:p>
    <w:p>
      <w:pPr>
        <w:spacing w:after="0" w:line="30" w:lineRule="exact"/>
        <w:rPr>
          <w:sz w:val="20"/>
          <w:szCs w:val="20"/>
          <w:color w:val="auto"/>
        </w:rPr>
      </w:pPr>
    </w:p>
    <w:p>
      <w:pPr>
        <w:ind w:left="266" w:hanging="266"/>
        <w:spacing w:after="0"/>
        <w:tabs>
          <w:tab w:leader="none" w:pos="266" w:val="left"/>
        </w:tabs>
        <w:numPr>
          <w:ilvl w:val="0"/>
          <w:numId w:val="73"/>
        </w:numPr>
        <w:rPr>
          <w:rFonts w:ascii="Arial" w:cs="Arial" w:eastAsia="Arial" w:hAnsi="Arial"/>
          <w:sz w:val="17"/>
          <w:szCs w:val="17"/>
          <w:color w:val="FDB03F"/>
        </w:rPr>
      </w:pPr>
      <w:r>
        <w:rPr>
          <w:rFonts w:ascii="Arial" w:cs="Arial" w:eastAsia="Arial" w:hAnsi="Arial"/>
          <w:sz w:val="18"/>
          <w:szCs w:val="18"/>
          <w:color w:val="auto"/>
        </w:rPr>
        <w:t>Hess Corporation, since 2013</w:t>
      </w:r>
    </w:p>
    <w:p>
      <w:pPr>
        <w:ind w:left="266" w:right="959" w:hanging="266"/>
        <w:spacing w:after="0" w:line="234" w:lineRule="auto"/>
        <w:tabs>
          <w:tab w:leader="none" w:pos="266" w:val="left"/>
        </w:tabs>
        <w:numPr>
          <w:ilvl w:val="0"/>
          <w:numId w:val="73"/>
        </w:numPr>
        <w:rPr>
          <w:rFonts w:ascii="Arial" w:cs="Arial" w:eastAsia="Arial" w:hAnsi="Arial"/>
          <w:sz w:val="17"/>
          <w:szCs w:val="17"/>
          <w:color w:val="FDB03F"/>
        </w:rPr>
      </w:pPr>
      <w:r>
        <w:rPr>
          <w:rFonts w:ascii="Arial" w:cs="Arial" w:eastAsia="Arial" w:hAnsi="Arial"/>
          <w:sz w:val="18"/>
          <w:szCs w:val="18"/>
          <w:color w:val="auto"/>
        </w:rPr>
        <w:t>Mondelēz International, Inc. (formerly Kraft Foods, Inc.), since 2007</w:t>
      </w:r>
    </w:p>
    <w:p>
      <w:pPr>
        <w:spacing w:after="0" w:line="1" w:lineRule="exact"/>
        <w:rPr>
          <w:rFonts w:ascii="Arial" w:cs="Arial" w:eastAsia="Arial" w:hAnsi="Arial"/>
          <w:sz w:val="17"/>
          <w:szCs w:val="17"/>
          <w:color w:val="FDB03F"/>
        </w:rPr>
      </w:pPr>
    </w:p>
    <w:p>
      <w:pPr>
        <w:ind w:left="266" w:hanging="266"/>
        <w:spacing w:after="0" w:line="234" w:lineRule="auto"/>
        <w:tabs>
          <w:tab w:leader="none" w:pos="266" w:val="left"/>
        </w:tabs>
        <w:numPr>
          <w:ilvl w:val="0"/>
          <w:numId w:val="73"/>
        </w:numPr>
        <w:rPr>
          <w:rFonts w:ascii="Arial" w:cs="Arial" w:eastAsia="Arial" w:hAnsi="Arial"/>
          <w:sz w:val="17"/>
          <w:szCs w:val="17"/>
          <w:color w:val="FDB03F"/>
        </w:rPr>
      </w:pPr>
      <w:r>
        <w:rPr>
          <w:rFonts w:ascii="Arial" w:cs="Arial" w:eastAsia="Arial" w:hAnsi="Arial"/>
          <w:sz w:val="18"/>
          <w:szCs w:val="18"/>
          <w:color w:val="auto"/>
        </w:rPr>
        <w:t>MGM Holdings, Inc. (non-public)</w:t>
      </w:r>
    </w:p>
    <w:p>
      <w:pPr>
        <w:ind w:left="266" w:hanging="266"/>
        <w:spacing w:after="0" w:line="234" w:lineRule="auto"/>
        <w:tabs>
          <w:tab w:leader="none" w:pos="266" w:val="left"/>
        </w:tabs>
        <w:numPr>
          <w:ilvl w:val="0"/>
          <w:numId w:val="73"/>
        </w:numPr>
        <w:rPr>
          <w:rFonts w:ascii="Arial" w:cs="Arial" w:eastAsia="Arial" w:hAnsi="Arial"/>
          <w:sz w:val="17"/>
          <w:szCs w:val="17"/>
          <w:color w:val="FDB03F"/>
        </w:rPr>
      </w:pPr>
      <w:r>
        <w:rPr>
          <w:rFonts w:ascii="Arial" w:cs="Arial" w:eastAsia="Arial" w:hAnsi="Arial"/>
          <w:sz w:val="18"/>
          <w:szCs w:val="18"/>
          <w:color w:val="auto"/>
        </w:rPr>
        <w:t>NEP Group, Inc. (non-public)</w:t>
      </w:r>
    </w:p>
    <w:p>
      <w:pPr>
        <w:ind w:left="266" w:hanging="266"/>
        <w:spacing w:after="0"/>
        <w:tabs>
          <w:tab w:leader="none" w:pos="266" w:val="left"/>
        </w:tabs>
        <w:numPr>
          <w:ilvl w:val="0"/>
          <w:numId w:val="73"/>
        </w:numPr>
        <w:rPr>
          <w:rFonts w:ascii="Arial" w:cs="Arial" w:eastAsia="Arial" w:hAnsi="Arial"/>
          <w:sz w:val="17"/>
          <w:szCs w:val="17"/>
          <w:color w:val="FDB03F"/>
        </w:rPr>
      </w:pPr>
      <w:r>
        <w:rPr>
          <w:rFonts w:ascii="Arial" w:cs="Arial" w:eastAsia="Arial" w:hAnsi="Arial"/>
          <w:sz w:val="18"/>
          <w:szCs w:val="18"/>
          <w:color w:val="auto"/>
        </w:rPr>
        <w:t>Pinterest (non-public)</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Former Public Company Directorships:</w:t>
      </w:r>
    </w:p>
    <w:p>
      <w:pPr>
        <w:spacing w:after="0" w:line="41" w:lineRule="exact"/>
        <w:rPr>
          <w:sz w:val="20"/>
          <w:szCs w:val="20"/>
          <w:color w:val="auto"/>
        </w:rPr>
      </w:pPr>
    </w:p>
    <w:p>
      <w:pPr>
        <w:ind w:left="266" w:hanging="266"/>
        <w:spacing w:after="0"/>
        <w:tabs>
          <w:tab w:leader="none" w:pos="266" w:val="left"/>
        </w:tabs>
        <w:numPr>
          <w:ilvl w:val="0"/>
          <w:numId w:val="74"/>
        </w:numPr>
        <w:rPr>
          <w:rFonts w:ascii="Arial" w:cs="Arial" w:eastAsia="Arial" w:hAnsi="Arial"/>
          <w:sz w:val="17"/>
          <w:szCs w:val="17"/>
          <w:color w:val="FDB03F"/>
        </w:rPr>
      </w:pPr>
      <w:r>
        <w:rPr>
          <w:rFonts w:ascii="Arial" w:cs="Arial" w:eastAsia="Arial" w:hAnsi="Arial"/>
          <w:sz w:val="18"/>
          <w:szCs w:val="18"/>
          <w:color w:val="auto"/>
        </w:rPr>
        <w:t>AOL, Inc., 2009-2015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598170</wp:posOffset>
            </wp:positionV>
            <wp:extent cx="6089015" cy="1869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901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Current Directorships:</w:t>
      </w:r>
    </w:p>
    <w:p>
      <w:pPr>
        <w:spacing w:after="0" w:line="41" w:lineRule="exact"/>
        <w:rPr>
          <w:sz w:val="20"/>
          <w:szCs w:val="20"/>
          <w:color w:val="auto"/>
        </w:rPr>
      </w:pPr>
    </w:p>
    <w:p>
      <w:pPr>
        <w:ind w:left="266" w:right="659" w:hanging="266"/>
        <w:spacing w:after="0" w:line="234" w:lineRule="auto"/>
        <w:tabs>
          <w:tab w:leader="none" w:pos="266" w:val="left"/>
        </w:tabs>
        <w:numPr>
          <w:ilvl w:val="0"/>
          <w:numId w:val="75"/>
        </w:numPr>
        <w:rPr>
          <w:rFonts w:ascii="Arial" w:cs="Arial" w:eastAsia="Arial" w:hAnsi="Arial"/>
          <w:sz w:val="17"/>
          <w:szCs w:val="17"/>
          <w:color w:val="FDB03F"/>
        </w:rPr>
      </w:pPr>
      <w:r>
        <w:rPr>
          <w:rFonts w:ascii="Arial" w:cs="Arial" w:eastAsia="Arial" w:hAnsi="Arial"/>
          <w:sz w:val="18"/>
          <w:szCs w:val="18"/>
          <w:color w:val="auto"/>
        </w:rPr>
        <w:t>Chairman of the Board (non-executive), T. Rowe Price Group, Inc., since 2017</w:t>
      </w:r>
    </w:p>
    <w:p>
      <w:pPr>
        <w:spacing w:after="0" w:line="1" w:lineRule="exact"/>
        <w:rPr>
          <w:rFonts w:ascii="Arial" w:cs="Arial" w:eastAsia="Arial" w:hAnsi="Arial"/>
          <w:sz w:val="17"/>
          <w:szCs w:val="17"/>
          <w:color w:val="FDB03F"/>
        </w:rPr>
      </w:pPr>
    </w:p>
    <w:p>
      <w:pPr>
        <w:ind w:left="266" w:hanging="266"/>
        <w:spacing w:after="0"/>
        <w:tabs>
          <w:tab w:leader="none" w:pos="266" w:val="left"/>
        </w:tabs>
        <w:numPr>
          <w:ilvl w:val="0"/>
          <w:numId w:val="75"/>
        </w:numPr>
        <w:rPr>
          <w:rFonts w:ascii="Arial" w:cs="Arial" w:eastAsia="Arial" w:hAnsi="Arial"/>
          <w:sz w:val="17"/>
          <w:szCs w:val="17"/>
          <w:color w:val="FDB03F"/>
        </w:rPr>
      </w:pPr>
      <w:r>
        <w:rPr>
          <w:rFonts w:ascii="Arial" w:cs="Arial" w:eastAsia="Arial" w:hAnsi="Arial"/>
          <w:sz w:val="18"/>
          <w:szCs w:val="18"/>
          <w:color w:val="auto"/>
        </w:rPr>
        <w:t>Lowe’s Companies, Inc., since 2018</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E93D8"/>
        </w:rPr>
        <w:t>Other Leadership Experience and Service:</w:t>
      </w:r>
    </w:p>
    <w:p>
      <w:pPr>
        <w:spacing w:after="0" w:line="54" w:lineRule="exact"/>
        <w:rPr>
          <w:sz w:val="20"/>
          <w:szCs w:val="20"/>
          <w:color w:val="auto"/>
        </w:rPr>
      </w:pPr>
    </w:p>
    <w:p>
      <w:pPr>
        <w:ind w:left="266" w:right="1239" w:hanging="266"/>
        <w:spacing w:after="0" w:line="234" w:lineRule="auto"/>
        <w:tabs>
          <w:tab w:leader="none" w:pos="266" w:val="left"/>
        </w:tabs>
        <w:numPr>
          <w:ilvl w:val="0"/>
          <w:numId w:val="76"/>
        </w:numPr>
        <w:rPr>
          <w:rFonts w:ascii="Arial" w:cs="Arial" w:eastAsia="Arial" w:hAnsi="Arial"/>
          <w:sz w:val="17"/>
          <w:szCs w:val="17"/>
          <w:color w:val="FDB03F"/>
        </w:rPr>
      </w:pPr>
      <w:r>
        <w:rPr>
          <w:rFonts w:ascii="Arial" w:cs="Arial" w:eastAsia="Arial" w:hAnsi="Arial"/>
          <w:sz w:val="18"/>
          <w:szCs w:val="18"/>
          <w:color w:val="auto"/>
        </w:rPr>
        <w:t>Chairman, Finance Committee, Archdiocese of Baltimore</w:t>
      </w:r>
    </w:p>
    <w:p>
      <w:pPr>
        <w:spacing w:after="0" w:line="1" w:lineRule="exact"/>
        <w:rPr>
          <w:rFonts w:ascii="Arial" w:cs="Arial" w:eastAsia="Arial" w:hAnsi="Arial"/>
          <w:sz w:val="17"/>
          <w:szCs w:val="17"/>
          <w:color w:val="FDB03F"/>
        </w:rPr>
      </w:pPr>
    </w:p>
    <w:p>
      <w:pPr>
        <w:ind w:left="266" w:hanging="266"/>
        <w:spacing w:after="0" w:line="234" w:lineRule="auto"/>
        <w:tabs>
          <w:tab w:leader="none" w:pos="266" w:val="left"/>
        </w:tabs>
        <w:numPr>
          <w:ilvl w:val="0"/>
          <w:numId w:val="76"/>
        </w:numPr>
        <w:rPr>
          <w:rFonts w:ascii="Arial" w:cs="Arial" w:eastAsia="Arial" w:hAnsi="Arial"/>
          <w:sz w:val="17"/>
          <w:szCs w:val="17"/>
          <w:color w:val="FDB03F"/>
        </w:rPr>
      </w:pPr>
      <w:r>
        <w:rPr>
          <w:rFonts w:ascii="Arial" w:cs="Arial" w:eastAsia="Arial" w:hAnsi="Arial"/>
          <w:sz w:val="18"/>
          <w:szCs w:val="18"/>
          <w:color w:val="auto"/>
        </w:rPr>
        <w:t>Board of Directors, Harvard Management Company</w:t>
      </w:r>
    </w:p>
    <w:p>
      <w:pPr>
        <w:ind w:left="266" w:hanging="266"/>
        <w:spacing w:after="0"/>
        <w:tabs>
          <w:tab w:leader="none" w:pos="266" w:val="left"/>
        </w:tabs>
        <w:numPr>
          <w:ilvl w:val="0"/>
          <w:numId w:val="76"/>
        </w:numPr>
        <w:rPr>
          <w:rFonts w:ascii="Arial" w:cs="Arial" w:eastAsia="Arial" w:hAnsi="Arial"/>
          <w:sz w:val="17"/>
          <w:szCs w:val="17"/>
          <w:color w:val="FDB03F"/>
        </w:rPr>
      </w:pPr>
      <w:r>
        <w:rPr>
          <w:rFonts w:ascii="Arial" w:cs="Arial" w:eastAsia="Arial" w:hAnsi="Arial"/>
          <w:sz w:val="18"/>
          <w:szCs w:val="18"/>
          <w:color w:val="auto"/>
        </w:rPr>
        <w:t>Board of Trustees, Johns Hopkins Medicine</w:t>
      </w:r>
    </w:p>
    <w:p>
      <w:pPr>
        <w:spacing w:after="0" w:line="200" w:lineRule="exact"/>
        <w:rPr>
          <w:sz w:val="20"/>
          <w:szCs w:val="20"/>
          <w:color w:val="auto"/>
        </w:rPr>
      </w:pPr>
    </w:p>
    <w:p>
      <w:pPr>
        <w:sectPr>
          <w:pgSz w:w="11900" w:h="16838" w:orient="portrait"/>
          <w:cols w:equalWidth="0" w:num="2">
            <w:col w:w="4460" w:space="534"/>
            <w:col w:w="5225"/>
          </w:cols>
          <w:pgMar w:left="240" w:top="121" w:right="1440" w:bottom="1440" w:gutter="0" w:footer="0" w:header="0"/>
        </w:sectPr>
      </w:pPr>
    </w:p>
    <w:p>
      <w:pPr>
        <w:spacing w:after="0" w:line="58" w:lineRule="exact"/>
        <w:rPr>
          <w:sz w:val="20"/>
          <w:szCs w:val="20"/>
          <w:color w:val="auto"/>
        </w:rPr>
      </w:pPr>
    </w:p>
    <w:p>
      <w:pPr>
        <w:ind w:left="880" w:hanging="628"/>
        <w:spacing w:after="0"/>
        <w:tabs>
          <w:tab w:leader="none" w:pos="880" w:val="left"/>
        </w:tabs>
        <w:numPr>
          <w:ilvl w:val="0"/>
          <w:numId w:val="77"/>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CORPORATE</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Governance</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Our Commitment to Sound Corporate Governance</w:t>
      </w:r>
    </w:p>
    <w:p>
      <w:pPr>
        <w:spacing w:after="0" w:line="2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UTC is committed to strong corporate governance practices that are designed to maintain high standards of oversight, accountability, integrity and ethics while promoting long-term growth in shareowner value.</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governance structure enables independent, experienced and accomplished directors to provide advice, insight and oversight to advance the interests of the Company and our shareowners. UTC has long strived to maintain sound governance standards, as reflected in our Code of Ethics, Governance Guidelines, our systematic approach to risk management, and in our commitment to transparent financial reporting and strong internal controls.</w:t>
      </w:r>
    </w:p>
    <w:p>
      <w:pPr>
        <w:spacing w:after="0" w:line="20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 xml:space="preserve">We encourage you to visit the Corporate Governance section of our website </w:t>
      </w:r>
      <w:r>
        <w:rPr>
          <w:rFonts w:ascii="Arial" w:cs="Arial" w:eastAsia="Arial" w:hAnsi="Arial"/>
          <w:sz w:val="18"/>
          <w:szCs w:val="18"/>
          <w:color w:val="0E93D8"/>
        </w:rPr>
        <w:t>(www.utc.com)</w:t>
      </w:r>
      <w:r>
        <w:rPr>
          <w:rFonts w:ascii="Arial" w:cs="Arial" w:eastAsia="Arial" w:hAnsi="Arial"/>
          <w:sz w:val="18"/>
          <w:szCs w:val="18"/>
          <w:color w:val="auto"/>
        </w:rPr>
        <w:t xml:space="preserve"> where you can access information about corporate governance at UTC,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55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555875"/>
                    </a:xfrm>
                    <a:prstGeom prst="rect">
                      <a:avLst/>
                    </a:prstGeom>
                    <a:noFill/>
                  </pic:spPr>
                </pic:pic>
              </a:graphicData>
            </a:graphic>
          </wp:anchor>
        </w:drawing>
      </w:r>
    </w:p>
    <w:p>
      <w:pPr>
        <w:spacing w:after="0" w:line="297" w:lineRule="exact"/>
        <w:rPr>
          <w:sz w:val="20"/>
          <w:szCs w:val="20"/>
          <w:color w:val="auto"/>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Governance Guidelines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Board Committee Charters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Certificate of Incorporation and Bylaws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Code of Ethics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Director Independence Policy</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Related Person Transactions Policy</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Public Activities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Stock ownership requirements</w:t>
      </w:r>
    </w:p>
    <w:p>
      <w:pPr>
        <w:spacing w:after="0" w:line="171" w:lineRule="exact"/>
        <w:rPr>
          <w:rFonts w:ascii="Arial" w:cs="Arial" w:eastAsia="Arial" w:hAnsi="Arial"/>
          <w:sz w:val="17"/>
          <w:szCs w:val="17"/>
          <w:color w:val="FDB03F"/>
        </w:rPr>
      </w:pPr>
    </w:p>
    <w:p>
      <w:pPr>
        <w:ind w:left="380" w:right="400" w:hanging="264"/>
        <w:spacing w:after="0" w:line="239" w:lineRule="auto"/>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Information about our Ombudsman Program, which allows UTC’s employees and other stakeholders to raise questions confidentially and outside the usual management channels</w:t>
      </w:r>
    </w:p>
    <w:p>
      <w:pPr>
        <w:spacing w:after="0" w:line="168" w:lineRule="exact"/>
        <w:rPr>
          <w:rFonts w:ascii="Arial" w:cs="Arial" w:eastAsia="Arial" w:hAnsi="Arial"/>
          <w:sz w:val="17"/>
          <w:szCs w:val="17"/>
          <w:color w:val="FDB03F"/>
        </w:rPr>
      </w:pPr>
    </w:p>
    <w:p>
      <w:pPr>
        <w:ind w:left="380" w:hanging="264"/>
        <w:spacing w:after="0"/>
        <w:tabs>
          <w:tab w:leader="none" w:pos="380" w:val="left"/>
        </w:tabs>
        <w:numPr>
          <w:ilvl w:val="0"/>
          <w:numId w:val="78"/>
        </w:numPr>
        <w:rPr>
          <w:rFonts w:ascii="Arial" w:cs="Arial" w:eastAsia="Arial" w:hAnsi="Arial"/>
          <w:sz w:val="17"/>
          <w:szCs w:val="17"/>
          <w:color w:val="FDB03F"/>
        </w:rPr>
      </w:pPr>
      <w:r>
        <w:rPr>
          <w:rFonts w:ascii="Arial" w:cs="Arial" w:eastAsia="Arial" w:hAnsi="Arial"/>
          <w:sz w:val="18"/>
          <w:szCs w:val="18"/>
          <w:color w:val="0E93D8"/>
        </w:rPr>
        <w:t>Information about how to communicate concerns to the Board of Directors</w:t>
      </w:r>
    </w:p>
    <w:p>
      <w:pPr>
        <w:spacing w:after="0" w:line="281"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Shareowner Engagement</w:t>
      </w:r>
    </w:p>
    <w:p>
      <w:pPr>
        <w:spacing w:after="0" w:line="25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Board and Management believe in transparent and open communication with investors. Over the years, those engagements have improved our corporate governance practices, increased shareowner rights, changed the Board’s composition, and improved the design of our executive compensation program and disclosure.</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fall we solicit feedback from our largest shareowners on changes that the Board (or a Committee) is considering regarding UTC’s executive compensation program and our corporate governance practices. In the spring, after the proxy statement is filed, our discussions generally focus on the clarity and effectiveness of our disclosures and on matters that are of interest to investors. We also have discussed other topics with investors, such as leadership structure, corporate social responsibility, and UTC’s diversity and sustainability initiatives.</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Management and independent directors routinely engage with our shareowners on financial performance, capital allocation and business strategy. In 2018, Management hosted the Investor and Analyst Meeting, presented at five industry conferences, hosted shareowners at UTC’s Corporate Headquarters and visited shareowners in the Americas and Europe.</w:t>
      </w:r>
    </w:p>
    <w:p>
      <w:pPr>
        <w:spacing w:after="0" w:line="348" w:lineRule="exact"/>
        <w:rPr>
          <w:sz w:val="20"/>
          <w:szCs w:val="20"/>
          <w:color w:val="auto"/>
        </w:rPr>
      </w:pPr>
    </w:p>
    <w:p>
      <w:pPr>
        <w:ind w:left="4960" w:right="320"/>
        <w:spacing w:after="0" w:line="246" w:lineRule="auto"/>
        <w:rPr>
          <w:sz w:val="20"/>
          <w:szCs w:val="20"/>
          <w:color w:val="auto"/>
        </w:rPr>
      </w:pPr>
      <w:r>
        <w:rPr>
          <w:rFonts w:ascii="Arial" w:cs="Arial" w:eastAsia="Arial" w:hAnsi="Arial"/>
          <w:sz w:val="22"/>
          <w:szCs w:val="22"/>
          <w:b w:val="1"/>
          <w:bCs w:val="1"/>
          <w:color w:val="0E93D8"/>
        </w:rPr>
        <w:t xml:space="preserve">In 2018, we engaged with institutional investors holding more than 350 million shares of UTC Common Stock, </w:t>
      </w:r>
      <w:r>
        <w:rPr>
          <w:rFonts w:ascii="Arial" w:cs="Arial" w:eastAsia="Arial" w:hAnsi="Arial"/>
          <w:sz w:val="22"/>
          <w:szCs w:val="22"/>
          <w:b w:val="1"/>
          <w:bCs w:val="1"/>
          <w:color w:val="80B8E7"/>
        </w:rPr>
        <w:t>which</w:t>
      </w:r>
      <w:r>
        <w:rPr>
          <w:rFonts w:ascii="Arial" w:cs="Arial" w:eastAsia="Arial" w:hAnsi="Arial"/>
          <w:sz w:val="22"/>
          <w:szCs w:val="22"/>
          <w:b w:val="1"/>
          <w:bCs w:val="1"/>
          <w:color w:val="0E93D8"/>
        </w:rPr>
        <w:t xml:space="preserve"> </w:t>
      </w:r>
      <w:r>
        <w:rPr>
          <w:rFonts w:ascii="Arial" w:cs="Arial" w:eastAsia="Arial" w:hAnsi="Arial"/>
          <w:sz w:val="22"/>
          <w:szCs w:val="22"/>
          <w:b w:val="1"/>
          <w:bCs w:val="1"/>
          <w:color w:val="80B8E7"/>
        </w:rPr>
        <w:t>represents over 40% of our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109855</wp:posOffset>
            </wp:positionV>
            <wp:extent cx="42106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160"/>
        <w:spacing w:after="0"/>
        <w:tabs>
          <w:tab w:leader="none" w:pos="10960" w:val="left"/>
        </w:tabs>
        <w:rPr>
          <w:sz w:val="20"/>
          <w:szCs w:val="20"/>
          <w:color w:val="auto"/>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r>
        <w:rPr>
          <w:sz w:val="20"/>
          <w:szCs w:val="20"/>
          <w:color w:val="auto"/>
        </w:rPr>
        <w:tab/>
      </w:r>
      <w:r>
        <w:rPr>
          <w:rFonts w:ascii="Arial" w:cs="Arial" w:eastAsia="Arial" w:hAnsi="Arial"/>
          <w:sz w:val="16"/>
          <w:szCs w:val="16"/>
          <w:b w:val="1"/>
          <w:bCs w:val="1"/>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-113030</wp:posOffset>
            </wp:positionV>
            <wp:extent cx="43751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32080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2080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Board Leadership 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Chairman and CEO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Governance Committee routinely reviews our governance practices and board leadership structure. Under our Corporate Governance Guidelines, the Board does not have a policy on whether the CEO also is permitted to serve as Chairman of the Board. Instead, the Board selects the structure that it believes will provide the most effective leadership and oversight for the Company in the circumstances. In making this decision at any given point in time, the Board considers a range of factors, including: the Company’s operating and financial performance; any recent or anticipated changes in the CEO role; the effectiveness of the processes and structures for Board interaction with and oversight of Management; and the importance of maintaining a single voice in leadership communications and Board oversight, both internally and with investors.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Lead Director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Under our Corporate Governance Guidelines, the Board designates a non-employee director to serve as Lead Director when the Chairman is not independent. The Lead Director’s responsibilities include the following and essentially mirror the non-executive Chairman’s responsibilities under UTC’s Guidelines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946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946910"/>
                    </a:xfrm>
                    <a:prstGeom prst="rect">
                      <a:avLst/>
                    </a:prstGeom>
                    <a:noFill/>
                  </pic:spPr>
                </pic:pic>
              </a:graphicData>
            </a:graphic>
          </wp:anchor>
        </w:drawing>
      </w:r>
    </w:p>
    <w:p>
      <w:pPr>
        <w:spacing w:after="0" w:line="296" w:lineRule="exact"/>
        <w:rPr>
          <w:sz w:val="20"/>
          <w:szCs w:val="20"/>
          <w:color w:val="auto"/>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Calls and presides over private sessions of the independent directors or special meetings of the Board of Directors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Serves as a liaison between the independent directors and the Chairman</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Engages with significant constituencies, as requested</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Works with the Chairman to plan and set the agenda for Board meetings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Oversees the evaluation and compensation of the CEO’s performance</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Facilitates succession planning and management development</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Works jointly with the Chair of the Governance Committee to lead the Board’s annual self-evaluation process</w:t>
      </w:r>
    </w:p>
    <w:p>
      <w:pPr>
        <w:spacing w:after="0" w:line="171" w:lineRule="exact"/>
        <w:rPr>
          <w:rFonts w:ascii="Arial" w:cs="Arial" w:eastAsia="Arial" w:hAnsi="Arial"/>
          <w:sz w:val="17"/>
          <w:szCs w:val="17"/>
          <w:color w:val="FDB03F"/>
        </w:rPr>
      </w:pPr>
    </w:p>
    <w:p>
      <w:pPr>
        <w:ind w:left="380" w:hanging="264"/>
        <w:spacing w:after="0"/>
        <w:tabs>
          <w:tab w:leader="none" w:pos="380" w:val="left"/>
        </w:tabs>
        <w:numPr>
          <w:ilvl w:val="0"/>
          <w:numId w:val="79"/>
        </w:numPr>
        <w:rPr>
          <w:rFonts w:ascii="Arial" w:cs="Arial" w:eastAsia="Arial" w:hAnsi="Arial"/>
          <w:sz w:val="17"/>
          <w:szCs w:val="17"/>
          <w:color w:val="FDB03F"/>
        </w:rPr>
      </w:pPr>
      <w:r>
        <w:rPr>
          <w:rFonts w:ascii="Arial" w:cs="Arial" w:eastAsia="Arial" w:hAnsi="Arial"/>
          <w:sz w:val="18"/>
          <w:szCs w:val="18"/>
          <w:color w:val="0E93D8"/>
        </w:rPr>
        <w:t>Authorizes retention of outside advisors and consultants who report to the Board on board-wide issues</w:t>
      </w:r>
    </w:p>
    <w:p>
      <w:pPr>
        <w:spacing w:after="0" w:line="32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Board believes that a non-executive Chairman or Lead Director with well-defined responsibilities enhances the effectiveness of the independent directors, improves risk management and oversight, and provides a channel for independent directors to candidly raise issues or concerns for Board consideration.</w:t>
      </w:r>
    </w:p>
    <w:p>
      <w:pPr>
        <w:spacing w:after="0" w:line="20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UTC’s independent directors meet in regularly scheduled private sessions without Management and in additional sessions when requested. In practice, the private sessions occur before or after most Board meetings.</w:t>
      </w:r>
    </w:p>
    <w:p>
      <w:pPr>
        <w:spacing w:after="0" w:line="201" w:lineRule="exact"/>
        <w:rPr>
          <w:sz w:val="20"/>
          <w:szCs w:val="20"/>
          <w:color w:val="auto"/>
        </w:rPr>
      </w:pPr>
    </w:p>
    <w:p>
      <w:pPr>
        <w:ind w:left="880" w:hanging="628"/>
        <w:spacing w:after="0"/>
        <w:tabs>
          <w:tab w:leader="none" w:pos="880" w:val="left"/>
        </w:tabs>
        <w:numPr>
          <w:ilvl w:val="0"/>
          <w:numId w:val="80"/>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146685</wp:posOffset>
            </wp:positionV>
            <wp:extent cx="132080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20800" cy="128905"/>
                    </a:xfrm>
                    <a:prstGeom prst="rect">
                      <a:avLst/>
                    </a:prstGeom>
                    <a:noFill/>
                  </pic:spPr>
                </pic:pic>
              </a:graphicData>
            </a:graphic>
          </wp:anchor>
        </w:drawing>
      </w:r>
    </w:p>
    <w:p>
      <w:pPr>
        <w:spacing w:after="0" w:line="22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FFFFFF"/>
        </w:rPr>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Board Committees</w:t>
      </w:r>
    </w:p>
    <w:p>
      <w:pPr>
        <w:spacing w:after="0" w:line="2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Board has four standing committees: Audit, Governance and Public Policy, Compensation and Finance. Except for the Finance Committee (which includes our CEO as a member), each standing committee is composed exclusively of independent directors. Each standing committee has the authority to retain independent advisors to assist in the fulfillment of its responsibilities, to approve the fees paid to those advisors and to terminate their engagements.</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All committee charters, which are reviewed by each committee annually, are available on the Corporate Governance section of UTC’s website (see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089015" cy="5918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89015" cy="5918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0E93D8"/>
        </w:rPr>
        <w:t>Fredric G. Reynolds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0E93D8"/>
        </w:rPr>
        <w:t>(Chair)</w:t>
      </w:r>
    </w:p>
    <w:p>
      <w:pPr>
        <w:spacing w:after="0" w:line="163"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0E93D8"/>
        </w:rPr>
        <w:t>Lloyd J. Austin III Diane M. Bryant Christopher J. Kearney* Margaret L. O’Sullivan Denise L. Ramos*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2018 Meetings: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7" w:right="1960" w:hanging="227"/>
        <w:spacing w:after="0" w:line="226" w:lineRule="auto"/>
        <w:tabs>
          <w:tab w:leader="none" w:pos="213" w:val="left"/>
        </w:tabs>
        <w:numPr>
          <w:ilvl w:val="0"/>
          <w:numId w:val="81"/>
        </w:numPr>
        <w:rPr>
          <w:rFonts w:ascii="Arial" w:cs="Arial" w:eastAsia="Arial" w:hAnsi="Arial"/>
          <w:sz w:val="13"/>
          <w:szCs w:val="13"/>
          <w:color w:val="FDB03F"/>
        </w:rPr>
      </w:pPr>
      <w:r>
        <w:rPr>
          <w:rFonts w:ascii="Arial" w:cs="Arial" w:eastAsia="Arial" w:hAnsi="Arial"/>
          <w:sz w:val="14"/>
          <w:szCs w:val="14"/>
          <w:color w:val="auto"/>
        </w:rPr>
        <w:t>Assists the Board in overseeing: the integrity of UTC’s financial statements; the independence, qualifications and performance of UTC’s internal and external auditors; the Company’s compliance with its policies and procedures, internal controls, Code of Ethics, and applicable laws and regulations; and policies and procedures relating to risk assessment and management</w:t>
      </w:r>
    </w:p>
    <w:p>
      <w:pPr>
        <w:spacing w:after="0" w:line="136" w:lineRule="exact"/>
        <w:rPr>
          <w:rFonts w:ascii="Arial" w:cs="Arial" w:eastAsia="Arial" w:hAnsi="Arial"/>
          <w:sz w:val="13"/>
          <w:szCs w:val="13"/>
          <w:color w:val="FDB03F"/>
        </w:rPr>
      </w:pPr>
    </w:p>
    <w:p>
      <w:pPr>
        <w:ind w:left="227" w:right="2220" w:hanging="227"/>
        <w:spacing w:after="0" w:line="231" w:lineRule="auto"/>
        <w:tabs>
          <w:tab w:leader="none" w:pos="213" w:val="left"/>
        </w:tabs>
        <w:numPr>
          <w:ilvl w:val="0"/>
          <w:numId w:val="81"/>
        </w:numPr>
        <w:rPr>
          <w:rFonts w:ascii="Arial" w:cs="Arial" w:eastAsia="Arial" w:hAnsi="Arial"/>
          <w:sz w:val="13"/>
          <w:szCs w:val="13"/>
          <w:color w:val="FDB03F"/>
        </w:rPr>
      </w:pPr>
      <w:r>
        <w:rPr>
          <w:rFonts w:ascii="Arial" w:cs="Arial" w:eastAsia="Arial" w:hAnsi="Arial"/>
          <w:sz w:val="14"/>
          <w:szCs w:val="14"/>
          <w:color w:val="auto"/>
        </w:rPr>
        <w:t>Nominates, for appointment by shareowners, an accounting firm to serve as UTC’s independent auditor and maintains responsibility for compensation, retention and oversight of the auditor</w:t>
      </w:r>
    </w:p>
    <w:p>
      <w:pPr>
        <w:spacing w:after="0" w:line="122" w:lineRule="exact"/>
        <w:rPr>
          <w:rFonts w:ascii="Arial" w:cs="Arial" w:eastAsia="Arial" w:hAnsi="Arial"/>
          <w:sz w:val="13"/>
          <w:szCs w:val="13"/>
          <w:color w:val="FDB03F"/>
        </w:rPr>
      </w:pPr>
    </w:p>
    <w:p>
      <w:pPr>
        <w:ind w:left="207" w:hanging="207"/>
        <w:spacing w:after="0"/>
        <w:tabs>
          <w:tab w:leader="none" w:pos="207" w:val="left"/>
        </w:tabs>
        <w:numPr>
          <w:ilvl w:val="0"/>
          <w:numId w:val="81"/>
        </w:numPr>
        <w:rPr>
          <w:rFonts w:ascii="Arial" w:cs="Arial" w:eastAsia="Arial" w:hAnsi="Arial"/>
          <w:sz w:val="12"/>
          <w:szCs w:val="12"/>
          <w:color w:val="FDB03F"/>
        </w:rPr>
      </w:pPr>
      <w:r>
        <w:rPr>
          <w:rFonts w:ascii="Arial" w:cs="Arial" w:eastAsia="Arial" w:hAnsi="Arial"/>
          <w:sz w:val="12"/>
          <w:szCs w:val="12"/>
          <w:color w:val="auto"/>
        </w:rPr>
        <w:t>Pre-approves all auditing services and permitted non-audit services to be performed for UTC by its independent auditor</w:t>
      </w:r>
    </w:p>
    <w:p>
      <w:pPr>
        <w:spacing w:after="0" w:line="159" w:lineRule="exact"/>
        <w:rPr>
          <w:rFonts w:ascii="Arial" w:cs="Arial" w:eastAsia="Arial" w:hAnsi="Arial"/>
          <w:sz w:val="12"/>
          <w:szCs w:val="12"/>
          <w:color w:val="FDB03F"/>
        </w:rPr>
      </w:pPr>
    </w:p>
    <w:p>
      <w:pPr>
        <w:ind w:left="207" w:hanging="207"/>
        <w:spacing w:after="0"/>
        <w:tabs>
          <w:tab w:leader="none" w:pos="207" w:val="left"/>
        </w:tabs>
        <w:numPr>
          <w:ilvl w:val="0"/>
          <w:numId w:val="81"/>
        </w:numPr>
        <w:rPr>
          <w:rFonts w:ascii="Arial" w:cs="Arial" w:eastAsia="Arial" w:hAnsi="Arial"/>
          <w:sz w:val="13"/>
          <w:szCs w:val="13"/>
          <w:color w:val="FDB03F"/>
        </w:rPr>
      </w:pPr>
      <w:r>
        <w:rPr>
          <w:rFonts w:ascii="Arial" w:cs="Arial" w:eastAsia="Arial" w:hAnsi="Arial"/>
          <w:sz w:val="14"/>
          <w:szCs w:val="14"/>
          <w:color w:val="auto"/>
        </w:rPr>
        <w:t>Reviews and approves the appointment and replacement of the senior Internal Audit executive</w:t>
      </w:r>
    </w:p>
    <w:p>
      <w:pPr>
        <w:spacing w:after="0" w:line="200" w:lineRule="exact"/>
        <w:rPr>
          <w:sz w:val="20"/>
          <w:szCs w:val="20"/>
          <w:color w:val="auto"/>
        </w:rPr>
      </w:pPr>
    </w:p>
    <w:p>
      <w:pPr>
        <w:sectPr>
          <w:pgSz w:w="11900" w:h="16838" w:orient="portrait"/>
          <w:cols w:equalWidth="0" w:num="2">
            <w:col w:w="1680" w:space="273"/>
            <w:col w:w="9487"/>
          </w:cols>
          <w:pgMar w:left="240" w:top="121" w:right="219" w:bottom="1440" w:gutter="0" w:footer="0" w:header="0"/>
          <w:type w:val="continuous"/>
        </w:sectPr>
      </w:pPr>
    </w:p>
    <w:p>
      <w:pPr>
        <w:spacing w:after="0" w:line="4" w:lineRule="exact"/>
        <w:rPr>
          <w:sz w:val="20"/>
          <w:szCs w:val="20"/>
          <w:color w:val="auto"/>
        </w:rPr>
      </w:pPr>
    </w:p>
    <w:p>
      <w:pPr>
        <w:ind w:right="460"/>
        <w:spacing w:after="0" w:line="231" w:lineRule="auto"/>
        <w:rPr>
          <w:sz w:val="20"/>
          <w:szCs w:val="20"/>
          <w:color w:val="auto"/>
        </w:rPr>
      </w:pPr>
      <w:r>
        <w:rPr>
          <w:rFonts w:ascii="Arial" w:cs="Arial" w:eastAsia="Arial" w:hAnsi="Arial"/>
          <w:sz w:val="14"/>
          <w:szCs w:val="14"/>
          <w:color w:val="auto"/>
        </w:rPr>
        <w:t>The Board determined in 2018 that Messrs. Reynolds and Kearney, and Ms. Ramos each are “audit committee financial experts,” as that term is defined in the Securities and Exchange Commission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089015" cy="651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89015" cy="6515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Brian C. Rogers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0E93D8"/>
        </w:rPr>
        <w:t>(Chair)</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2"/>
          <w:szCs w:val="12"/>
          <w:color w:val="0E93D8"/>
        </w:rPr>
        <w:t>Lloyd J. Austin III Jean-Pierre Garnier Marshall O. Larsen Harold W. McGraw III Margaret L. O’Sullivan Christine Todd Whitman</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2018 Meetings: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14" w:hanging="214"/>
        <w:spacing w:after="0"/>
        <w:tabs>
          <w:tab w:leader="none" w:pos="214"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Identifies and recommends qualified candidates for election to the Board</w:t>
      </w:r>
    </w:p>
    <w:p>
      <w:pPr>
        <w:spacing w:after="0" w:line="136" w:lineRule="exact"/>
        <w:rPr>
          <w:rFonts w:ascii="Arial" w:cs="Arial" w:eastAsia="Arial" w:hAnsi="Arial"/>
          <w:sz w:val="13"/>
          <w:szCs w:val="13"/>
          <w:color w:val="FDB03F"/>
        </w:rPr>
      </w:pPr>
    </w:p>
    <w:p>
      <w:pPr>
        <w:ind w:left="214" w:hanging="214"/>
        <w:spacing w:after="0"/>
        <w:tabs>
          <w:tab w:leader="none" w:pos="214"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Develops and recommends appropriate corporate governance guidelines</w:t>
      </w:r>
    </w:p>
    <w:p>
      <w:pPr>
        <w:spacing w:after="0" w:line="122" w:lineRule="exact"/>
        <w:rPr>
          <w:rFonts w:ascii="Arial" w:cs="Arial" w:eastAsia="Arial" w:hAnsi="Arial"/>
          <w:sz w:val="13"/>
          <w:szCs w:val="13"/>
          <w:color w:val="FDB03F"/>
        </w:rPr>
      </w:pPr>
    </w:p>
    <w:p>
      <w:pPr>
        <w:ind w:left="214" w:hanging="214"/>
        <w:spacing w:after="0"/>
        <w:tabs>
          <w:tab w:leader="none" w:pos="214"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Oversees the design and conduct of the annual self-evaluation of the Board, its committees and individual directors</w:t>
      </w:r>
    </w:p>
    <w:p>
      <w:pPr>
        <w:spacing w:after="0" w:line="136" w:lineRule="exact"/>
        <w:rPr>
          <w:rFonts w:ascii="Arial" w:cs="Arial" w:eastAsia="Arial" w:hAnsi="Arial"/>
          <w:sz w:val="13"/>
          <w:szCs w:val="13"/>
          <w:color w:val="FDB03F"/>
        </w:rPr>
      </w:pPr>
    </w:p>
    <w:p>
      <w:pPr>
        <w:ind w:left="214" w:hanging="214"/>
        <w:spacing w:after="0"/>
        <w:tabs>
          <w:tab w:leader="none" w:pos="214"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Recommends appropriate compensation of directors</w:t>
      </w:r>
    </w:p>
    <w:p>
      <w:pPr>
        <w:spacing w:after="0" w:line="136" w:lineRule="exact"/>
        <w:rPr>
          <w:rFonts w:ascii="Arial" w:cs="Arial" w:eastAsia="Arial" w:hAnsi="Arial"/>
          <w:sz w:val="13"/>
          <w:szCs w:val="13"/>
          <w:color w:val="FDB03F"/>
        </w:rPr>
      </w:pPr>
    </w:p>
    <w:p>
      <w:pPr>
        <w:ind w:left="214" w:hanging="214"/>
        <w:spacing w:after="0"/>
        <w:tabs>
          <w:tab w:leader="none" w:pos="214"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Submits to the Board recommendations for committee assignments</w:t>
      </w:r>
    </w:p>
    <w:p>
      <w:pPr>
        <w:spacing w:after="0" w:line="122" w:lineRule="exact"/>
        <w:rPr>
          <w:rFonts w:ascii="Arial" w:cs="Arial" w:eastAsia="Arial" w:hAnsi="Arial"/>
          <w:sz w:val="13"/>
          <w:szCs w:val="13"/>
          <w:color w:val="FDB03F"/>
        </w:rPr>
      </w:pPr>
    </w:p>
    <w:p>
      <w:pPr>
        <w:ind w:left="214" w:hanging="214"/>
        <w:spacing w:after="0"/>
        <w:tabs>
          <w:tab w:leader="none" w:pos="214"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Reviews and monitors the orientation of new Board members and the continuing education of all directors</w:t>
      </w:r>
    </w:p>
    <w:p>
      <w:pPr>
        <w:spacing w:after="0" w:line="136" w:lineRule="exact"/>
        <w:rPr>
          <w:rFonts w:ascii="Arial" w:cs="Arial" w:eastAsia="Arial" w:hAnsi="Arial"/>
          <w:sz w:val="13"/>
          <w:szCs w:val="13"/>
          <w:color w:val="FDB03F"/>
        </w:rPr>
      </w:pPr>
    </w:p>
    <w:p>
      <w:pPr>
        <w:ind w:left="234" w:right="1880" w:hanging="234"/>
        <w:spacing w:after="0" w:line="231" w:lineRule="auto"/>
        <w:tabs>
          <w:tab w:leader="none" w:pos="220" w:val="left"/>
        </w:tabs>
        <w:numPr>
          <w:ilvl w:val="0"/>
          <w:numId w:val="82"/>
        </w:numPr>
        <w:rPr>
          <w:rFonts w:ascii="Arial" w:cs="Arial" w:eastAsia="Arial" w:hAnsi="Arial"/>
          <w:sz w:val="13"/>
          <w:szCs w:val="13"/>
          <w:color w:val="FDB03F"/>
        </w:rPr>
      </w:pPr>
      <w:r>
        <w:rPr>
          <w:rFonts w:ascii="Arial" w:cs="Arial" w:eastAsia="Arial" w:hAnsi="Arial"/>
          <w:sz w:val="14"/>
          <w:szCs w:val="14"/>
          <w:color w:val="auto"/>
        </w:rPr>
        <w:t>Reviews and oversees UTC’s positions on significant public issues and corporate social responsibility, including diversity, the environment and safety</w:t>
      </w:r>
    </w:p>
    <w:p>
      <w:pPr>
        <w:spacing w:after="0" w:line="200" w:lineRule="exact"/>
        <w:rPr>
          <w:sz w:val="20"/>
          <w:szCs w:val="20"/>
          <w:color w:val="auto"/>
        </w:rPr>
      </w:pPr>
    </w:p>
    <w:p>
      <w:pPr>
        <w:sectPr>
          <w:pgSz w:w="11900" w:h="16838" w:orient="portrait"/>
          <w:cols w:equalWidth="0" w:num="2">
            <w:col w:w="1440" w:space="486"/>
            <w:col w:w="9514"/>
          </w:cols>
          <w:pgMar w:left="240" w:top="121" w:right="21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 Appointed to the Committee effective December 10,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19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32080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2080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089015" cy="6261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89015" cy="6261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0E93D8"/>
        </w:rPr>
        <w:t>Jean-Pierre Garnier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0E93D8"/>
        </w:rPr>
        <w:t>(Chair)</w:t>
      </w:r>
    </w:p>
    <w:p>
      <w:pPr>
        <w:spacing w:after="0" w:line="163" w:lineRule="exact"/>
        <w:rPr>
          <w:sz w:val="20"/>
          <w:szCs w:val="20"/>
          <w:color w:val="auto"/>
        </w:rPr>
      </w:pPr>
    </w:p>
    <w:p>
      <w:pPr>
        <w:ind w:right="340"/>
        <w:spacing w:after="0" w:line="225" w:lineRule="auto"/>
        <w:rPr>
          <w:sz w:val="20"/>
          <w:szCs w:val="20"/>
          <w:color w:val="auto"/>
        </w:rPr>
      </w:pPr>
      <w:r>
        <w:rPr>
          <w:rFonts w:ascii="Arial" w:cs="Arial" w:eastAsia="Arial" w:hAnsi="Arial"/>
          <w:sz w:val="14"/>
          <w:szCs w:val="14"/>
          <w:color w:val="0E93D8"/>
        </w:rPr>
        <w:t>John V. Faraci Ellen J. Kullman Harold W. McGraw III Denise L. Ramos* Brian C. Rogers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2018 Meetings: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John V. Faraci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0E93D8"/>
        </w:rPr>
        <w:t>(Chair)</w:t>
      </w:r>
    </w:p>
    <w:p>
      <w:pPr>
        <w:spacing w:after="0" w:line="163" w:lineRule="exact"/>
        <w:rPr>
          <w:sz w:val="20"/>
          <w:szCs w:val="20"/>
          <w:color w:val="auto"/>
        </w:rPr>
      </w:pPr>
    </w:p>
    <w:p>
      <w:pPr>
        <w:ind w:right="200"/>
        <w:spacing w:after="0" w:line="266" w:lineRule="auto"/>
        <w:rPr>
          <w:sz w:val="20"/>
          <w:szCs w:val="20"/>
          <w:color w:val="auto"/>
        </w:rPr>
      </w:pPr>
      <w:r>
        <w:rPr>
          <w:rFonts w:ascii="Arial" w:cs="Arial" w:eastAsia="Arial" w:hAnsi="Arial"/>
          <w:sz w:val="12"/>
          <w:szCs w:val="12"/>
          <w:color w:val="0E93D8"/>
        </w:rPr>
        <w:t>Diane M. Bryant Gregory J. Hayes Christopher J. Kearney* Ellen J. Kullman Marshall O. Larsen Fredric G. Reynolds Christine Todd Whitman</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2018 Meetings: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34" w:right="2280" w:hanging="234"/>
        <w:spacing w:after="0" w:line="231" w:lineRule="auto"/>
        <w:tabs>
          <w:tab w:leader="none" w:pos="220" w:val="left"/>
        </w:tabs>
        <w:numPr>
          <w:ilvl w:val="0"/>
          <w:numId w:val="83"/>
        </w:numPr>
        <w:rPr>
          <w:rFonts w:ascii="Arial" w:cs="Arial" w:eastAsia="Arial" w:hAnsi="Arial"/>
          <w:sz w:val="13"/>
          <w:szCs w:val="13"/>
          <w:color w:val="FDB03F"/>
        </w:rPr>
      </w:pPr>
      <w:r>
        <w:rPr>
          <w:rFonts w:ascii="Arial" w:cs="Arial" w:eastAsia="Arial" w:hAnsi="Arial"/>
          <w:sz w:val="14"/>
          <w:szCs w:val="14"/>
          <w:color w:val="auto"/>
        </w:rPr>
        <w:t>Reviews UTC’s executive compensation policies and practices to ensure that they adequately and appropriately align executive and shareowner interests</w:t>
      </w:r>
    </w:p>
    <w:p>
      <w:pPr>
        <w:spacing w:after="0" w:line="135" w:lineRule="exact"/>
        <w:rPr>
          <w:rFonts w:ascii="Arial" w:cs="Arial" w:eastAsia="Arial" w:hAnsi="Arial"/>
          <w:sz w:val="13"/>
          <w:szCs w:val="13"/>
          <w:color w:val="FDB03F"/>
        </w:rPr>
      </w:pPr>
    </w:p>
    <w:p>
      <w:pPr>
        <w:ind w:left="234" w:right="2020" w:hanging="234"/>
        <w:spacing w:after="0" w:line="231" w:lineRule="auto"/>
        <w:tabs>
          <w:tab w:leader="none" w:pos="220" w:val="left"/>
        </w:tabs>
        <w:numPr>
          <w:ilvl w:val="0"/>
          <w:numId w:val="83"/>
        </w:numPr>
        <w:rPr>
          <w:rFonts w:ascii="Arial" w:cs="Arial" w:eastAsia="Arial" w:hAnsi="Arial"/>
          <w:sz w:val="13"/>
          <w:szCs w:val="13"/>
          <w:color w:val="FDB03F"/>
        </w:rPr>
      </w:pPr>
      <w:r>
        <w:rPr>
          <w:rFonts w:ascii="Arial" w:cs="Arial" w:eastAsia="Arial" w:hAnsi="Arial"/>
          <w:sz w:val="14"/>
          <w:szCs w:val="14"/>
          <w:color w:val="auto"/>
        </w:rPr>
        <w:t>Reviews and approves the design of and sets performance goals for the annual bonus and long-term incentive awards for executives</w:t>
      </w:r>
    </w:p>
    <w:p>
      <w:pPr>
        <w:spacing w:after="0" w:line="122" w:lineRule="exact"/>
        <w:rPr>
          <w:rFonts w:ascii="Arial" w:cs="Arial" w:eastAsia="Arial" w:hAnsi="Arial"/>
          <w:sz w:val="13"/>
          <w:szCs w:val="13"/>
          <w:color w:val="FDB03F"/>
        </w:rPr>
      </w:pPr>
    </w:p>
    <w:p>
      <w:pPr>
        <w:ind w:left="234" w:right="1980" w:hanging="234"/>
        <w:spacing w:after="0" w:line="231" w:lineRule="auto"/>
        <w:tabs>
          <w:tab w:leader="none" w:pos="220" w:val="left"/>
        </w:tabs>
        <w:numPr>
          <w:ilvl w:val="0"/>
          <w:numId w:val="83"/>
        </w:numPr>
        <w:rPr>
          <w:rFonts w:ascii="Arial" w:cs="Arial" w:eastAsia="Arial" w:hAnsi="Arial"/>
          <w:sz w:val="13"/>
          <w:szCs w:val="13"/>
          <w:color w:val="FDB03F"/>
        </w:rPr>
      </w:pPr>
      <w:r>
        <w:rPr>
          <w:rFonts w:ascii="Arial" w:cs="Arial" w:eastAsia="Arial" w:hAnsi="Arial"/>
          <w:sz w:val="14"/>
          <w:szCs w:val="14"/>
          <w:color w:val="auto"/>
        </w:rPr>
        <w:t>Evaluates the performance of UTC, the business units and the NEOs relative to the pre-established performance goals set by the Committee for the annual and long-term incentive programs</w:t>
      </w:r>
    </w:p>
    <w:p>
      <w:pPr>
        <w:spacing w:after="0" w:line="135" w:lineRule="exact"/>
        <w:rPr>
          <w:rFonts w:ascii="Arial" w:cs="Arial" w:eastAsia="Arial" w:hAnsi="Arial"/>
          <w:sz w:val="13"/>
          <w:szCs w:val="13"/>
          <w:color w:val="FDB03F"/>
        </w:rPr>
      </w:pPr>
    </w:p>
    <w:p>
      <w:pPr>
        <w:ind w:left="214" w:hanging="214"/>
        <w:spacing w:after="0"/>
        <w:tabs>
          <w:tab w:leader="none" w:pos="214" w:val="left"/>
        </w:tabs>
        <w:numPr>
          <w:ilvl w:val="0"/>
          <w:numId w:val="83"/>
        </w:numPr>
        <w:rPr>
          <w:rFonts w:ascii="Arial" w:cs="Arial" w:eastAsia="Arial" w:hAnsi="Arial"/>
          <w:sz w:val="13"/>
          <w:szCs w:val="13"/>
          <w:color w:val="FDB03F"/>
        </w:rPr>
      </w:pPr>
      <w:r>
        <w:rPr>
          <w:rFonts w:ascii="Arial" w:cs="Arial" w:eastAsia="Arial" w:hAnsi="Arial"/>
          <w:sz w:val="14"/>
          <w:szCs w:val="14"/>
          <w:color w:val="auto"/>
        </w:rPr>
        <w:t>Approves compensation levels for ELG members and executive officers</w:t>
      </w:r>
    </w:p>
    <w:p>
      <w:pPr>
        <w:spacing w:after="0" w:line="136" w:lineRule="exact"/>
        <w:rPr>
          <w:rFonts w:ascii="Arial" w:cs="Arial" w:eastAsia="Arial" w:hAnsi="Arial"/>
          <w:sz w:val="13"/>
          <w:szCs w:val="13"/>
          <w:color w:val="FDB03F"/>
        </w:rPr>
      </w:pPr>
    </w:p>
    <w:p>
      <w:pPr>
        <w:ind w:left="214" w:hanging="214"/>
        <w:spacing w:after="0"/>
        <w:tabs>
          <w:tab w:leader="none" w:pos="214" w:val="left"/>
        </w:tabs>
        <w:numPr>
          <w:ilvl w:val="0"/>
          <w:numId w:val="83"/>
        </w:numPr>
        <w:rPr>
          <w:rFonts w:ascii="Arial" w:cs="Arial" w:eastAsia="Arial" w:hAnsi="Arial"/>
          <w:sz w:val="13"/>
          <w:szCs w:val="13"/>
          <w:color w:val="FDB03F"/>
        </w:rPr>
      </w:pPr>
      <w:r>
        <w:rPr>
          <w:rFonts w:ascii="Arial" w:cs="Arial" w:eastAsia="Arial" w:hAnsi="Arial"/>
          <w:sz w:val="14"/>
          <w:szCs w:val="14"/>
          <w:color w:val="auto"/>
        </w:rPr>
        <w:t>Reviews a risk assessment of UTC’s compensation policies, plans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146685</wp:posOffset>
            </wp:positionV>
            <wp:extent cx="6089015" cy="5829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890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4" w:hanging="214"/>
        <w:spacing w:after="0"/>
        <w:tabs>
          <w:tab w:leader="none" w:pos="214" w:val="left"/>
        </w:tabs>
        <w:numPr>
          <w:ilvl w:val="0"/>
          <w:numId w:val="84"/>
        </w:numPr>
        <w:rPr>
          <w:rFonts w:ascii="Arial" w:cs="Arial" w:eastAsia="Arial" w:hAnsi="Arial"/>
          <w:sz w:val="13"/>
          <w:szCs w:val="13"/>
          <w:color w:val="FDB03F"/>
        </w:rPr>
      </w:pPr>
      <w:r>
        <w:rPr>
          <w:rFonts w:ascii="Arial" w:cs="Arial" w:eastAsia="Arial" w:hAnsi="Arial"/>
          <w:sz w:val="14"/>
          <w:szCs w:val="14"/>
          <w:color w:val="auto"/>
        </w:rPr>
        <w:t>Reviews and monitors the management of UTC’s financial resources and financial risks</w:t>
      </w:r>
    </w:p>
    <w:p>
      <w:pPr>
        <w:spacing w:after="0" w:line="136" w:lineRule="exact"/>
        <w:rPr>
          <w:rFonts w:ascii="Arial" w:cs="Arial" w:eastAsia="Arial" w:hAnsi="Arial"/>
          <w:sz w:val="13"/>
          <w:szCs w:val="13"/>
          <w:color w:val="FDB03F"/>
        </w:rPr>
      </w:pPr>
    </w:p>
    <w:p>
      <w:pPr>
        <w:ind w:left="234" w:right="2060" w:hanging="234"/>
        <w:spacing w:after="0" w:line="231" w:lineRule="auto"/>
        <w:tabs>
          <w:tab w:leader="none" w:pos="220" w:val="left"/>
        </w:tabs>
        <w:numPr>
          <w:ilvl w:val="0"/>
          <w:numId w:val="84"/>
        </w:numPr>
        <w:rPr>
          <w:rFonts w:ascii="Arial" w:cs="Arial" w:eastAsia="Arial" w:hAnsi="Arial"/>
          <w:sz w:val="13"/>
          <w:szCs w:val="13"/>
          <w:color w:val="FDB03F"/>
        </w:rPr>
      </w:pPr>
      <w:r>
        <w:rPr>
          <w:rFonts w:ascii="Arial" w:cs="Arial" w:eastAsia="Arial" w:hAnsi="Arial"/>
          <w:sz w:val="14"/>
          <w:szCs w:val="14"/>
          <w:color w:val="auto"/>
        </w:rPr>
        <w:t>Considers plans for significant acquisitions and divestitures and their potential financial impact, and monitors progress on pending and completed transactions</w:t>
      </w:r>
    </w:p>
    <w:p>
      <w:pPr>
        <w:spacing w:after="0" w:line="122" w:lineRule="exact"/>
        <w:rPr>
          <w:rFonts w:ascii="Arial" w:cs="Arial" w:eastAsia="Arial" w:hAnsi="Arial"/>
          <w:sz w:val="13"/>
          <w:szCs w:val="13"/>
          <w:color w:val="FDB03F"/>
        </w:rPr>
      </w:pPr>
    </w:p>
    <w:p>
      <w:pPr>
        <w:ind w:left="214" w:hanging="214"/>
        <w:spacing w:after="0"/>
        <w:tabs>
          <w:tab w:leader="none" w:pos="214" w:val="left"/>
        </w:tabs>
        <w:numPr>
          <w:ilvl w:val="0"/>
          <w:numId w:val="84"/>
        </w:numPr>
        <w:rPr>
          <w:rFonts w:ascii="Arial" w:cs="Arial" w:eastAsia="Arial" w:hAnsi="Arial"/>
          <w:sz w:val="13"/>
          <w:szCs w:val="13"/>
          <w:color w:val="FDB03F"/>
        </w:rPr>
      </w:pPr>
      <w:r>
        <w:rPr>
          <w:rFonts w:ascii="Arial" w:cs="Arial" w:eastAsia="Arial" w:hAnsi="Arial"/>
          <w:sz w:val="14"/>
          <w:szCs w:val="14"/>
          <w:color w:val="auto"/>
        </w:rPr>
        <w:t>Reviews significant financing programs in support of business objectives</w:t>
      </w:r>
    </w:p>
    <w:p>
      <w:pPr>
        <w:spacing w:after="0" w:line="136" w:lineRule="exact"/>
        <w:rPr>
          <w:rFonts w:ascii="Arial" w:cs="Arial" w:eastAsia="Arial" w:hAnsi="Arial"/>
          <w:sz w:val="13"/>
          <w:szCs w:val="13"/>
          <w:color w:val="FDB03F"/>
        </w:rPr>
      </w:pPr>
    </w:p>
    <w:p>
      <w:pPr>
        <w:ind w:left="214" w:hanging="214"/>
        <w:spacing w:after="0"/>
        <w:tabs>
          <w:tab w:leader="none" w:pos="214" w:val="left"/>
        </w:tabs>
        <w:numPr>
          <w:ilvl w:val="0"/>
          <w:numId w:val="84"/>
        </w:numPr>
        <w:rPr>
          <w:rFonts w:ascii="Arial" w:cs="Arial" w:eastAsia="Arial" w:hAnsi="Arial"/>
          <w:sz w:val="13"/>
          <w:szCs w:val="13"/>
          <w:color w:val="FDB03F"/>
        </w:rPr>
      </w:pPr>
      <w:r>
        <w:rPr>
          <w:rFonts w:ascii="Arial" w:cs="Arial" w:eastAsia="Arial" w:hAnsi="Arial"/>
          <w:sz w:val="14"/>
          <w:szCs w:val="14"/>
          <w:color w:val="auto"/>
        </w:rPr>
        <w:t>Reviews significant capital appropriations</w:t>
      </w:r>
    </w:p>
    <w:p>
      <w:pPr>
        <w:spacing w:after="0" w:line="136" w:lineRule="exact"/>
        <w:rPr>
          <w:rFonts w:ascii="Arial" w:cs="Arial" w:eastAsia="Arial" w:hAnsi="Arial"/>
          <w:sz w:val="13"/>
          <w:szCs w:val="13"/>
          <w:color w:val="FDB03F"/>
        </w:rPr>
      </w:pPr>
    </w:p>
    <w:p>
      <w:pPr>
        <w:ind w:left="234" w:right="2000" w:hanging="234"/>
        <w:spacing w:after="0" w:line="228" w:lineRule="auto"/>
        <w:tabs>
          <w:tab w:leader="none" w:pos="220" w:val="left"/>
        </w:tabs>
        <w:numPr>
          <w:ilvl w:val="0"/>
          <w:numId w:val="84"/>
        </w:numPr>
        <w:rPr>
          <w:rFonts w:ascii="Arial" w:cs="Arial" w:eastAsia="Arial" w:hAnsi="Arial"/>
          <w:sz w:val="13"/>
          <w:szCs w:val="13"/>
          <w:color w:val="FDB03F"/>
        </w:rPr>
      </w:pPr>
      <w:r>
        <w:rPr>
          <w:rFonts w:ascii="Arial" w:cs="Arial" w:eastAsia="Arial" w:hAnsi="Arial"/>
          <w:sz w:val="14"/>
          <w:szCs w:val="14"/>
          <w:color w:val="auto"/>
        </w:rPr>
        <w:t>Reviews policies and programs related to: dividends and share repurchases; financing, working and long-term capital requirements; managing foreign exchange exposure, interest rates and raw material prices; investment of pension assets; and insurance and risk management</w:t>
      </w:r>
    </w:p>
    <w:p>
      <w:pPr>
        <w:spacing w:after="0" w:line="334" w:lineRule="exact"/>
        <w:rPr>
          <w:sz w:val="20"/>
          <w:szCs w:val="20"/>
          <w:color w:val="auto"/>
        </w:rPr>
      </w:pPr>
    </w:p>
    <w:p>
      <w:pPr>
        <w:sectPr>
          <w:pgSz w:w="11900" w:h="16838" w:orient="portrait"/>
          <w:cols w:equalWidth="0" w:num="2">
            <w:col w:w="1640" w:space="286"/>
            <w:col w:w="9494"/>
          </w:cols>
          <w:pgMar w:left="240" w:top="121"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 Appointed to the Committee effective December 10, 2018.</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Director Independence</w:t>
      </w:r>
    </w:p>
    <w:p>
      <w:pPr>
        <w:spacing w:after="0" w:line="255"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Under UTC’s Director Independence Policy and New York Stock Exchange (“NYSE”) listing standards a majority of our directors must be independent; meaning, the director does not have a direct or indirect material relationship with UTC (other than as a director). The Director Independence Policy guides the independence determination and includes the categories of relationships that the Board has determined are not material relationships that would impair a director’s independence. The policy is available on our Company website (see page 17).</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Before joining the Board and annually thereafter, each director completes a questionnaire seeking information about relationships and transactions that may require disclosure, that may affect the independence determination, or that may affect the heightened independence standards that apply to members of the Audit and Compensation Committees. The Governance Committee’s assessment of independence considers all known relevant facts and circumstances about those relationships bearing on the independence of a director or nominee. The assessment also considers sales and purchases of products and services, in the ordinary course of business, between UTC (including its subsidiaries) and other companies or charitable organizations where directors and nominees (and their immediate family members) may have relationships pertinent to the independence determination.</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each of the past three years, the annual payments UTC made or received for products and services as well as UTC’s charitable contributions fell well below the thresholds in our Independence Policy and NYSE listing standards (the greater of $1 million or 2% of the other company or organization’s total gross revenues). The Board has determined that each of the nominees for election at the 2019 Annual Meeting, other than Mr. Hayes, are independent under UTC’s Independence Policy and NYSE listing standard because none of the nominees, other than Mr. Hayes, has a business, financial, family or other relationship with UTC that is considered material.</w:t>
      </w:r>
    </w:p>
    <w:p>
      <w:pPr>
        <w:spacing w:after="0" w:line="203" w:lineRule="exact"/>
        <w:rPr>
          <w:sz w:val="20"/>
          <w:szCs w:val="20"/>
          <w:color w:val="auto"/>
        </w:rPr>
      </w:pPr>
    </w:p>
    <w:p>
      <w:pPr>
        <w:ind w:left="880" w:hanging="628"/>
        <w:spacing w:after="0"/>
        <w:tabs>
          <w:tab w:leader="none" w:pos="880" w:val="left"/>
        </w:tabs>
        <w:numPr>
          <w:ilvl w:val="0"/>
          <w:numId w:val="85"/>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146685</wp:posOffset>
            </wp:positionV>
            <wp:extent cx="132080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20800" cy="128905"/>
                    </a:xfrm>
                    <a:prstGeom prst="rect">
                      <a:avLst/>
                    </a:prstGeom>
                    <a:noFill/>
                  </pic:spPr>
                </pic:pic>
              </a:graphicData>
            </a:graphic>
          </wp:anchor>
        </w:drawing>
      </w:r>
    </w:p>
    <w:p>
      <w:pPr>
        <w:spacing w:after="0" w:line="22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FFFFFF"/>
        </w:rPr>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F94D8"/>
        </w:rPr>
        <w:t>How We Manage Risk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Our Risk Management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UTC encounters a range of risks, including legal, financial, operational, strategic, and reputational. And among these broad categories, specific risks include human capital, market conditions, the overall political climate, and the impact of disruptive events, such as natural disasters.</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To manage these risks, UTC has implemented a comprehensive enterprise risk management (“ERM”) program that conforms to the Enterprise Risk – Management Integrated Framework established by the Committee of Sponsoring Organizations of the Treadway Commission (“COSO”). As part of UTC’s ERM program, each business unit president is responsible for identifying and reporting to the Chairman &amp; CEO – as part of a mid-year compliance review – the notable business and compliance risks that could affect the business’ operating plan and strategic initiatives, assessing the likelihood and potential impact of the pertinent risks, and designing the mitigation plans. The Chairman &amp; CEO, Chief Financial Officer, and General Counsel report to the Board at least annually on business unit risks, functional risks and the associated mitigation plans.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The Board’s Role in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 full Board is responsible for the oversight of UTC’s risk management process and structure, while the Audit Committee oversees UTC’s overall policies and practices for enterprise risk management. In addition, responsibility for the oversight of specific risk categories is allocated among the Board and its committees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BOARD RISK OVERSIGHT: AREAS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246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24663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F94D8"/>
        </w:rPr>
        <w:t>Full Board of Directors</w:t>
      </w:r>
    </w:p>
    <w:p>
      <w:pPr>
        <w:spacing w:after="0" w:line="220" w:lineRule="exact"/>
        <w:rPr>
          <w:sz w:val="20"/>
          <w:szCs w:val="20"/>
          <w:color w:val="auto"/>
        </w:rPr>
      </w:pPr>
    </w:p>
    <w:p>
      <w:pPr>
        <w:ind w:left="340" w:hanging="206"/>
        <w:spacing w:after="0"/>
        <w:tabs>
          <w:tab w:leader="none" w:pos="340" w:val="left"/>
        </w:tabs>
        <w:numPr>
          <w:ilvl w:val="0"/>
          <w:numId w:val="86"/>
        </w:numPr>
        <w:rPr>
          <w:rFonts w:ascii="Arial" w:cs="Arial" w:eastAsia="Arial" w:hAnsi="Arial"/>
          <w:sz w:val="13"/>
          <w:szCs w:val="13"/>
          <w:color w:val="FDB03F"/>
        </w:rPr>
      </w:pPr>
      <w:r>
        <w:rPr>
          <w:rFonts w:ascii="Arial" w:cs="Arial" w:eastAsia="Arial" w:hAnsi="Arial"/>
          <w:sz w:val="14"/>
          <w:szCs w:val="14"/>
          <w:color w:val="auto"/>
        </w:rPr>
        <w:t>Risk management program</w:t>
      </w:r>
    </w:p>
    <w:p>
      <w:pPr>
        <w:spacing w:after="0" w:line="95" w:lineRule="exact"/>
        <w:rPr>
          <w:rFonts w:ascii="Arial" w:cs="Arial" w:eastAsia="Arial" w:hAnsi="Arial"/>
          <w:sz w:val="13"/>
          <w:szCs w:val="13"/>
          <w:color w:val="FDB03F"/>
        </w:rPr>
      </w:pPr>
    </w:p>
    <w:p>
      <w:pPr>
        <w:ind w:left="360" w:hanging="226"/>
        <w:spacing w:after="0" w:line="231" w:lineRule="auto"/>
        <w:tabs>
          <w:tab w:leader="none" w:pos="337" w:val="left"/>
        </w:tabs>
        <w:numPr>
          <w:ilvl w:val="0"/>
          <w:numId w:val="86"/>
        </w:numPr>
        <w:rPr>
          <w:rFonts w:ascii="Arial" w:cs="Arial" w:eastAsia="Arial" w:hAnsi="Arial"/>
          <w:sz w:val="13"/>
          <w:szCs w:val="13"/>
          <w:color w:val="FDB03F"/>
        </w:rPr>
      </w:pPr>
      <w:r>
        <w:rPr>
          <w:rFonts w:ascii="Arial" w:cs="Arial" w:eastAsia="Arial" w:hAnsi="Arial"/>
          <w:sz w:val="14"/>
          <w:szCs w:val="14"/>
          <w:color w:val="auto"/>
        </w:rPr>
        <w:t>Major strategies and business objectives</w:t>
      </w:r>
    </w:p>
    <w:p>
      <w:pPr>
        <w:spacing w:after="0" w:line="95" w:lineRule="exact"/>
        <w:rPr>
          <w:rFonts w:ascii="Arial" w:cs="Arial" w:eastAsia="Arial" w:hAnsi="Arial"/>
          <w:sz w:val="13"/>
          <w:szCs w:val="13"/>
          <w:color w:val="FDB03F"/>
        </w:rPr>
      </w:pPr>
    </w:p>
    <w:p>
      <w:pPr>
        <w:ind w:left="360" w:hanging="226"/>
        <w:spacing w:after="0" w:line="231" w:lineRule="auto"/>
        <w:tabs>
          <w:tab w:leader="none" w:pos="337" w:val="left"/>
        </w:tabs>
        <w:numPr>
          <w:ilvl w:val="0"/>
          <w:numId w:val="86"/>
        </w:numPr>
        <w:rPr>
          <w:rFonts w:ascii="Arial" w:cs="Arial" w:eastAsia="Arial" w:hAnsi="Arial"/>
          <w:sz w:val="13"/>
          <w:szCs w:val="13"/>
          <w:color w:val="FDB03F"/>
        </w:rPr>
      </w:pPr>
      <w:r>
        <w:rPr>
          <w:rFonts w:ascii="Arial" w:cs="Arial" w:eastAsia="Arial" w:hAnsi="Arial"/>
          <w:sz w:val="14"/>
          <w:szCs w:val="14"/>
          <w:color w:val="auto"/>
        </w:rPr>
        <w:t>Most significant risks, such as major litigation</w:t>
      </w:r>
    </w:p>
    <w:p>
      <w:pPr>
        <w:spacing w:after="0" w:line="95" w:lineRule="exact"/>
        <w:rPr>
          <w:rFonts w:ascii="Arial" w:cs="Arial" w:eastAsia="Arial" w:hAnsi="Arial"/>
          <w:sz w:val="13"/>
          <w:szCs w:val="13"/>
          <w:color w:val="FDB03F"/>
        </w:rPr>
      </w:pPr>
    </w:p>
    <w:p>
      <w:pPr>
        <w:ind w:left="340" w:hanging="206"/>
        <w:spacing w:after="0"/>
        <w:tabs>
          <w:tab w:leader="none" w:pos="340" w:val="left"/>
        </w:tabs>
        <w:numPr>
          <w:ilvl w:val="0"/>
          <w:numId w:val="86"/>
        </w:numPr>
        <w:rPr>
          <w:rFonts w:ascii="Arial" w:cs="Arial" w:eastAsia="Arial" w:hAnsi="Arial"/>
          <w:sz w:val="13"/>
          <w:szCs w:val="13"/>
          <w:color w:val="FDB03F"/>
        </w:rPr>
      </w:pPr>
      <w:r>
        <w:rPr>
          <w:rFonts w:ascii="Arial" w:cs="Arial" w:eastAsia="Arial" w:hAnsi="Arial"/>
          <w:sz w:val="14"/>
          <w:szCs w:val="14"/>
          <w:color w:val="auto"/>
        </w:rPr>
        <w:t>Succession planning</w:t>
      </w:r>
    </w:p>
    <w:p>
      <w:pPr>
        <w:spacing w:after="0" w:line="95" w:lineRule="exact"/>
        <w:rPr>
          <w:rFonts w:ascii="Arial" w:cs="Arial" w:eastAsia="Arial" w:hAnsi="Arial"/>
          <w:sz w:val="13"/>
          <w:szCs w:val="13"/>
          <w:color w:val="FDB03F"/>
        </w:rPr>
      </w:pPr>
    </w:p>
    <w:p>
      <w:pPr>
        <w:ind w:left="340" w:hanging="206"/>
        <w:spacing w:after="0"/>
        <w:tabs>
          <w:tab w:leader="none" w:pos="340" w:val="left"/>
        </w:tabs>
        <w:numPr>
          <w:ilvl w:val="0"/>
          <w:numId w:val="86"/>
        </w:numPr>
        <w:rPr>
          <w:rFonts w:ascii="Arial" w:cs="Arial" w:eastAsia="Arial" w:hAnsi="Arial"/>
          <w:sz w:val="13"/>
          <w:szCs w:val="13"/>
          <w:color w:val="FDB03F"/>
        </w:rPr>
      </w:pPr>
      <w:r>
        <w:rPr>
          <w:rFonts w:ascii="Arial" w:cs="Arial" w:eastAsia="Arial" w:hAnsi="Arial"/>
          <w:sz w:val="14"/>
          <w:szCs w:val="14"/>
          <w:color w:val="auto"/>
        </w:rPr>
        <w:t>Government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b w:val="1"/>
          <w:bCs w:val="1"/>
          <w:color w:val="0F94D8"/>
        </w:rPr>
        <w:t>Audit Committee</w:t>
      </w:r>
    </w:p>
    <w:p>
      <w:pPr>
        <w:spacing w:after="0" w:line="243" w:lineRule="exact"/>
        <w:rPr>
          <w:sz w:val="20"/>
          <w:szCs w:val="20"/>
          <w:color w:val="auto"/>
        </w:rPr>
      </w:pPr>
    </w:p>
    <w:p>
      <w:pPr>
        <w:ind w:left="240" w:hanging="204"/>
        <w:spacing w:after="0"/>
        <w:tabs>
          <w:tab w:leader="none" w:pos="240" w:val="left"/>
        </w:tabs>
        <w:numPr>
          <w:ilvl w:val="0"/>
          <w:numId w:val="87"/>
        </w:numPr>
        <w:rPr>
          <w:rFonts w:ascii="Arial" w:cs="Arial" w:eastAsia="Arial" w:hAnsi="Arial"/>
          <w:sz w:val="13"/>
          <w:szCs w:val="13"/>
          <w:color w:val="FDB03F"/>
        </w:rPr>
      </w:pPr>
      <w:r>
        <w:rPr>
          <w:rFonts w:ascii="Arial" w:cs="Arial" w:eastAsia="Arial" w:hAnsi="Arial"/>
          <w:sz w:val="14"/>
          <w:szCs w:val="14"/>
          <w:color w:val="auto"/>
        </w:rPr>
        <w:t>Financial</w:t>
      </w:r>
    </w:p>
    <w:p>
      <w:pPr>
        <w:spacing w:after="0" w:line="95" w:lineRule="exact"/>
        <w:rPr>
          <w:rFonts w:ascii="Arial" w:cs="Arial" w:eastAsia="Arial" w:hAnsi="Arial"/>
          <w:sz w:val="13"/>
          <w:szCs w:val="13"/>
          <w:color w:val="FDB03F"/>
        </w:rPr>
      </w:pPr>
    </w:p>
    <w:p>
      <w:pPr>
        <w:ind w:left="240" w:hanging="204"/>
        <w:spacing w:after="0"/>
        <w:tabs>
          <w:tab w:leader="none" w:pos="240" w:val="left"/>
        </w:tabs>
        <w:numPr>
          <w:ilvl w:val="0"/>
          <w:numId w:val="87"/>
        </w:numPr>
        <w:rPr>
          <w:rFonts w:ascii="Arial" w:cs="Arial" w:eastAsia="Arial" w:hAnsi="Arial"/>
          <w:sz w:val="13"/>
          <w:szCs w:val="13"/>
          <w:color w:val="FDB03F"/>
        </w:rPr>
      </w:pPr>
      <w:r>
        <w:rPr>
          <w:rFonts w:ascii="Arial" w:cs="Arial" w:eastAsia="Arial" w:hAnsi="Arial"/>
          <w:sz w:val="14"/>
          <w:szCs w:val="14"/>
          <w:color w:val="auto"/>
        </w:rPr>
        <w:t>Operational</w:t>
      </w:r>
    </w:p>
    <w:p>
      <w:pPr>
        <w:spacing w:after="0" w:line="95" w:lineRule="exact"/>
        <w:rPr>
          <w:rFonts w:ascii="Arial" w:cs="Arial" w:eastAsia="Arial" w:hAnsi="Arial"/>
          <w:sz w:val="13"/>
          <w:szCs w:val="13"/>
          <w:color w:val="FDB03F"/>
        </w:rPr>
      </w:pPr>
    </w:p>
    <w:p>
      <w:pPr>
        <w:ind w:left="240" w:hanging="204"/>
        <w:spacing w:after="0"/>
        <w:tabs>
          <w:tab w:leader="none" w:pos="240" w:val="left"/>
        </w:tabs>
        <w:numPr>
          <w:ilvl w:val="0"/>
          <w:numId w:val="87"/>
        </w:numPr>
        <w:rPr>
          <w:rFonts w:ascii="Arial" w:cs="Arial" w:eastAsia="Arial" w:hAnsi="Arial"/>
          <w:sz w:val="13"/>
          <w:szCs w:val="13"/>
          <w:color w:val="FDB03F"/>
        </w:rPr>
      </w:pPr>
      <w:r>
        <w:rPr>
          <w:rFonts w:ascii="Arial" w:cs="Arial" w:eastAsia="Arial" w:hAnsi="Arial"/>
          <w:sz w:val="14"/>
          <w:szCs w:val="14"/>
          <w:color w:val="auto"/>
        </w:rPr>
        <w:t>Compliance</w:t>
      </w:r>
    </w:p>
    <w:p>
      <w:pPr>
        <w:spacing w:after="0" w:line="95" w:lineRule="exact"/>
        <w:rPr>
          <w:rFonts w:ascii="Arial" w:cs="Arial" w:eastAsia="Arial" w:hAnsi="Arial"/>
          <w:sz w:val="13"/>
          <w:szCs w:val="13"/>
          <w:color w:val="FDB03F"/>
        </w:rPr>
      </w:pPr>
    </w:p>
    <w:p>
      <w:pPr>
        <w:ind w:left="240" w:hanging="204"/>
        <w:spacing w:after="0"/>
        <w:tabs>
          <w:tab w:leader="none" w:pos="240" w:val="left"/>
        </w:tabs>
        <w:numPr>
          <w:ilvl w:val="0"/>
          <w:numId w:val="87"/>
        </w:numPr>
        <w:rPr>
          <w:rFonts w:ascii="Arial" w:cs="Arial" w:eastAsia="Arial" w:hAnsi="Arial"/>
          <w:sz w:val="13"/>
          <w:szCs w:val="13"/>
          <w:color w:val="FDB03F"/>
        </w:rPr>
      </w:pPr>
      <w:r>
        <w:rPr>
          <w:rFonts w:ascii="Arial" w:cs="Arial" w:eastAsia="Arial" w:hAnsi="Arial"/>
          <w:sz w:val="14"/>
          <w:szCs w:val="14"/>
          <w:color w:val="auto"/>
        </w:rPr>
        <w:t>Reputational</w:t>
      </w:r>
    </w:p>
    <w:p>
      <w:pPr>
        <w:spacing w:after="0" w:line="95" w:lineRule="exact"/>
        <w:rPr>
          <w:rFonts w:ascii="Arial" w:cs="Arial" w:eastAsia="Arial" w:hAnsi="Arial"/>
          <w:sz w:val="13"/>
          <w:szCs w:val="13"/>
          <w:color w:val="FDB03F"/>
        </w:rPr>
      </w:pPr>
    </w:p>
    <w:p>
      <w:pPr>
        <w:ind w:left="240" w:hanging="204"/>
        <w:spacing w:after="0"/>
        <w:tabs>
          <w:tab w:leader="none" w:pos="240" w:val="left"/>
        </w:tabs>
        <w:numPr>
          <w:ilvl w:val="0"/>
          <w:numId w:val="87"/>
        </w:numPr>
        <w:rPr>
          <w:rFonts w:ascii="Arial" w:cs="Arial" w:eastAsia="Arial" w:hAnsi="Arial"/>
          <w:sz w:val="13"/>
          <w:szCs w:val="13"/>
          <w:color w:val="FDB03F"/>
        </w:rPr>
      </w:pPr>
      <w:r>
        <w:rPr>
          <w:rFonts w:ascii="Arial" w:cs="Arial" w:eastAsia="Arial" w:hAnsi="Arial"/>
          <w:sz w:val="14"/>
          <w:szCs w:val="14"/>
          <w:color w:val="auto"/>
        </w:rPr>
        <w:t>Strategic</w:t>
      </w:r>
    </w:p>
    <w:p>
      <w:pPr>
        <w:spacing w:after="0" w:line="95" w:lineRule="exact"/>
        <w:rPr>
          <w:rFonts w:ascii="Arial" w:cs="Arial" w:eastAsia="Arial" w:hAnsi="Arial"/>
          <w:sz w:val="13"/>
          <w:szCs w:val="13"/>
          <w:color w:val="FDB03F"/>
        </w:rPr>
      </w:pPr>
    </w:p>
    <w:p>
      <w:pPr>
        <w:ind w:left="240" w:hanging="204"/>
        <w:spacing w:after="0"/>
        <w:tabs>
          <w:tab w:leader="none" w:pos="240" w:val="left"/>
        </w:tabs>
        <w:numPr>
          <w:ilvl w:val="0"/>
          <w:numId w:val="87"/>
        </w:numPr>
        <w:rPr>
          <w:rFonts w:ascii="Arial" w:cs="Arial" w:eastAsia="Arial" w:hAnsi="Arial"/>
          <w:sz w:val="12"/>
          <w:szCs w:val="12"/>
          <w:color w:val="FDB03F"/>
        </w:rPr>
      </w:pPr>
      <w:r>
        <w:rPr>
          <w:rFonts w:ascii="Arial" w:cs="Arial" w:eastAsia="Arial" w:hAnsi="Arial"/>
          <w:sz w:val="12"/>
          <w:szCs w:val="12"/>
          <w:color w:val="auto"/>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b w:val="1"/>
          <w:bCs w:val="1"/>
          <w:color w:val="0F94D8"/>
        </w:rPr>
        <w:t>Committee on Governance and Public Policy</w:t>
      </w:r>
    </w:p>
    <w:p>
      <w:pPr>
        <w:spacing w:after="0" w:line="198" w:lineRule="exact"/>
        <w:rPr>
          <w:sz w:val="20"/>
          <w:szCs w:val="20"/>
          <w:color w:val="auto"/>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Corporate governance</w:t>
      </w:r>
    </w:p>
    <w:p>
      <w:pPr>
        <w:spacing w:after="0" w:line="95" w:lineRule="exact"/>
        <w:rPr>
          <w:rFonts w:ascii="Arial" w:cs="Arial" w:eastAsia="Arial" w:hAnsi="Arial"/>
          <w:sz w:val="13"/>
          <w:szCs w:val="13"/>
          <w:color w:val="FDB03F"/>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Director candidate review</w:t>
      </w:r>
    </w:p>
    <w:p>
      <w:pPr>
        <w:spacing w:after="0" w:line="95" w:lineRule="exact"/>
        <w:rPr>
          <w:rFonts w:ascii="Arial" w:cs="Arial" w:eastAsia="Arial" w:hAnsi="Arial"/>
          <w:sz w:val="13"/>
          <w:szCs w:val="13"/>
          <w:color w:val="FDB03F"/>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Conflicts of interest</w:t>
      </w:r>
    </w:p>
    <w:p>
      <w:pPr>
        <w:spacing w:after="0" w:line="95" w:lineRule="exact"/>
        <w:rPr>
          <w:rFonts w:ascii="Arial" w:cs="Arial" w:eastAsia="Arial" w:hAnsi="Arial"/>
          <w:sz w:val="13"/>
          <w:szCs w:val="13"/>
          <w:color w:val="FDB03F"/>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Director independence</w:t>
      </w:r>
    </w:p>
    <w:p>
      <w:pPr>
        <w:spacing w:after="0" w:line="95" w:lineRule="exact"/>
        <w:rPr>
          <w:rFonts w:ascii="Arial" w:cs="Arial" w:eastAsia="Arial" w:hAnsi="Arial"/>
          <w:sz w:val="13"/>
          <w:szCs w:val="13"/>
          <w:color w:val="FDB03F"/>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Environment</w:t>
      </w:r>
    </w:p>
    <w:p>
      <w:pPr>
        <w:spacing w:after="0" w:line="95" w:lineRule="exact"/>
        <w:rPr>
          <w:rFonts w:ascii="Arial" w:cs="Arial" w:eastAsia="Arial" w:hAnsi="Arial"/>
          <w:sz w:val="13"/>
          <w:szCs w:val="13"/>
          <w:color w:val="FDB03F"/>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Safety</w:t>
      </w:r>
    </w:p>
    <w:p>
      <w:pPr>
        <w:spacing w:after="0" w:line="95" w:lineRule="exact"/>
        <w:rPr>
          <w:rFonts w:ascii="Arial" w:cs="Arial" w:eastAsia="Arial" w:hAnsi="Arial"/>
          <w:sz w:val="13"/>
          <w:szCs w:val="13"/>
          <w:color w:val="FDB03F"/>
        </w:rPr>
      </w:pPr>
    </w:p>
    <w:p>
      <w:pPr>
        <w:ind w:left="240" w:hanging="201"/>
        <w:spacing w:after="0"/>
        <w:tabs>
          <w:tab w:leader="none" w:pos="240" w:val="left"/>
        </w:tabs>
        <w:numPr>
          <w:ilvl w:val="0"/>
          <w:numId w:val="88"/>
        </w:numPr>
        <w:rPr>
          <w:rFonts w:ascii="Arial" w:cs="Arial" w:eastAsia="Arial" w:hAnsi="Arial"/>
          <w:sz w:val="12"/>
          <w:szCs w:val="12"/>
          <w:color w:val="FDB03F"/>
        </w:rPr>
      </w:pPr>
      <w:r>
        <w:rPr>
          <w:rFonts w:ascii="Arial" w:cs="Arial" w:eastAsia="Arial" w:hAnsi="Arial"/>
          <w:sz w:val="12"/>
          <w:szCs w:val="12"/>
          <w:color w:val="auto"/>
        </w:rPr>
        <w:t>Equal employment opportunity</w:t>
      </w:r>
    </w:p>
    <w:p>
      <w:pPr>
        <w:spacing w:after="0" w:line="118" w:lineRule="exact"/>
        <w:rPr>
          <w:rFonts w:ascii="Arial" w:cs="Arial" w:eastAsia="Arial" w:hAnsi="Arial"/>
          <w:sz w:val="12"/>
          <w:szCs w:val="12"/>
          <w:color w:val="FDB03F"/>
        </w:rPr>
      </w:pPr>
    </w:p>
    <w:p>
      <w:pPr>
        <w:ind w:left="240" w:hanging="201"/>
        <w:spacing w:after="0"/>
        <w:tabs>
          <w:tab w:leader="none" w:pos="240" w:val="left"/>
        </w:tabs>
        <w:numPr>
          <w:ilvl w:val="0"/>
          <w:numId w:val="88"/>
        </w:numPr>
        <w:rPr>
          <w:rFonts w:ascii="Arial" w:cs="Arial" w:eastAsia="Arial" w:hAnsi="Arial"/>
          <w:sz w:val="13"/>
          <w:szCs w:val="13"/>
          <w:color w:val="FDB03F"/>
        </w:rPr>
      </w:pPr>
      <w:r>
        <w:rPr>
          <w:rFonts w:ascii="Arial" w:cs="Arial" w:eastAsia="Arial" w:hAnsi="Arial"/>
          <w:sz w:val="14"/>
          <w:szCs w:val="14"/>
          <w:color w:val="auto"/>
        </w:rPr>
        <w:t>Public policy issues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0F94D8"/>
        </w:rPr>
        <w:t>Compensation Committee</w:t>
      </w:r>
    </w:p>
    <w:p>
      <w:pPr>
        <w:spacing w:after="0" w:line="220" w:lineRule="exact"/>
        <w:rPr>
          <w:sz w:val="20"/>
          <w:szCs w:val="20"/>
          <w:color w:val="auto"/>
        </w:rPr>
      </w:pPr>
    </w:p>
    <w:p>
      <w:pPr>
        <w:ind w:left="280" w:right="140" w:hanging="239"/>
        <w:spacing w:after="0" w:line="300" w:lineRule="auto"/>
        <w:tabs>
          <w:tab w:leader="none" w:pos="257" w:val="left"/>
        </w:tabs>
        <w:numPr>
          <w:ilvl w:val="0"/>
          <w:numId w:val="89"/>
        </w:numPr>
        <w:rPr>
          <w:rFonts w:ascii="Arial" w:cs="Arial" w:eastAsia="Arial" w:hAnsi="Arial"/>
          <w:sz w:val="12"/>
          <w:szCs w:val="12"/>
          <w:color w:val="FDB03F"/>
        </w:rPr>
      </w:pPr>
      <w:r>
        <w:rPr>
          <w:rFonts w:ascii="Arial" w:cs="Arial" w:eastAsia="Arial" w:hAnsi="Arial"/>
          <w:sz w:val="12"/>
          <w:szCs w:val="12"/>
          <w:color w:val="auto"/>
        </w:rPr>
        <w:t>Compensation and benefits policies, practices and plans</w:t>
      </w:r>
    </w:p>
    <w:p>
      <w:pPr>
        <w:spacing w:after="0" w:line="60" w:lineRule="exact"/>
        <w:rPr>
          <w:rFonts w:ascii="Arial" w:cs="Arial" w:eastAsia="Arial" w:hAnsi="Arial"/>
          <w:sz w:val="12"/>
          <w:szCs w:val="12"/>
          <w:color w:val="FDB03F"/>
        </w:rPr>
      </w:pPr>
    </w:p>
    <w:p>
      <w:pPr>
        <w:ind w:left="280" w:right="220" w:hanging="239"/>
        <w:spacing w:after="0" w:line="300" w:lineRule="auto"/>
        <w:tabs>
          <w:tab w:leader="none" w:pos="257" w:val="left"/>
        </w:tabs>
        <w:numPr>
          <w:ilvl w:val="0"/>
          <w:numId w:val="89"/>
        </w:numPr>
        <w:rPr>
          <w:rFonts w:ascii="Arial" w:cs="Arial" w:eastAsia="Arial" w:hAnsi="Arial"/>
          <w:sz w:val="12"/>
          <w:szCs w:val="12"/>
          <w:color w:val="FDB03F"/>
        </w:rPr>
      </w:pPr>
      <w:r>
        <w:rPr>
          <w:rFonts w:ascii="Arial" w:cs="Arial" w:eastAsia="Arial" w:hAnsi="Arial"/>
          <w:sz w:val="12"/>
          <w:szCs w:val="12"/>
          <w:color w:val="auto"/>
        </w:rPr>
        <w:t>Incentive plan performance metrics and goals</w:t>
      </w:r>
    </w:p>
    <w:p>
      <w:pPr>
        <w:spacing w:after="0" w:line="60" w:lineRule="exact"/>
        <w:rPr>
          <w:rFonts w:ascii="Arial" w:cs="Arial" w:eastAsia="Arial" w:hAnsi="Arial"/>
          <w:sz w:val="12"/>
          <w:szCs w:val="12"/>
          <w:color w:val="FDB03F"/>
        </w:rPr>
      </w:pPr>
    </w:p>
    <w:p>
      <w:pPr>
        <w:ind w:left="280" w:hanging="239"/>
        <w:spacing w:after="0" w:line="231" w:lineRule="auto"/>
        <w:tabs>
          <w:tab w:leader="none" w:pos="257" w:val="left"/>
        </w:tabs>
        <w:numPr>
          <w:ilvl w:val="0"/>
          <w:numId w:val="89"/>
        </w:numPr>
        <w:rPr>
          <w:rFonts w:ascii="Arial" w:cs="Arial" w:eastAsia="Arial" w:hAnsi="Arial"/>
          <w:sz w:val="13"/>
          <w:szCs w:val="13"/>
          <w:color w:val="FDB03F"/>
        </w:rPr>
      </w:pPr>
      <w:r>
        <w:rPr>
          <w:rFonts w:ascii="Arial" w:cs="Arial" w:eastAsia="Arial" w:hAnsi="Arial"/>
          <w:sz w:val="14"/>
          <w:szCs w:val="14"/>
          <w:color w:val="auto"/>
        </w:rPr>
        <w:t>Compensation levels for senior leaders</w:t>
      </w:r>
    </w:p>
    <w:p>
      <w:pPr>
        <w:spacing w:after="0" w:line="95" w:lineRule="exact"/>
        <w:rPr>
          <w:rFonts w:ascii="Arial" w:cs="Arial" w:eastAsia="Arial" w:hAnsi="Arial"/>
          <w:sz w:val="13"/>
          <w:szCs w:val="13"/>
          <w:color w:val="FDB03F"/>
        </w:rPr>
      </w:pPr>
    </w:p>
    <w:p>
      <w:pPr>
        <w:ind w:left="260" w:hanging="219"/>
        <w:spacing w:after="0"/>
        <w:tabs>
          <w:tab w:leader="none" w:pos="260" w:val="left"/>
        </w:tabs>
        <w:numPr>
          <w:ilvl w:val="0"/>
          <w:numId w:val="89"/>
        </w:numPr>
        <w:rPr>
          <w:rFonts w:ascii="Arial" w:cs="Arial" w:eastAsia="Arial" w:hAnsi="Arial"/>
          <w:sz w:val="13"/>
          <w:szCs w:val="13"/>
          <w:color w:val="FDB03F"/>
        </w:rPr>
      </w:pPr>
      <w:r>
        <w:rPr>
          <w:rFonts w:ascii="Arial" w:cs="Arial" w:eastAsia="Arial" w:hAnsi="Arial"/>
          <w:sz w:val="14"/>
          <w:szCs w:val="14"/>
          <w:color w:val="auto"/>
        </w:rPr>
        <w:t>Compensation plan design</w:t>
      </w:r>
    </w:p>
    <w:p>
      <w:pPr>
        <w:spacing w:after="0" w:line="95" w:lineRule="exact"/>
        <w:rPr>
          <w:rFonts w:ascii="Arial" w:cs="Arial" w:eastAsia="Arial" w:hAnsi="Arial"/>
          <w:sz w:val="13"/>
          <w:szCs w:val="13"/>
          <w:color w:val="FDB03F"/>
        </w:rPr>
      </w:pPr>
    </w:p>
    <w:p>
      <w:pPr>
        <w:ind w:left="260" w:hanging="219"/>
        <w:spacing w:after="0"/>
        <w:tabs>
          <w:tab w:leader="none" w:pos="260" w:val="left"/>
        </w:tabs>
        <w:numPr>
          <w:ilvl w:val="0"/>
          <w:numId w:val="89"/>
        </w:numPr>
        <w:rPr>
          <w:rFonts w:ascii="Arial" w:cs="Arial" w:eastAsia="Arial" w:hAnsi="Arial"/>
          <w:sz w:val="13"/>
          <w:szCs w:val="13"/>
          <w:color w:val="FDB03F"/>
        </w:rPr>
      </w:pPr>
      <w:r>
        <w:rPr>
          <w:rFonts w:ascii="Arial" w:cs="Arial" w:eastAsia="Arial" w:hAnsi="Arial"/>
          <w:sz w:val="14"/>
          <w:szCs w:val="14"/>
          <w:color w:val="auto"/>
        </w:rPr>
        <w:t>Executive retention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0F94D8"/>
        </w:rPr>
        <w:t>Finance Committee</w:t>
      </w:r>
    </w:p>
    <w:p>
      <w:pPr>
        <w:spacing w:after="0" w:line="220" w:lineRule="exact"/>
        <w:rPr>
          <w:sz w:val="20"/>
          <w:szCs w:val="20"/>
          <w:color w:val="auto"/>
        </w:rPr>
      </w:pPr>
    </w:p>
    <w:p>
      <w:pPr>
        <w:ind w:left="260" w:hanging="216"/>
        <w:spacing w:after="0"/>
        <w:tabs>
          <w:tab w:leader="none" w:pos="260" w:val="left"/>
        </w:tabs>
        <w:numPr>
          <w:ilvl w:val="0"/>
          <w:numId w:val="90"/>
        </w:numPr>
        <w:rPr>
          <w:rFonts w:ascii="Arial" w:cs="Arial" w:eastAsia="Arial" w:hAnsi="Arial"/>
          <w:sz w:val="13"/>
          <w:szCs w:val="13"/>
          <w:color w:val="FDB03F"/>
        </w:rPr>
      </w:pPr>
      <w:r>
        <w:rPr>
          <w:rFonts w:ascii="Arial" w:cs="Arial" w:eastAsia="Arial" w:hAnsi="Arial"/>
          <w:sz w:val="14"/>
          <w:szCs w:val="14"/>
          <w:color w:val="auto"/>
        </w:rPr>
        <w:t>Capital structure</w:t>
      </w:r>
    </w:p>
    <w:p>
      <w:pPr>
        <w:spacing w:after="0" w:line="95" w:lineRule="exact"/>
        <w:rPr>
          <w:rFonts w:ascii="Arial" w:cs="Arial" w:eastAsia="Arial" w:hAnsi="Arial"/>
          <w:sz w:val="13"/>
          <w:szCs w:val="13"/>
          <w:color w:val="FDB03F"/>
        </w:rPr>
      </w:pPr>
    </w:p>
    <w:p>
      <w:pPr>
        <w:ind w:left="260" w:hanging="216"/>
        <w:spacing w:after="0"/>
        <w:tabs>
          <w:tab w:leader="none" w:pos="260" w:val="left"/>
        </w:tabs>
        <w:numPr>
          <w:ilvl w:val="0"/>
          <w:numId w:val="90"/>
        </w:numPr>
        <w:rPr>
          <w:rFonts w:ascii="Arial" w:cs="Arial" w:eastAsia="Arial" w:hAnsi="Arial"/>
          <w:sz w:val="13"/>
          <w:szCs w:val="13"/>
          <w:color w:val="FDB03F"/>
        </w:rPr>
      </w:pPr>
      <w:r>
        <w:rPr>
          <w:rFonts w:ascii="Arial" w:cs="Arial" w:eastAsia="Arial" w:hAnsi="Arial"/>
          <w:sz w:val="14"/>
          <w:szCs w:val="14"/>
          <w:color w:val="auto"/>
        </w:rPr>
        <w:t>Financing</w:t>
      </w:r>
    </w:p>
    <w:p>
      <w:pPr>
        <w:spacing w:after="0" w:line="95" w:lineRule="exact"/>
        <w:rPr>
          <w:rFonts w:ascii="Arial" w:cs="Arial" w:eastAsia="Arial" w:hAnsi="Arial"/>
          <w:sz w:val="13"/>
          <w:szCs w:val="13"/>
          <w:color w:val="FDB03F"/>
        </w:rPr>
      </w:pPr>
    </w:p>
    <w:p>
      <w:pPr>
        <w:ind w:left="260" w:hanging="216"/>
        <w:spacing w:after="0"/>
        <w:tabs>
          <w:tab w:leader="none" w:pos="260" w:val="left"/>
        </w:tabs>
        <w:numPr>
          <w:ilvl w:val="0"/>
          <w:numId w:val="90"/>
        </w:numPr>
        <w:rPr>
          <w:rFonts w:ascii="Arial" w:cs="Arial" w:eastAsia="Arial" w:hAnsi="Arial"/>
          <w:sz w:val="13"/>
          <w:szCs w:val="13"/>
          <w:color w:val="FDB03F"/>
        </w:rPr>
      </w:pPr>
      <w:r>
        <w:rPr>
          <w:rFonts w:ascii="Arial" w:cs="Arial" w:eastAsia="Arial" w:hAnsi="Arial"/>
          <w:sz w:val="14"/>
          <w:szCs w:val="14"/>
          <w:color w:val="auto"/>
        </w:rPr>
        <w:t>Pensions</w:t>
      </w:r>
    </w:p>
    <w:p>
      <w:pPr>
        <w:spacing w:after="0" w:line="95" w:lineRule="exact"/>
        <w:rPr>
          <w:rFonts w:ascii="Arial" w:cs="Arial" w:eastAsia="Arial" w:hAnsi="Arial"/>
          <w:sz w:val="13"/>
          <w:szCs w:val="13"/>
          <w:color w:val="FDB03F"/>
        </w:rPr>
      </w:pPr>
    </w:p>
    <w:p>
      <w:pPr>
        <w:ind w:left="260" w:hanging="216"/>
        <w:spacing w:after="0"/>
        <w:tabs>
          <w:tab w:leader="none" w:pos="260" w:val="left"/>
        </w:tabs>
        <w:numPr>
          <w:ilvl w:val="0"/>
          <w:numId w:val="90"/>
        </w:numPr>
        <w:rPr>
          <w:rFonts w:ascii="Arial" w:cs="Arial" w:eastAsia="Arial" w:hAnsi="Arial"/>
          <w:sz w:val="13"/>
          <w:szCs w:val="13"/>
          <w:color w:val="FDB03F"/>
        </w:rPr>
      </w:pPr>
      <w:r>
        <w:rPr>
          <w:rFonts w:ascii="Arial" w:cs="Arial" w:eastAsia="Arial" w:hAnsi="Arial"/>
          <w:sz w:val="14"/>
          <w:szCs w:val="14"/>
          <w:color w:val="auto"/>
        </w:rPr>
        <w:t>Capital transactions</w:t>
      </w:r>
    </w:p>
    <w:p>
      <w:pPr>
        <w:spacing w:after="0" w:line="95" w:lineRule="exact"/>
        <w:rPr>
          <w:rFonts w:ascii="Arial" w:cs="Arial" w:eastAsia="Arial" w:hAnsi="Arial"/>
          <w:sz w:val="13"/>
          <w:szCs w:val="13"/>
          <w:color w:val="FDB03F"/>
        </w:rPr>
      </w:pPr>
    </w:p>
    <w:p>
      <w:pPr>
        <w:ind w:left="280" w:right="200" w:hanging="236"/>
        <w:spacing w:after="0" w:line="300" w:lineRule="auto"/>
        <w:tabs>
          <w:tab w:leader="none" w:pos="257" w:val="left"/>
        </w:tabs>
        <w:numPr>
          <w:ilvl w:val="0"/>
          <w:numId w:val="90"/>
        </w:numPr>
        <w:rPr>
          <w:rFonts w:ascii="Arial" w:cs="Arial" w:eastAsia="Arial" w:hAnsi="Arial"/>
          <w:sz w:val="12"/>
          <w:szCs w:val="12"/>
          <w:color w:val="FDB03F"/>
        </w:rPr>
      </w:pPr>
      <w:r>
        <w:rPr>
          <w:rFonts w:ascii="Arial" w:cs="Arial" w:eastAsia="Arial" w:hAnsi="Arial"/>
          <w:sz w:val="12"/>
          <w:szCs w:val="12"/>
          <w:color w:val="auto"/>
        </w:rPr>
        <w:t>Foreign exchange, interest rates and raw material prices</w:t>
      </w:r>
    </w:p>
    <w:p>
      <w:pPr>
        <w:spacing w:after="0" w:line="934" w:lineRule="exact"/>
        <w:rPr>
          <w:sz w:val="20"/>
          <w:szCs w:val="20"/>
          <w:color w:val="auto"/>
        </w:rPr>
      </w:pPr>
    </w:p>
    <w:p>
      <w:pPr>
        <w:sectPr>
          <w:pgSz w:w="11900" w:h="16838" w:orient="portrait"/>
          <w:cols w:equalWidth="0" w:num="5">
            <w:col w:w="2140" w:space="240"/>
            <w:col w:w="1560" w:space="720"/>
            <w:col w:w="2080" w:space="200"/>
            <w:col w:w="2100" w:space="180"/>
            <w:col w:w="2220"/>
          </w:cols>
          <w:pgMar w:left="240" w:top="121" w:right="21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Compensation Risk and Mitigation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Compensation Committee believes that executive compensation payouts must align with the Company’s financial performance, be earned in a manner consistent with UTC’s Code of Ethics, promote long-term, sustainable value for shareowners, and strike a balance between appropriate levels of financial opportunity and risk. Through UTC’s ERM framework, the Compensation Committee identifies, monitors and mitigates compensation risk in the following ways:</w:t>
      </w:r>
    </w:p>
    <w:p>
      <w:pPr>
        <w:spacing w:after="0" w:line="191" w:lineRule="exact"/>
        <w:rPr>
          <w:sz w:val="20"/>
          <w:szCs w:val="20"/>
          <w:color w:val="auto"/>
        </w:rPr>
      </w:pPr>
    </w:p>
    <w:p>
      <w:pPr>
        <w:ind w:left="260" w:right="180" w:hanging="252"/>
        <w:spacing w:after="0" w:line="260" w:lineRule="auto"/>
        <w:tabs>
          <w:tab w:leader="none" w:pos="260" w:val="left"/>
        </w:tabs>
        <w:numPr>
          <w:ilvl w:val="0"/>
          <w:numId w:val="91"/>
        </w:numPr>
        <w:rPr>
          <w:rFonts w:ascii="Arial" w:cs="Arial" w:eastAsia="Arial" w:hAnsi="Arial"/>
          <w:sz w:val="17"/>
          <w:szCs w:val="17"/>
          <w:color w:val="FDB03F"/>
        </w:rPr>
      </w:pPr>
      <w:r>
        <w:rPr>
          <w:rFonts w:ascii="Arial" w:cs="Arial" w:eastAsia="Arial" w:hAnsi="Arial"/>
          <w:sz w:val="18"/>
          <w:szCs w:val="18"/>
          <w:i w:val="1"/>
          <w:iCs w:val="1"/>
          <w:color w:val="0E93D8"/>
        </w:rPr>
        <w:t>Emphasis on Long-Term Performance</w:t>
      </w:r>
      <w:r>
        <w:rPr>
          <w:rFonts w:ascii="Arial" w:cs="Arial" w:eastAsia="Arial" w:hAnsi="Arial"/>
          <w:sz w:val="18"/>
          <w:szCs w:val="18"/>
          <w:color w:val="0E93D8"/>
        </w:rPr>
        <w:t>.</w:t>
      </w:r>
      <w:r>
        <w:rPr>
          <w:rFonts w:ascii="Arial" w:cs="Arial" w:eastAsia="Arial" w:hAnsi="Arial"/>
          <w:sz w:val="18"/>
          <w:szCs w:val="18"/>
          <w:i w:val="1"/>
          <w:iCs w:val="1"/>
          <w:color w:val="0E93D8"/>
        </w:rPr>
        <w:t xml:space="preserve"> </w:t>
      </w:r>
      <w:r>
        <w:rPr>
          <w:rFonts w:ascii="Arial" w:cs="Arial" w:eastAsia="Arial" w:hAnsi="Arial"/>
          <w:sz w:val="18"/>
          <w:szCs w:val="18"/>
          <w:color w:val="000000"/>
        </w:rPr>
        <w:t>Long-term incentives are the cornerstone of UTC’s executive compensation program. Our LTI program</w:t>
      </w:r>
      <w:r>
        <w:rPr>
          <w:rFonts w:ascii="Arial" w:cs="Arial" w:eastAsia="Arial" w:hAnsi="Arial"/>
          <w:sz w:val="18"/>
          <w:szCs w:val="18"/>
          <w:i w:val="1"/>
          <w:iCs w:val="1"/>
          <w:color w:val="0E93D8"/>
        </w:rPr>
        <w:t xml:space="preserve"> </w:t>
      </w:r>
      <w:r>
        <w:rPr>
          <w:rFonts w:ascii="Arial" w:cs="Arial" w:eastAsia="Arial" w:hAnsi="Arial"/>
          <w:sz w:val="18"/>
          <w:szCs w:val="18"/>
          <w:color w:val="000000"/>
        </w:rPr>
        <w:t>incorporates long-term financial performance metrics which align executive and shareowner interests.</w:t>
      </w:r>
    </w:p>
    <w:p>
      <w:pPr>
        <w:spacing w:after="0" w:line="159" w:lineRule="exact"/>
        <w:rPr>
          <w:rFonts w:ascii="Arial" w:cs="Arial" w:eastAsia="Arial" w:hAnsi="Arial"/>
          <w:sz w:val="17"/>
          <w:szCs w:val="17"/>
          <w:color w:val="FDB03F"/>
        </w:rPr>
      </w:pPr>
    </w:p>
    <w:p>
      <w:pPr>
        <w:ind w:left="260" w:right="60" w:hanging="252"/>
        <w:spacing w:after="0" w:line="247" w:lineRule="auto"/>
        <w:tabs>
          <w:tab w:leader="none" w:pos="260" w:val="left"/>
        </w:tabs>
        <w:numPr>
          <w:ilvl w:val="0"/>
          <w:numId w:val="91"/>
        </w:numPr>
        <w:rPr>
          <w:rFonts w:ascii="Arial" w:cs="Arial" w:eastAsia="Arial" w:hAnsi="Arial"/>
          <w:sz w:val="17"/>
          <w:szCs w:val="17"/>
          <w:color w:val="FDB03F"/>
        </w:rPr>
      </w:pPr>
      <w:r>
        <w:rPr>
          <w:rFonts w:ascii="Arial" w:cs="Arial" w:eastAsia="Arial" w:hAnsi="Arial"/>
          <w:sz w:val="18"/>
          <w:szCs w:val="18"/>
          <w:i w:val="1"/>
          <w:iCs w:val="1"/>
          <w:color w:val="0E93D8"/>
        </w:rPr>
        <w:t>Rigorous Share Ownership Requirements</w:t>
      </w:r>
      <w:r>
        <w:rPr>
          <w:rFonts w:ascii="Arial" w:cs="Arial" w:eastAsia="Arial" w:hAnsi="Arial"/>
          <w:sz w:val="18"/>
          <w:szCs w:val="18"/>
          <w:color w:val="0E93D8"/>
        </w:rPr>
        <w:t>.</w:t>
      </w:r>
      <w:r>
        <w:rPr>
          <w:rFonts w:ascii="Arial" w:cs="Arial" w:eastAsia="Arial" w:hAnsi="Arial"/>
          <w:sz w:val="18"/>
          <w:szCs w:val="18"/>
          <w:i w:val="1"/>
          <w:iCs w:val="1"/>
          <w:color w:val="0E93D8"/>
        </w:rPr>
        <w:t xml:space="preserve"> </w:t>
      </w:r>
      <w:r>
        <w:rPr>
          <w:rFonts w:ascii="Arial" w:cs="Arial" w:eastAsia="Arial" w:hAnsi="Arial"/>
          <w:sz w:val="18"/>
          <w:szCs w:val="18"/>
          <w:color w:val="000000"/>
        </w:rPr>
        <w:t>UTC maintains significant share ownership requirements for our senior executives and directors.</w:t>
      </w:r>
      <w:r>
        <w:rPr>
          <w:rFonts w:ascii="Arial" w:cs="Arial" w:eastAsia="Arial" w:hAnsi="Arial"/>
          <w:sz w:val="18"/>
          <w:szCs w:val="18"/>
          <w:i w:val="1"/>
          <w:iCs w:val="1"/>
          <w:color w:val="0E93D8"/>
        </w:rPr>
        <w:t xml:space="preserve"> </w:t>
      </w:r>
      <w:r>
        <w:rPr>
          <w:rFonts w:ascii="Arial" w:cs="Arial" w:eastAsia="Arial" w:hAnsi="Arial"/>
          <w:sz w:val="18"/>
          <w:szCs w:val="18"/>
          <w:color w:val="000000"/>
        </w:rPr>
        <w:t>These requirements are intended to reduce risk by aligning the economic interests of executives and directors with those of our shareowners. A significant stake in future performance discourages the pursuit of short-term opportunities that can create excessive risk.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21</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32080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080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CORPORATE GOVERNANCE</w:t>
      </w:r>
    </w:p>
    <w:p>
      <w:pPr>
        <w:spacing w:after="0" w:line="260" w:lineRule="exact"/>
        <w:rPr>
          <w:sz w:val="20"/>
          <w:szCs w:val="20"/>
          <w:color w:val="auto"/>
        </w:rPr>
      </w:pPr>
    </w:p>
    <w:p>
      <w:pPr>
        <w:ind w:left="260" w:hanging="252"/>
        <w:spacing w:after="0" w:line="241" w:lineRule="auto"/>
        <w:tabs>
          <w:tab w:leader="none" w:pos="260" w:val="left"/>
        </w:tabs>
        <w:numPr>
          <w:ilvl w:val="0"/>
          <w:numId w:val="92"/>
        </w:numPr>
        <w:rPr>
          <w:rFonts w:ascii="Arial" w:cs="Arial" w:eastAsia="Arial" w:hAnsi="Arial"/>
          <w:sz w:val="17"/>
          <w:szCs w:val="17"/>
          <w:color w:val="FDB03F"/>
        </w:rPr>
      </w:pPr>
      <w:r>
        <w:rPr>
          <w:rFonts w:ascii="Arial" w:cs="Arial" w:eastAsia="Arial" w:hAnsi="Arial"/>
          <w:sz w:val="18"/>
          <w:szCs w:val="18"/>
          <w:i w:val="1"/>
          <w:iCs w:val="1"/>
          <w:color w:val="0E93D8"/>
        </w:rPr>
        <w:t xml:space="preserve">Prohibition on Short Sales, Pledging and Hedging of UTC Securities. </w:t>
      </w:r>
      <w:r>
        <w:rPr>
          <w:rFonts w:ascii="Arial" w:cs="Arial" w:eastAsia="Arial" w:hAnsi="Arial"/>
          <w:sz w:val="18"/>
          <w:szCs w:val="18"/>
          <w:color w:val="000000"/>
        </w:rPr>
        <w:t>UTC prohibits directors, officers and employees from entering into</w:t>
      </w:r>
      <w:r>
        <w:rPr>
          <w:rFonts w:ascii="Arial" w:cs="Arial" w:eastAsia="Arial" w:hAnsi="Arial"/>
          <w:sz w:val="18"/>
          <w:szCs w:val="18"/>
          <w:i w:val="1"/>
          <w:iCs w:val="1"/>
          <w:color w:val="0E93D8"/>
        </w:rPr>
        <w:t xml:space="preserve"> </w:t>
      </w:r>
      <w:r>
        <w:rPr>
          <w:rFonts w:ascii="Arial" w:cs="Arial" w:eastAsia="Arial" w:hAnsi="Arial"/>
          <w:sz w:val="18"/>
          <w:szCs w:val="18"/>
          <w:color w:val="000000"/>
        </w:rPr>
        <w:t>transactions involving short sales of our securities. Further, directors and executive officers are prohibited from pledging or assigning an interest in UTC stock, stock options or other equity interests as collateral for a loan. Transactions in put options, call options or other derivative securities that have the effect of hedging the value of UTC securities also are prohibited, whether or not those securities were granted to or held, directly or indirectly, by a director, officer or employee.</w:t>
      </w:r>
    </w:p>
    <w:p>
      <w:pPr>
        <w:spacing w:after="0" w:line="176" w:lineRule="exact"/>
        <w:rPr>
          <w:rFonts w:ascii="Arial" w:cs="Arial" w:eastAsia="Arial" w:hAnsi="Arial"/>
          <w:sz w:val="17"/>
          <w:szCs w:val="17"/>
          <w:color w:val="FDB03F"/>
        </w:rPr>
      </w:pPr>
    </w:p>
    <w:p>
      <w:pPr>
        <w:ind w:left="260" w:right="160" w:hanging="252"/>
        <w:spacing w:after="0" w:line="243" w:lineRule="auto"/>
        <w:tabs>
          <w:tab w:leader="none" w:pos="260" w:val="left"/>
        </w:tabs>
        <w:numPr>
          <w:ilvl w:val="0"/>
          <w:numId w:val="92"/>
        </w:numPr>
        <w:rPr>
          <w:rFonts w:ascii="Arial" w:cs="Arial" w:eastAsia="Arial" w:hAnsi="Arial"/>
          <w:sz w:val="17"/>
          <w:szCs w:val="17"/>
          <w:color w:val="FDB03F"/>
        </w:rPr>
      </w:pPr>
      <w:r>
        <w:rPr>
          <w:rFonts w:ascii="Arial" w:cs="Arial" w:eastAsia="Arial" w:hAnsi="Arial"/>
          <w:sz w:val="18"/>
          <w:szCs w:val="18"/>
          <w:i w:val="1"/>
          <w:iCs w:val="1"/>
          <w:color w:val="0E93D8"/>
        </w:rPr>
        <w:t>Clawback Policy</w:t>
      </w:r>
      <w:r>
        <w:rPr>
          <w:rFonts w:ascii="Arial" w:cs="Arial" w:eastAsia="Arial" w:hAnsi="Arial"/>
          <w:sz w:val="18"/>
          <w:szCs w:val="18"/>
          <w:color w:val="0E93D8"/>
        </w:rPr>
        <w:t>.</w:t>
      </w:r>
      <w:r>
        <w:rPr>
          <w:rFonts w:ascii="Arial" w:cs="Arial" w:eastAsia="Arial" w:hAnsi="Arial"/>
          <w:sz w:val="18"/>
          <w:szCs w:val="18"/>
          <w:i w:val="1"/>
          <w:iCs w:val="1"/>
          <w:color w:val="0E93D8"/>
        </w:rPr>
        <w:t xml:space="preserve"> </w:t>
      </w:r>
      <w:r>
        <w:rPr>
          <w:rFonts w:ascii="Arial" w:cs="Arial" w:eastAsia="Arial" w:hAnsi="Arial"/>
          <w:sz w:val="18"/>
          <w:szCs w:val="18"/>
          <w:color w:val="000000"/>
        </w:rPr>
        <w:t>UTC maintains a comprehensive policy on recoupment (see page 56 for more details) that applies to both annual and long-term incentive compensation. The policy allows UTC to clawback compensation in a number of circumstances including, but not limited to, financial restatements, compensation earned as a result of financial miscalculations, violations of UTC’s Code of Ethics and violations of post-employment restrictive covenants.</w:t>
      </w:r>
    </w:p>
    <w:p>
      <w:pPr>
        <w:spacing w:after="0" w:line="174" w:lineRule="exact"/>
        <w:rPr>
          <w:rFonts w:ascii="Arial" w:cs="Arial" w:eastAsia="Arial" w:hAnsi="Arial"/>
          <w:sz w:val="17"/>
          <w:szCs w:val="17"/>
          <w:color w:val="FDB03F"/>
        </w:rPr>
      </w:pPr>
    </w:p>
    <w:p>
      <w:pPr>
        <w:ind w:left="260" w:right="220" w:hanging="252"/>
        <w:spacing w:after="0" w:line="322" w:lineRule="auto"/>
        <w:tabs>
          <w:tab w:leader="none" w:pos="260" w:val="left"/>
        </w:tabs>
        <w:numPr>
          <w:ilvl w:val="0"/>
          <w:numId w:val="92"/>
        </w:numPr>
        <w:rPr>
          <w:rFonts w:ascii="Arial" w:cs="Arial" w:eastAsia="Arial" w:hAnsi="Arial"/>
          <w:sz w:val="16"/>
          <w:szCs w:val="16"/>
          <w:color w:val="FDB03F"/>
        </w:rPr>
      </w:pPr>
      <w:r>
        <w:rPr>
          <w:rFonts w:ascii="Arial" w:cs="Arial" w:eastAsia="Arial" w:hAnsi="Arial"/>
          <w:sz w:val="16"/>
          <w:szCs w:val="16"/>
          <w:i w:val="1"/>
          <w:iCs w:val="1"/>
          <w:color w:val="0E93D8"/>
        </w:rPr>
        <w:t>Post-Employment Covenants</w:t>
      </w:r>
      <w:r>
        <w:rPr>
          <w:rFonts w:ascii="Arial" w:cs="Arial" w:eastAsia="Arial" w:hAnsi="Arial"/>
          <w:sz w:val="16"/>
          <w:szCs w:val="16"/>
          <w:color w:val="0E93D8"/>
        </w:rPr>
        <w:t>.</w:t>
      </w:r>
      <w:r>
        <w:rPr>
          <w:rFonts w:ascii="Arial" w:cs="Arial" w:eastAsia="Arial" w:hAnsi="Arial"/>
          <w:sz w:val="16"/>
          <w:szCs w:val="16"/>
          <w:i w:val="1"/>
          <w:iCs w:val="1"/>
          <w:color w:val="0E93D8"/>
        </w:rPr>
        <w:t xml:space="preserve"> </w:t>
      </w:r>
      <w:r>
        <w:rPr>
          <w:rFonts w:ascii="Arial" w:cs="Arial" w:eastAsia="Arial" w:hAnsi="Arial"/>
          <w:sz w:val="16"/>
          <w:szCs w:val="16"/>
          <w:color w:val="000000"/>
        </w:rPr>
        <w:t>Executive Leadership Group members (which include each of our NEOs) may not engage in post-employment</w:t>
      </w:r>
      <w:r>
        <w:rPr>
          <w:rFonts w:ascii="Arial" w:cs="Arial" w:eastAsia="Arial" w:hAnsi="Arial"/>
          <w:sz w:val="16"/>
          <w:szCs w:val="16"/>
          <w:i w:val="1"/>
          <w:iCs w:val="1"/>
          <w:color w:val="0E93D8"/>
        </w:rPr>
        <w:t xml:space="preserve"> </w:t>
      </w:r>
      <w:r>
        <w:rPr>
          <w:rFonts w:ascii="Arial" w:cs="Arial" w:eastAsia="Arial" w:hAnsi="Arial"/>
          <w:sz w:val="16"/>
          <w:szCs w:val="16"/>
          <w:color w:val="000000"/>
        </w:rPr>
        <w:t>activities detrimental to UTC, such as disclosing proprietary information, soliciting UTC employees or engaging in competitive activities.</w:t>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Public Policy Engagement</w:t>
      </w:r>
    </w:p>
    <w:p>
      <w:pPr>
        <w:spacing w:after="0" w:line="25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UTC’s government relations initiatives are intended to educate and inform officials and the public on a broad range of public policy issues that are important to our businesses. These initiatives are consistent with the interests of UTC’s shareowners and are not based on the personal agendas of individual directors, officers or employees. The Board reviews and monitors the Company’s government relations activities, including the activities of the United Technologies Corporation Federal Political Action Committee (“UTC PAC”), which is funded entirely by voluntary employee contributions.</w:t>
      </w:r>
    </w:p>
    <w:p>
      <w:pPr>
        <w:spacing w:after="0" w:line="211"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UTC does not make political contributions to candidates for federal office. The UTC PAC is nonpartisan and supports candidates for federal office and the national political organizations of both major parties — thus providing employees, regardless of their political affiliations, with a legal and ethical way to speak with a unified voice on issues that are important to our Company. The UTC PAC’s contributions are available on our website (see page 17).</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UTC does not contribute to candidates for state and local office or to state and local party committees. We also do not make contributions to fund communications to the public that expressly advocate the election or defeat of a federal candidate, nor do we provide funding to support or oppose ballot measures.</w:t>
      </w:r>
    </w:p>
    <w:p>
      <w:pPr>
        <w:spacing w:after="0" w:line="20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UTC’s federal lobbying activities and expenditures can be reviewed through the reports filed with Congress that can be accessed through our Company website (see page 17). UTC’s state lobbying activities, which also are available through our website, are generally limited to 10 states and involve issues such as building safety and related building codes, economic development, and various business regulation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694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pacing w:after="0" w:line="379" w:lineRule="exact"/>
        <w:rPr>
          <w:sz w:val="20"/>
          <w:szCs w:val="20"/>
          <w:color w:val="auto"/>
        </w:rPr>
      </w:pPr>
    </w:p>
    <w:p>
      <w:pPr>
        <w:ind w:left="280" w:right="220"/>
        <w:spacing w:after="0" w:line="249" w:lineRule="auto"/>
        <w:rPr>
          <w:sz w:val="20"/>
          <w:szCs w:val="20"/>
          <w:color w:val="auto"/>
        </w:rPr>
      </w:pPr>
      <w:r>
        <w:rPr>
          <w:rFonts w:ascii="Arial" w:cs="Arial" w:eastAsia="Arial" w:hAnsi="Arial"/>
          <w:sz w:val="18"/>
          <w:szCs w:val="18"/>
          <w:b w:val="1"/>
          <w:bCs w:val="1"/>
          <w:color w:val="FDB03F"/>
        </w:rPr>
        <w:t xml:space="preserve">For the third consecutive year, UTC was recognized as a “Trendsetter” by the nonprofit and nonpartisan Center for Political Accountability (“CPA”) </w:t>
      </w:r>
      <w:r>
        <w:rPr>
          <w:rFonts w:ascii="Arial" w:cs="Arial" w:eastAsia="Arial" w:hAnsi="Arial"/>
          <w:sz w:val="18"/>
          <w:szCs w:val="18"/>
          <w:color w:val="FFFFFF"/>
        </w:rPr>
        <w:t>— placing UTC among the 57 companies in the S&amp;P 500 that received the highest scores on the CPA-Zicklin Index</w:t>
      </w:r>
      <w:r>
        <w:rPr>
          <w:rFonts w:ascii="Arial" w:cs="Arial" w:eastAsia="Arial" w:hAnsi="Arial"/>
          <w:sz w:val="18"/>
          <w:szCs w:val="18"/>
          <w:b w:val="1"/>
          <w:bCs w:val="1"/>
          <w:color w:val="FDB03F"/>
        </w:rPr>
        <w:t xml:space="preserve"> </w:t>
      </w:r>
      <w:r>
        <w:rPr>
          <w:rFonts w:ascii="Arial" w:cs="Arial" w:eastAsia="Arial" w:hAnsi="Arial"/>
          <w:sz w:val="18"/>
          <w:szCs w:val="18"/>
          <w:color w:val="FFFFFF"/>
        </w:rPr>
        <w:t>for Corporate Political Disclosure and Accountability.</w:t>
      </w:r>
    </w:p>
    <w:p>
      <w:pPr>
        <w:spacing w:after="0" w:line="200" w:lineRule="exact"/>
        <w:rPr>
          <w:sz w:val="20"/>
          <w:szCs w:val="20"/>
          <w:color w:val="auto"/>
        </w:rPr>
      </w:pPr>
    </w:p>
    <w:p>
      <w:pPr>
        <w:spacing w:after="0" w:line="264" w:lineRule="exact"/>
        <w:rPr>
          <w:sz w:val="20"/>
          <w:szCs w:val="20"/>
          <w:color w:val="auto"/>
        </w:rPr>
      </w:pPr>
    </w:p>
    <w:p>
      <w:pPr>
        <w:ind w:left="880" w:hanging="628"/>
        <w:spacing w:after="0"/>
        <w:tabs>
          <w:tab w:leader="none" w:pos="880" w:val="left"/>
        </w:tabs>
        <w:numPr>
          <w:ilvl w:val="0"/>
          <w:numId w:val="93"/>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CORPORATE</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Responsibility</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F94D8"/>
        </w:rPr>
        <w:t>Corporate Sustainability</w:t>
      </w:r>
    </w:p>
    <w:p>
      <w:pPr>
        <w:spacing w:after="0" w:line="25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UTC has long recognized the value of sustainable practices, and since 1992 has implemented sustainability initiatives throughout our value chain. We believe our operations should not compromise the environmental or economic health of future generations, and we also have seen firsthand how responsible management practices provide value to our operations, employees, customers, shareowners and the communities where we operate.</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believe that trends in urbanization and population growth will continue to increase demand for more sustainable products and behaviors. Each of UTC’s major businesses is critical to modern life and the continuing development of prosperous economies around the world. As a recognized leader in these sectors, UTC is well-positioned to reduce the impact of urbanization and population growth on the environment. We offer our customers the most cutting-edge, sustainable technologies, while continually working to reduce the environmental footprint of our manufacturing facilities. Some of these technologies are highlighted on the inside front cover of this Proxy Statement and others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37730" cy="548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37730" cy="54864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Aerospace</w:t>
      </w:r>
    </w:p>
    <w:p>
      <w:pPr>
        <w:spacing w:after="0" w:line="280"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color w:val="auto"/>
        </w:rPr>
        <w:t>Since entering into service</w:t>
      </w:r>
    </w:p>
    <w:p>
      <w:pPr>
        <w:spacing w:after="0" w:line="23" w:lineRule="exact"/>
        <w:rPr>
          <w:sz w:val="20"/>
          <w:szCs w:val="20"/>
          <w:color w:val="auto"/>
        </w:rPr>
      </w:pPr>
    </w:p>
    <w:p>
      <w:pPr>
        <w:ind w:left="280" w:right="80"/>
        <w:spacing w:after="0" w:line="266" w:lineRule="auto"/>
        <w:rPr>
          <w:sz w:val="20"/>
          <w:szCs w:val="20"/>
          <w:color w:val="auto"/>
        </w:rPr>
      </w:pPr>
      <w:r>
        <w:rPr>
          <w:rFonts w:ascii="Arial" w:cs="Arial" w:eastAsia="Arial" w:hAnsi="Arial"/>
          <w:sz w:val="16"/>
          <w:szCs w:val="16"/>
          <w:color w:val="auto"/>
        </w:rPr>
        <w:t xml:space="preserve">in early 2016, </w:t>
      </w:r>
      <w:r>
        <w:rPr>
          <w:rFonts w:ascii="Arial" w:cs="Arial" w:eastAsia="Arial" w:hAnsi="Arial"/>
          <w:sz w:val="16"/>
          <w:szCs w:val="16"/>
          <w:b w:val="1"/>
          <w:bCs w:val="1"/>
          <w:color w:val="0E93D8"/>
        </w:rPr>
        <w:t>Pratt &amp;</w:t>
      </w:r>
      <w:r>
        <w:rPr>
          <w:rFonts w:ascii="Arial" w:cs="Arial" w:eastAsia="Arial" w:hAnsi="Arial"/>
          <w:sz w:val="16"/>
          <w:szCs w:val="16"/>
          <w:color w:val="auto"/>
        </w:rPr>
        <w:t xml:space="preserve"> </w:t>
      </w:r>
      <w:r>
        <w:rPr>
          <w:rFonts w:ascii="Arial" w:cs="Arial" w:eastAsia="Arial" w:hAnsi="Arial"/>
          <w:sz w:val="16"/>
          <w:szCs w:val="16"/>
          <w:b w:val="1"/>
          <w:bCs w:val="1"/>
          <w:color w:val="0E93D8"/>
        </w:rPr>
        <w:t>Whitney’s Geared Turbofan (“GTF”) engine</w:t>
      </w:r>
    </w:p>
    <w:p>
      <w:pPr>
        <w:spacing w:after="0" w:line="1" w:lineRule="exact"/>
        <w:rPr>
          <w:sz w:val="20"/>
          <w:szCs w:val="20"/>
          <w:color w:val="auto"/>
        </w:rPr>
      </w:pPr>
    </w:p>
    <w:p>
      <w:pPr>
        <w:ind w:left="280"/>
        <w:spacing w:after="0" w:line="273" w:lineRule="auto"/>
        <w:rPr>
          <w:sz w:val="20"/>
          <w:szCs w:val="20"/>
          <w:color w:val="auto"/>
        </w:rPr>
      </w:pPr>
      <w:r>
        <w:rPr>
          <w:rFonts w:ascii="Arial" w:cs="Arial" w:eastAsia="Arial" w:hAnsi="Arial"/>
          <w:sz w:val="16"/>
          <w:szCs w:val="16"/>
          <w:color w:val="auto"/>
        </w:rPr>
        <w:t>has demonstrated its ability to reduce fuel burn by 16%, NOx emissions by 50% to the regulatory standard and the noise footprint by 75%.</w:t>
      </w:r>
    </w:p>
    <w:p>
      <w:pPr>
        <w:spacing w:after="0" w:line="188"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Collins Aerospace’s next</w:t>
      </w:r>
    </w:p>
    <w:p>
      <w:pPr>
        <w:spacing w:after="0" w:line="37" w:lineRule="exact"/>
        <w:rPr>
          <w:sz w:val="20"/>
          <w:szCs w:val="20"/>
          <w:color w:val="auto"/>
        </w:rPr>
      </w:pPr>
    </w:p>
    <w:p>
      <w:pPr>
        <w:ind w:left="280" w:right="20"/>
        <w:spacing w:after="0" w:line="267" w:lineRule="auto"/>
        <w:rPr>
          <w:sz w:val="20"/>
          <w:szCs w:val="20"/>
          <w:color w:val="auto"/>
        </w:rPr>
      </w:pPr>
      <w:r>
        <w:rPr>
          <w:rFonts w:ascii="Arial" w:cs="Arial" w:eastAsia="Arial" w:hAnsi="Arial"/>
          <w:sz w:val="16"/>
          <w:szCs w:val="16"/>
          <w:b w:val="1"/>
          <w:bCs w:val="1"/>
          <w:color w:val="0E93D8"/>
        </w:rPr>
        <w:t xml:space="preserve">generation nacelle system, </w:t>
      </w:r>
      <w:r>
        <w:rPr>
          <w:rFonts w:ascii="Arial" w:cs="Arial" w:eastAsia="Arial" w:hAnsi="Arial"/>
          <w:sz w:val="16"/>
          <w:szCs w:val="16"/>
          <w:color w:val="000000"/>
        </w:rPr>
        <w:t>featuring a 360-degree acoustically smooth inlet, helps reduce noise from aircraft powered by engines like Pratt &amp; Whitney’s GTF engine.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6"/>
          <w:szCs w:val="36"/>
          <w:b w:val="1"/>
          <w:bCs w:val="1"/>
          <w:color w:val="FDB03F"/>
        </w:rPr>
        <w:t>50</w:t>
      </w:r>
      <w:r>
        <w:rPr>
          <w:rFonts w:ascii="Arial" w:cs="Arial" w:eastAsia="Arial" w:hAnsi="Arial"/>
          <w:sz w:val="60"/>
          <w:szCs w:val="60"/>
          <w:b w:val="1"/>
          <w:bCs w:val="1"/>
          <w:color w:val="FDB03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-318770</wp:posOffset>
            </wp:positionV>
            <wp:extent cx="8890" cy="1166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1664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E93D8"/>
        </w:rPr>
        <w:t>reduction of NOx emissions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6"/>
          <w:szCs w:val="36"/>
          <w:b w:val="1"/>
          <w:bCs w:val="1"/>
          <w:color w:val="FDB03F"/>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-231775</wp:posOffset>
            </wp:positionV>
            <wp:extent cx="8890" cy="1037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10375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noise pollution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9"/>
        <w:spacing w:after="0"/>
        <w:rPr>
          <w:sz w:val="20"/>
          <w:szCs w:val="20"/>
          <w:color w:val="auto"/>
        </w:rPr>
      </w:pPr>
      <w:r>
        <w:rPr>
          <w:rFonts w:ascii="Arial" w:cs="Arial" w:eastAsia="Arial" w:hAnsi="Arial"/>
          <w:sz w:val="18"/>
          <w:szCs w:val="18"/>
          <w:b w:val="1"/>
          <w:bCs w:val="1"/>
          <w:color w:val="FFFFFF"/>
        </w:rPr>
        <w:t>Commercial Buildings</w:t>
      </w:r>
    </w:p>
    <w:p>
      <w:pPr>
        <w:spacing w:after="0" w:line="306" w:lineRule="exact"/>
        <w:rPr>
          <w:sz w:val="20"/>
          <w:szCs w:val="20"/>
          <w:color w:val="auto"/>
        </w:rPr>
      </w:pPr>
    </w:p>
    <w:p>
      <w:pPr>
        <w:ind w:left="269" w:hanging="269"/>
        <w:spacing w:after="0" w:line="271" w:lineRule="auto"/>
        <w:tabs>
          <w:tab w:leader="none" w:pos="246" w:val="left"/>
        </w:tabs>
        <w:numPr>
          <w:ilvl w:val="0"/>
          <w:numId w:val="94"/>
        </w:numPr>
        <w:rPr>
          <w:rFonts w:ascii="Arial" w:cs="Arial" w:eastAsia="Arial" w:hAnsi="Arial"/>
          <w:sz w:val="16"/>
          <w:szCs w:val="16"/>
          <w:color w:val="FDB03F"/>
        </w:rPr>
      </w:pPr>
      <w:r>
        <w:rPr>
          <w:rFonts w:ascii="Arial" w:cs="Arial" w:eastAsia="Arial" w:hAnsi="Arial"/>
          <w:sz w:val="16"/>
          <w:szCs w:val="16"/>
          <w:b w:val="1"/>
          <w:bCs w:val="1"/>
          <w:color w:val="0E93D8"/>
        </w:rPr>
        <w:t xml:space="preserve">Otis’ Gen2 machine </w:t>
      </w:r>
      <w:r>
        <w:rPr>
          <w:rFonts w:ascii="Arial" w:cs="Arial" w:eastAsia="Arial" w:hAnsi="Arial"/>
          <w:sz w:val="16"/>
          <w:szCs w:val="16"/>
          <w:color w:val="000000"/>
        </w:rPr>
        <w:t>uses</w:t>
      </w:r>
      <w:r>
        <w:rPr>
          <w:rFonts w:ascii="Arial" w:cs="Arial" w:eastAsia="Arial" w:hAnsi="Arial"/>
          <w:sz w:val="16"/>
          <w:szCs w:val="16"/>
          <w:b w:val="1"/>
          <w:bCs w:val="1"/>
          <w:color w:val="0E93D8"/>
        </w:rPr>
        <w:t xml:space="preserve"> </w:t>
      </w:r>
      <w:r>
        <w:rPr>
          <w:rFonts w:ascii="Arial" w:cs="Arial" w:eastAsia="Arial" w:hAnsi="Arial"/>
          <w:sz w:val="16"/>
          <w:szCs w:val="16"/>
          <w:color w:val="000000"/>
        </w:rPr>
        <w:t>flexible polyurethane steel-reinforced belts in place of steel cables and features ReGen drive technology – innovations that reduce energy consumption by 75% under normal operation compared to conventional systems without regenerative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267335</wp:posOffset>
            </wp:positionV>
            <wp:extent cx="831850" cy="283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318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9"/>
        <w:spacing w:after="0"/>
        <w:rPr>
          <w:sz w:val="20"/>
          <w:szCs w:val="20"/>
          <w:color w:val="auto"/>
        </w:rPr>
      </w:pPr>
      <w:r>
        <w:rPr>
          <w:rFonts w:ascii="Arial" w:cs="Arial" w:eastAsia="Arial" w:hAnsi="Arial"/>
          <w:sz w:val="18"/>
          <w:szCs w:val="18"/>
          <w:b w:val="1"/>
          <w:bCs w:val="1"/>
          <w:color w:val="FFFFFF"/>
        </w:rPr>
        <w:t>Food Transportation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36"/>
          <w:szCs w:val="36"/>
          <w:b w:val="1"/>
          <w:bCs w:val="1"/>
          <w:color w:val="FDB03F"/>
        </w:rPr>
        <w:t>75</w:t>
      </w:r>
      <w:r>
        <w:rPr>
          <w:rFonts w:ascii="Arial" w:cs="Arial" w:eastAsia="Arial" w:hAnsi="Arial"/>
          <w:sz w:val="60"/>
          <w:szCs w:val="60"/>
          <w:b w:val="1"/>
          <w:bCs w:val="1"/>
          <w:color w:val="FDB03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-318770</wp:posOffset>
            </wp:positionV>
            <wp:extent cx="8890" cy="1706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06880"/>
                    </a:xfrm>
                    <a:prstGeom prst="rect">
                      <a:avLst/>
                    </a:prstGeom>
                    <a:noFill/>
                  </pic:spPr>
                </pic:pic>
              </a:graphicData>
            </a:graphic>
          </wp:anchor>
        </w:drawing>
      </w:r>
    </w:p>
    <w:p>
      <w:pPr>
        <w:ind w:right="880"/>
        <w:spacing w:after="0" w:line="299" w:lineRule="auto"/>
        <w:rPr>
          <w:sz w:val="20"/>
          <w:szCs w:val="20"/>
          <w:color w:val="auto"/>
        </w:rPr>
      </w:pPr>
      <w:r>
        <w:rPr>
          <w:rFonts w:ascii="Arial" w:cs="Arial" w:eastAsia="Arial" w:hAnsi="Arial"/>
          <w:sz w:val="16"/>
          <w:szCs w:val="16"/>
          <w:b w:val="1"/>
          <w:bCs w:val="1"/>
          <w:color w:val="0E93D8"/>
        </w:rPr>
        <w:t>reduction in energy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1379220</wp:posOffset>
            </wp:positionV>
            <wp:extent cx="347345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73450" cy="214630"/>
                    </a:xfrm>
                    <a:prstGeom prst="rect">
                      <a:avLst/>
                    </a:prstGeom>
                    <a:noFill/>
                  </pic:spPr>
                </pic:pic>
              </a:graphicData>
            </a:graphic>
          </wp:anchor>
        </w:drawing>
      </w:r>
    </w:p>
    <w:p>
      <w:pPr>
        <w:spacing w:after="0" w:line="2712" w:lineRule="exact"/>
        <w:rPr>
          <w:sz w:val="20"/>
          <w:szCs w:val="20"/>
          <w:color w:val="auto"/>
        </w:rPr>
      </w:pPr>
    </w:p>
    <w:p>
      <w:pPr>
        <w:sectPr>
          <w:pgSz w:w="11900" w:h="16838" w:orient="portrait"/>
          <w:cols w:equalWidth="0" w:num="4">
            <w:col w:w="2420" w:space="560"/>
            <w:col w:w="2320" w:space="651"/>
            <w:col w:w="2349" w:space="620"/>
            <w:col w:w="2520"/>
          </w:cols>
          <w:pgMar w:left="240" w:top="121" w:right="219" w:bottom="1440" w:gutter="0" w:footer="0" w:header="0"/>
          <w:type w:val="continuous"/>
        </w:sectPr>
      </w:pPr>
    </w:p>
    <w:p>
      <w:pPr>
        <w:spacing w:after="0" w:line="211"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7"/>
          <w:szCs w:val="17"/>
          <w:color w:val="FDB03F"/>
        </w:rPr>
        <w:t>●</w:t>
      </w:r>
      <w:r>
        <w:rPr>
          <w:sz w:val="20"/>
          <w:szCs w:val="20"/>
          <w:color w:val="auto"/>
        </w:rPr>
        <w:tab/>
      </w:r>
      <w:r>
        <w:rPr>
          <w:rFonts w:ascii="Arial" w:cs="Arial" w:eastAsia="Arial" w:hAnsi="Arial"/>
          <w:sz w:val="16"/>
          <w:szCs w:val="16"/>
          <w:b w:val="1"/>
          <w:bCs w:val="1"/>
          <w:color w:val="0E93D8"/>
        </w:rPr>
        <w:t>Collins Aerospace’s</w:t>
      </w:r>
    </w:p>
    <w:p>
      <w:pPr>
        <w:spacing w:after="0" w:line="37" w:lineRule="exact"/>
        <w:rPr>
          <w:sz w:val="20"/>
          <w:szCs w:val="20"/>
          <w:color w:val="auto"/>
        </w:rPr>
      </w:pPr>
    </w:p>
    <w:p>
      <w:pPr>
        <w:ind w:left="280"/>
        <w:spacing w:after="0" w:line="269" w:lineRule="auto"/>
        <w:rPr>
          <w:sz w:val="20"/>
          <w:szCs w:val="20"/>
          <w:color w:val="auto"/>
        </w:rPr>
      </w:pPr>
      <w:r>
        <w:rPr>
          <w:rFonts w:ascii="Arial" w:cs="Arial" w:eastAsia="Arial" w:hAnsi="Arial"/>
          <w:sz w:val="16"/>
          <w:szCs w:val="16"/>
          <w:b w:val="1"/>
          <w:bCs w:val="1"/>
          <w:color w:val="0E93D8"/>
        </w:rPr>
        <w:t xml:space="preserve">SmartProbe Air Data System </w:t>
      </w:r>
      <w:r>
        <w:rPr>
          <w:rFonts w:ascii="Arial" w:cs="Arial" w:eastAsia="Arial" w:hAnsi="Arial"/>
          <w:sz w:val="16"/>
          <w:szCs w:val="16"/>
          <w:color w:val="000000"/>
        </w:rPr>
        <w:t>reduces the</w:t>
      </w:r>
      <w:r>
        <w:rPr>
          <w:rFonts w:ascii="Arial" w:cs="Arial" w:eastAsia="Arial" w:hAnsi="Arial"/>
          <w:sz w:val="16"/>
          <w:szCs w:val="16"/>
          <w:b w:val="1"/>
          <w:bCs w:val="1"/>
          <w:color w:val="0E93D8"/>
        </w:rPr>
        <w:t xml:space="preserve"> </w:t>
      </w:r>
      <w:r>
        <w:rPr>
          <w:rFonts w:ascii="Arial" w:cs="Arial" w:eastAsia="Arial" w:hAnsi="Arial"/>
          <w:sz w:val="16"/>
          <w:szCs w:val="16"/>
          <w:color w:val="000000"/>
        </w:rPr>
        <w:t>number of sensors and pneumatic pressure lines, resulting in weight savings of up to 50% when compared to traditional systems, thereby reducing fuel burn.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35"/>
          <w:szCs w:val="35"/>
          <w:b w:val="1"/>
          <w:bCs w:val="1"/>
          <w:color w:val="FDB03F"/>
        </w:rPr>
        <w:t>Reduces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-224790</wp:posOffset>
            </wp:positionV>
            <wp:extent cx="8890" cy="129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29476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fuel burn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9" w:right="40" w:hanging="269"/>
        <w:spacing w:after="0" w:line="200" w:lineRule="auto"/>
        <w:tabs>
          <w:tab w:leader="none" w:pos="246" w:val="left"/>
        </w:tabs>
        <w:numPr>
          <w:ilvl w:val="0"/>
          <w:numId w:val="95"/>
        </w:numPr>
        <w:rPr>
          <w:rFonts w:ascii="Arial" w:cs="Arial" w:eastAsia="Arial" w:hAnsi="Arial"/>
          <w:sz w:val="17"/>
          <w:szCs w:val="17"/>
          <w:color w:val="FDB03F"/>
        </w:rPr>
      </w:pPr>
      <w:r>
        <w:rPr>
          <w:rFonts w:ascii="Arial" w:cs="Arial" w:eastAsia="Arial" w:hAnsi="Arial"/>
          <w:sz w:val="18"/>
          <w:szCs w:val="18"/>
          <w:b w:val="1"/>
          <w:bCs w:val="1"/>
          <w:color w:val="0E93D8"/>
        </w:rPr>
        <w:t xml:space="preserve">Carrier’s NaturaLINE unit </w:t>
      </w:r>
      <w:r>
        <w:rPr>
          <w:rFonts w:ascii="Arial" w:cs="Arial" w:eastAsia="Arial" w:hAnsi="Arial"/>
          <w:sz w:val="18"/>
          <w:szCs w:val="18"/>
          <w:color w:val="000000"/>
        </w:rPr>
        <w:t>combines a natural refrigerant CO</w:t>
      </w:r>
      <w:r>
        <w:rPr>
          <w:rFonts w:ascii="Arial" w:cs="Arial" w:eastAsia="Arial" w:hAnsi="Arial"/>
          <w:sz w:val="35"/>
          <w:szCs w:val="35"/>
          <w:color w:val="000000"/>
          <w:vertAlign w:val="subscript"/>
        </w:rPr>
        <w:t>2</w:t>
      </w:r>
      <w:r>
        <w:rPr>
          <w:rFonts w:ascii="Arial" w:cs="Arial" w:eastAsia="Arial" w:hAnsi="Arial"/>
          <w:sz w:val="18"/>
          <w:szCs w:val="18"/>
          <w:color w:val="000000"/>
        </w:rPr>
        <w:t xml:space="preserve"> with</w:t>
      </w:r>
    </w:p>
    <w:p>
      <w:pPr>
        <w:spacing w:after="0" w:line="3" w:lineRule="exact"/>
        <w:rPr>
          <w:sz w:val="20"/>
          <w:szCs w:val="20"/>
          <w:color w:val="auto"/>
        </w:rPr>
      </w:pPr>
    </w:p>
    <w:p>
      <w:pPr>
        <w:ind w:left="269"/>
        <w:spacing w:after="0"/>
        <w:rPr>
          <w:sz w:val="20"/>
          <w:szCs w:val="20"/>
          <w:color w:val="auto"/>
        </w:rPr>
      </w:pPr>
      <w:r>
        <w:rPr>
          <w:rFonts w:ascii="Arial" w:cs="Arial" w:eastAsia="Arial" w:hAnsi="Arial"/>
          <w:sz w:val="16"/>
          <w:szCs w:val="16"/>
          <w:color w:val="auto"/>
        </w:rPr>
        <w:t>energy-efficient technology</w:t>
      </w:r>
    </w:p>
    <w:p>
      <w:pPr>
        <w:spacing w:after="0" w:line="14" w:lineRule="exact"/>
        <w:rPr>
          <w:sz w:val="20"/>
          <w:szCs w:val="20"/>
          <w:color w:val="auto"/>
        </w:rPr>
      </w:pPr>
    </w:p>
    <w:p>
      <w:pPr>
        <w:ind w:left="269"/>
        <w:spacing w:after="0"/>
        <w:rPr>
          <w:sz w:val="20"/>
          <w:szCs w:val="20"/>
          <w:color w:val="auto"/>
        </w:rPr>
      </w:pPr>
      <w:r>
        <w:rPr>
          <w:rFonts w:ascii="Arial" w:cs="Arial" w:eastAsia="Arial" w:hAnsi="Arial"/>
          <w:sz w:val="18"/>
          <w:szCs w:val="18"/>
          <w:color w:val="auto"/>
        </w:rPr>
        <w:t>to reduce the carbon</w:t>
      </w:r>
    </w:p>
    <w:p>
      <w:pPr>
        <w:ind w:left="269"/>
        <w:spacing w:after="0" w:line="234" w:lineRule="auto"/>
        <w:rPr>
          <w:sz w:val="20"/>
          <w:szCs w:val="20"/>
          <w:color w:val="auto"/>
        </w:rPr>
      </w:pPr>
      <w:r>
        <w:rPr>
          <w:rFonts w:ascii="Arial" w:cs="Arial" w:eastAsia="Arial" w:hAnsi="Arial"/>
          <w:sz w:val="18"/>
          <w:szCs w:val="18"/>
          <w:color w:val="auto"/>
        </w:rPr>
        <w:t>footprint of marine</w:t>
      </w:r>
    </w:p>
    <w:p>
      <w:pPr>
        <w:ind w:left="269"/>
        <w:spacing w:after="0" w:line="235" w:lineRule="auto"/>
        <w:rPr>
          <w:sz w:val="20"/>
          <w:szCs w:val="20"/>
          <w:color w:val="auto"/>
        </w:rPr>
      </w:pPr>
      <w:r>
        <w:rPr>
          <w:rFonts w:ascii="Arial" w:cs="Arial" w:eastAsia="Arial" w:hAnsi="Arial"/>
          <w:sz w:val="18"/>
          <w:szCs w:val="18"/>
          <w:color w:val="auto"/>
        </w:rPr>
        <w:t>container refrigeration by</w:t>
      </w:r>
    </w:p>
    <w:p>
      <w:pPr>
        <w:ind w:left="269"/>
        <w:spacing w:after="0" w:line="235" w:lineRule="auto"/>
        <w:rPr>
          <w:sz w:val="20"/>
          <w:szCs w:val="20"/>
          <w:color w:val="auto"/>
        </w:rPr>
      </w:pPr>
      <w:r>
        <w:rPr>
          <w:rFonts w:ascii="Arial" w:cs="Arial" w:eastAsia="Arial" w:hAnsi="Arial"/>
          <w:sz w:val="18"/>
          <w:szCs w:val="18"/>
          <w:color w:val="auto"/>
        </w:rPr>
        <w:t>28%, when compared to</w:t>
      </w:r>
    </w:p>
    <w:p>
      <w:pPr>
        <w:spacing w:after="0" w:line="1" w:lineRule="exact"/>
        <w:rPr>
          <w:sz w:val="20"/>
          <w:szCs w:val="20"/>
          <w:color w:val="auto"/>
        </w:rPr>
      </w:pPr>
    </w:p>
    <w:p>
      <w:pPr>
        <w:ind w:left="269"/>
        <w:spacing w:after="0"/>
        <w:rPr>
          <w:sz w:val="20"/>
          <w:szCs w:val="20"/>
          <w:color w:val="auto"/>
        </w:rPr>
      </w:pPr>
      <w:r>
        <w:rPr>
          <w:rFonts w:ascii="Arial" w:cs="Arial" w:eastAsia="Arial" w:hAnsi="Arial"/>
          <w:sz w:val="16"/>
          <w:szCs w:val="16"/>
          <w:color w:val="auto"/>
        </w:rPr>
        <w:t>previous Carrier equipment</w:t>
      </w:r>
    </w:p>
    <w:p>
      <w:pPr>
        <w:spacing w:after="0" w:line="14" w:lineRule="exact"/>
        <w:rPr>
          <w:sz w:val="20"/>
          <w:szCs w:val="20"/>
          <w:color w:val="auto"/>
        </w:rPr>
      </w:pPr>
    </w:p>
    <w:p>
      <w:pPr>
        <w:ind w:left="269"/>
        <w:spacing w:after="0"/>
        <w:rPr>
          <w:sz w:val="20"/>
          <w:szCs w:val="20"/>
          <w:color w:val="auto"/>
        </w:rPr>
      </w:pPr>
      <w:r>
        <w:rPr>
          <w:rFonts w:ascii="Arial" w:cs="Arial" w:eastAsia="Arial" w:hAnsi="Arial"/>
          <w:sz w:val="18"/>
          <w:szCs w:val="18"/>
          <w:color w:val="auto"/>
        </w:rPr>
        <w:t>using conventional</w:t>
      </w:r>
    </w:p>
    <w:p>
      <w:pPr>
        <w:ind w:left="269"/>
        <w:spacing w:after="0"/>
        <w:rPr>
          <w:sz w:val="20"/>
          <w:szCs w:val="20"/>
          <w:color w:val="auto"/>
        </w:rPr>
      </w:pPr>
      <w:r>
        <w:rPr>
          <w:rFonts w:ascii="Arial" w:cs="Arial" w:eastAsia="Arial" w:hAnsi="Arial"/>
          <w:sz w:val="18"/>
          <w:szCs w:val="18"/>
          <w:color w:val="auto"/>
        </w:rPr>
        <w:t>synthetic refrigerants.</w:t>
      </w:r>
    </w:p>
    <w:p>
      <w:pPr>
        <w:spacing w:after="0" w:line="20" w:lineRule="exact"/>
        <w:rPr>
          <w:sz w:val="20"/>
          <w:szCs w:val="20"/>
          <w:color w:val="auto"/>
        </w:rPr>
      </w:pPr>
      <w:r>
        <w:rPr>
          <w:sz w:val="20"/>
          <w:szCs w:val="20"/>
          <w:color w:val="auto"/>
        </w:rPr>
        <w:br w:type="column"/>
      </w:r>
    </w:p>
    <w:p>
      <w:pPr>
        <w:spacing w:after="0" w:line="189" w:lineRule="auto"/>
        <w:rPr>
          <w:sz w:val="20"/>
          <w:szCs w:val="20"/>
          <w:color w:val="auto"/>
        </w:rPr>
      </w:pPr>
      <w:r>
        <w:rPr>
          <w:rFonts w:ascii="Arial" w:cs="Arial" w:eastAsia="Arial" w:hAnsi="Arial"/>
          <w:sz w:val="36"/>
          <w:szCs w:val="36"/>
          <w:b w:val="1"/>
          <w:bCs w:val="1"/>
          <w:color w:val="FDB03F"/>
        </w:rPr>
        <w:t>28</w:t>
      </w:r>
      <w:r>
        <w:rPr>
          <w:rFonts w:ascii="Arial" w:cs="Arial" w:eastAsia="Arial" w:hAnsi="Arial"/>
          <w:sz w:val="60"/>
          <w:szCs w:val="60"/>
          <w:b w:val="1"/>
          <w:bCs w:val="1"/>
          <w:color w:val="FDB03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-318135</wp:posOffset>
            </wp:positionV>
            <wp:extent cx="8890" cy="1449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14490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E93D8"/>
        </w:rPr>
        <w:t>reduction in carbon footprint</w:t>
      </w:r>
    </w:p>
    <w:p>
      <w:pPr>
        <w:spacing w:after="0" w:line="1803" w:lineRule="exact"/>
        <w:rPr>
          <w:sz w:val="20"/>
          <w:szCs w:val="20"/>
          <w:color w:val="auto"/>
        </w:rPr>
      </w:pPr>
    </w:p>
    <w:p>
      <w:pPr>
        <w:sectPr>
          <w:pgSz w:w="11900" w:h="16838" w:orient="portrait"/>
          <w:cols w:equalWidth="0" w:num="4">
            <w:col w:w="2320" w:space="660"/>
            <w:col w:w="2251" w:space="720"/>
            <w:col w:w="2369" w:space="600"/>
            <w:col w:w="2520"/>
          </w:cols>
          <w:pgMar w:left="240" w:top="121" w:right="21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23</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42367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Since 1997 we have achieved:</w:t>
      </w:r>
    </w:p>
    <w:tbl>
      <w:tblPr>
        <w:tblLayout w:type="fixed"/>
        <w:tblInd w:w="480" w:type="dxa"/>
        <w:tblCellMar>
          <w:top w:w="0" w:type="dxa"/>
          <w:left w:w="0" w:type="dxa"/>
          <w:bottom w:w="0" w:type="dxa"/>
          <w:right w:w="0" w:type="dxa"/>
        </w:tblCellMar>
      </w:tblPr>
      <w:tr>
        <w:trPr>
          <w:trHeight w:val="420"/>
        </w:trPr>
        <w:tc>
          <w:tcPr>
            <w:tcW w:w="3160" w:type="dxa"/>
            <w:vAlign w:val="bottom"/>
            <w:tcBorders>
              <w:right w:val="single" w:sz="8" w:color="FDB03F"/>
            </w:tcBorders>
          </w:tcPr>
          <w:p>
            <w:pPr>
              <w:spacing w:after="0" w:line="419" w:lineRule="exact"/>
              <w:rPr>
                <w:sz w:val="20"/>
                <w:szCs w:val="20"/>
                <w:color w:val="auto"/>
              </w:rPr>
            </w:pPr>
            <w:r>
              <w:rPr>
                <w:rFonts w:ascii="Arial" w:cs="Arial" w:eastAsia="Arial" w:hAnsi="Arial"/>
                <w:sz w:val="31"/>
                <w:szCs w:val="31"/>
                <w:b w:val="1"/>
                <w:bCs w:val="1"/>
                <w:color w:val="FDB03F"/>
              </w:rPr>
              <w:t>35</w:t>
            </w:r>
            <w:r>
              <w:rPr>
                <w:rFonts w:ascii="Arial" w:cs="Arial" w:eastAsia="Arial" w:hAnsi="Arial"/>
                <w:sz w:val="48"/>
                <w:szCs w:val="48"/>
                <w:color w:val="FDB03F"/>
                <w:vertAlign w:val="superscript"/>
              </w:rPr>
              <w:t>%</w:t>
            </w:r>
          </w:p>
        </w:tc>
        <w:tc>
          <w:tcPr>
            <w:tcW w:w="3620" w:type="dxa"/>
            <w:vAlign w:val="bottom"/>
            <w:tcBorders>
              <w:right w:val="single" w:sz="8" w:color="FDB03F"/>
            </w:tcBorders>
          </w:tcPr>
          <w:p>
            <w:pPr>
              <w:ind w:left="220"/>
              <w:spacing w:after="0" w:line="419" w:lineRule="exact"/>
              <w:rPr>
                <w:sz w:val="20"/>
                <w:szCs w:val="20"/>
                <w:color w:val="auto"/>
              </w:rPr>
            </w:pPr>
            <w:r>
              <w:rPr>
                <w:rFonts w:ascii="Arial" w:cs="Arial" w:eastAsia="Arial" w:hAnsi="Arial"/>
                <w:sz w:val="31"/>
                <w:szCs w:val="31"/>
                <w:b w:val="1"/>
                <w:bCs w:val="1"/>
                <w:color w:val="FDB03F"/>
              </w:rPr>
              <w:t>62</w:t>
            </w:r>
            <w:r>
              <w:rPr>
                <w:rFonts w:ascii="Arial" w:cs="Arial" w:eastAsia="Arial" w:hAnsi="Arial"/>
                <w:sz w:val="48"/>
                <w:szCs w:val="48"/>
                <w:color w:val="FDB03F"/>
                <w:vertAlign w:val="superscript"/>
              </w:rPr>
              <w:t>%</w:t>
            </w:r>
          </w:p>
        </w:tc>
        <w:tc>
          <w:tcPr>
            <w:tcW w:w="3280" w:type="dxa"/>
            <w:vAlign w:val="bottom"/>
          </w:tcPr>
          <w:p>
            <w:pPr>
              <w:ind w:left="220"/>
              <w:spacing w:after="0"/>
              <w:rPr>
                <w:sz w:val="20"/>
                <w:szCs w:val="20"/>
                <w:color w:val="auto"/>
              </w:rPr>
            </w:pPr>
            <w:r>
              <w:rPr>
                <w:rFonts w:ascii="Arial" w:cs="Arial" w:eastAsia="Arial" w:hAnsi="Arial"/>
                <w:sz w:val="18"/>
                <w:szCs w:val="18"/>
                <w:color w:val="auto"/>
              </w:rPr>
              <w:t>all during a period when we nearly</w:t>
            </w:r>
          </w:p>
        </w:tc>
      </w:tr>
      <w:tr>
        <w:trPr>
          <w:trHeight w:val="570"/>
        </w:trPr>
        <w:tc>
          <w:tcPr>
            <w:tcW w:w="3160" w:type="dxa"/>
            <w:vAlign w:val="bottom"/>
            <w:tcBorders>
              <w:right w:val="single" w:sz="8" w:color="FDB03F"/>
            </w:tcBorders>
          </w:tcPr>
          <w:p>
            <w:pPr>
              <w:spacing w:after="0"/>
              <w:rPr>
                <w:sz w:val="20"/>
                <w:szCs w:val="20"/>
                <w:color w:val="auto"/>
              </w:rPr>
            </w:pPr>
            <w:r>
              <w:rPr>
                <w:rFonts w:ascii="Arial" w:cs="Arial" w:eastAsia="Arial" w:hAnsi="Arial"/>
                <w:sz w:val="18"/>
                <w:szCs w:val="18"/>
                <w:color w:val="auto"/>
              </w:rPr>
              <w:t>reduction in our</w:t>
            </w:r>
          </w:p>
        </w:tc>
        <w:tc>
          <w:tcPr>
            <w:tcW w:w="3620" w:type="dxa"/>
            <w:vAlign w:val="bottom"/>
            <w:tcBorders>
              <w:right w:val="single" w:sz="8" w:color="FDB03F"/>
            </w:tcBorders>
          </w:tcPr>
          <w:p>
            <w:pPr>
              <w:ind w:left="220"/>
              <w:spacing w:after="0"/>
              <w:rPr>
                <w:sz w:val="20"/>
                <w:szCs w:val="20"/>
                <w:color w:val="auto"/>
              </w:rPr>
            </w:pPr>
            <w:r>
              <w:rPr>
                <w:rFonts w:ascii="Arial" w:cs="Arial" w:eastAsia="Arial" w:hAnsi="Arial"/>
                <w:sz w:val="18"/>
                <w:szCs w:val="18"/>
                <w:color w:val="auto"/>
              </w:rPr>
              <w:t>reduction in water</w:t>
            </w:r>
          </w:p>
        </w:tc>
        <w:tc>
          <w:tcPr>
            <w:tcW w:w="3280" w:type="dxa"/>
            <w:vAlign w:val="bottom"/>
          </w:tcPr>
          <w:p>
            <w:pPr>
              <w:ind w:left="220"/>
              <w:spacing w:after="0"/>
              <w:rPr>
                <w:sz w:val="20"/>
                <w:szCs w:val="20"/>
                <w:color w:val="auto"/>
              </w:rPr>
            </w:pPr>
            <w:r>
              <w:rPr>
                <w:rFonts w:ascii="Arial" w:cs="Arial" w:eastAsia="Arial" w:hAnsi="Arial"/>
                <w:sz w:val="40"/>
                <w:szCs w:val="40"/>
                <w:b w:val="1"/>
                <w:bCs w:val="1"/>
                <w:color w:val="FDB03F"/>
                <w:w w:val="98"/>
              </w:rPr>
              <w:t>tripled our sales</w:t>
            </w:r>
          </w:p>
        </w:tc>
      </w:tr>
      <w:tr>
        <w:trPr>
          <w:trHeight w:val="203"/>
        </w:trPr>
        <w:tc>
          <w:tcPr>
            <w:tcW w:w="3160" w:type="dxa"/>
            <w:vAlign w:val="bottom"/>
            <w:tcBorders>
              <w:right w:val="single" w:sz="8" w:color="FDB03F"/>
            </w:tcBorders>
          </w:tcPr>
          <w:p>
            <w:pPr>
              <w:spacing w:after="0" w:line="202" w:lineRule="exact"/>
              <w:rPr>
                <w:sz w:val="20"/>
                <w:szCs w:val="20"/>
                <w:color w:val="auto"/>
              </w:rPr>
            </w:pPr>
            <w:r>
              <w:rPr>
                <w:rFonts w:ascii="Arial" w:cs="Arial" w:eastAsia="Arial" w:hAnsi="Arial"/>
                <w:sz w:val="18"/>
                <w:szCs w:val="18"/>
                <w:color w:val="auto"/>
              </w:rPr>
              <w:t>greenhouse gas</w:t>
            </w:r>
          </w:p>
        </w:tc>
        <w:tc>
          <w:tcPr>
            <w:tcW w:w="3620" w:type="dxa"/>
            <w:vAlign w:val="bottom"/>
            <w:tcBorders>
              <w:right w:val="single" w:sz="8" w:color="FDB03F"/>
            </w:tcBorders>
          </w:tcPr>
          <w:p>
            <w:pPr>
              <w:ind w:left="220"/>
              <w:spacing w:after="0" w:line="202" w:lineRule="exact"/>
              <w:rPr>
                <w:sz w:val="20"/>
                <w:szCs w:val="20"/>
                <w:color w:val="auto"/>
              </w:rPr>
            </w:pPr>
            <w:r>
              <w:rPr>
                <w:rFonts w:ascii="Arial" w:cs="Arial" w:eastAsia="Arial" w:hAnsi="Arial"/>
                <w:sz w:val="18"/>
                <w:szCs w:val="18"/>
                <w:color w:val="auto"/>
              </w:rPr>
              <w:t>consumption</w:t>
            </w:r>
          </w:p>
        </w:tc>
        <w:tc>
          <w:tcPr>
            <w:tcW w:w="3280" w:type="dxa"/>
            <w:vAlign w:val="bottom"/>
          </w:tcPr>
          <w:p>
            <w:pPr>
              <w:spacing w:after="0"/>
              <w:rPr>
                <w:sz w:val="17"/>
                <w:szCs w:val="17"/>
                <w:color w:val="auto"/>
              </w:rPr>
            </w:pPr>
          </w:p>
        </w:tc>
      </w:tr>
      <w:tr>
        <w:trPr>
          <w:trHeight w:val="199"/>
        </w:trPr>
        <w:tc>
          <w:tcPr>
            <w:tcW w:w="3160" w:type="dxa"/>
            <w:vAlign w:val="bottom"/>
            <w:tcBorders>
              <w:right w:val="single" w:sz="8" w:color="FDB03F"/>
            </w:tcBorders>
          </w:tcPr>
          <w:p>
            <w:pPr>
              <w:spacing w:after="0" w:line="200" w:lineRule="exact"/>
              <w:rPr>
                <w:sz w:val="20"/>
                <w:szCs w:val="20"/>
                <w:color w:val="auto"/>
              </w:rPr>
            </w:pPr>
            <w:r>
              <w:rPr>
                <w:rFonts w:ascii="Arial" w:cs="Arial" w:eastAsia="Arial" w:hAnsi="Arial"/>
                <w:sz w:val="18"/>
                <w:szCs w:val="18"/>
                <w:color w:val="auto"/>
              </w:rPr>
              <w:t>emissions</w:t>
            </w:r>
          </w:p>
        </w:tc>
        <w:tc>
          <w:tcPr>
            <w:tcW w:w="3620" w:type="dxa"/>
            <w:vAlign w:val="bottom"/>
            <w:tcBorders>
              <w:right w:val="single" w:sz="8" w:color="FDB03F"/>
            </w:tcBorders>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-719455</wp:posOffset>
            </wp:positionV>
            <wp:extent cx="8890" cy="7200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7200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-719455</wp:posOffset>
            </wp:positionV>
            <wp:extent cx="548640"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8640" cy="48006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-719455</wp:posOffset>
            </wp:positionV>
            <wp:extent cx="308610" cy="3689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8610" cy="3689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Progress Toward Our 2020 Environmental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set five-year environmental sustainability goals for which we track progress on an annual basis. Our current goals are for the period between 2016 and 2020. We are committed to a targeted reduction in environmental impacts, irrespective of business growth. As a result, we measure our</w:t>
      </w:r>
    </w:p>
    <w:p>
      <w:pPr>
        <w:spacing w:after="0" w:line="1" w:lineRule="exact"/>
        <w:rPr>
          <w:sz w:val="20"/>
          <w:szCs w:val="20"/>
          <w:color w:val="auto"/>
        </w:rPr>
      </w:pPr>
    </w:p>
    <w:p>
      <w:pPr>
        <w:ind w:right="420"/>
        <w:spacing w:after="0" w:line="201" w:lineRule="auto"/>
        <w:rPr>
          <w:sz w:val="20"/>
          <w:szCs w:val="20"/>
          <w:color w:val="auto"/>
        </w:rPr>
      </w:pPr>
      <w:r>
        <w:rPr>
          <w:rFonts w:ascii="Arial" w:cs="Arial" w:eastAsia="Arial" w:hAnsi="Arial"/>
          <w:sz w:val="18"/>
          <w:szCs w:val="18"/>
          <w:color w:val="auto"/>
        </w:rPr>
        <w:t>progress towards these goals in absolute terms, rather than adjusting for the opening or closing of manufacturing facilities.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 2018, we saw progress in all of our goals: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FIVE-YEAR ENVIRONMENTAL SUSTAINABILITY GOALS</w:t>
      </w:r>
      <w:r>
        <w:rPr>
          <w:rFonts w:ascii="Arial" w:cs="Arial" w:eastAsia="Arial" w:hAnsi="Arial"/>
          <w:sz w:val="22"/>
          <w:szCs w:val="22"/>
          <w:b w:val="1"/>
          <w:bCs w:val="1"/>
          <w:color w:val="0E93D8"/>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306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212"/>
        <w:spacing w:after="0" w:line="221" w:lineRule="auto"/>
        <w:tabs>
          <w:tab w:leader="none" w:pos="2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Consistent with the Greenhouse Gas Protocol, UTC’s goals and targets are adjusted to reflect the impact of acquired companies at the time of acquisition and to remove divested companies from UTC’s measured performance. For example, goals and actual performance were recalibrated in 2013 to account for the Goodrich acquisition and in 2015 to reflect the sale of Sikorsky. UTC’s goals and targets are not adjusted for the opening of new facilities due to organic growth or for the closing of facilities without a divestiture. Actual levels reflect data reported quarterly by UTC sites under common reporting and quality standards. Reported data are reviewed and consolidated by UTC’s Corporate Office. UTC annually submits site energy use and greenhouse gas emissions data for independent review based on International Standards Organization 14064 Part 3 criteria for the validation of greenhouse gas assertions.</w:t>
      </w:r>
    </w:p>
    <w:p>
      <w:pPr>
        <w:spacing w:after="0" w:line="1" w:lineRule="exact"/>
        <w:rPr>
          <w:rFonts w:ascii="Arial" w:cs="Arial" w:eastAsia="Arial" w:hAnsi="Arial"/>
          <w:sz w:val="14"/>
          <w:szCs w:val="14"/>
          <w:color w:val="auto"/>
        </w:rPr>
      </w:pPr>
    </w:p>
    <w:p>
      <w:pPr>
        <w:ind w:left="220" w:right="220" w:hanging="212"/>
        <w:spacing w:after="0" w:line="300"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2020 goals and progress toward these goals are compared to the following 2015 adjusted baselines: greenhouse gas emissions (2.0 million mtCO2e), hazardous waste generation (60.6 million pounds), chlorinated and brominated solvent air chemical emissions (149,325 pounds), water use (1.77 billion gallons) and total industrial waste recycled (77%).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2018 Recognition for Sustainability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E93D8"/>
        </w:rPr>
        <w:t>CDP (formerly the Carbon Disclosure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531495" cy="4286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1495" cy="428625"/>
                    </a:xfrm>
                    <a:prstGeom prst="rect">
                      <a:avLst/>
                    </a:prstGeom>
                    <a:noFill/>
                  </pic:spPr>
                </pic:pic>
              </a:graphicData>
            </a:graphic>
          </wp:anchor>
        </w:drawing>
      </w:r>
    </w:p>
    <w:p>
      <w:pPr>
        <w:ind w:left="980" w:right="760"/>
        <w:spacing w:after="0" w:line="239" w:lineRule="auto"/>
        <w:rPr>
          <w:sz w:val="20"/>
          <w:szCs w:val="20"/>
          <w:color w:val="auto"/>
        </w:rPr>
      </w:pPr>
      <w:r>
        <w:rPr>
          <w:rFonts w:ascii="Arial" w:cs="Arial" w:eastAsia="Arial" w:hAnsi="Arial"/>
          <w:sz w:val="18"/>
          <w:szCs w:val="18"/>
          <w:color w:val="auto"/>
        </w:rPr>
        <w:t>The CDP rated UTC as a “leadership company” with an A- rating for our actions and performance to reduce greenhouse gas emissions and mitigate climate change.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E93D8"/>
        </w:rPr>
        <w:t>We are committed to a targeted reduction in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0E93D8"/>
        </w:rPr>
        <w:t xml:space="preserve">environmental impacts, </w:t>
      </w:r>
      <w:r>
        <w:rPr>
          <w:rFonts w:ascii="Arial" w:cs="Arial" w:eastAsia="Arial" w:hAnsi="Arial"/>
          <w:sz w:val="22"/>
          <w:szCs w:val="22"/>
          <w:b w:val="1"/>
          <w:bCs w:val="1"/>
          <w:color w:val="95C3EB"/>
        </w:rPr>
        <w:t>regardless of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6017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63" w:lineRule="exact"/>
        <w:rPr>
          <w:sz w:val="20"/>
          <w:szCs w:val="20"/>
          <w:color w:val="auto"/>
        </w:rPr>
      </w:pPr>
    </w:p>
    <w:p>
      <w:pPr>
        <w:ind w:left="880" w:hanging="628"/>
        <w:spacing w:after="0"/>
        <w:tabs>
          <w:tab w:leader="none" w:pos="880" w:val="left"/>
        </w:tabs>
        <w:numPr>
          <w:ilvl w:val="0"/>
          <w:numId w:val="97"/>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146685</wp:posOffset>
            </wp:positionV>
            <wp:extent cx="142367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21"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FFFFFF"/>
        </w:rPr>
        <w:t>CORPORATE RESPONSIBILITY</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Corporate Citizenship</w:t>
      </w:r>
    </w:p>
    <w:p>
      <w:pPr>
        <w:spacing w:after="0" w:line="2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UTC takes great pride in building a diverse work environment, supporting lifelong employee learning, and contributing to charitable and community causes. In the same way that we set the highest standards for our business operations, we apply the highest corporate responsibility standards and rigorous performance measurements to these efforts.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UTC’s Commitment to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are committed to creating a diverse, inclusive workforce and nurturing an environment where all employees can be themselves and share ideas openly. Our efforts focus on advancing gender parity, encouraging employee-led engagement and enhancing opportunities for professionals who want to return to work after voluntary time away.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Advancing Gender Parity</w:t>
      </w:r>
    </w:p>
    <w:p>
      <w:pPr>
        <w:spacing w:after="0" w:line="2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UTC is committed to the advancement of women in leadership positions. In 2017, we joined the Paradigm for Parity (“P4P”) coalition and put this commitment into action by adopting the P4P five-point roadmap shown below. As a signatory to P4P, we set a goal to achieve 50% women in leadership roles by 2030. Several activities currently underway are advancing our efforts towards achieving our goal, including our Inclusive Leaders Curriculum training for managers and other employees. We also recognize that sponsorship is important to career advancement so we provide a framework for high-performing women to have that support and visibility.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089015" cy="840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8901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Employee Engagement</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support and encourage our employees to join Employee Resource Groups (“ERGs”), which foster advocacy, professional development, education and mentoring, along with community outreach. We support nine global ERGs (African-American, Asian-American, Disability, Generational, Hispanic-American, LGBTQ Pride, Military Veterans, Professional and Women) with more than 100 chapters and an estimated 5,000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Opportunities to Re-enter the Workforce</w:t>
      </w:r>
    </w:p>
    <w:p>
      <w:pPr>
        <w:spacing w:after="0" w:line="23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We understand that returning to work after a career break can be challenging. The UTC Re-Empower Program, launched in 2017, eases this transition by helping professionals bring their knowledge, experience and creativity back to the workforce after voluntary time off. This program offers on-the-job experience, career guidance and mentoring over a 16-week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25</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42367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CORPORATE RESPONSIBILITY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E93D8"/>
        </w:rPr>
        <w:t>2018 Recognition for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60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Among America’s Best Employers for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550285" cy="420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50285" cy="420370"/>
                    </a:xfrm>
                    <a:prstGeom prst="rect">
                      <a:avLst/>
                    </a:prstGeom>
                    <a:noFill/>
                  </pic:spPr>
                </pic:pic>
              </a:graphicData>
            </a:graphic>
          </wp:anchor>
        </w:drawing>
      </w:r>
    </w:p>
    <w:p>
      <w:pPr>
        <w:spacing w:after="0" w:line="196" w:lineRule="exact"/>
        <w:rPr>
          <w:sz w:val="20"/>
          <w:szCs w:val="20"/>
          <w:color w:val="auto"/>
        </w:rPr>
      </w:pPr>
    </w:p>
    <w:p>
      <w:pPr>
        <w:ind w:left="180"/>
        <w:spacing w:after="0" w:line="235" w:lineRule="auto"/>
        <w:rPr>
          <w:sz w:val="20"/>
          <w:szCs w:val="20"/>
          <w:color w:val="auto"/>
        </w:rPr>
      </w:pPr>
      <w:r>
        <w:rPr>
          <w:rFonts w:ascii="Arial" w:cs="Arial" w:eastAsia="Arial" w:hAnsi="Arial"/>
          <w:sz w:val="14"/>
          <w:szCs w:val="14"/>
          <w:color w:val="auto"/>
        </w:rPr>
        <w:t xml:space="preserve">UTC was ranked among </w:t>
      </w:r>
      <w:r>
        <w:rPr>
          <w:rFonts w:ascii="Arial" w:cs="Arial" w:eastAsia="Arial" w:hAnsi="Arial"/>
          <w:sz w:val="14"/>
          <w:szCs w:val="14"/>
          <w:i w:val="1"/>
          <w:iCs w:val="1"/>
          <w:color w:val="auto"/>
        </w:rPr>
        <w:t>Forbes’</w:t>
      </w:r>
      <w:r>
        <w:rPr>
          <w:rFonts w:ascii="Arial" w:cs="Arial" w:eastAsia="Arial" w:hAnsi="Arial"/>
          <w:sz w:val="14"/>
          <w:szCs w:val="14"/>
          <w:color w:val="auto"/>
        </w:rPr>
        <w:t xml:space="preserve"> best employers for women through its opinion survey of 40,000 Americans, including 25,000 women, working for companies with at least 1,000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550285" cy="394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5028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Among Best Places to Work for LGBTQ Equality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77470</wp:posOffset>
            </wp:positionV>
            <wp:extent cx="3559175" cy="420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59175" cy="420370"/>
                    </a:xfrm>
                    <a:prstGeom prst="rect">
                      <a:avLst/>
                    </a:prstGeom>
                    <a:noFill/>
                  </pic:spPr>
                </pic:pic>
              </a:graphicData>
            </a:graphic>
          </wp:anchor>
        </w:drawing>
      </w:r>
    </w:p>
    <w:p>
      <w:pPr>
        <w:spacing w:after="0" w:line="196"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 xml:space="preserve">UTC earned a 100% rating from the </w:t>
      </w:r>
      <w:r>
        <w:rPr>
          <w:rFonts w:ascii="Arial" w:cs="Arial" w:eastAsia="Arial" w:hAnsi="Arial"/>
          <w:sz w:val="14"/>
          <w:szCs w:val="14"/>
          <w:i w:val="1"/>
          <w:iCs w:val="1"/>
          <w:color w:val="auto"/>
        </w:rPr>
        <w:t>Human Rights Campaign Foundation’s</w:t>
      </w:r>
      <w:r>
        <w:rPr>
          <w:rFonts w:ascii="Arial" w:cs="Arial" w:eastAsia="Arial" w:hAnsi="Arial"/>
          <w:sz w:val="14"/>
          <w:szCs w:val="14"/>
          <w:color w:val="auto"/>
        </w:rPr>
        <w:t xml:space="preserve"> Corporate Equality Index, along with the distinction of being one of the Best Places to Work for LGBTQ Equality.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172085</wp:posOffset>
            </wp:positionV>
            <wp:extent cx="3559175" cy="394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59175"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680"/>
            <w:col w:w="5220"/>
          </w:cols>
          <w:pgMar w:left="240" w:top="121" w:right="439" w:bottom="1440" w:gutter="0" w:footer="0" w:header="0"/>
          <w:type w:val="continuous"/>
        </w:sectPr>
      </w:pPr>
    </w:p>
    <w:p>
      <w:pPr>
        <w:spacing w:after="0" w:line="160" w:lineRule="exact"/>
        <w:rPr>
          <w:sz w:val="20"/>
          <w:szCs w:val="20"/>
          <w:color w:val="auto"/>
        </w:rPr>
      </w:pPr>
    </w:p>
    <w:p>
      <w:pPr>
        <w:ind w:left="180" w:right="540"/>
        <w:spacing w:after="0" w:line="264" w:lineRule="auto"/>
        <w:rPr>
          <w:sz w:val="20"/>
          <w:szCs w:val="20"/>
          <w:color w:val="auto"/>
        </w:rPr>
      </w:pPr>
      <w:r>
        <w:rPr>
          <w:rFonts w:ascii="Arial" w:cs="Arial" w:eastAsia="Arial" w:hAnsi="Arial"/>
          <w:sz w:val="18"/>
          <w:szCs w:val="18"/>
          <w:b w:val="1"/>
          <w:bCs w:val="1"/>
          <w:color w:val="FFFFFF"/>
        </w:rPr>
        <w:t>Among Best Places to Work for Employment Disability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3550285" cy="420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50285" cy="420370"/>
                    </a:xfrm>
                    <a:prstGeom prst="rect">
                      <a:avLst/>
                    </a:prstGeom>
                    <a:noFill/>
                  </pic:spPr>
                </pic:pic>
              </a:graphicData>
            </a:graphic>
          </wp:anchor>
        </w:drawing>
      </w:r>
    </w:p>
    <w:p>
      <w:pPr>
        <w:spacing w:after="0" w:line="164" w:lineRule="exact"/>
        <w:rPr>
          <w:sz w:val="20"/>
          <w:szCs w:val="20"/>
          <w:color w:val="auto"/>
        </w:rPr>
      </w:pPr>
    </w:p>
    <w:p>
      <w:pPr>
        <w:jc w:val="both"/>
        <w:ind w:left="180" w:right="20"/>
        <w:spacing w:after="0" w:line="228" w:lineRule="auto"/>
        <w:rPr>
          <w:sz w:val="20"/>
          <w:szCs w:val="20"/>
          <w:color w:val="auto"/>
        </w:rPr>
      </w:pPr>
      <w:r>
        <w:rPr>
          <w:rFonts w:ascii="Arial" w:cs="Arial" w:eastAsia="Arial" w:hAnsi="Arial"/>
          <w:sz w:val="14"/>
          <w:szCs w:val="14"/>
          <w:color w:val="auto"/>
        </w:rPr>
        <w:t xml:space="preserve">UTC was recognized by the Disability Equality Index (“DEI”), a joint initiative between </w:t>
      </w:r>
      <w:r>
        <w:rPr>
          <w:rFonts w:ascii="Arial" w:cs="Arial" w:eastAsia="Arial" w:hAnsi="Arial"/>
          <w:sz w:val="14"/>
          <w:szCs w:val="14"/>
          <w:i w:val="1"/>
          <w:iCs w:val="1"/>
          <w:color w:val="auto"/>
        </w:rPr>
        <w:t xml:space="preserve">Disability:IN </w:t>
      </w:r>
      <w:r>
        <w:rPr>
          <w:rFonts w:ascii="Arial" w:cs="Arial" w:eastAsia="Arial" w:hAnsi="Arial"/>
          <w:sz w:val="14"/>
          <w:szCs w:val="14"/>
          <w:color w:val="auto"/>
        </w:rPr>
        <w:t>and</w:t>
      </w:r>
      <w:r>
        <w:rPr>
          <w:rFonts w:ascii="Arial" w:cs="Arial" w:eastAsia="Arial" w:hAnsi="Arial"/>
          <w:sz w:val="14"/>
          <w:szCs w:val="14"/>
          <w:i w:val="1"/>
          <w:iCs w:val="1"/>
          <w:color w:val="auto"/>
        </w:rPr>
        <w:t xml:space="preserve"> the American Association of People with Disabilities, </w:t>
      </w:r>
      <w:r>
        <w:rPr>
          <w:rFonts w:ascii="Arial" w:cs="Arial" w:eastAsia="Arial" w:hAnsi="Arial"/>
          <w:sz w:val="14"/>
          <w:szCs w:val="14"/>
          <w:color w:val="auto"/>
        </w:rPr>
        <w:t>as a 2018 DEI</w:t>
      </w:r>
      <w:r>
        <w:rPr>
          <w:rFonts w:ascii="Arial" w:cs="Arial" w:eastAsia="Arial" w:hAnsi="Arial"/>
          <w:sz w:val="14"/>
          <w:szCs w:val="14"/>
          <w:i w:val="1"/>
          <w:iCs w:val="1"/>
          <w:color w:val="auto"/>
        </w:rPr>
        <w:t xml:space="preserve"> </w:t>
      </w:r>
      <w:r>
        <w:rPr>
          <w:rFonts w:ascii="Arial" w:cs="Arial" w:eastAsia="Arial" w:hAnsi="Arial"/>
          <w:sz w:val="14"/>
          <w:szCs w:val="14"/>
          <w:color w:val="auto"/>
        </w:rPr>
        <w:t>Best Place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550285" cy="2660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55028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FFFFFF"/>
        </w:rPr>
        <w:t>Among Noteworthy Companies for Diversity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220980</wp:posOffset>
            </wp:positionV>
            <wp:extent cx="3559175" cy="420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59175" cy="4203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 xml:space="preserve">UTC was named a noteworthy company by </w:t>
      </w:r>
      <w:r>
        <w:rPr>
          <w:rFonts w:ascii="Arial" w:cs="Arial" w:eastAsia="Arial" w:hAnsi="Arial"/>
          <w:sz w:val="12"/>
          <w:szCs w:val="12"/>
          <w:i w:val="1"/>
          <w:iCs w:val="1"/>
          <w:color w:val="auto"/>
        </w:rPr>
        <w:t>DiversityInc,</w:t>
      </w:r>
      <w:r>
        <w:rPr>
          <w:rFonts w:ascii="Arial" w:cs="Arial" w:eastAsia="Arial" w:hAnsi="Arial"/>
          <w:sz w:val="12"/>
          <w:szCs w:val="12"/>
          <w:color w:val="auto"/>
        </w:rPr>
        <w:t xml:space="preserve"> which recognizes the top U.S. companies for diversity and inclusion management, with a focus on hiring, retaining and promoting women, minorities, people with disabilities, LGBTQ employees and veterans.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153670</wp:posOffset>
            </wp:positionV>
            <wp:extent cx="3559175" cy="2660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55917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220"/>
          </w:cols>
          <w:pgMar w:left="240" w:top="121" w:right="439" w:bottom="1440" w:gutter="0" w:footer="0" w:header="0"/>
          <w:type w:val="continuous"/>
        </w:sectPr>
      </w:pP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Among Best Places for Women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550285" cy="514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50285" cy="514350"/>
                    </a:xfrm>
                    <a:prstGeom prst="rect">
                      <a:avLst/>
                    </a:prstGeom>
                    <a:noFill/>
                  </pic:spPr>
                </pic:pic>
              </a:graphicData>
            </a:graphic>
          </wp:anchor>
        </w:drawing>
      </w:r>
    </w:p>
    <w:p>
      <w:pPr>
        <w:spacing w:after="0" w:line="196" w:lineRule="exact"/>
        <w:rPr>
          <w:sz w:val="20"/>
          <w:szCs w:val="20"/>
          <w:color w:val="auto"/>
        </w:rPr>
      </w:pPr>
    </w:p>
    <w:p>
      <w:pPr>
        <w:ind w:left="180"/>
        <w:spacing w:after="0" w:line="231" w:lineRule="auto"/>
        <w:rPr>
          <w:sz w:val="20"/>
          <w:szCs w:val="20"/>
          <w:color w:val="auto"/>
        </w:rPr>
      </w:pPr>
      <w:r>
        <w:rPr>
          <w:rFonts w:ascii="Arial" w:cs="Arial" w:eastAsia="Arial" w:hAnsi="Arial"/>
          <w:sz w:val="14"/>
          <w:szCs w:val="14"/>
          <w:color w:val="auto"/>
        </w:rPr>
        <w:t xml:space="preserve">UTC was recognized by </w:t>
      </w:r>
      <w:r>
        <w:rPr>
          <w:rFonts w:ascii="Arial" w:cs="Arial" w:eastAsia="Arial" w:hAnsi="Arial"/>
          <w:sz w:val="14"/>
          <w:szCs w:val="14"/>
          <w:i w:val="1"/>
          <w:iCs w:val="1"/>
          <w:color w:val="auto"/>
        </w:rPr>
        <w:t>Fairygodboss</w:t>
      </w:r>
      <w:r>
        <w:rPr>
          <w:rFonts w:ascii="Arial" w:cs="Arial" w:eastAsia="Arial" w:hAnsi="Arial"/>
          <w:sz w:val="14"/>
          <w:szCs w:val="14"/>
          <w:color w:val="auto"/>
        </w:rPr>
        <w:t xml:space="preserve"> as the ninth best workplace for women in 2018. This ranking was determined by a survey around overall job satisfaction, equal treatment at work and whether female employees would recommend that other women work for their employer.</w:t>
      </w:r>
    </w:p>
    <w:p>
      <w:pPr>
        <w:spacing w:after="0" w:line="308" w:lineRule="exact"/>
        <w:rPr>
          <w:sz w:val="20"/>
          <w:szCs w:val="20"/>
          <w:color w:val="auto"/>
        </w:rPr>
      </w:pPr>
    </w:p>
    <w:p>
      <w:pPr>
        <w:ind w:left="180" w:right="300"/>
        <w:spacing w:after="0" w:line="236" w:lineRule="auto"/>
        <w:rPr>
          <w:sz w:val="20"/>
          <w:szCs w:val="20"/>
          <w:color w:val="auto"/>
        </w:rPr>
      </w:pPr>
      <w:r>
        <w:rPr>
          <w:rFonts w:ascii="Arial" w:cs="Arial" w:eastAsia="Arial" w:hAnsi="Arial"/>
          <w:sz w:val="22"/>
          <w:szCs w:val="22"/>
          <w:b w:val="1"/>
          <w:bCs w:val="1"/>
          <w:color w:val="80B8E7"/>
        </w:rPr>
        <w:t xml:space="preserve">“Innovation is our lifeblood. UTC’s future depends on our ability to attract, develop and retain the best talent. After all, companies don’t innovate – people do. </w:t>
      </w:r>
      <w:r>
        <w:rPr>
          <w:rFonts w:ascii="Arial" w:cs="Arial" w:eastAsia="Arial" w:hAnsi="Arial"/>
          <w:sz w:val="22"/>
          <w:szCs w:val="22"/>
          <w:b w:val="1"/>
          <w:bCs w:val="1"/>
          <w:color w:val="0E93D8"/>
        </w:rPr>
        <w:t>That’s why we are</w:t>
      </w:r>
      <w:r>
        <w:rPr>
          <w:rFonts w:ascii="Arial" w:cs="Arial" w:eastAsia="Arial" w:hAnsi="Arial"/>
          <w:sz w:val="22"/>
          <w:szCs w:val="22"/>
          <w:b w:val="1"/>
          <w:bCs w:val="1"/>
          <w:color w:val="80B8E7"/>
        </w:rPr>
        <w:t xml:space="preserve"> </w:t>
      </w:r>
      <w:r>
        <w:rPr>
          <w:rFonts w:ascii="Arial" w:cs="Arial" w:eastAsia="Arial" w:hAnsi="Arial"/>
          <w:sz w:val="22"/>
          <w:szCs w:val="22"/>
          <w:b w:val="1"/>
          <w:bCs w:val="1"/>
          <w:color w:val="0E93D8"/>
        </w:rPr>
        <w:t>committed to fostering a diverse, inclusive workforce. It’s the right thing to do and an imperative for a global growing business.”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color w:val="0E93D8"/>
        </w:rPr>
        <w:t>Gregory J. Hayes, 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4905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Among Best Companies for Latinas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77470</wp:posOffset>
            </wp:positionV>
            <wp:extent cx="3559175" cy="514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59175" cy="514350"/>
                    </a:xfrm>
                    <a:prstGeom prst="rect">
                      <a:avLst/>
                    </a:prstGeom>
                    <a:noFill/>
                  </pic:spPr>
                </pic:pic>
              </a:graphicData>
            </a:graphic>
          </wp:anchor>
        </w:drawing>
      </w:r>
    </w:p>
    <w:p>
      <w:pPr>
        <w:spacing w:after="0" w:line="210"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 xml:space="preserve">For the sixth straight year, UTC was ranked among the top 10 best places to work for Latinas out of 50 companies honored by </w:t>
      </w:r>
      <w:r>
        <w:rPr>
          <w:rFonts w:ascii="Arial" w:cs="Arial" w:eastAsia="Arial" w:hAnsi="Arial"/>
          <w:sz w:val="14"/>
          <w:szCs w:val="14"/>
          <w:i w:val="1"/>
          <w:iCs w:val="1"/>
          <w:color w:val="auto"/>
        </w:rPr>
        <w:t>Latina Style Magazine</w:t>
      </w:r>
      <w:r>
        <w:rPr>
          <w:rFonts w:ascii="Arial" w:cs="Arial" w:eastAsia="Arial" w:hAnsi="Arial"/>
          <w:sz w:val="14"/>
          <w:szCs w:val="14"/>
          <w:color w:val="auto"/>
        </w:rPr>
        <w:t>.</w:t>
      </w:r>
    </w:p>
    <w:p>
      <w:pPr>
        <w:spacing w:after="0" w:line="2941" w:lineRule="exact"/>
        <w:rPr>
          <w:sz w:val="20"/>
          <w:szCs w:val="20"/>
          <w:color w:val="auto"/>
        </w:rPr>
      </w:pPr>
    </w:p>
    <w:p>
      <w:pPr>
        <w:sectPr>
          <w:pgSz w:w="11900" w:h="16838" w:orient="portrait"/>
          <w:cols w:equalWidth="0" w:num="2">
            <w:col w:w="5360" w:space="640"/>
            <w:col w:w="5220"/>
          </w:cols>
          <w:pgMar w:left="240" w:top="121" w:right="439" w:bottom="1440" w:gutter="0" w:footer="0" w:header="0"/>
          <w:type w:val="continuous"/>
        </w:sectPr>
      </w:pPr>
    </w:p>
    <w:p>
      <w:pPr>
        <w:spacing w:after="0" w:line="252" w:lineRule="exact"/>
        <w:rPr>
          <w:sz w:val="20"/>
          <w:szCs w:val="20"/>
          <w:color w:val="auto"/>
        </w:rPr>
      </w:pPr>
    </w:p>
    <w:p>
      <w:pPr>
        <w:ind w:left="880" w:hanging="628"/>
        <w:spacing w:after="0"/>
        <w:tabs>
          <w:tab w:leader="none" w:pos="880" w:val="left"/>
        </w:tabs>
        <w:numPr>
          <w:ilvl w:val="0"/>
          <w:numId w:val="98"/>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146685</wp:posOffset>
            </wp:positionV>
            <wp:extent cx="142367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21"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FFFFFF"/>
        </w:rPr>
        <w:t>CORPORATE RESPONSIBILITY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Our Employee Scholar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At UTC, we support a culture of lifelong learning in which our employees are encouraged to expand their knowledge and capabilities to maintain their competitive skills in an ever-changing world. We aspire to maintain a highly educated workforce capable of the innovation required of our technology-driven company.</w:t>
      </w:r>
    </w:p>
    <w:p>
      <w:pPr>
        <w:spacing w:after="0" w:line="208" w:lineRule="exact"/>
        <w:rPr>
          <w:sz w:val="20"/>
          <w:szCs w:val="20"/>
          <w:color w:val="auto"/>
        </w:rPr>
      </w:pPr>
    </w:p>
    <w:p>
      <w:pPr>
        <w:ind w:right="1220"/>
        <w:spacing w:after="0" w:line="239" w:lineRule="auto"/>
        <w:rPr>
          <w:sz w:val="20"/>
          <w:szCs w:val="20"/>
          <w:color w:val="auto"/>
        </w:rPr>
      </w:pPr>
      <w:r>
        <w:rPr>
          <w:rFonts w:ascii="Arial" w:cs="Arial" w:eastAsia="Arial" w:hAnsi="Arial"/>
          <w:sz w:val="18"/>
          <w:szCs w:val="18"/>
          <w:color w:val="auto"/>
        </w:rPr>
        <w:t>Our Employee Scholar Program has been in place for more than 20 years and has been consistently recognized as one of the most comprehensive company-sponsored employee education programs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8890" cy="11918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1191895"/>
                    </a:xfrm>
                    <a:prstGeom prst="rect">
                      <a:avLst/>
                    </a:prstGeom>
                    <a:noFill/>
                  </pic:spPr>
                </pic:pic>
              </a:graphicData>
            </a:graphic>
          </wp:anchor>
        </w:drawing>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759"/>
        </w:trPr>
        <w:tc>
          <w:tcPr>
            <w:tcW w:w="2760" w:type="dxa"/>
            <w:vAlign w:val="bottom"/>
            <w:tcBorders>
              <w:right w:val="single" w:sz="8" w:color="FDB03F"/>
            </w:tcBorders>
          </w:tcPr>
          <w:p>
            <w:pPr>
              <w:spacing w:after="0"/>
              <w:rPr>
                <w:sz w:val="20"/>
                <w:szCs w:val="20"/>
                <w:color w:val="auto"/>
              </w:rPr>
            </w:pPr>
            <w:r>
              <w:rPr>
                <w:rFonts w:ascii="Arial" w:cs="Arial" w:eastAsia="Arial" w:hAnsi="Arial"/>
                <w:sz w:val="40"/>
                <w:szCs w:val="40"/>
                <w:b w:val="1"/>
                <w:bCs w:val="1"/>
                <w:color w:val="FDB03F"/>
              </w:rPr>
              <w:t>40,200+</w:t>
            </w:r>
          </w:p>
        </w:tc>
        <w:tc>
          <w:tcPr>
            <w:tcW w:w="2840" w:type="dxa"/>
            <w:vAlign w:val="bottom"/>
            <w:tcBorders>
              <w:right w:val="single" w:sz="8" w:color="FDB03F"/>
            </w:tcBorders>
          </w:tcPr>
          <w:p>
            <w:pPr>
              <w:ind w:left="100"/>
              <w:spacing w:after="0"/>
              <w:rPr>
                <w:sz w:val="20"/>
                <w:szCs w:val="20"/>
                <w:color w:val="auto"/>
              </w:rPr>
            </w:pPr>
            <w:r>
              <w:rPr>
                <w:rFonts w:ascii="Arial" w:cs="Arial" w:eastAsia="Arial" w:hAnsi="Arial"/>
                <w:sz w:val="66"/>
                <w:szCs w:val="66"/>
                <w:b w:val="1"/>
                <w:bCs w:val="1"/>
                <w:color w:val="FDB03F"/>
                <w:vertAlign w:val="superscript"/>
              </w:rPr>
              <w:t>$</w:t>
            </w:r>
            <w:r>
              <w:rPr>
                <w:rFonts w:ascii="Arial" w:cs="Arial" w:eastAsia="Arial" w:hAnsi="Arial"/>
                <w:sz w:val="40"/>
                <w:szCs w:val="40"/>
                <w:b w:val="1"/>
                <w:bCs w:val="1"/>
                <w:color w:val="FDB03F"/>
              </w:rPr>
              <w:t>1.3 billion</w:t>
            </w:r>
          </w:p>
        </w:tc>
        <w:tc>
          <w:tcPr>
            <w:tcW w:w="2860" w:type="dxa"/>
            <w:vAlign w:val="bottom"/>
            <w:tcBorders>
              <w:right w:val="single" w:sz="8" w:color="FDB03F"/>
            </w:tcBorders>
          </w:tcPr>
          <w:p>
            <w:pPr>
              <w:ind w:left="100"/>
              <w:spacing w:after="0"/>
              <w:rPr>
                <w:sz w:val="20"/>
                <w:szCs w:val="20"/>
                <w:color w:val="auto"/>
              </w:rPr>
            </w:pPr>
            <w:r>
              <w:rPr>
                <w:rFonts w:ascii="Arial" w:cs="Arial" w:eastAsia="Arial" w:hAnsi="Arial"/>
                <w:sz w:val="40"/>
                <w:szCs w:val="40"/>
                <w:b w:val="1"/>
                <w:bCs w:val="1"/>
                <w:color w:val="FDB03F"/>
              </w:rPr>
              <w:t>6,000+</w:t>
            </w:r>
          </w:p>
        </w:tc>
        <w:tc>
          <w:tcPr>
            <w:tcW w:w="2160" w:type="dxa"/>
            <w:vAlign w:val="bottom"/>
          </w:tcPr>
          <w:p>
            <w:pPr>
              <w:ind w:left="100"/>
              <w:spacing w:after="0"/>
              <w:rPr>
                <w:sz w:val="20"/>
                <w:szCs w:val="20"/>
                <w:color w:val="auto"/>
              </w:rPr>
            </w:pPr>
            <w:r>
              <w:rPr>
                <w:rFonts w:ascii="Arial" w:cs="Arial" w:eastAsia="Arial" w:hAnsi="Arial"/>
                <w:sz w:val="40"/>
                <w:szCs w:val="40"/>
                <w:b w:val="1"/>
                <w:bCs w:val="1"/>
                <w:color w:val="FDB03F"/>
              </w:rPr>
              <w:t>60+</w:t>
            </w:r>
          </w:p>
        </w:tc>
      </w:tr>
      <w:tr>
        <w:trPr>
          <w:trHeight w:val="203"/>
        </w:trPr>
        <w:tc>
          <w:tcPr>
            <w:tcW w:w="2760" w:type="dxa"/>
            <w:vAlign w:val="bottom"/>
            <w:tcBorders>
              <w:right w:val="single" w:sz="8" w:color="FDB03F"/>
            </w:tcBorders>
          </w:tcPr>
          <w:p>
            <w:pPr>
              <w:spacing w:after="0" w:line="202" w:lineRule="exact"/>
              <w:rPr>
                <w:sz w:val="20"/>
                <w:szCs w:val="20"/>
                <w:color w:val="auto"/>
              </w:rPr>
            </w:pPr>
            <w:r>
              <w:rPr>
                <w:rFonts w:ascii="Arial" w:cs="Arial" w:eastAsia="Arial" w:hAnsi="Arial"/>
                <w:sz w:val="18"/>
                <w:szCs w:val="18"/>
                <w:color w:val="auto"/>
              </w:rPr>
              <w:t>degrees earned since 1996</w:t>
            </w:r>
          </w:p>
        </w:tc>
        <w:tc>
          <w:tcPr>
            <w:tcW w:w="2840" w:type="dxa"/>
            <w:vAlign w:val="bottom"/>
            <w:tcBorders>
              <w:right w:val="single" w:sz="8" w:color="FDB03F"/>
            </w:tcBorders>
          </w:tcPr>
          <w:p>
            <w:pPr>
              <w:ind w:left="100"/>
              <w:spacing w:after="0" w:line="202" w:lineRule="exact"/>
              <w:rPr>
                <w:sz w:val="20"/>
                <w:szCs w:val="20"/>
                <w:color w:val="auto"/>
              </w:rPr>
            </w:pPr>
            <w:r>
              <w:rPr>
                <w:rFonts w:ascii="Arial" w:cs="Arial" w:eastAsia="Arial" w:hAnsi="Arial"/>
                <w:sz w:val="18"/>
                <w:szCs w:val="18"/>
                <w:color w:val="auto"/>
              </w:rPr>
              <w:t>invested since 1996</w:t>
            </w:r>
          </w:p>
        </w:tc>
        <w:tc>
          <w:tcPr>
            <w:tcW w:w="2860" w:type="dxa"/>
            <w:vAlign w:val="bottom"/>
            <w:tcBorders>
              <w:right w:val="single" w:sz="8" w:color="FDB03F"/>
            </w:tcBorders>
          </w:tcPr>
          <w:p>
            <w:pPr>
              <w:ind w:left="100"/>
              <w:spacing w:after="0" w:line="202" w:lineRule="exact"/>
              <w:rPr>
                <w:sz w:val="20"/>
                <w:szCs w:val="20"/>
                <w:color w:val="auto"/>
              </w:rPr>
            </w:pPr>
            <w:r>
              <w:rPr>
                <w:rFonts w:ascii="Arial" w:cs="Arial" w:eastAsia="Arial" w:hAnsi="Arial"/>
                <w:sz w:val="18"/>
                <w:szCs w:val="18"/>
                <w:color w:val="auto"/>
              </w:rPr>
              <w:t>employees participated in 2018</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w w:val="96"/>
              </w:rPr>
              <w:t>countries with participating</w:t>
            </w:r>
          </w:p>
        </w:tc>
      </w:tr>
      <w:tr>
        <w:trPr>
          <w:trHeight w:val="211"/>
        </w:trPr>
        <w:tc>
          <w:tcPr>
            <w:tcW w:w="2760" w:type="dxa"/>
            <w:vAlign w:val="bottom"/>
            <w:tcBorders>
              <w:right w:val="single" w:sz="8" w:color="FDB03F"/>
            </w:tcBorders>
          </w:tcPr>
          <w:p>
            <w:pPr>
              <w:spacing w:after="0"/>
              <w:rPr>
                <w:sz w:val="18"/>
                <w:szCs w:val="18"/>
                <w:color w:val="auto"/>
              </w:rPr>
            </w:pPr>
          </w:p>
        </w:tc>
        <w:tc>
          <w:tcPr>
            <w:tcW w:w="2840" w:type="dxa"/>
            <w:vAlign w:val="bottom"/>
            <w:tcBorders>
              <w:right w:val="single" w:sz="8" w:color="FDB03F"/>
            </w:tcBorders>
          </w:tcPr>
          <w:p>
            <w:pPr>
              <w:spacing w:after="0"/>
              <w:rPr>
                <w:sz w:val="18"/>
                <w:szCs w:val="18"/>
                <w:color w:val="auto"/>
              </w:rPr>
            </w:pPr>
          </w:p>
        </w:tc>
        <w:tc>
          <w:tcPr>
            <w:tcW w:w="2860" w:type="dxa"/>
            <w:vAlign w:val="bottom"/>
            <w:tcBorders>
              <w:right w:val="single" w:sz="8" w:color="FDB03F"/>
            </w:tcBorders>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employees in 2018</w:t>
            </w:r>
          </w:p>
        </w:tc>
      </w:tr>
      <w:tr>
        <w:trPr>
          <w:trHeight w:val="853"/>
        </w:trPr>
        <w:tc>
          <w:tcPr>
            <w:tcW w:w="2760" w:type="dxa"/>
            <w:vAlign w:val="bottom"/>
            <w:tcBorders>
              <w:right w:val="single" w:sz="8" w:color="FDB03F"/>
            </w:tcBorders>
          </w:tcPr>
          <w:p>
            <w:pPr>
              <w:spacing w:after="0"/>
              <w:rPr>
                <w:sz w:val="24"/>
                <w:szCs w:val="24"/>
                <w:color w:val="auto"/>
              </w:rPr>
            </w:pPr>
          </w:p>
        </w:tc>
        <w:tc>
          <w:tcPr>
            <w:tcW w:w="2840" w:type="dxa"/>
            <w:vAlign w:val="bottom"/>
            <w:tcBorders>
              <w:right w:val="single" w:sz="8" w:color="FDB03F"/>
            </w:tcBorders>
          </w:tcPr>
          <w:p>
            <w:pPr>
              <w:spacing w:after="0"/>
              <w:rPr>
                <w:sz w:val="24"/>
                <w:szCs w:val="24"/>
                <w:color w:val="auto"/>
              </w:rPr>
            </w:pPr>
          </w:p>
        </w:tc>
        <w:tc>
          <w:tcPr>
            <w:tcW w:w="2860" w:type="dxa"/>
            <w:vAlign w:val="bottom"/>
            <w:tcBorders>
              <w:right w:val="single" w:sz="8" w:color="FDB03F"/>
            </w:tcBorders>
          </w:tcPr>
          <w:p>
            <w:pPr>
              <w:spacing w:after="0"/>
              <w:rPr>
                <w:sz w:val="24"/>
                <w:szCs w:val="24"/>
                <w:color w:val="auto"/>
              </w:rPr>
            </w:pPr>
          </w:p>
        </w:tc>
        <w:tc>
          <w:tcPr>
            <w:tcW w:w="2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-359410</wp:posOffset>
            </wp:positionV>
            <wp:extent cx="668655" cy="3429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8655" cy="34290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-307975</wp:posOffset>
            </wp:positionV>
            <wp:extent cx="523240" cy="291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3240" cy="29146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-402590</wp:posOffset>
            </wp:positionV>
            <wp:extent cx="386080" cy="386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UTC Gives Back to the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At UTC, we are committed to enhancing the quality of life everywhere we do business because we believe positive engagement builds vibrant communities. Through financial contributions and employee volunteerism, UTC and our employees support thousands of civic, cultural, economic and social welfare organizations around the globe that share in our mission of making the world a better place.</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Since 2012, we have invested more than $250 million in the communities where we operate, an amount that includes in excess of $20 million in employee contributions and company matching grants. UTC’s corporate responsibility commitments are bolstered by the impact that our employees have close to home and around the world. Whether mentoring students in STEM (science, technology, engineering and math) subjects, teaching lessons in environmental stewardship or providing disaster relief, our employees contribute their expertise, creativity and passion to help build resilient communities.</w:t>
      </w:r>
    </w:p>
    <w:p>
      <w:pPr>
        <w:spacing w:after="0" w:line="176"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80B8E7"/>
        </w:rPr>
        <w:t>We continue to support leading nonprofit</w:t>
      </w:r>
    </w:p>
    <w:p>
      <w:pPr>
        <w:spacing w:after="0" w:line="6"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80B8E7"/>
        </w:rPr>
        <w:t xml:space="preserve">organizations worldwide through grants and </w:t>
      </w:r>
      <w:r>
        <w:rPr>
          <w:rFonts w:ascii="Arial" w:cs="Arial" w:eastAsia="Arial" w:hAnsi="Arial"/>
          <w:sz w:val="22"/>
          <w:szCs w:val="22"/>
          <w:b w:val="1"/>
          <w:bCs w:val="1"/>
          <w:color w:val="0E93D8"/>
        </w:rPr>
        <w:t>the</w:t>
      </w:r>
    </w:p>
    <w:p>
      <w:pPr>
        <w:ind w:left="6100"/>
        <w:spacing w:after="0" w:line="230" w:lineRule="auto"/>
        <w:rPr>
          <w:sz w:val="20"/>
          <w:szCs w:val="20"/>
          <w:color w:val="auto"/>
        </w:rPr>
      </w:pPr>
      <w:r>
        <w:rPr>
          <w:rFonts w:ascii="Arial" w:cs="Arial" w:eastAsia="Arial" w:hAnsi="Arial"/>
          <w:sz w:val="22"/>
          <w:szCs w:val="22"/>
          <w:b w:val="1"/>
          <w:bCs w:val="1"/>
          <w:color w:val="0E93D8"/>
        </w:rPr>
        <w:t>work of UTC employees who donate their time</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0E93D8"/>
        </w:rPr>
        <w:t>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118110</wp:posOffset>
            </wp:positionV>
            <wp:extent cx="34905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27</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Pay 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chart shows annual retainers for non-employee directors for the April 2018 to April 2019 Board cycle. 40% is payable in cash and the remaining 60% is payable in deferred stock units (“DSUs”), although a director also may elect to receive 100% of the retainer in DSUs.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E93D8"/>
              </w:rPr>
              <w:t>Deferred</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7160" w:type="dxa"/>
            <w:vAlign w:val="bottom"/>
          </w:tcPr>
          <w:p>
            <w:pPr>
              <w:ind w:left="80"/>
              <w:spacing w:after="0"/>
              <w:rPr>
                <w:sz w:val="20"/>
                <w:szCs w:val="20"/>
                <w:color w:val="auto"/>
              </w:rPr>
            </w:pPr>
            <w:r>
              <w:rPr>
                <w:rFonts w:ascii="Arial" w:cs="Arial" w:eastAsia="Arial" w:hAnsi="Arial"/>
                <w:sz w:val="14"/>
                <w:szCs w:val="14"/>
                <w:b w:val="1"/>
                <w:bCs w:val="1"/>
                <w:color w:val="0E93D8"/>
              </w:rPr>
              <w:t>Role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E93D8"/>
              </w:rPr>
              <w:t>Cash ($)</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E93D8"/>
              </w:rPr>
              <w:t>Stock Units ($)</w:t>
            </w:r>
          </w:p>
        </w:tc>
        <w:tc>
          <w:tcPr>
            <w:tcW w:w="120" w:type="dxa"/>
            <w:vAlign w:val="bottom"/>
          </w:tcPr>
          <w:p>
            <w:pPr>
              <w:spacing w:after="0"/>
              <w:rPr>
                <w:sz w:val="16"/>
                <w:szCs w:val="16"/>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b w:val="1"/>
                <w:bCs w:val="1"/>
                <w:color w:val="0E93D8"/>
              </w:rPr>
              <w:t>Total ($)</w:t>
            </w:r>
          </w:p>
        </w:tc>
      </w:tr>
      <w:tr>
        <w:trPr>
          <w:trHeight w:val="61"/>
        </w:trPr>
        <w:tc>
          <w:tcPr>
            <w:tcW w:w="7160" w:type="dxa"/>
            <w:vAlign w:val="bottom"/>
            <w:shd w:val="clear" w:color="auto" w:fill="DAE9F7"/>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shd w:val="clear" w:color="auto" w:fill="0E93D8"/>
          </w:tcPr>
          <w:p>
            <w:pPr>
              <w:spacing w:after="0"/>
              <w:rPr>
                <w:sz w:val="5"/>
                <w:szCs w:val="5"/>
                <w:color w:val="auto"/>
              </w:rPr>
            </w:pPr>
          </w:p>
        </w:tc>
      </w:tr>
      <w:tr>
        <w:trPr>
          <w:trHeight w:val="189"/>
        </w:trPr>
        <w:tc>
          <w:tcPr>
            <w:tcW w:w="7160" w:type="dxa"/>
            <w:vAlign w:val="bottom"/>
          </w:tcPr>
          <w:p>
            <w:pPr>
              <w:ind w:left="80"/>
              <w:spacing w:after="0"/>
              <w:rPr>
                <w:sz w:val="20"/>
                <w:szCs w:val="20"/>
                <w:color w:val="auto"/>
              </w:rPr>
            </w:pPr>
            <w:r>
              <w:rPr>
                <w:rFonts w:ascii="Arial" w:cs="Arial" w:eastAsia="Arial" w:hAnsi="Arial"/>
                <w:sz w:val="14"/>
                <w:szCs w:val="14"/>
                <w:color w:val="auto"/>
              </w:rPr>
              <w:t>All Directors (base retainer)</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$120,000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6"/>
                <w:szCs w:val="16"/>
                <w:color w:val="auto"/>
              </w:rPr>
            </w:pPr>
          </w:p>
        </w:tc>
        <w:tc>
          <w:tcPr>
            <w:tcW w:w="1220" w:type="dxa"/>
            <w:vAlign w:val="bottom"/>
            <w:shd w:val="clear" w:color="auto" w:fill="F6FAFB"/>
          </w:tcPr>
          <w:p>
            <w:pPr>
              <w:jc w:val="right"/>
              <w:ind w:right="12"/>
              <w:spacing w:after="0"/>
              <w:rPr>
                <w:sz w:val="20"/>
                <w:szCs w:val="20"/>
                <w:color w:val="auto"/>
              </w:rPr>
            </w:pPr>
            <w:r>
              <w:rPr>
                <w:rFonts w:ascii="Arial" w:cs="Arial" w:eastAsia="Arial" w:hAnsi="Arial"/>
                <w:sz w:val="14"/>
                <w:szCs w:val="14"/>
                <w:color w:val="auto"/>
              </w:rPr>
              <w:t>$300,000</w:t>
            </w:r>
          </w:p>
        </w:tc>
      </w:tr>
      <w:tr>
        <w:trPr>
          <w:trHeight w:val="372"/>
        </w:trPr>
        <w:tc>
          <w:tcPr>
            <w:tcW w:w="7160" w:type="dxa"/>
            <w:vAlign w:val="bottom"/>
            <w:tcBorders>
              <w:bottom w:val="single" w:sz="8" w:color="0E93D8"/>
            </w:tcBorders>
          </w:tcPr>
          <w:p>
            <w:pPr>
              <w:ind w:left="80"/>
              <w:spacing w:after="0"/>
              <w:rPr>
                <w:sz w:val="20"/>
                <w:szCs w:val="20"/>
                <w:color w:val="auto"/>
              </w:rPr>
            </w:pPr>
            <w:r>
              <w:rPr>
                <w:rFonts w:ascii="Arial" w:cs="Arial" w:eastAsia="Arial" w:hAnsi="Arial"/>
                <w:sz w:val="14"/>
                <w:szCs w:val="14"/>
                <w:b w:val="1"/>
                <w:bCs w:val="1"/>
                <w:color w:val="0E93D8"/>
              </w:rPr>
              <w:t>Incremental Amount Above Base Retainer*</w:t>
            </w:r>
          </w:p>
        </w:tc>
        <w:tc>
          <w:tcPr>
            <w:tcW w:w="100" w:type="dxa"/>
            <w:vAlign w:val="bottom"/>
            <w:tcBorders>
              <w:bottom w:val="single" w:sz="8" w:color="0E93D8"/>
            </w:tcBorders>
          </w:tcPr>
          <w:p>
            <w:pPr>
              <w:spacing w:after="0"/>
              <w:rPr>
                <w:sz w:val="24"/>
                <w:szCs w:val="24"/>
                <w:color w:val="auto"/>
              </w:rPr>
            </w:pPr>
          </w:p>
        </w:tc>
        <w:tc>
          <w:tcPr>
            <w:tcW w:w="1240" w:type="dxa"/>
            <w:vAlign w:val="bottom"/>
            <w:tcBorders>
              <w:bottom w:val="single" w:sz="8" w:color="0E93D8"/>
            </w:tcBorders>
          </w:tcPr>
          <w:p>
            <w:pPr>
              <w:spacing w:after="0"/>
              <w:rPr>
                <w:sz w:val="24"/>
                <w:szCs w:val="24"/>
                <w:color w:val="auto"/>
              </w:rPr>
            </w:pPr>
          </w:p>
        </w:tc>
        <w:tc>
          <w:tcPr>
            <w:tcW w:w="120" w:type="dxa"/>
            <w:vAlign w:val="bottom"/>
            <w:tcBorders>
              <w:bottom w:val="single" w:sz="8" w:color="0E93D8"/>
            </w:tcBorders>
          </w:tcPr>
          <w:p>
            <w:pPr>
              <w:spacing w:after="0"/>
              <w:rPr>
                <w:sz w:val="24"/>
                <w:szCs w:val="24"/>
                <w:color w:val="auto"/>
              </w:rPr>
            </w:pPr>
          </w:p>
        </w:tc>
        <w:tc>
          <w:tcPr>
            <w:tcW w:w="1460" w:type="dxa"/>
            <w:vAlign w:val="bottom"/>
            <w:tcBorders>
              <w:bottom w:val="single" w:sz="8" w:color="0E93D8"/>
            </w:tcBorders>
          </w:tcPr>
          <w:p>
            <w:pPr>
              <w:spacing w:after="0"/>
              <w:rPr>
                <w:sz w:val="24"/>
                <w:szCs w:val="24"/>
                <w:color w:val="auto"/>
              </w:rPr>
            </w:pPr>
          </w:p>
        </w:tc>
        <w:tc>
          <w:tcPr>
            <w:tcW w:w="120" w:type="dxa"/>
            <w:vAlign w:val="bottom"/>
            <w:tcBorders>
              <w:bottom w:val="single" w:sz="8" w:color="0E93D8"/>
            </w:tcBorders>
          </w:tcPr>
          <w:p>
            <w:pPr>
              <w:spacing w:after="0"/>
              <w:rPr>
                <w:sz w:val="24"/>
                <w:szCs w:val="24"/>
                <w:color w:val="auto"/>
              </w:rPr>
            </w:pPr>
          </w:p>
        </w:tc>
        <w:tc>
          <w:tcPr>
            <w:tcW w:w="1220" w:type="dxa"/>
            <w:vAlign w:val="bottom"/>
            <w:tcBorders>
              <w:bottom w:val="single" w:sz="8" w:color="0E93D8"/>
            </w:tcBorders>
            <w:shd w:val="clear" w:color="auto" w:fill="F6FAFB"/>
          </w:tcPr>
          <w:p>
            <w:pPr>
              <w:spacing w:after="0"/>
              <w:rPr>
                <w:sz w:val="24"/>
                <w:szCs w:val="24"/>
                <w:color w:val="auto"/>
              </w:rPr>
            </w:pPr>
          </w:p>
        </w:tc>
      </w:tr>
      <w:tr>
        <w:trPr>
          <w:trHeight w:val="196"/>
        </w:trPr>
        <w:tc>
          <w:tcPr>
            <w:tcW w:w="71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Lead Director</w:t>
            </w:r>
          </w:p>
        </w:tc>
        <w:tc>
          <w:tcPr>
            <w:tcW w:w="13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$32,000</w:t>
            </w:r>
          </w:p>
        </w:tc>
        <w:tc>
          <w:tcPr>
            <w:tcW w:w="158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$48,000</w:t>
            </w:r>
          </w:p>
        </w:tc>
        <w:tc>
          <w:tcPr>
            <w:tcW w:w="120" w:type="dxa"/>
            <w:vAlign w:val="bottom"/>
            <w:tcBorders>
              <w:bottom w:val="single" w:sz="8" w:color="7C7C7C"/>
            </w:tcBorders>
          </w:tcPr>
          <w:p>
            <w:pPr>
              <w:spacing w:after="0"/>
              <w:rPr>
                <w:sz w:val="17"/>
                <w:szCs w:val="17"/>
                <w:color w:val="auto"/>
              </w:rPr>
            </w:pPr>
          </w:p>
        </w:tc>
        <w:tc>
          <w:tcPr>
            <w:tcW w:w="12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$80,000</w:t>
            </w:r>
          </w:p>
        </w:tc>
      </w:tr>
      <w:tr>
        <w:trPr>
          <w:trHeight w:val="196"/>
        </w:trPr>
        <w:tc>
          <w:tcPr>
            <w:tcW w:w="71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Audit Committee Chair</w:t>
            </w:r>
          </w:p>
        </w:tc>
        <w:tc>
          <w:tcPr>
            <w:tcW w:w="13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$16,000</w:t>
            </w:r>
          </w:p>
        </w:tc>
        <w:tc>
          <w:tcPr>
            <w:tcW w:w="158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$24,000</w:t>
            </w:r>
          </w:p>
        </w:tc>
        <w:tc>
          <w:tcPr>
            <w:tcW w:w="120" w:type="dxa"/>
            <w:vAlign w:val="bottom"/>
            <w:tcBorders>
              <w:bottom w:val="single" w:sz="8" w:color="7C7C7C"/>
            </w:tcBorders>
          </w:tcPr>
          <w:p>
            <w:pPr>
              <w:spacing w:after="0"/>
              <w:rPr>
                <w:sz w:val="17"/>
                <w:szCs w:val="17"/>
                <w:color w:val="auto"/>
              </w:rPr>
            </w:pPr>
          </w:p>
        </w:tc>
        <w:tc>
          <w:tcPr>
            <w:tcW w:w="12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$40,000</w:t>
            </w:r>
          </w:p>
        </w:tc>
      </w:tr>
      <w:tr>
        <w:trPr>
          <w:trHeight w:val="196"/>
        </w:trPr>
        <w:tc>
          <w:tcPr>
            <w:tcW w:w="71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Audit Committee Member</w:t>
            </w:r>
          </w:p>
        </w:tc>
        <w:tc>
          <w:tcPr>
            <w:tcW w:w="13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$12,000</w:t>
            </w:r>
          </w:p>
        </w:tc>
        <w:tc>
          <w:tcPr>
            <w:tcW w:w="158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$18,000</w:t>
            </w:r>
          </w:p>
        </w:tc>
        <w:tc>
          <w:tcPr>
            <w:tcW w:w="120" w:type="dxa"/>
            <w:vAlign w:val="bottom"/>
            <w:tcBorders>
              <w:bottom w:val="single" w:sz="8" w:color="7C7C7C"/>
            </w:tcBorders>
          </w:tcPr>
          <w:p>
            <w:pPr>
              <w:spacing w:after="0"/>
              <w:rPr>
                <w:sz w:val="17"/>
                <w:szCs w:val="17"/>
                <w:color w:val="auto"/>
              </w:rPr>
            </w:pPr>
          </w:p>
        </w:tc>
        <w:tc>
          <w:tcPr>
            <w:tcW w:w="12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$30,000</w:t>
            </w:r>
          </w:p>
        </w:tc>
      </w:tr>
      <w:tr>
        <w:trPr>
          <w:trHeight w:val="196"/>
        </w:trPr>
        <w:tc>
          <w:tcPr>
            <w:tcW w:w="71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Compensation Committee Chair</w:t>
            </w:r>
          </w:p>
        </w:tc>
        <w:tc>
          <w:tcPr>
            <w:tcW w:w="13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$10,000</w:t>
            </w:r>
          </w:p>
        </w:tc>
        <w:tc>
          <w:tcPr>
            <w:tcW w:w="158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Borders>
              <w:bottom w:val="single" w:sz="8" w:color="7C7C7C"/>
            </w:tcBorders>
          </w:tcPr>
          <w:p>
            <w:pPr>
              <w:spacing w:after="0"/>
              <w:rPr>
                <w:sz w:val="17"/>
                <w:szCs w:val="17"/>
                <w:color w:val="auto"/>
              </w:rPr>
            </w:pPr>
          </w:p>
        </w:tc>
        <w:tc>
          <w:tcPr>
            <w:tcW w:w="12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$25,000</w:t>
            </w:r>
          </w:p>
        </w:tc>
      </w:tr>
      <w:tr>
        <w:trPr>
          <w:trHeight w:val="196"/>
        </w:trPr>
        <w:tc>
          <w:tcPr>
            <w:tcW w:w="71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Finance Committee Chair</w:t>
            </w:r>
          </w:p>
        </w:tc>
        <w:tc>
          <w:tcPr>
            <w:tcW w:w="13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$10,000</w:t>
            </w:r>
          </w:p>
        </w:tc>
        <w:tc>
          <w:tcPr>
            <w:tcW w:w="158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Borders>
              <w:bottom w:val="single" w:sz="8" w:color="7C7C7C"/>
            </w:tcBorders>
          </w:tcPr>
          <w:p>
            <w:pPr>
              <w:spacing w:after="0"/>
              <w:rPr>
                <w:sz w:val="17"/>
                <w:szCs w:val="17"/>
                <w:color w:val="auto"/>
              </w:rPr>
            </w:pPr>
          </w:p>
        </w:tc>
        <w:tc>
          <w:tcPr>
            <w:tcW w:w="12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$25,000</w:t>
            </w:r>
          </w:p>
        </w:tc>
      </w:tr>
      <w:tr>
        <w:trPr>
          <w:trHeight w:val="196"/>
        </w:trPr>
        <w:tc>
          <w:tcPr>
            <w:tcW w:w="71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Committee on Governance and Public Policy Chair</w:t>
            </w:r>
          </w:p>
        </w:tc>
        <w:tc>
          <w:tcPr>
            <w:tcW w:w="13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$10,000</w:t>
            </w:r>
          </w:p>
        </w:tc>
        <w:tc>
          <w:tcPr>
            <w:tcW w:w="158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Borders>
              <w:bottom w:val="single" w:sz="8" w:color="7C7C7C"/>
            </w:tcBorders>
          </w:tcPr>
          <w:p>
            <w:pPr>
              <w:spacing w:after="0"/>
              <w:rPr>
                <w:sz w:val="17"/>
                <w:szCs w:val="17"/>
                <w:color w:val="auto"/>
              </w:rPr>
            </w:pPr>
          </w:p>
        </w:tc>
        <w:tc>
          <w:tcPr>
            <w:tcW w:w="12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$25,000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 Directors serving in multiple leadership roles receive incremental compensation for each role.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Directors do not receive additional compensation for attending regularly scheduled Board or committee meetings, but do receive an additional</w:t>
      </w:r>
    </w:p>
    <w:p>
      <w:pPr>
        <w:spacing w:after="0"/>
        <w:rPr>
          <w:sz w:val="20"/>
          <w:szCs w:val="20"/>
          <w:color w:val="auto"/>
        </w:rPr>
      </w:pPr>
      <w:r>
        <w:rPr>
          <w:rFonts w:ascii="Arial" w:cs="Arial" w:eastAsia="Arial" w:hAnsi="Arial"/>
          <w:sz w:val="16"/>
          <w:szCs w:val="16"/>
          <w:color w:val="auto"/>
        </w:rPr>
        <w:t>$5,000 for each special meeting attended in person. The directors did not attend any special Board or committee meetings in person during 2018.</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Annual retainers are paid each year following the Annual Meeting. New directors joining the Board between the Annual Meeting and the end of September receive 100% of the annual retainer. Directors joining the Board between October and the next Annual Meeting receive 50% of the annual retainer. After a non-employee director leaves the Board, DSUs are converted into shares of UTC Common Stock, payable either in a lump-sum or in 10- or 15-year installments in accordance with the director’s prior elections.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Effective at the 2019 Annual Meeting, the total base retainer will be $310,000, comprised of $124,000 in cash and $186,000 in DSUs. There are no changes to the incremental role-based retainers.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New Director Restricted Stock Unit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Non-employee directors receive a one-time $100,000 RSU award when first elected to the Board. This award vests in equal portions over five years and is distributed in shares of UTC Common Stock upon termination of service. Mr. Kearney and Ms. Ramos each received this award when they joined the Board in December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Treatment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When UTC pays a dividend on Common Stock, each director is credited with additional DSUs and RSUs equal in value to the dividend paid on the corresponding number of shares of UTC Common Stock.</w:t>
      </w:r>
    </w:p>
    <w:p>
      <w:pPr>
        <w:spacing w:after="0" w:line="201" w:lineRule="exact"/>
        <w:rPr>
          <w:sz w:val="20"/>
          <w:szCs w:val="20"/>
          <w:color w:val="auto"/>
        </w:rPr>
      </w:pPr>
    </w:p>
    <w:p>
      <w:pPr>
        <w:ind w:left="880" w:hanging="628"/>
        <w:spacing w:after="0"/>
        <w:tabs>
          <w:tab w:leader="none" w:pos="880" w:val="left"/>
        </w:tabs>
        <w:numPr>
          <w:ilvl w:val="0"/>
          <w:numId w:val="99"/>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146685</wp:posOffset>
            </wp:positionV>
            <wp:extent cx="150939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09395" cy="128905"/>
                    </a:xfrm>
                    <a:prstGeom prst="rect">
                      <a:avLst/>
                    </a:prstGeom>
                    <a:noFill/>
                  </pic:spPr>
                </pic:pic>
              </a:graphicData>
            </a:graphic>
          </wp:anchor>
        </w:drawing>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FFFFFF"/>
        </w:rPr>
        <w:t>COMPENSATION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2018 Director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Fees Earned or</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Stock</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All Other</w:t>
            </w:r>
          </w:p>
        </w:tc>
        <w:tc>
          <w:tcPr>
            <w:tcW w:w="1160" w:type="dxa"/>
            <w:vAlign w:val="bottom"/>
          </w:tcPr>
          <w:p>
            <w:pPr>
              <w:spacing w:after="0"/>
              <w:rPr>
                <w:sz w:val="15"/>
                <w:szCs w:val="15"/>
                <w:color w:val="auto"/>
              </w:rPr>
            </w:pPr>
          </w:p>
        </w:tc>
      </w:tr>
      <w:tr>
        <w:trPr>
          <w:trHeight w:val="203"/>
        </w:trPr>
        <w:tc>
          <w:tcPr>
            <w:tcW w:w="5840" w:type="dxa"/>
            <w:vAlign w:val="bottom"/>
          </w:tcPr>
          <w:p>
            <w:pPr>
              <w:ind w:left="80"/>
              <w:spacing w:after="0"/>
              <w:rPr>
                <w:sz w:val="20"/>
                <w:szCs w:val="20"/>
                <w:color w:val="auto"/>
              </w:rPr>
            </w:pPr>
            <w:r>
              <w:rPr>
                <w:rFonts w:ascii="Arial" w:cs="Arial" w:eastAsia="Arial" w:hAnsi="Arial"/>
                <w:sz w:val="14"/>
                <w:szCs w:val="14"/>
                <w:b w:val="1"/>
                <w:bCs w:val="1"/>
                <w:color w:val="0E93D8"/>
              </w:rPr>
              <w:t>Name</w:t>
            </w:r>
          </w:p>
        </w:tc>
        <w:tc>
          <w:tcPr>
            <w:tcW w:w="1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Paid in Cash ($)</w:t>
            </w:r>
          </w:p>
        </w:tc>
        <w:tc>
          <w:tcPr>
            <w:tcW w:w="1320" w:type="dxa"/>
            <w:vAlign w:val="bottom"/>
            <w:gridSpan w:val="2"/>
          </w:tcPr>
          <w:p>
            <w:pPr>
              <w:jc w:val="right"/>
              <w:ind w:right="100"/>
              <w:spacing w:after="0" w:line="203" w:lineRule="exact"/>
              <w:rPr>
                <w:sz w:val="20"/>
                <w:szCs w:val="20"/>
                <w:color w:val="auto"/>
              </w:rPr>
            </w:pPr>
            <w:r>
              <w:rPr>
                <w:rFonts w:ascii="Arial" w:cs="Arial" w:eastAsia="Arial" w:hAnsi="Arial"/>
                <w:sz w:val="14"/>
                <w:szCs w:val="14"/>
                <w:b w:val="1"/>
                <w:bCs w:val="1"/>
                <w:color w:val="0E93D8"/>
              </w:rPr>
              <w:t>Awards ($)</w:t>
            </w:r>
            <w:r>
              <w:rPr>
                <w:rFonts w:ascii="Arial" w:cs="Arial" w:eastAsia="Arial" w:hAnsi="Arial"/>
                <w:sz w:val="22"/>
                <w:szCs w:val="22"/>
                <w:b w:val="1"/>
                <w:bCs w:val="1"/>
                <w:color w:val="0E93D8"/>
                <w:vertAlign w:val="superscript"/>
              </w:rPr>
              <w:t>(1)</w:t>
            </w:r>
          </w:p>
        </w:tc>
        <w:tc>
          <w:tcPr>
            <w:tcW w:w="1500" w:type="dxa"/>
            <w:vAlign w:val="bottom"/>
            <w:gridSpan w:val="2"/>
          </w:tcPr>
          <w:p>
            <w:pPr>
              <w:jc w:val="right"/>
              <w:ind w:right="100"/>
              <w:spacing w:after="0" w:line="203" w:lineRule="exact"/>
              <w:rPr>
                <w:sz w:val="20"/>
                <w:szCs w:val="20"/>
                <w:color w:val="auto"/>
              </w:rPr>
            </w:pPr>
            <w:r>
              <w:rPr>
                <w:rFonts w:ascii="Arial" w:cs="Arial" w:eastAsia="Arial" w:hAnsi="Arial"/>
                <w:sz w:val="14"/>
                <w:szCs w:val="14"/>
                <w:b w:val="1"/>
                <w:bCs w:val="1"/>
                <w:color w:val="0E93D8"/>
              </w:rPr>
              <w:t>Compensation ($)</w:t>
            </w:r>
            <w:r>
              <w:rPr>
                <w:rFonts w:ascii="Arial" w:cs="Arial" w:eastAsia="Arial" w:hAnsi="Arial"/>
                <w:sz w:val="22"/>
                <w:szCs w:val="22"/>
                <w:b w:val="1"/>
                <w:bCs w:val="1"/>
                <w:color w:val="0E93D8"/>
                <w:vertAlign w:val="superscript"/>
              </w:rPr>
              <w:t>(2)</w:t>
            </w:r>
          </w:p>
        </w:tc>
        <w:tc>
          <w:tcPr>
            <w:tcW w:w="1160" w:type="dxa"/>
            <w:vAlign w:val="bottom"/>
          </w:tcPr>
          <w:p>
            <w:pPr>
              <w:jc w:val="right"/>
              <w:ind w:right="12"/>
              <w:spacing w:after="0"/>
              <w:rPr>
                <w:sz w:val="20"/>
                <w:szCs w:val="20"/>
                <w:color w:val="auto"/>
              </w:rPr>
            </w:pPr>
            <w:r>
              <w:rPr>
                <w:rFonts w:ascii="Arial" w:cs="Arial" w:eastAsia="Arial" w:hAnsi="Arial"/>
                <w:sz w:val="14"/>
                <w:szCs w:val="14"/>
                <w:b w:val="1"/>
                <w:bCs w:val="1"/>
                <w:color w:val="0E93D8"/>
              </w:rPr>
              <w:t>Total ($)</w:t>
            </w:r>
          </w:p>
        </w:tc>
      </w:tr>
      <w:tr>
        <w:trPr>
          <w:trHeight w:val="54"/>
        </w:trPr>
        <w:tc>
          <w:tcPr>
            <w:tcW w:w="5840" w:type="dxa"/>
            <w:vAlign w:val="bottom"/>
            <w:shd w:val="clear" w:color="auto" w:fill="DAE9F7"/>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shd w:val="clear" w:color="auto" w:fill="DAE9F7"/>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shd w:val="clear" w:color="auto" w:fill="DAE9F7"/>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shd w:val="clear" w:color="auto" w:fill="DAE9F7"/>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shd w:val="clear" w:color="auto" w:fill="0D92D8"/>
          </w:tcPr>
          <w:p>
            <w:pPr>
              <w:spacing w:after="0"/>
              <w:rPr>
                <w:sz w:val="4"/>
                <w:szCs w:val="4"/>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4"/>
                <w:szCs w:val="14"/>
                <w:color w:val="auto"/>
              </w:rPr>
              <w:t>Lloyd J. Austin III</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4"/>
                <w:szCs w:val="14"/>
                <w:color w:val="auto"/>
              </w:rPr>
              <w:t>$132,000</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$198,000</w:t>
            </w:r>
          </w:p>
        </w:tc>
        <w:tc>
          <w:tcPr>
            <w:tcW w:w="1400" w:type="dxa"/>
            <w:vAlign w:val="bottom"/>
          </w:tcPr>
          <w:p>
            <w:pPr>
              <w:jc w:val="right"/>
              <w:spacing w:after="0"/>
              <w:rPr>
                <w:sz w:val="20"/>
                <w:szCs w:val="20"/>
                <w:color w:val="auto"/>
              </w:rPr>
            </w:pPr>
            <w:r>
              <w:rPr>
                <w:rFonts w:ascii="Arial" w:cs="Arial" w:eastAsia="Arial" w:hAnsi="Arial"/>
                <w:sz w:val="14"/>
                <w:szCs w:val="14"/>
                <w:color w:val="auto"/>
              </w:rPr>
              <w:t>$6,236</w:t>
            </w:r>
          </w:p>
        </w:tc>
        <w:tc>
          <w:tcPr>
            <w:tcW w:w="100" w:type="dxa"/>
            <w:vAlign w:val="bottom"/>
          </w:tcPr>
          <w:p>
            <w:pPr>
              <w:spacing w:after="0"/>
              <w:rPr>
                <w:sz w:val="21"/>
                <w:szCs w:val="21"/>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$336,236</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Diane M. Bryant</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$330,000</w:t>
            </w:r>
          </w:p>
        </w:tc>
        <w:tc>
          <w:tcPr>
            <w:tcW w:w="150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$857</w:t>
            </w: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$330,857</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John V. Faraci</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$325,000</w:t>
            </w:r>
          </w:p>
        </w:tc>
        <w:tc>
          <w:tcPr>
            <w:tcW w:w="1400" w:type="dxa"/>
            <w:vAlign w:val="bottom"/>
            <w:tcBorders>
              <w:top w:val="single" w:sz="8" w:color="7C7C7C"/>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top w:val="single" w:sz="8" w:color="7C7C7C"/>
            </w:tcBorders>
          </w:tcPr>
          <w:p>
            <w:pPr>
              <w:spacing w:after="0"/>
              <w:rPr>
                <w:sz w:val="20"/>
                <w:szCs w:val="20"/>
                <w:color w:val="auto"/>
              </w:rPr>
            </w:pP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$326,236</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Jean-Pierre Garnier</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$325,000</w:t>
            </w:r>
          </w:p>
        </w:tc>
        <w:tc>
          <w:tcPr>
            <w:tcW w:w="1400" w:type="dxa"/>
            <w:vAlign w:val="bottom"/>
            <w:tcBorders>
              <w:top w:val="single" w:sz="8" w:color="7C7C7C"/>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top w:val="single" w:sz="8" w:color="7C7C7C"/>
            </w:tcBorders>
          </w:tcPr>
          <w:p>
            <w:pPr>
              <w:spacing w:after="0"/>
              <w:rPr>
                <w:sz w:val="20"/>
                <w:szCs w:val="20"/>
                <w:color w:val="auto"/>
              </w:rPr>
            </w:pP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$326,236</w:t>
            </w:r>
          </w:p>
        </w:tc>
      </w:tr>
      <w:tr>
        <w:trPr>
          <w:trHeight w:val="291"/>
        </w:trPr>
        <w:tc>
          <w:tcPr>
            <w:tcW w:w="5960" w:type="dxa"/>
            <w:vAlign w:val="bottom"/>
            <w:tcBorders>
              <w:top w:val="single" w:sz="8" w:color="7C7C7C"/>
              <w:bottom w:val="single" w:sz="8" w:color="7C7C7C"/>
            </w:tcBorders>
            <w:gridSpan w:val="2"/>
          </w:tcPr>
          <w:p>
            <w:pPr>
              <w:ind w:left="80"/>
              <w:spacing w:after="0"/>
              <w:rPr>
                <w:sz w:val="20"/>
                <w:szCs w:val="20"/>
                <w:color w:val="auto"/>
              </w:rPr>
            </w:pPr>
            <w:r>
              <w:rPr>
                <w:rFonts w:ascii="Arial" w:cs="Arial" w:eastAsia="Arial" w:hAnsi="Arial"/>
                <w:sz w:val="14"/>
                <w:szCs w:val="14"/>
                <w:color w:val="auto"/>
              </w:rPr>
              <w:t>Christopher J. Kearney</w:t>
            </w:r>
            <w:r>
              <w:rPr>
                <w:rFonts w:ascii="Arial" w:cs="Arial" w:eastAsia="Arial" w:hAnsi="Arial"/>
                <w:sz w:val="22"/>
                <w:szCs w:val="22"/>
                <w:color w:val="auto"/>
                <w:vertAlign w:val="superscript"/>
              </w:rPr>
              <w:t>(3)</w:t>
            </w:r>
          </w:p>
        </w:tc>
        <w:tc>
          <w:tcPr>
            <w:tcW w:w="1480" w:type="dxa"/>
            <w:vAlign w:val="bottom"/>
            <w:tcBorders>
              <w:top w:val="single" w:sz="8" w:color="7C7C7C"/>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tcBorders>
              <w:top w:val="single" w:sz="8" w:color="7C7C7C"/>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$265,000</w:t>
            </w:r>
          </w:p>
        </w:tc>
        <w:tc>
          <w:tcPr>
            <w:tcW w:w="1500" w:type="dxa"/>
            <w:vAlign w:val="bottom"/>
            <w:tcBorders>
              <w:top w:val="single" w:sz="8" w:color="7C7C7C"/>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60" w:type="dxa"/>
            <w:vAlign w:val="bottom"/>
            <w:tcBorders>
              <w:top w:val="single" w:sz="8" w:color="7C7C7C"/>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$265,000</w:t>
            </w:r>
          </w:p>
        </w:tc>
      </w:tr>
      <w:tr>
        <w:trPr>
          <w:trHeight w:val="237"/>
        </w:trPr>
        <w:tc>
          <w:tcPr>
            <w:tcW w:w="5960" w:type="dxa"/>
            <w:vAlign w:val="bottom"/>
            <w:gridSpan w:val="2"/>
          </w:tcPr>
          <w:p>
            <w:pPr>
              <w:ind w:left="80"/>
              <w:spacing w:after="0"/>
              <w:rPr>
                <w:sz w:val="20"/>
                <w:szCs w:val="20"/>
                <w:color w:val="auto"/>
              </w:rPr>
            </w:pPr>
            <w:r>
              <w:rPr>
                <w:rFonts w:ascii="Arial" w:cs="Arial" w:eastAsia="Arial" w:hAnsi="Arial"/>
                <w:sz w:val="14"/>
                <w:szCs w:val="14"/>
                <w:color w:val="auto"/>
              </w:rPr>
              <w:t>Ellen J. Kullman</w:t>
            </w:r>
          </w:p>
        </w:tc>
        <w:tc>
          <w:tcPr>
            <w:tcW w:w="14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$380,000</w:t>
            </w:r>
          </w:p>
        </w:tc>
        <w:tc>
          <w:tcPr>
            <w:tcW w:w="140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0"/>
                <w:szCs w:val="20"/>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$381,236</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Marshall O. Larsen</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$132,000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$198,000</w:t>
            </w:r>
          </w:p>
        </w:tc>
        <w:tc>
          <w:tcPr>
            <w:tcW w:w="1400" w:type="dxa"/>
            <w:vAlign w:val="bottom"/>
            <w:tcBorders>
              <w:top w:val="single" w:sz="8" w:color="7C7C7C"/>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top w:val="single" w:sz="8" w:color="7C7C7C"/>
            </w:tcBorders>
          </w:tcPr>
          <w:p>
            <w:pPr>
              <w:spacing w:after="0"/>
              <w:rPr>
                <w:sz w:val="20"/>
                <w:szCs w:val="20"/>
                <w:color w:val="auto"/>
              </w:rPr>
            </w:pP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$331,236</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Harold W. McGraw III</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$120,000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$180,000</w:t>
            </w:r>
          </w:p>
        </w:tc>
        <w:tc>
          <w:tcPr>
            <w:tcW w:w="1400" w:type="dxa"/>
            <w:vAlign w:val="bottom"/>
            <w:tcBorders>
              <w:top w:val="single" w:sz="8" w:color="7C7C7C"/>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top w:val="single" w:sz="8" w:color="7C7C7C"/>
            </w:tcBorders>
          </w:tcPr>
          <w:p>
            <w:pPr>
              <w:spacing w:after="0"/>
              <w:rPr>
                <w:sz w:val="20"/>
                <w:szCs w:val="20"/>
                <w:color w:val="auto"/>
              </w:rPr>
            </w:pP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$301,236</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Margaret L. O’Sullivan</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$132,000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$198,000</w:t>
            </w:r>
          </w:p>
        </w:tc>
        <w:tc>
          <w:tcPr>
            <w:tcW w:w="150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$857</w:t>
            </w: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$330,857</w:t>
            </w:r>
          </w:p>
        </w:tc>
      </w:tr>
      <w:tr>
        <w:trPr>
          <w:trHeight w:val="291"/>
        </w:trPr>
        <w:tc>
          <w:tcPr>
            <w:tcW w:w="5960" w:type="dxa"/>
            <w:vAlign w:val="bottom"/>
            <w:tcBorders>
              <w:top w:val="single" w:sz="8" w:color="7C7C7C"/>
              <w:bottom w:val="single" w:sz="8" w:color="7C7C7C"/>
            </w:tcBorders>
            <w:gridSpan w:val="2"/>
          </w:tcPr>
          <w:p>
            <w:pPr>
              <w:ind w:left="80"/>
              <w:spacing w:after="0"/>
              <w:rPr>
                <w:sz w:val="20"/>
                <w:szCs w:val="20"/>
                <w:color w:val="auto"/>
              </w:rPr>
            </w:pPr>
            <w:r>
              <w:rPr>
                <w:rFonts w:ascii="Arial" w:cs="Arial" w:eastAsia="Arial" w:hAnsi="Arial"/>
                <w:sz w:val="14"/>
                <w:szCs w:val="14"/>
                <w:color w:val="auto"/>
              </w:rPr>
              <w:t>Denise L. Ramos</w:t>
            </w:r>
            <w:r>
              <w:rPr>
                <w:rFonts w:ascii="Arial" w:cs="Arial" w:eastAsia="Arial" w:hAnsi="Arial"/>
                <w:sz w:val="22"/>
                <w:szCs w:val="22"/>
                <w:color w:val="auto"/>
                <w:vertAlign w:val="superscript"/>
              </w:rPr>
              <w:t>(3)</w:t>
            </w:r>
          </w:p>
        </w:tc>
        <w:tc>
          <w:tcPr>
            <w:tcW w:w="1480" w:type="dxa"/>
            <w:vAlign w:val="bottom"/>
            <w:tcBorders>
              <w:top w:val="single" w:sz="8" w:color="7C7C7C"/>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tcBorders>
              <w:top w:val="single" w:sz="8" w:color="7C7C7C"/>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$265,000</w:t>
            </w:r>
          </w:p>
        </w:tc>
        <w:tc>
          <w:tcPr>
            <w:tcW w:w="1500" w:type="dxa"/>
            <w:vAlign w:val="bottom"/>
            <w:tcBorders>
              <w:top w:val="single" w:sz="8" w:color="7C7C7C"/>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160" w:type="dxa"/>
            <w:vAlign w:val="bottom"/>
            <w:tcBorders>
              <w:top w:val="single" w:sz="8" w:color="7C7C7C"/>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$265,000</w:t>
            </w:r>
          </w:p>
        </w:tc>
      </w:tr>
      <w:tr>
        <w:trPr>
          <w:trHeight w:val="237"/>
        </w:trPr>
        <w:tc>
          <w:tcPr>
            <w:tcW w:w="5960" w:type="dxa"/>
            <w:vAlign w:val="bottom"/>
            <w:gridSpan w:val="2"/>
          </w:tcPr>
          <w:p>
            <w:pPr>
              <w:ind w:left="80"/>
              <w:spacing w:after="0"/>
              <w:rPr>
                <w:sz w:val="20"/>
                <w:szCs w:val="20"/>
                <w:color w:val="auto"/>
              </w:rPr>
            </w:pPr>
            <w:r>
              <w:rPr>
                <w:rFonts w:ascii="Arial" w:cs="Arial" w:eastAsia="Arial" w:hAnsi="Arial"/>
                <w:sz w:val="14"/>
                <w:szCs w:val="14"/>
                <w:color w:val="auto"/>
              </w:rPr>
              <w:t>Fredric G. Reynolds</w:t>
            </w:r>
          </w:p>
        </w:tc>
        <w:tc>
          <w:tcPr>
            <w:tcW w:w="1480" w:type="dxa"/>
            <w:vAlign w:val="bottom"/>
            <w:gridSpan w:val="2"/>
          </w:tcPr>
          <w:p>
            <w:pPr>
              <w:jc w:val="right"/>
              <w:ind w:right="100"/>
              <w:spacing w:after="0"/>
              <w:rPr>
                <w:sz w:val="20"/>
                <w:szCs w:val="20"/>
                <w:color w:val="auto"/>
              </w:rPr>
            </w:pPr>
            <w:r>
              <w:rPr>
                <w:rFonts w:ascii="Arial" w:cs="Arial" w:eastAsia="Arial" w:hAnsi="Arial"/>
                <w:sz w:val="14"/>
                <w:szCs w:val="14"/>
                <w:color w:val="auto"/>
              </w:rPr>
              <w:t>$136,000</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$204,000</w:t>
            </w:r>
          </w:p>
        </w:tc>
        <w:tc>
          <w:tcPr>
            <w:tcW w:w="140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0"/>
                <w:szCs w:val="20"/>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$341,236</w:t>
            </w:r>
          </w:p>
        </w:tc>
      </w:tr>
      <w:tr>
        <w:trPr>
          <w:trHeight w:val="23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Brian C. Rogers</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$325,000</w:t>
            </w:r>
          </w:p>
        </w:tc>
        <w:tc>
          <w:tcPr>
            <w:tcW w:w="1400" w:type="dxa"/>
            <w:vAlign w:val="bottom"/>
            <w:tcBorders>
              <w:top w:val="single" w:sz="8" w:color="7C7C7C"/>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top w:val="single" w:sz="8" w:color="7C7C7C"/>
            </w:tcBorders>
          </w:tcPr>
          <w:p>
            <w:pPr>
              <w:spacing w:after="0"/>
              <w:rPr>
                <w:sz w:val="20"/>
                <w:szCs w:val="20"/>
                <w:color w:val="auto"/>
              </w:rPr>
            </w:pP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$326,236</w:t>
            </w:r>
          </w:p>
        </w:tc>
      </w:tr>
      <w:tr>
        <w:trPr>
          <w:trHeight w:val="217"/>
        </w:trPr>
        <w:tc>
          <w:tcPr>
            <w:tcW w:w="596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color w:val="auto"/>
              </w:rPr>
              <w:t>Christine T. Whitman</w:t>
            </w:r>
          </w:p>
        </w:tc>
        <w:tc>
          <w:tcPr>
            <w:tcW w:w="148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$120,000</w:t>
            </w:r>
          </w:p>
        </w:tc>
        <w:tc>
          <w:tcPr>
            <w:tcW w:w="132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$180,000</w:t>
            </w:r>
          </w:p>
        </w:tc>
        <w:tc>
          <w:tcPr>
            <w:tcW w:w="1500" w:type="dxa"/>
            <w:vAlign w:val="bottom"/>
            <w:tcBorders>
              <w:top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$857</w:t>
            </w:r>
          </w:p>
        </w:tc>
        <w:tc>
          <w:tcPr>
            <w:tcW w:w="116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$300,857</w:t>
            </w:r>
          </w:p>
        </w:tc>
      </w:tr>
      <w:tr>
        <w:trPr>
          <w:trHeight w:val="20"/>
        </w:trPr>
        <w:tc>
          <w:tcPr>
            <w:tcW w:w="5840" w:type="dxa"/>
            <w:vAlign w:val="bottom"/>
            <w:shd w:val="clear" w:color="auto" w:fill="7C7C7C"/>
          </w:tcPr>
          <w:p>
            <w:pPr>
              <w:spacing w:after="0" w:line="20" w:lineRule="exact"/>
              <w:rPr>
                <w:sz w:val="1"/>
                <w:szCs w:val="1"/>
                <w:color w:val="auto"/>
              </w:rPr>
            </w:pPr>
          </w:p>
        </w:tc>
        <w:tc>
          <w:tcPr>
            <w:tcW w:w="120" w:type="dxa"/>
            <w:vAlign w:val="bottom"/>
            <w:shd w:val="clear" w:color="auto" w:fill="7C7C7C"/>
          </w:tcPr>
          <w:p>
            <w:pPr>
              <w:spacing w:after="0" w:line="20" w:lineRule="exact"/>
              <w:rPr>
                <w:sz w:val="1"/>
                <w:szCs w:val="1"/>
                <w:color w:val="auto"/>
              </w:rPr>
            </w:pPr>
          </w:p>
        </w:tc>
        <w:tc>
          <w:tcPr>
            <w:tcW w:w="138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122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140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1160" w:type="dxa"/>
            <w:vAlign w:val="bottom"/>
            <w:shd w:val="clear" w:color="auto" w:fill="7C7C7C"/>
          </w:tcPr>
          <w:p>
            <w:pPr>
              <w:spacing w:after="0" w:line="20" w:lineRule="exact"/>
              <w:rPr>
                <w:sz w:val="1"/>
                <w:szCs w:val="1"/>
                <w:color w:val="auto"/>
              </w:rPr>
            </w:pPr>
          </w:p>
        </w:tc>
      </w:tr>
    </w:tbl>
    <w:p>
      <w:pPr>
        <w:spacing w:after="0" w:line="242" w:lineRule="exact"/>
        <w:rPr>
          <w:sz w:val="20"/>
          <w:szCs w:val="20"/>
          <w:color w:val="auto"/>
        </w:rPr>
      </w:pPr>
    </w:p>
    <w:p>
      <w:pPr>
        <w:ind w:left="220" w:right="20" w:hanging="212"/>
        <w:spacing w:after="0" w:line="264" w:lineRule="auto"/>
        <w:tabs>
          <w:tab w:leader="none" w:pos="2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Stock Awards consist of the grant date fair value of DSU and RSU awards credited to the director’s account, including any portion of the annual cash retainer that the director elected to receive as DSUs. The value of DSU and RSU awards has been calculated in accordance with the Compensation — Stock Compensation Topic of the FASB ASC using assumptions described in Note 12: Employee Benefit Plans, to the Consolidated Financial Statements in Exhibit 13 to UTC’s 2018 Annual Report on Form 10-K. The number of units credited to each director in 2018 was calculated by dividing the value of the award by $120.15, the NYSE closing price per share of UTC Common Stock on April 30, 2018, which was the date of the 2018 Annual Meeting. For directors who joined the Board following the Annual Meeting, the number of DSUs and RSUs was based on the NYSE closing price of UTC Common Stock effective on the date of his or her appointment. Since DSU awards vest on the grant date, but are not distributed until the director leaves the Board, the only unvested units as of December 31, 2018 are the following unvested portions of the new director RSU awards: L. Austin III, 562 units; D. Bryant, 541 units; C. Kearney, 837 units; M. O’Sullivan, 666 units; D. Ramos, 837 units; F. Reynolds, 419 units; and B. Rogers, 419 units. The aggregate number of shares underlying awards outstanding for each director can be found in the table on page 30.</w:t>
      </w:r>
    </w:p>
    <w:p>
      <w:pPr>
        <w:spacing w:after="0" w:line="41" w:lineRule="exact"/>
        <w:rPr>
          <w:rFonts w:ascii="Arial" w:cs="Arial" w:eastAsia="Arial" w:hAnsi="Arial"/>
          <w:sz w:val="12"/>
          <w:szCs w:val="12"/>
          <w:color w:val="auto"/>
        </w:rPr>
      </w:pPr>
    </w:p>
    <w:p>
      <w:pPr>
        <w:ind w:left="220" w:right="100" w:hanging="212"/>
        <w:spacing w:after="0" w:line="231" w:lineRule="auto"/>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Amounts in this column include incidental benefits and matching contributions made to eligible universities, colleges and certain other eligible nonprofit organizations under the Company’s matching gift program that covers non-employee directors as well as company employees.</w:t>
      </w:r>
    </w:p>
    <w:p>
      <w:pPr>
        <w:spacing w:after="0" w:line="54" w:lineRule="exact"/>
        <w:rPr>
          <w:rFonts w:ascii="Arial" w:cs="Arial" w:eastAsia="Arial" w:hAnsi="Arial"/>
          <w:sz w:val="14"/>
          <w:szCs w:val="14"/>
          <w:color w:val="auto"/>
        </w:rPr>
      </w:pPr>
    </w:p>
    <w:p>
      <w:pPr>
        <w:ind w:left="220" w:right="360" w:hanging="212"/>
        <w:spacing w:after="0" w:line="231" w:lineRule="auto"/>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Kearney and Ms. Ramos were elected to the Board effective December 10, 2018. In accordance with the Board’s annual retainer policy, they received 50% of the total value of the annual retainer for their Board service from the date of election until the date of the 2019 Annual Meeting. They also received the new director RSU award in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29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SHARE</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Ownership</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Share Ownership Requirements</w:t>
      </w:r>
    </w:p>
    <w:p>
      <w:pPr>
        <w:spacing w:after="0" w:line="2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rigorous share ownership requirements detailed below promote and strengthen the alignment of our non-employee directors and Management with the interests of our shareowners.</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58"/>
        </w:trPr>
        <w:tc>
          <w:tcPr>
            <w:tcW w:w="2900" w:type="dxa"/>
            <w:vAlign w:val="bottom"/>
            <w:vMerge w:val="restart"/>
          </w:tcPr>
          <w:p>
            <w:pPr>
              <w:spacing w:after="0"/>
              <w:rPr>
                <w:sz w:val="20"/>
                <w:szCs w:val="20"/>
                <w:color w:val="auto"/>
              </w:rPr>
            </w:pPr>
            <w:r>
              <w:rPr>
                <w:rFonts w:ascii="Arial" w:cs="Arial" w:eastAsia="Arial" w:hAnsi="Arial"/>
                <w:sz w:val="45"/>
                <w:szCs w:val="45"/>
                <w:b w:val="1"/>
                <w:bCs w:val="1"/>
                <w:color w:val="FDB03F"/>
              </w:rPr>
              <w:t>6</w:t>
            </w:r>
            <w:r>
              <w:rPr>
                <w:rFonts w:ascii="Arial" w:cs="Arial" w:eastAsia="Arial" w:hAnsi="Arial"/>
                <w:sz w:val="30"/>
                <w:szCs w:val="30"/>
                <w:b w:val="1"/>
                <w:bCs w:val="1"/>
                <w:color w:val="FDB03F"/>
              </w:rPr>
              <w:t>X</w:t>
            </w:r>
          </w:p>
        </w:tc>
        <w:tc>
          <w:tcPr>
            <w:tcW w:w="20" w:type="dxa"/>
            <w:vAlign w:val="bottom"/>
          </w:tcPr>
          <w:p>
            <w:pPr>
              <w:spacing w:after="0"/>
              <w:rPr>
                <w:sz w:val="5"/>
                <w:szCs w:val="5"/>
                <w:color w:val="auto"/>
              </w:rPr>
            </w:pPr>
          </w:p>
        </w:tc>
        <w:tc>
          <w:tcPr>
            <w:tcW w:w="2880" w:type="dxa"/>
            <w:vAlign w:val="bottom"/>
            <w:vMerge w:val="restart"/>
          </w:tcPr>
          <w:p>
            <w:pPr>
              <w:ind w:left="80"/>
              <w:spacing w:after="0"/>
              <w:rPr>
                <w:sz w:val="20"/>
                <w:szCs w:val="20"/>
                <w:color w:val="auto"/>
              </w:rPr>
            </w:pPr>
            <w:r>
              <w:rPr>
                <w:rFonts w:ascii="Arial" w:cs="Arial" w:eastAsia="Arial" w:hAnsi="Arial"/>
                <w:sz w:val="45"/>
                <w:szCs w:val="45"/>
                <w:b w:val="1"/>
                <w:bCs w:val="1"/>
                <w:color w:val="FDB03F"/>
              </w:rPr>
              <w:t>5</w:t>
            </w:r>
            <w:r>
              <w:rPr>
                <w:rFonts w:ascii="Arial" w:cs="Arial" w:eastAsia="Arial" w:hAnsi="Arial"/>
                <w:sz w:val="30"/>
                <w:szCs w:val="30"/>
                <w:b w:val="1"/>
                <w:bCs w:val="1"/>
                <w:color w:val="FDB03F"/>
              </w:rPr>
              <w:t>X</w:t>
            </w:r>
          </w:p>
        </w:tc>
        <w:tc>
          <w:tcPr>
            <w:tcW w:w="20" w:type="dxa"/>
            <w:vAlign w:val="bottom"/>
          </w:tcPr>
          <w:p>
            <w:pPr>
              <w:spacing w:after="0"/>
              <w:rPr>
                <w:sz w:val="5"/>
                <w:szCs w:val="5"/>
                <w:color w:val="auto"/>
              </w:rPr>
            </w:pPr>
          </w:p>
        </w:tc>
        <w:tc>
          <w:tcPr>
            <w:tcW w:w="2880" w:type="dxa"/>
            <w:vAlign w:val="bottom"/>
            <w:vMerge w:val="restart"/>
          </w:tcPr>
          <w:p>
            <w:pPr>
              <w:ind w:left="80"/>
              <w:spacing w:after="0"/>
              <w:rPr>
                <w:sz w:val="20"/>
                <w:szCs w:val="20"/>
                <w:color w:val="auto"/>
              </w:rPr>
            </w:pPr>
            <w:r>
              <w:rPr>
                <w:rFonts w:ascii="Arial" w:cs="Arial" w:eastAsia="Arial" w:hAnsi="Arial"/>
                <w:sz w:val="45"/>
                <w:szCs w:val="45"/>
                <w:b w:val="1"/>
                <w:bCs w:val="1"/>
                <w:color w:val="FDB03F"/>
              </w:rPr>
              <w:t>4</w:t>
            </w:r>
            <w:r>
              <w:rPr>
                <w:rFonts w:ascii="Arial" w:cs="Arial" w:eastAsia="Arial" w:hAnsi="Arial"/>
                <w:sz w:val="30"/>
                <w:szCs w:val="30"/>
                <w:b w:val="1"/>
                <w:bCs w:val="1"/>
                <w:color w:val="FDB03F"/>
              </w:rPr>
              <w:t>X</w:t>
            </w:r>
          </w:p>
        </w:tc>
        <w:tc>
          <w:tcPr>
            <w:tcW w:w="20" w:type="dxa"/>
            <w:vAlign w:val="bottom"/>
          </w:tcPr>
          <w:p>
            <w:pPr>
              <w:spacing w:after="0"/>
              <w:rPr>
                <w:sz w:val="5"/>
                <w:szCs w:val="5"/>
                <w:color w:val="auto"/>
              </w:rPr>
            </w:pPr>
          </w:p>
        </w:tc>
        <w:tc>
          <w:tcPr>
            <w:tcW w:w="2080" w:type="dxa"/>
            <w:vAlign w:val="bottom"/>
            <w:vMerge w:val="restart"/>
          </w:tcPr>
          <w:p>
            <w:pPr>
              <w:ind w:left="60"/>
              <w:spacing w:after="0"/>
              <w:rPr>
                <w:sz w:val="20"/>
                <w:szCs w:val="20"/>
                <w:color w:val="auto"/>
              </w:rPr>
            </w:pPr>
            <w:r>
              <w:rPr>
                <w:rFonts w:ascii="Arial" w:cs="Arial" w:eastAsia="Arial" w:hAnsi="Arial"/>
                <w:sz w:val="45"/>
                <w:szCs w:val="45"/>
                <w:b w:val="1"/>
                <w:bCs w:val="1"/>
                <w:color w:val="FDB03F"/>
              </w:rPr>
              <w:t>3</w:t>
            </w:r>
            <w:r>
              <w:rPr>
                <w:rFonts w:ascii="Arial" w:cs="Arial" w:eastAsia="Arial" w:hAnsi="Arial"/>
                <w:sz w:val="30"/>
                <w:szCs w:val="30"/>
                <w:b w:val="1"/>
                <w:bCs w:val="1"/>
                <w:color w:val="FDB03F"/>
              </w:rPr>
              <w:t>X</w:t>
            </w:r>
          </w:p>
        </w:tc>
        <w:tc>
          <w:tcPr>
            <w:tcW w:w="0" w:type="dxa"/>
            <w:vAlign w:val="bottom"/>
          </w:tcPr>
          <w:p>
            <w:pPr>
              <w:spacing w:after="0"/>
              <w:rPr>
                <w:sz w:val="1"/>
                <w:szCs w:val="1"/>
                <w:color w:val="auto"/>
              </w:rPr>
            </w:pPr>
          </w:p>
        </w:tc>
      </w:tr>
      <w:tr>
        <w:trPr>
          <w:trHeight w:val="516"/>
        </w:trPr>
        <w:tc>
          <w:tcPr>
            <w:tcW w:w="290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base salary for the Chairman &amp;</w:t>
            </w:r>
          </w:p>
        </w:tc>
        <w:tc>
          <w:tcPr>
            <w:tcW w:w="20" w:type="dxa"/>
            <w:vAlign w:val="bottom"/>
            <w:shd w:val="clear" w:color="auto" w:fill="FDB03F"/>
          </w:tcPr>
          <w:p>
            <w:pPr>
              <w:spacing w:after="0"/>
              <w:rPr>
                <w:sz w:val="17"/>
                <w:szCs w:val="17"/>
                <w:color w:val="auto"/>
              </w:rPr>
            </w:pPr>
          </w:p>
        </w:tc>
        <w:tc>
          <w:tcPr>
            <w:tcW w:w="2880" w:type="dxa"/>
            <w:vAlign w:val="bottom"/>
          </w:tcPr>
          <w:p>
            <w:pPr>
              <w:ind w:left="80"/>
              <w:spacing w:after="0" w:line="202" w:lineRule="exact"/>
              <w:rPr>
                <w:sz w:val="20"/>
                <w:szCs w:val="20"/>
                <w:color w:val="auto"/>
              </w:rPr>
            </w:pPr>
            <w:r>
              <w:rPr>
                <w:rFonts w:ascii="Arial" w:cs="Arial" w:eastAsia="Arial" w:hAnsi="Arial"/>
                <w:sz w:val="18"/>
                <w:szCs w:val="18"/>
                <w:color w:val="auto"/>
              </w:rPr>
              <w:t>annual base cash retainer for</w:t>
            </w:r>
          </w:p>
        </w:tc>
        <w:tc>
          <w:tcPr>
            <w:tcW w:w="20" w:type="dxa"/>
            <w:vAlign w:val="bottom"/>
            <w:shd w:val="clear" w:color="auto" w:fill="FDB03F"/>
          </w:tcPr>
          <w:p>
            <w:pPr>
              <w:spacing w:after="0"/>
              <w:rPr>
                <w:sz w:val="17"/>
                <w:szCs w:val="17"/>
                <w:color w:val="auto"/>
              </w:rPr>
            </w:pPr>
          </w:p>
        </w:tc>
        <w:tc>
          <w:tcPr>
            <w:tcW w:w="2880" w:type="dxa"/>
            <w:vAlign w:val="bottom"/>
          </w:tcPr>
          <w:p>
            <w:pPr>
              <w:ind w:left="80"/>
              <w:spacing w:after="0" w:line="202" w:lineRule="exact"/>
              <w:rPr>
                <w:sz w:val="20"/>
                <w:szCs w:val="20"/>
                <w:color w:val="auto"/>
              </w:rPr>
            </w:pPr>
            <w:r>
              <w:rPr>
                <w:rFonts w:ascii="Arial" w:cs="Arial" w:eastAsia="Arial" w:hAnsi="Arial"/>
                <w:sz w:val="18"/>
                <w:szCs w:val="18"/>
                <w:color w:val="auto"/>
              </w:rPr>
              <w:t>base salary for the CFO and</w:t>
            </w:r>
          </w:p>
        </w:tc>
        <w:tc>
          <w:tcPr>
            <w:tcW w:w="20" w:type="dxa"/>
            <w:vAlign w:val="bottom"/>
            <w:shd w:val="clear" w:color="auto" w:fill="FDB03F"/>
          </w:tcPr>
          <w:p>
            <w:pPr>
              <w:spacing w:after="0"/>
              <w:rPr>
                <w:sz w:val="17"/>
                <w:szCs w:val="17"/>
                <w:color w:val="auto"/>
              </w:rPr>
            </w:pPr>
          </w:p>
        </w:tc>
        <w:tc>
          <w:tcPr>
            <w:tcW w:w="2080" w:type="dxa"/>
            <w:vAlign w:val="bottom"/>
          </w:tcPr>
          <w:p>
            <w:pPr>
              <w:ind w:left="60"/>
              <w:spacing w:after="0" w:line="202" w:lineRule="exact"/>
              <w:rPr>
                <w:sz w:val="20"/>
                <w:szCs w:val="20"/>
                <w:color w:val="auto"/>
              </w:rPr>
            </w:pPr>
            <w:r>
              <w:rPr>
                <w:rFonts w:ascii="Arial" w:cs="Arial" w:eastAsia="Arial" w:hAnsi="Arial"/>
                <w:sz w:val="18"/>
                <w:szCs w:val="18"/>
                <w:color w:val="auto"/>
                <w:w w:val="97"/>
              </w:rPr>
              <w:t>base salary for other ELG</w:t>
            </w:r>
          </w:p>
        </w:tc>
        <w:tc>
          <w:tcPr>
            <w:tcW w:w="0" w:type="dxa"/>
            <w:vAlign w:val="bottom"/>
          </w:tcPr>
          <w:p>
            <w:pPr>
              <w:spacing w:after="0"/>
              <w:rPr>
                <w:sz w:val="1"/>
                <w:szCs w:val="1"/>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CEO</w:t>
            </w:r>
          </w:p>
        </w:tc>
        <w:tc>
          <w:tcPr>
            <w:tcW w:w="20" w:type="dxa"/>
            <w:vAlign w:val="bottom"/>
            <w:shd w:val="clear" w:color="auto" w:fill="FDB03F"/>
          </w:tcPr>
          <w:p>
            <w:pPr>
              <w:spacing w:after="0"/>
              <w:rPr>
                <w:sz w:val="17"/>
                <w:szCs w:val="17"/>
                <w:color w:val="auto"/>
              </w:rPr>
            </w:pPr>
          </w:p>
        </w:tc>
        <w:tc>
          <w:tcPr>
            <w:tcW w:w="2880" w:type="dxa"/>
            <w:vAlign w:val="bottom"/>
          </w:tcPr>
          <w:p>
            <w:pPr>
              <w:ind w:left="80"/>
              <w:spacing w:after="0" w:line="202" w:lineRule="exact"/>
              <w:rPr>
                <w:sz w:val="20"/>
                <w:szCs w:val="20"/>
                <w:color w:val="auto"/>
              </w:rPr>
            </w:pPr>
            <w:r>
              <w:rPr>
                <w:rFonts w:ascii="Arial" w:cs="Arial" w:eastAsia="Arial" w:hAnsi="Arial"/>
                <w:sz w:val="18"/>
                <w:szCs w:val="18"/>
                <w:color w:val="auto"/>
              </w:rPr>
              <w:t>independent directors</w:t>
            </w:r>
          </w:p>
        </w:tc>
        <w:tc>
          <w:tcPr>
            <w:tcW w:w="20" w:type="dxa"/>
            <w:vAlign w:val="bottom"/>
            <w:shd w:val="clear" w:color="auto" w:fill="FDB03F"/>
          </w:tcPr>
          <w:p>
            <w:pPr>
              <w:spacing w:after="0"/>
              <w:rPr>
                <w:sz w:val="17"/>
                <w:szCs w:val="17"/>
                <w:color w:val="auto"/>
              </w:rPr>
            </w:pPr>
          </w:p>
        </w:tc>
        <w:tc>
          <w:tcPr>
            <w:tcW w:w="2880" w:type="dxa"/>
            <w:vAlign w:val="bottom"/>
          </w:tcPr>
          <w:p>
            <w:pPr>
              <w:ind w:left="80"/>
              <w:spacing w:after="0" w:line="202" w:lineRule="exact"/>
              <w:rPr>
                <w:sz w:val="20"/>
                <w:szCs w:val="20"/>
                <w:color w:val="auto"/>
              </w:rPr>
            </w:pPr>
            <w:r>
              <w:rPr>
                <w:rFonts w:ascii="Arial" w:cs="Arial" w:eastAsia="Arial" w:hAnsi="Arial"/>
                <w:sz w:val="18"/>
                <w:szCs w:val="18"/>
                <w:color w:val="auto"/>
              </w:rPr>
              <w:t>business unit CEO and</w:t>
            </w:r>
          </w:p>
        </w:tc>
        <w:tc>
          <w:tcPr>
            <w:tcW w:w="20" w:type="dxa"/>
            <w:vAlign w:val="bottom"/>
            <w:shd w:val="clear" w:color="auto" w:fill="FDB03F"/>
          </w:tcPr>
          <w:p>
            <w:pPr>
              <w:spacing w:after="0"/>
              <w:rPr>
                <w:sz w:val="17"/>
                <w:szCs w:val="17"/>
                <w:color w:val="auto"/>
              </w:rPr>
            </w:pPr>
          </w:p>
        </w:tc>
        <w:tc>
          <w:tcPr>
            <w:tcW w:w="2080" w:type="dxa"/>
            <w:vAlign w:val="bottom"/>
          </w:tcPr>
          <w:p>
            <w:pPr>
              <w:ind w:left="60"/>
              <w:spacing w:after="0" w:line="202" w:lineRule="exact"/>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0" w:type="dxa"/>
            <w:vAlign w:val="bottom"/>
            <w:shd w:val="clear" w:color="auto" w:fill="FDB03F"/>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shd w:val="clear" w:color="auto" w:fill="FDB03F"/>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presidents</w:t>
            </w:r>
          </w:p>
        </w:tc>
        <w:tc>
          <w:tcPr>
            <w:tcW w:w="20" w:type="dxa"/>
            <w:vAlign w:val="bottom"/>
            <w:shd w:val="clear" w:color="auto" w:fill="FDB03F"/>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900" w:type="dxa"/>
            <w:vAlign w:val="bottom"/>
          </w:tcPr>
          <w:p>
            <w:pPr>
              <w:spacing w:after="0"/>
              <w:rPr>
                <w:sz w:val="4"/>
                <w:szCs w:val="4"/>
                <w:color w:val="auto"/>
              </w:rPr>
            </w:pPr>
          </w:p>
        </w:tc>
        <w:tc>
          <w:tcPr>
            <w:tcW w:w="20" w:type="dxa"/>
            <w:vAlign w:val="bottom"/>
            <w:shd w:val="clear" w:color="auto" w:fill="FDB03F"/>
          </w:tcPr>
          <w:p>
            <w:pPr>
              <w:spacing w:after="0"/>
              <w:rPr>
                <w:sz w:val="4"/>
                <w:szCs w:val="4"/>
                <w:color w:val="auto"/>
              </w:rPr>
            </w:pPr>
          </w:p>
        </w:tc>
        <w:tc>
          <w:tcPr>
            <w:tcW w:w="2880" w:type="dxa"/>
            <w:vAlign w:val="bottom"/>
          </w:tcPr>
          <w:p>
            <w:pPr>
              <w:spacing w:after="0"/>
              <w:rPr>
                <w:sz w:val="4"/>
                <w:szCs w:val="4"/>
                <w:color w:val="auto"/>
              </w:rPr>
            </w:pPr>
          </w:p>
        </w:tc>
        <w:tc>
          <w:tcPr>
            <w:tcW w:w="20" w:type="dxa"/>
            <w:vAlign w:val="bottom"/>
            <w:shd w:val="clear" w:color="auto" w:fill="FDB03F"/>
          </w:tcPr>
          <w:p>
            <w:pPr>
              <w:spacing w:after="0"/>
              <w:rPr>
                <w:sz w:val="4"/>
                <w:szCs w:val="4"/>
                <w:color w:val="auto"/>
              </w:rPr>
            </w:pPr>
          </w:p>
        </w:tc>
        <w:tc>
          <w:tcPr>
            <w:tcW w:w="2880" w:type="dxa"/>
            <w:vAlign w:val="bottom"/>
          </w:tcPr>
          <w:p>
            <w:pPr>
              <w:spacing w:after="0"/>
              <w:rPr>
                <w:sz w:val="4"/>
                <w:szCs w:val="4"/>
                <w:color w:val="auto"/>
              </w:rPr>
            </w:pPr>
          </w:p>
        </w:tc>
        <w:tc>
          <w:tcPr>
            <w:tcW w:w="20" w:type="dxa"/>
            <w:vAlign w:val="bottom"/>
            <w:shd w:val="clear" w:color="auto" w:fill="FDB03F"/>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8890" cy="7543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754380"/>
                    </a:xfrm>
                    <a:prstGeom prst="rect">
                      <a:avLst/>
                    </a:prstGeom>
                    <a:noFill/>
                  </pic:spPr>
                </pic:pic>
              </a:graphicData>
            </a:graphic>
          </wp:anchor>
        </w:drawing>
      </w:r>
    </w:p>
    <w:p>
      <w:pPr>
        <w:spacing w:after="0" w:line="1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Non-employee directors must achieve their required ownership level within five years of joining the Board and ELG members (including the NEOs) must achieve theirs within five years of appointment to the ELG. If ownership requirements are not met after this five-year period, the individual is not permitted to sell UTC shares until achieving the required level. All directors and ELG members currently comply with their respective ownership requirements or are on track to meet them within the five-year period.</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Beneficial Share Ownership of Directors and Executive Officers</w:t>
      </w:r>
    </w:p>
    <w:p>
      <w:pPr>
        <w:spacing w:after="0" w:line="2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following table shows information as of February 18, 2019, regarding the beneficial ownership of UTC Common Stock by: (i) each director and nominee; (ii) each NEO; (iii) and the directors and executive officers as a group. None of these individuals or the group as a whole beneficially owned more than 1% of UTC Common Stock as of that date. Unless otherwise noted, each person named in the table has sole voting power and sole investment power.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E93D8"/>
              </w:rPr>
              <w:t>RSUs Convertible</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E93D8"/>
              </w:rPr>
              <w:t>DSUs Convertible</w:t>
            </w: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0E93D8"/>
              </w:rPr>
              <w:t>Total Shares</w:t>
            </w:r>
          </w:p>
        </w:tc>
      </w:tr>
      <w:tr>
        <w:trPr>
          <w:trHeight w:val="157"/>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0E93D8"/>
              </w:rPr>
              <w:t>SARs Exercisable</w:t>
            </w:r>
          </w:p>
        </w:tc>
        <w:tc>
          <w:tcPr>
            <w:tcW w:w="146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0E93D8"/>
              </w:rPr>
              <w:t>to Shares within</w:t>
            </w:r>
          </w:p>
        </w:tc>
        <w:tc>
          <w:tcPr>
            <w:tcW w:w="144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0E93D8"/>
              </w:rPr>
              <w:t>to Shares within</w:t>
            </w:r>
          </w:p>
        </w:tc>
        <w:tc>
          <w:tcPr>
            <w:tcW w:w="1400" w:type="dxa"/>
            <w:vAlign w:val="bottom"/>
          </w:tcPr>
          <w:p>
            <w:pPr>
              <w:jc w:val="right"/>
              <w:ind w:right="152"/>
              <w:spacing w:after="0" w:line="157" w:lineRule="exact"/>
              <w:rPr>
                <w:sz w:val="20"/>
                <w:szCs w:val="20"/>
                <w:color w:val="auto"/>
              </w:rPr>
            </w:pPr>
            <w:r>
              <w:rPr>
                <w:rFonts w:ascii="Arial" w:cs="Arial" w:eastAsia="Arial" w:hAnsi="Arial"/>
                <w:sz w:val="14"/>
                <w:szCs w:val="14"/>
                <w:b w:val="1"/>
                <w:bCs w:val="1"/>
                <w:color w:val="0E93D8"/>
              </w:rPr>
              <w:t>Beneficially</w:t>
            </w:r>
          </w:p>
        </w:tc>
      </w:tr>
      <w:tr>
        <w:trPr>
          <w:trHeight w:val="224"/>
        </w:trPr>
        <w:tc>
          <w:tcPr>
            <w:tcW w:w="5660" w:type="dxa"/>
            <w:vAlign w:val="bottom"/>
          </w:tcPr>
          <w:p>
            <w:pPr>
              <w:ind w:left="80"/>
              <w:spacing w:after="0"/>
              <w:rPr>
                <w:sz w:val="20"/>
                <w:szCs w:val="20"/>
                <w:color w:val="auto"/>
              </w:rPr>
            </w:pPr>
            <w:r>
              <w:rPr>
                <w:rFonts w:ascii="Arial" w:cs="Arial" w:eastAsia="Arial" w:hAnsi="Arial"/>
                <w:sz w:val="14"/>
                <w:szCs w:val="14"/>
                <w:b w:val="1"/>
                <w:bCs w:val="1"/>
                <w:color w:val="0E93D8"/>
              </w:rPr>
              <w:t>Directors and Executive Officers</w:t>
            </w:r>
          </w:p>
        </w:tc>
        <w:tc>
          <w:tcPr>
            <w:tcW w:w="100" w:type="dxa"/>
            <w:vAlign w:val="bottom"/>
          </w:tcPr>
          <w:p>
            <w:pPr>
              <w:spacing w:after="0"/>
              <w:rPr>
                <w:sz w:val="19"/>
                <w:szCs w:val="19"/>
                <w:color w:val="auto"/>
              </w:rPr>
            </w:pPr>
          </w:p>
        </w:tc>
        <w:tc>
          <w:tcPr>
            <w:tcW w:w="1260" w:type="dxa"/>
            <w:vAlign w:val="bottom"/>
          </w:tcPr>
          <w:p>
            <w:pPr>
              <w:jc w:val="right"/>
              <w:spacing w:after="0" w:line="224" w:lineRule="exact"/>
              <w:rPr>
                <w:sz w:val="20"/>
                <w:szCs w:val="20"/>
                <w:color w:val="auto"/>
              </w:rPr>
            </w:pPr>
            <w:r>
              <w:rPr>
                <w:rFonts w:ascii="Arial" w:cs="Arial" w:eastAsia="Arial" w:hAnsi="Arial"/>
                <w:sz w:val="14"/>
                <w:szCs w:val="14"/>
                <w:b w:val="1"/>
                <w:bCs w:val="1"/>
                <w:color w:val="0E93D8"/>
              </w:rPr>
              <w:t>within 60 days</w:t>
            </w:r>
            <w:r>
              <w:rPr>
                <w:rFonts w:ascii="Arial" w:cs="Arial" w:eastAsia="Arial" w:hAnsi="Arial"/>
                <w:sz w:val="22"/>
                <w:szCs w:val="22"/>
                <w:b w:val="1"/>
                <w:bCs w:val="1"/>
                <w:color w:val="0E93D8"/>
                <w:vertAlign w:val="superscript"/>
              </w:rPr>
              <w:t>(1)</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line="224" w:lineRule="exact"/>
              <w:rPr>
                <w:sz w:val="20"/>
                <w:szCs w:val="20"/>
                <w:color w:val="auto"/>
              </w:rPr>
            </w:pPr>
            <w:r>
              <w:rPr>
                <w:rFonts w:ascii="Arial" w:cs="Arial" w:eastAsia="Arial" w:hAnsi="Arial"/>
                <w:sz w:val="14"/>
                <w:szCs w:val="14"/>
                <w:b w:val="1"/>
                <w:bCs w:val="1"/>
                <w:color w:val="0E93D8"/>
              </w:rPr>
              <w:t>60 days</w:t>
            </w:r>
            <w:r>
              <w:rPr>
                <w:rFonts w:ascii="Arial" w:cs="Arial" w:eastAsia="Arial" w:hAnsi="Arial"/>
                <w:sz w:val="22"/>
                <w:szCs w:val="22"/>
                <w:b w:val="1"/>
                <w:bCs w:val="1"/>
                <w:color w:val="0E93D8"/>
                <w:vertAlign w:val="superscript"/>
              </w:rPr>
              <w:t>(2)</w:t>
            </w:r>
          </w:p>
        </w:tc>
        <w:tc>
          <w:tcPr>
            <w:tcW w:w="1440" w:type="dxa"/>
            <w:vAlign w:val="bottom"/>
            <w:gridSpan w:val="2"/>
          </w:tcPr>
          <w:p>
            <w:pPr>
              <w:jc w:val="right"/>
              <w:ind w:right="120"/>
              <w:spacing w:after="0" w:line="224" w:lineRule="exact"/>
              <w:rPr>
                <w:sz w:val="20"/>
                <w:szCs w:val="20"/>
                <w:color w:val="auto"/>
              </w:rPr>
            </w:pPr>
            <w:r>
              <w:rPr>
                <w:rFonts w:ascii="Arial" w:cs="Arial" w:eastAsia="Arial" w:hAnsi="Arial"/>
                <w:sz w:val="14"/>
                <w:szCs w:val="14"/>
                <w:b w:val="1"/>
                <w:bCs w:val="1"/>
                <w:color w:val="0E93D8"/>
              </w:rPr>
              <w:t>60 days</w:t>
            </w:r>
            <w:r>
              <w:rPr>
                <w:rFonts w:ascii="Arial" w:cs="Arial" w:eastAsia="Arial" w:hAnsi="Arial"/>
                <w:sz w:val="22"/>
                <w:szCs w:val="22"/>
                <w:b w:val="1"/>
                <w:bCs w:val="1"/>
                <w:color w:val="0E93D8"/>
                <w:vertAlign w:val="superscript"/>
              </w:rPr>
              <w:t>(3)</w:t>
            </w:r>
          </w:p>
        </w:tc>
        <w:tc>
          <w:tcPr>
            <w:tcW w:w="1400" w:type="dxa"/>
            <w:vAlign w:val="bottom"/>
          </w:tcPr>
          <w:p>
            <w:pPr>
              <w:jc w:val="right"/>
              <w:ind w:right="152"/>
              <w:spacing w:after="0" w:line="224" w:lineRule="exact"/>
              <w:rPr>
                <w:sz w:val="20"/>
                <w:szCs w:val="20"/>
                <w:color w:val="auto"/>
              </w:rPr>
            </w:pPr>
            <w:r>
              <w:rPr>
                <w:rFonts w:ascii="Arial" w:cs="Arial" w:eastAsia="Arial" w:hAnsi="Arial"/>
                <w:sz w:val="14"/>
                <w:szCs w:val="14"/>
                <w:b w:val="1"/>
                <w:bCs w:val="1"/>
                <w:color w:val="0E93D8"/>
              </w:rPr>
              <w:t>Owned</w:t>
            </w:r>
            <w:r>
              <w:rPr>
                <w:rFonts w:ascii="Arial" w:cs="Arial" w:eastAsia="Arial" w:hAnsi="Arial"/>
                <w:sz w:val="22"/>
                <w:szCs w:val="22"/>
                <w:b w:val="1"/>
                <w:bCs w:val="1"/>
                <w:color w:val="0E93D8"/>
                <w:vertAlign w:val="superscript"/>
              </w:rPr>
              <w:t>(4)</w:t>
            </w:r>
          </w:p>
        </w:tc>
      </w:tr>
      <w:tr>
        <w:trPr>
          <w:trHeight w:val="54"/>
        </w:trPr>
        <w:tc>
          <w:tcPr>
            <w:tcW w:w="5660" w:type="dxa"/>
            <w:vAlign w:val="bottom"/>
            <w:shd w:val="clear" w:color="auto" w:fill="DAE9F7"/>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shd w:val="clear" w:color="auto" w:fill="DAE9F7"/>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shd w:val="clear" w:color="auto" w:fill="DAE9F7"/>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shd w:val="clear" w:color="auto" w:fill="DAE9F7"/>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shd w:val="clear" w:color="auto" w:fill="0D92D8"/>
          </w:tcPr>
          <w:p>
            <w:pPr>
              <w:spacing w:after="0"/>
              <w:rPr>
                <w:sz w:val="4"/>
                <w:szCs w:val="4"/>
                <w:color w:val="auto"/>
              </w:rPr>
            </w:pPr>
          </w:p>
        </w:tc>
      </w:tr>
      <w:tr>
        <w:trPr>
          <w:trHeight w:val="202"/>
        </w:trPr>
        <w:tc>
          <w:tcPr>
            <w:tcW w:w="5660" w:type="dxa"/>
            <w:vAlign w:val="bottom"/>
          </w:tcPr>
          <w:p>
            <w:pPr>
              <w:ind w:left="80"/>
              <w:spacing w:after="0"/>
              <w:rPr>
                <w:sz w:val="20"/>
                <w:szCs w:val="20"/>
                <w:color w:val="auto"/>
              </w:rPr>
            </w:pPr>
            <w:r>
              <w:rPr>
                <w:rFonts w:ascii="Arial" w:cs="Arial" w:eastAsia="Arial" w:hAnsi="Arial"/>
                <w:sz w:val="14"/>
                <w:szCs w:val="14"/>
                <w:color w:val="auto"/>
              </w:rPr>
              <w:t>L. Austin III</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424</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5,104</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5,528</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D. Bryant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403</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7,208</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7,611</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J. Faraci</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2,352</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51,025</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53,377</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J. Garnier</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86,549</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104,659</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264"/>
        </w:trPr>
        <w:tc>
          <w:tcPr>
            <w:tcW w:w="576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D. Gitlin</w:t>
            </w:r>
          </w:p>
        </w:tc>
        <w:tc>
          <w:tcPr>
            <w:tcW w:w="12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25,488</w:t>
            </w:r>
          </w:p>
        </w:tc>
        <w:tc>
          <w:tcPr>
            <w:tcW w:w="100" w:type="dxa"/>
            <w:vAlign w:val="bottom"/>
            <w:tcBorders>
              <w:bottom w:val="single" w:sz="8" w:color="7C7C7C"/>
            </w:tcBorders>
          </w:tcPr>
          <w:p>
            <w:pPr>
              <w:spacing w:after="0"/>
              <w:rPr>
                <w:sz w:val="22"/>
                <w:szCs w:val="22"/>
                <w:color w:val="auto"/>
              </w:rPr>
            </w:pPr>
          </w:p>
        </w:tc>
        <w:tc>
          <w:tcPr>
            <w:tcW w:w="146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50,733</w:t>
            </w:r>
            <w:r>
              <w:rPr>
                <w:rFonts w:ascii="Arial" w:cs="Arial" w:eastAsia="Arial" w:hAnsi="Arial"/>
                <w:sz w:val="22"/>
                <w:szCs w:val="22"/>
                <w:color w:val="auto"/>
                <w:vertAlign w:val="superscript"/>
              </w:rPr>
              <w:t>(5)</w:t>
            </w:r>
          </w:p>
        </w:tc>
      </w:tr>
      <w:tr>
        <w:trPr>
          <w:trHeight w:val="264"/>
        </w:trPr>
        <w:tc>
          <w:tcPr>
            <w:tcW w:w="576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G. Hayes</w:t>
            </w:r>
          </w:p>
        </w:tc>
        <w:tc>
          <w:tcPr>
            <w:tcW w:w="12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112,690</w:t>
            </w:r>
          </w:p>
        </w:tc>
        <w:tc>
          <w:tcPr>
            <w:tcW w:w="100" w:type="dxa"/>
            <w:vAlign w:val="bottom"/>
            <w:tcBorders>
              <w:bottom w:val="single" w:sz="8" w:color="7C7C7C"/>
            </w:tcBorders>
          </w:tcPr>
          <w:p>
            <w:pPr>
              <w:spacing w:after="0"/>
              <w:rPr>
                <w:sz w:val="22"/>
                <w:szCs w:val="22"/>
                <w:color w:val="auto"/>
              </w:rPr>
            </w:pPr>
          </w:p>
        </w:tc>
        <w:tc>
          <w:tcPr>
            <w:tcW w:w="146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271,286</w:t>
            </w:r>
            <w:r>
              <w:rPr>
                <w:rFonts w:ascii="Arial" w:cs="Arial" w:eastAsia="Arial" w:hAnsi="Arial"/>
                <w:sz w:val="22"/>
                <w:szCs w:val="22"/>
                <w:color w:val="auto"/>
                <w:vertAlign w:val="superscript"/>
              </w:rPr>
              <w:t>(6)</w:t>
            </w: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A. Johri</w:t>
            </w:r>
          </w:p>
        </w:tc>
        <w:tc>
          <w:tcPr>
            <w:tcW w:w="1260" w:type="dxa"/>
            <w:vAlign w:val="bottom"/>
          </w:tcPr>
          <w:p>
            <w:pPr>
              <w:jc w:val="right"/>
              <w:spacing w:after="0"/>
              <w:rPr>
                <w:sz w:val="20"/>
                <w:szCs w:val="20"/>
                <w:color w:val="auto"/>
              </w:rPr>
            </w:pPr>
            <w:r>
              <w:rPr>
                <w:rFonts w:ascii="Arial" w:cs="Arial" w:eastAsia="Arial" w:hAnsi="Arial"/>
                <w:sz w:val="14"/>
                <w:szCs w:val="14"/>
                <w:color w:val="auto"/>
              </w:rPr>
              <w:t>26,108</w:t>
            </w:r>
          </w:p>
        </w:tc>
        <w:tc>
          <w:tcPr>
            <w:tcW w:w="1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65,643</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C. Kearney</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1,381</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3,123</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264"/>
        </w:trPr>
        <w:tc>
          <w:tcPr>
            <w:tcW w:w="576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E. Kullman</w:t>
            </w:r>
          </w:p>
        </w:tc>
        <w:tc>
          <w:tcPr>
            <w:tcW w:w="1360" w:type="dxa"/>
            <w:vAlign w:val="bottom"/>
            <w:tcBorders>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1,526</w:t>
            </w:r>
          </w:p>
        </w:tc>
        <w:tc>
          <w:tcPr>
            <w:tcW w:w="144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20,083</w:t>
            </w:r>
          </w:p>
        </w:tc>
        <w:tc>
          <w:tcPr>
            <w:tcW w:w="140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21,615</w:t>
            </w:r>
            <w:r>
              <w:rPr>
                <w:rFonts w:ascii="Arial" w:cs="Arial" w:eastAsia="Arial" w:hAnsi="Arial"/>
                <w:sz w:val="22"/>
                <w:szCs w:val="22"/>
                <w:color w:val="auto"/>
                <w:vertAlign w:val="superscript"/>
              </w:rPr>
              <w:t>(6)</w:t>
            </w:r>
          </w:p>
        </w:tc>
      </w:tr>
      <w:tr>
        <w:trPr>
          <w:trHeight w:val="264"/>
        </w:trPr>
        <w:tc>
          <w:tcPr>
            <w:tcW w:w="576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M. Larsen</w:t>
            </w:r>
          </w:p>
        </w:tc>
        <w:tc>
          <w:tcPr>
            <w:tcW w:w="1360" w:type="dxa"/>
            <w:vAlign w:val="bottom"/>
            <w:tcBorders>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1,465</w:t>
            </w:r>
          </w:p>
        </w:tc>
        <w:tc>
          <w:tcPr>
            <w:tcW w:w="144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17,021</w:t>
            </w:r>
          </w:p>
        </w:tc>
        <w:tc>
          <w:tcPr>
            <w:tcW w:w="140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23,918</w:t>
            </w:r>
            <w:r>
              <w:rPr>
                <w:rFonts w:ascii="Arial" w:cs="Arial" w:eastAsia="Arial" w:hAnsi="Arial"/>
                <w:sz w:val="22"/>
                <w:szCs w:val="22"/>
                <w:color w:val="auto"/>
                <w:vertAlign w:val="superscript"/>
              </w:rPr>
              <w:t>(5)</w:t>
            </w: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J. Marks</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87</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H. McGraw III</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3,141</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52,191</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58,937</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R. Ortberg</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92,884</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M. O’Sullivan</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189</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3,088</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3,277</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D. Ramos</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1,381</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1,381</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F. Reynolds</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704</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6,437</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29,366</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264"/>
        </w:trPr>
        <w:tc>
          <w:tcPr>
            <w:tcW w:w="576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B. Rogers</w:t>
            </w:r>
          </w:p>
        </w:tc>
        <w:tc>
          <w:tcPr>
            <w:tcW w:w="1360" w:type="dxa"/>
            <w:vAlign w:val="bottom"/>
            <w:tcBorders>
              <w:bottom w:val="single" w:sz="8" w:color="7C7C7C"/>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704</w:t>
            </w:r>
          </w:p>
        </w:tc>
        <w:tc>
          <w:tcPr>
            <w:tcW w:w="1440" w:type="dxa"/>
            <w:vAlign w:val="bottom"/>
            <w:tcBorders>
              <w:bottom w:val="single" w:sz="8" w:color="7C7C7C"/>
            </w:tcBorders>
            <w:gridSpan w:val="2"/>
          </w:tcPr>
          <w:p>
            <w:pPr>
              <w:jc w:val="right"/>
              <w:ind w:right="120"/>
              <w:spacing w:after="0"/>
              <w:rPr>
                <w:sz w:val="20"/>
                <w:szCs w:val="20"/>
                <w:color w:val="auto"/>
              </w:rPr>
            </w:pPr>
            <w:r>
              <w:rPr>
                <w:rFonts w:ascii="Arial" w:cs="Arial" w:eastAsia="Arial" w:hAnsi="Arial"/>
                <w:sz w:val="14"/>
                <w:szCs w:val="14"/>
                <w:color w:val="auto"/>
              </w:rPr>
              <w:t>9,844</w:t>
            </w:r>
          </w:p>
        </w:tc>
        <w:tc>
          <w:tcPr>
            <w:tcW w:w="140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15,548</w:t>
            </w:r>
            <w:r>
              <w:rPr>
                <w:rFonts w:ascii="Arial" w:cs="Arial" w:eastAsia="Arial" w:hAnsi="Arial"/>
                <w:sz w:val="22"/>
                <w:szCs w:val="22"/>
                <w:color w:val="auto"/>
                <w:vertAlign w:val="superscript"/>
              </w:rPr>
              <w:t>(5)</w:t>
            </w:r>
          </w:p>
        </w:tc>
      </w:tr>
      <w:tr>
        <w:trPr>
          <w:trHeight w:val="196"/>
        </w:trPr>
        <w:tc>
          <w:tcPr>
            <w:tcW w:w="5760" w:type="dxa"/>
            <w:vAlign w:val="bottom"/>
            <w:gridSpan w:val="2"/>
          </w:tcPr>
          <w:p>
            <w:pPr>
              <w:ind w:left="80"/>
              <w:spacing w:after="0"/>
              <w:rPr>
                <w:sz w:val="20"/>
                <w:szCs w:val="20"/>
                <w:color w:val="auto"/>
              </w:rPr>
            </w:pPr>
            <w:r>
              <w:rPr>
                <w:rFonts w:ascii="Arial" w:cs="Arial" w:eastAsia="Arial" w:hAnsi="Arial"/>
                <w:sz w:val="14"/>
                <w:szCs w:val="14"/>
                <w:color w:val="auto"/>
              </w:rPr>
              <w:t>C. Whitman</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3,141</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36,104</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46,095</w:t>
            </w:r>
          </w:p>
        </w:tc>
      </w:tr>
      <w:tr>
        <w:trPr>
          <w:trHeight w:val="41"/>
        </w:trPr>
        <w:tc>
          <w:tcPr>
            <w:tcW w:w="56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2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3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3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400" w:type="dxa"/>
            <w:vAlign w:val="bottom"/>
            <w:tcBorders>
              <w:bottom w:val="single" w:sz="8" w:color="7C7C7C"/>
            </w:tcBorders>
          </w:tcPr>
          <w:p>
            <w:pPr>
              <w:spacing w:after="0"/>
              <w:rPr>
                <w:sz w:val="3"/>
                <w:szCs w:val="3"/>
                <w:color w:val="auto"/>
              </w:rPr>
            </w:pPr>
          </w:p>
        </w:tc>
      </w:tr>
      <w:tr>
        <w:trPr>
          <w:trHeight w:val="161"/>
        </w:trPr>
        <w:tc>
          <w:tcPr>
            <w:tcW w:w="5760" w:type="dxa"/>
            <w:vAlign w:val="bottom"/>
            <w:gridSpan w:val="2"/>
            <w:shd w:val="clear" w:color="auto" w:fill="F2F8FA"/>
          </w:tcPr>
          <w:p>
            <w:pPr>
              <w:ind w:left="80"/>
              <w:spacing w:after="0"/>
              <w:rPr>
                <w:sz w:val="20"/>
                <w:szCs w:val="20"/>
                <w:color w:val="auto"/>
              </w:rPr>
            </w:pPr>
            <w:r>
              <w:rPr>
                <w:rFonts w:ascii="Arial" w:cs="Arial" w:eastAsia="Arial" w:hAnsi="Arial"/>
                <w:sz w:val="14"/>
                <w:szCs w:val="14"/>
                <w:b w:val="1"/>
                <w:bCs w:val="1"/>
                <w:color w:val="0E93D8"/>
              </w:rPr>
              <w:t>Directors &amp; Executive Officers</w:t>
            </w:r>
          </w:p>
        </w:tc>
        <w:tc>
          <w:tcPr>
            <w:tcW w:w="1260" w:type="dxa"/>
            <w:vAlign w:val="bottom"/>
            <w:shd w:val="clear" w:color="auto" w:fill="F2F8FA"/>
          </w:tcPr>
          <w:p>
            <w:pPr>
              <w:spacing w:after="0"/>
              <w:rPr>
                <w:sz w:val="14"/>
                <w:szCs w:val="14"/>
                <w:color w:val="auto"/>
              </w:rPr>
            </w:pPr>
          </w:p>
        </w:tc>
        <w:tc>
          <w:tcPr>
            <w:tcW w:w="100" w:type="dxa"/>
            <w:vAlign w:val="bottom"/>
            <w:shd w:val="clear" w:color="auto" w:fill="F2F8FA"/>
          </w:tcPr>
          <w:p>
            <w:pPr>
              <w:spacing w:after="0"/>
              <w:rPr>
                <w:sz w:val="14"/>
                <w:szCs w:val="14"/>
                <w:color w:val="auto"/>
              </w:rPr>
            </w:pPr>
          </w:p>
        </w:tc>
        <w:tc>
          <w:tcPr>
            <w:tcW w:w="1340" w:type="dxa"/>
            <w:vAlign w:val="bottom"/>
            <w:shd w:val="clear" w:color="auto" w:fill="F2F8FA"/>
          </w:tcPr>
          <w:p>
            <w:pPr>
              <w:spacing w:after="0"/>
              <w:rPr>
                <w:sz w:val="14"/>
                <w:szCs w:val="14"/>
                <w:color w:val="auto"/>
              </w:rPr>
            </w:pPr>
          </w:p>
        </w:tc>
        <w:tc>
          <w:tcPr>
            <w:tcW w:w="120" w:type="dxa"/>
            <w:vAlign w:val="bottom"/>
            <w:shd w:val="clear" w:color="auto" w:fill="F2F8FA"/>
          </w:tcPr>
          <w:p>
            <w:pPr>
              <w:spacing w:after="0"/>
              <w:rPr>
                <w:sz w:val="14"/>
                <w:szCs w:val="14"/>
                <w:color w:val="auto"/>
              </w:rPr>
            </w:pPr>
          </w:p>
        </w:tc>
        <w:tc>
          <w:tcPr>
            <w:tcW w:w="1320" w:type="dxa"/>
            <w:vAlign w:val="bottom"/>
            <w:shd w:val="clear" w:color="auto" w:fill="F2F8FA"/>
          </w:tcPr>
          <w:p>
            <w:pPr>
              <w:spacing w:after="0"/>
              <w:rPr>
                <w:sz w:val="14"/>
                <w:szCs w:val="14"/>
                <w:color w:val="auto"/>
              </w:rPr>
            </w:pPr>
          </w:p>
        </w:tc>
        <w:tc>
          <w:tcPr>
            <w:tcW w:w="120" w:type="dxa"/>
            <w:vAlign w:val="bottom"/>
            <w:shd w:val="clear" w:color="auto" w:fill="F2F8FA"/>
          </w:tcPr>
          <w:p>
            <w:pPr>
              <w:spacing w:after="0"/>
              <w:rPr>
                <w:sz w:val="14"/>
                <w:szCs w:val="14"/>
                <w:color w:val="auto"/>
              </w:rPr>
            </w:pPr>
          </w:p>
        </w:tc>
        <w:tc>
          <w:tcPr>
            <w:tcW w:w="1400" w:type="dxa"/>
            <w:vAlign w:val="bottom"/>
            <w:shd w:val="clear" w:color="auto" w:fill="F2F8FA"/>
          </w:tcPr>
          <w:p>
            <w:pPr>
              <w:spacing w:after="0"/>
              <w:rPr>
                <w:sz w:val="14"/>
                <w:szCs w:val="14"/>
                <w:color w:val="auto"/>
              </w:rPr>
            </w:pPr>
          </w:p>
        </w:tc>
      </w:tr>
      <w:tr>
        <w:trPr>
          <w:trHeight w:val="224"/>
        </w:trPr>
        <w:tc>
          <w:tcPr>
            <w:tcW w:w="5760" w:type="dxa"/>
            <w:vAlign w:val="bottom"/>
            <w:tcBorders>
              <w:bottom w:val="single" w:sz="8" w:color="7C7C7C"/>
            </w:tcBorders>
            <w:gridSpan w:val="2"/>
            <w:shd w:val="clear" w:color="auto" w:fill="F2F8FA"/>
          </w:tcPr>
          <w:p>
            <w:pPr>
              <w:ind w:left="80"/>
              <w:spacing w:after="0" w:line="224" w:lineRule="exact"/>
              <w:rPr>
                <w:sz w:val="20"/>
                <w:szCs w:val="20"/>
                <w:color w:val="auto"/>
              </w:rPr>
            </w:pPr>
            <w:r>
              <w:rPr>
                <w:rFonts w:ascii="Arial" w:cs="Arial" w:eastAsia="Arial" w:hAnsi="Arial"/>
                <w:sz w:val="14"/>
                <w:szCs w:val="14"/>
                <w:b w:val="1"/>
                <w:bCs w:val="1"/>
                <w:color w:val="0E93D8"/>
              </w:rPr>
              <w:t>as a group (25 in total)</w:t>
            </w:r>
            <w:r>
              <w:rPr>
                <w:rFonts w:ascii="Arial" w:cs="Arial" w:eastAsia="Arial" w:hAnsi="Arial"/>
                <w:sz w:val="22"/>
                <w:szCs w:val="22"/>
                <w:b w:val="1"/>
                <w:bCs w:val="1"/>
                <w:color w:val="0E93D8"/>
                <w:vertAlign w:val="superscript"/>
              </w:rPr>
              <w:t>(7)(8)(9)</w:t>
            </w:r>
          </w:p>
        </w:tc>
        <w:tc>
          <w:tcPr>
            <w:tcW w:w="1260" w:type="dxa"/>
            <w:vAlign w:val="bottom"/>
            <w:tcBorders>
              <w:bottom w:val="single" w:sz="8" w:color="7C7C7C"/>
            </w:tcBorders>
            <w:shd w:val="clear" w:color="auto" w:fill="F2F8FA"/>
          </w:tcPr>
          <w:p>
            <w:pPr>
              <w:spacing w:after="0"/>
              <w:rPr>
                <w:sz w:val="19"/>
                <w:szCs w:val="19"/>
                <w:color w:val="auto"/>
              </w:rPr>
            </w:pPr>
          </w:p>
        </w:tc>
        <w:tc>
          <w:tcPr>
            <w:tcW w:w="100" w:type="dxa"/>
            <w:vAlign w:val="bottom"/>
            <w:tcBorders>
              <w:bottom w:val="single" w:sz="8" w:color="7C7C7C"/>
            </w:tcBorders>
            <w:shd w:val="clear" w:color="auto" w:fill="F2F8FA"/>
          </w:tcPr>
          <w:p>
            <w:pPr>
              <w:spacing w:after="0"/>
              <w:rPr>
                <w:sz w:val="19"/>
                <w:szCs w:val="19"/>
                <w:color w:val="auto"/>
              </w:rPr>
            </w:pPr>
          </w:p>
        </w:tc>
        <w:tc>
          <w:tcPr>
            <w:tcW w:w="1340" w:type="dxa"/>
            <w:vAlign w:val="bottom"/>
            <w:tcBorders>
              <w:bottom w:val="single" w:sz="8" w:color="7C7C7C"/>
            </w:tcBorders>
            <w:shd w:val="clear" w:color="auto" w:fill="F2F8FA"/>
          </w:tcPr>
          <w:p>
            <w:pPr>
              <w:spacing w:after="0"/>
              <w:rPr>
                <w:sz w:val="19"/>
                <w:szCs w:val="19"/>
                <w:color w:val="auto"/>
              </w:rPr>
            </w:pPr>
          </w:p>
        </w:tc>
        <w:tc>
          <w:tcPr>
            <w:tcW w:w="120" w:type="dxa"/>
            <w:vAlign w:val="bottom"/>
            <w:tcBorders>
              <w:bottom w:val="single" w:sz="8" w:color="7C7C7C"/>
            </w:tcBorders>
            <w:shd w:val="clear" w:color="auto" w:fill="F2F8FA"/>
          </w:tcPr>
          <w:p>
            <w:pPr>
              <w:spacing w:after="0"/>
              <w:rPr>
                <w:sz w:val="19"/>
                <w:szCs w:val="19"/>
                <w:color w:val="auto"/>
              </w:rPr>
            </w:pPr>
          </w:p>
        </w:tc>
        <w:tc>
          <w:tcPr>
            <w:tcW w:w="1320" w:type="dxa"/>
            <w:vAlign w:val="bottom"/>
            <w:tcBorders>
              <w:bottom w:val="single" w:sz="8" w:color="7C7C7C"/>
            </w:tcBorders>
            <w:shd w:val="clear" w:color="auto" w:fill="F2F8FA"/>
          </w:tcPr>
          <w:p>
            <w:pPr>
              <w:spacing w:after="0"/>
              <w:rPr>
                <w:sz w:val="19"/>
                <w:szCs w:val="19"/>
                <w:color w:val="auto"/>
              </w:rPr>
            </w:pPr>
          </w:p>
        </w:tc>
        <w:tc>
          <w:tcPr>
            <w:tcW w:w="120" w:type="dxa"/>
            <w:vAlign w:val="bottom"/>
            <w:tcBorders>
              <w:bottom w:val="single" w:sz="8" w:color="7C7C7C"/>
            </w:tcBorders>
            <w:shd w:val="clear" w:color="auto" w:fill="F2F8FA"/>
          </w:tcPr>
          <w:p>
            <w:pPr>
              <w:spacing w:after="0"/>
              <w:rPr>
                <w:sz w:val="19"/>
                <w:szCs w:val="19"/>
                <w:color w:val="auto"/>
              </w:rPr>
            </w:pPr>
          </w:p>
        </w:tc>
        <w:tc>
          <w:tcPr>
            <w:tcW w:w="1400" w:type="dxa"/>
            <w:vAlign w:val="bottom"/>
            <w:tcBorders>
              <w:bottom w:val="single" w:sz="8" w:color="7C7C7C"/>
            </w:tcBorders>
            <w:shd w:val="clear" w:color="auto" w:fill="F2F8FA"/>
          </w:tcPr>
          <w:p>
            <w:pPr>
              <w:jc w:val="right"/>
              <w:ind w:right="152"/>
              <w:spacing w:after="0"/>
              <w:rPr>
                <w:sz w:val="20"/>
                <w:szCs w:val="20"/>
                <w:color w:val="auto"/>
              </w:rPr>
            </w:pPr>
            <w:r>
              <w:rPr>
                <w:rFonts w:ascii="Arial" w:cs="Arial" w:eastAsia="Arial" w:hAnsi="Arial"/>
                <w:sz w:val="14"/>
                <w:szCs w:val="14"/>
                <w:b w:val="1"/>
                <w:bCs w:val="1"/>
                <w:color w:val="0E93D8"/>
              </w:rPr>
              <w:t>1,275,045</w:t>
            </w:r>
          </w:p>
        </w:tc>
      </w:tr>
    </w:tbl>
    <w:p>
      <w:pPr>
        <w:spacing w:after="0" w:line="238" w:lineRule="exact"/>
        <w:rPr>
          <w:sz w:val="20"/>
          <w:szCs w:val="20"/>
          <w:color w:val="auto"/>
        </w:rPr>
      </w:pPr>
    </w:p>
    <w:p>
      <w:pPr>
        <w:ind w:left="880" w:hanging="628"/>
        <w:spacing w:after="0"/>
        <w:tabs>
          <w:tab w:leader="none" w:pos="880" w:val="left"/>
        </w:tabs>
        <w:numPr>
          <w:ilvl w:val="0"/>
          <w:numId w:val="101"/>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146685</wp:posOffset>
            </wp:positionV>
            <wp:extent cx="99504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95045" cy="128905"/>
                    </a:xfrm>
                    <a:prstGeom prst="rect">
                      <a:avLst/>
                    </a:prstGeom>
                    <a:noFill/>
                  </pic:spPr>
                </pic:pic>
              </a:graphicData>
            </a:graphic>
          </wp:anchor>
        </w:drawing>
      </w:r>
    </w:p>
    <w:p>
      <w:pPr>
        <w:spacing w:after="0" w:line="221"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FFFFFF"/>
        </w:rPr>
        <w:t>SHARE OWNERSHIP</w:t>
      </w:r>
    </w:p>
    <w:p>
      <w:pPr>
        <w:spacing w:after="0" w:line="274" w:lineRule="exact"/>
        <w:rPr>
          <w:sz w:val="20"/>
          <w:szCs w:val="20"/>
          <w:color w:val="auto"/>
        </w:rPr>
      </w:pPr>
    </w:p>
    <w:p>
      <w:pPr>
        <w:ind w:left="220" w:right="40" w:hanging="212"/>
        <w:spacing w:after="0" w:line="226" w:lineRule="auto"/>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SARs in the table reflect the net number of shares of UTC Common Stock that would be issued to the executive officers if their vested SARs were exercised within 60 days of February 18, 2019. Once vested, each SAR can be exercised for the number of shares of UTC Common Stock having a value equal to the increase in value of a share of UTC Common Stock from the date the SAR was granted through the exercise date. The net number of shares of UTC Common Stock was calculated using $106.48 per share, which was the NYSE closing price on the last trading day in 2018.</w:t>
      </w:r>
    </w:p>
    <w:p>
      <w:pPr>
        <w:spacing w:after="0" w:line="55" w:lineRule="exact"/>
        <w:rPr>
          <w:rFonts w:ascii="Arial" w:cs="Arial" w:eastAsia="Arial" w:hAnsi="Arial"/>
          <w:sz w:val="14"/>
          <w:szCs w:val="14"/>
          <w:color w:val="auto"/>
        </w:rPr>
      </w:pPr>
    </w:p>
    <w:p>
      <w:pPr>
        <w:ind w:left="220" w:right="280" w:hanging="212"/>
        <w:spacing w:after="0" w:line="228" w:lineRule="auto"/>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non-employee director RSUs vest in equal portions over five years and are distributed in shares of UTC Common Stock upon termination of service. The table reflects the vested portion of the RSUs, which are the number of shares in which the director and nominee has the right to acquire beneficial ownership at any time within 60 days after February 18, 2019, following termination of service.</w:t>
      </w:r>
    </w:p>
    <w:p>
      <w:pPr>
        <w:spacing w:after="0" w:line="54" w:lineRule="exact"/>
        <w:rPr>
          <w:rFonts w:ascii="Arial" w:cs="Arial" w:eastAsia="Arial" w:hAnsi="Arial"/>
          <w:sz w:val="14"/>
          <w:szCs w:val="14"/>
          <w:color w:val="auto"/>
        </w:rPr>
      </w:pPr>
    </w:p>
    <w:p>
      <w:pPr>
        <w:ind w:left="220" w:right="220" w:hanging="212"/>
        <w:spacing w:after="0" w:line="231" w:lineRule="auto"/>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non-employee director DSUs are converted into UTC Common Stock upon termination of service. The table reflects the number of shares in which the director and nominee has the right to acquire beneficial ownership at any time within 60 days after February 18, 2019, following termination of service.</w:t>
      </w:r>
    </w:p>
    <w:p>
      <w:pPr>
        <w:spacing w:after="0" w:line="54" w:lineRule="exact"/>
        <w:rPr>
          <w:rFonts w:ascii="Arial" w:cs="Arial" w:eastAsia="Arial" w:hAnsi="Arial"/>
          <w:sz w:val="14"/>
          <w:szCs w:val="14"/>
          <w:color w:val="auto"/>
        </w:rPr>
      </w:pPr>
    </w:p>
    <w:p>
      <w:pPr>
        <w:ind w:left="220" w:right="100" w:hanging="212"/>
        <w:spacing w:after="0" w:line="228" w:lineRule="auto"/>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stock units credited to the executive officer under the UTC Savings Restoration Plan (“SRP”) that are converted into shares of UTC Common Stock following retirement or separation of employment. As of February 18, 2019, the NEOs held the following units in the SRP: D. Gitlin (2,380 units); G. Hayes (7,929 units); A. Johri (1,545 units); J. Marks (54 units); and R. Ortberg (61 units). The executive officers as a group held 30,345 units in the SRP.</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shares for which voting and investment power is jointly held by the director or NEO: D. Gitlin (20,093 shares); M. Larsen (5,432 shares); and B. Rogers (5,000 shares).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shares for which a spouse holds sole voting and investment power: G. Hayes (2,183 shares); and E. Kullman (6 shares).</w:t>
      </w:r>
    </w:p>
    <w:p>
      <w:pPr>
        <w:spacing w:after="0" w:line="55" w:lineRule="exact"/>
        <w:rPr>
          <w:rFonts w:ascii="Arial" w:cs="Arial" w:eastAsia="Arial" w:hAnsi="Arial"/>
          <w:sz w:val="14"/>
          <w:szCs w:val="14"/>
          <w:color w:val="auto"/>
        </w:rPr>
      </w:pPr>
    </w:p>
    <w:p>
      <w:pPr>
        <w:ind w:left="220" w:right="100" w:hanging="212"/>
        <w:spacing w:after="0" w:line="231" w:lineRule="auto"/>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Reflects the holdings of directors and executive officers as of February 18, 2019. A complete list of UTC’s executive officers is included in the Company’s 2018 Annual Report on Form 10-K.</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7,301 shares for which the spouse of an executive officer who is not an NEO shares voting and investment power.</w:t>
      </w:r>
    </w:p>
    <w:p>
      <w:pPr>
        <w:spacing w:after="0" w:line="55" w:lineRule="exact"/>
        <w:rPr>
          <w:rFonts w:ascii="Arial" w:cs="Arial" w:eastAsia="Arial" w:hAnsi="Arial"/>
          <w:sz w:val="14"/>
          <w:szCs w:val="14"/>
          <w:color w:val="auto"/>
        </w:rPr>
      </w:pPr>
    </w:p>
    <w:p>
      <w:pPr>
        <w:ind w:left="220" w:right="160" w:hanging="212"/>
        <w:spacing w:after="0" w:line="231" w:lineRule="auto"/>
        <w:tabs>
          <w:tab w:leader="none" w:pos="2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1,546 shares for which the spouse of an executive officer who is not an NEO holds sole voting and investment power, and 22 shares for which the same executive officer shares voting and investment power with a spouse.</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Certain Beneficial Owners</w:t>
      </w:r>
    </w:p>
    <w:p>
      <w:pPr>
        <w:spacing w:after="0" w:line="25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all holders known to UTC to be beneficial owners of more than 5% of the outstanding shares of Common Stock as of December 31,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Name and Address</w:t>
            </w:r>
          </w:p>
        </w:tc>
        <w:tc>
          <w:tcPr>
            <w:tcW w:w="3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Shares</w:t>
            </w:r>
          </w:p>
        </w:tc>
        <w:tc>
          <w:tcPr>
            <w:tcW w:w="3760" w:type="dxa"/>
            <w:vAlign w:val="bottom"/>
          </w:tcPr>
          <w:p>
            <w:pPr>
              <w:jc w:val="right"/>
              <w:ind w:right="12"/>
              <w:spacing w:after="0"/>
              <w:rPr>
                <w:sz w:val="20"/>
                <w:szCs w:val="20"/>
                <w:color w:val="auto"/>
              </w:rPr>
            </w:pPr>
            <w:r>
              <w:rPr>
                <w:rFonts w:ascii="Arial" w:cs="Arial" w:eastAsia="Arial" w:hAnsi="Arial"/>
                <w:sz w:val="14"/>
                <w:szCs w:val="14"/>
                <w:b w:val="1"/>
                <w:bCs w:val="1"/>
                <w:color w:val="0E93D8"/>
              </w:rPr>
              <w:t>Percent of Class</w:t>
            </w:r>
          </w:p>
        </w:tc>
      </w:tr>
      <w:tr>
        <w:trPr>
          <w:trHeight w:val="61"/>
        </w:trPr>
        <w:tc>
          <w:tcPr>
            <w:tcW w:w="378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3660" w:type="dxa"/>
            <w:vAlign w:val="bottom"/>
            <w:shd w:val="clear" w:color="auto" w:fill="0D92D8"/>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shd w:val="clear" w:color="auto" w:fill="0D92D8"/>
          </w:tcPr>
          <w:p>
            <w:pPr>
              <w:spacing w:after="0"/>
              <w:rPr>
                <w:sz w:val="5"/>
                <w:szCs w:val="5"/>
                <w:color w:val="auto"/>
              </w:rPr>
            </w:pPr>
          </w:p>
        </w:tc>
      </w:tr>
      <w:tr>
        <w:trPr>
          <w:trHeight w:val="337"/>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State Street Corporation</w:t>
            </w:r>
            <w:r>
              <w:rPr>
                <w:rFonts w:ascii="Arial" w:cs="Arial" w:eastAsia="Arial" w:hAnsi="Arial"/>
                <w:sz w:val="22"/>
                <w:szCs w:val="22"/>
                <w:b w:val="1"/>
                <w:bCs w:val="1"/>
                <w:color w:val="0E93D8"/>
                <w:vertAlign w:val="superscript"/>
              </w:rPr>
              <w:t>(1)</w:t>
            </w: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62"/>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State Street Financial Center</w:t>
            </w:r>
          </w:p>
        </w:tc>
        <w:tc>
          <w:tcPr>
            <w:tcW w:w="3660" w:type="dxa"/>
            <w:vAlign w:val="bottom"/>
          </w:tcPr>
          <w:p>
            <w:pPr>
              <w:jc w:val="right"/>
              <w:spacing w:after="0"/>
              <w:rPr>
                <w:sz w:val="20"/>
                <w:szCs w:val="20"/>
                <w:color w:val="auto"/>
              </w:rPr>
            </w:pPr>
            <w:r>
              <w:rPr>
                <w:rFonts w:ascii="Arial" w:cs="Arial" w:eastAsia="Arial" w:hAnsi="Arial"/>
                <w:sz w:val="14"/>
                <w:szCs w:val="14"/>
                <w:color w:val="auto"/>
              </w:rPr>
              <w:t>89,786,914</w:t>
            </w:r>
          </w:p>
        </w:tc>
        <w:tc>
          <w:tcPr>
            <w:tcW w:w="100" w:type="dxa"/>
            <w:vAlign w:val="bottom"/>
          </w:tcPr>
          <w:p>
            <w:pPr>
              <w:spacing w:after="0"/>
              <w:rPr>
                <w:sz w:val="14"/>
                <w:szCs w:val="14"/>
                <w:color w:val="auto"/>
              </w:rPr>
            </w:pPr>
          </w:p>
        </w:tc>
        <w:tc>
          <w:tcPr>
            <w:tcW w:w="3760" w:type="dxa"/>
            <w:vAlign w:val="bottom"/>
          </w:tcPr>
          <w:p>
            <w:pPr>
              <w:jc w:val="right"/>
              <w:ind w:right="12"/>
              <w:spacing w:after="0"/>
              <w:rPr>
                <w:sz w:val="20"/>
                <w:szCs w:val="20"/>
                <w:color w:val="auto"/>
              </w:rPr>
            </w:pPr>
            <w:r>
              <w:rPr>
                <w:rFonts w:ascii="Arial" w:cs="Arial" w:eastAsia="Arial" w:hAnsi="Arial"/>
                <w:sz w:val="14"/>
                <w:szCs w:val="14"/>
                <w:color w:val="auto"/>
              </w:rPr>
              <w:t>10.4%</w:t>
            </w:r>
          </w:p>
        </w:tc>
      </w:tr>
      <w:tr>
        <w:trPr>
          <w:trHeight w:val="243"/>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One Lincoln Street</w:t>
            </w: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43"/>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Boston, MA 02111</w:t>
            </w: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48"/>
        </w:trPr>
        <w:tc>
          <w:tcPr>
            <w:tcW w:w="3780" w:type="dxa"/>
            <w:vAlign w:val="bottom"/>
            <w:tcBorders>
              <w:bottom w:val="single" w:sz="8" w:color="0D92D8"/>
            </w:tcBorders>
          </w:tcPr>
          <w:p>
            <w:pPr>
              <w:spacing w:after="0"/>
              <w:rPr>
                <w:sz w:val="4"/>
                <w:szCs w:val="4"/>
                <w:color w:val="auto"/>
              </w:rPr>
            </w:pPr>
          </w:p>
        </w:tc>
        <w:tc>
          <w:tcPr>
            <w:tcW w:w="120" w:type="dxa"/>
            <w:vAlign w:val="bottom"/>
            <w:tcBorders>
              <w:bottom w:val="single" w:sz="8" w:color="0D92D8"/>
            </w:tcBorders>
          </w:tcPr>
          <w:p>
            <w:pPr>
              <w:spacing w:after="0"/>
              <w:rPr>
                <w:sz w:val="4"/>
                <w:szCs w:val="4"/>
                <w:color w:val="auto"/>
              </w:rPr>
            </w:pPr>
          </w:p>
        </w:tc>
        <w:tc>
          <w:tcPr>
            <w:tcW w:w="3660" w:type="dxa"/>
            <w:vAlign w:val="bottom"/>
            <w:tcBorders>
              <w:bottom w:val="single" w:sz="8" w:color="0D92D8"/>
            </w:tcBorders>
          </w:tcPr>
          <w:p>
            <w:pPr>
              <w:spacing w:after="0"/>
              <w:rPr>
                <w:sz w:val="4"/>
                <w:szCs w:val="4"/>
                <w:color w:val="auto"/>
              </w:rPr>
            </w:pPr>
          </w:p>
        </w:tc>
        <w:tc>
          <w:tcPr>
            <w:tcW w:w="100" w:type="dxa"/>
            <w:vAlign w:val="bottom"/>
            <w:tcBorders>
              <w:bottom w:val="single" w:sz="8" w:color="0D92D8"/>
            </w:tcBorders>
          </w:tcPr>
          <w:p>
            <w:pPr>
              <w:spacing w:after="0"/>
              <w:rPr>
                <w:sz w:val="4"/>
                <w:szCs w:val="4"/>
                <w:color w:val="auto"/>
              </w:rPr>
            </w:pPr>
          </w:p>
        </w:tc>
        <w:tc>
          <w:tcPr>
            <w:tcW w:w="3760" w:type="dxa"/>
            <w:vAlign w:val="bottom"/>
            <w:tcBorders>
              <w:bottom w:val="single" w:sz="8" w:color="0D92D8"/>
            </w:tcBorders>
          </w:tcPr>
          <w:p>
            <w:pPr>
              <w:spacing w:after="0"/>
              <w:rPr>
                <w:sz w:val="4"/>
                <w:szCs w:val="4"/>
                <w:color w:val="auto"/>
              </w:rPr>
            </w:pPr>
          </w:p>
        </w:tc>
      </w:tr>
      <w:tr>
        <w:trPr>
          <w:trHeight w:val="337"/>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The Vanguard Group</w:t>
            </w:r>
            <w:r>
              <w:rPr>
                <w:rFonts w:ascii="Arial" w:cs="Arial" w:eastAsia="Arial" w:hAnsi="Arial"/>
                <w:sz w:val="22"/>
                <w:szCs w:val="22"/>
                <w:b w:val="1"/>
                <w:bCs w:val="1"/>
                <w:color w:val="0E93D8"/>
                <w:vertAlign w:val="superscript"/>
              </w:rPr>
              <w:t>(2)</w:t>
            </w: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62"/>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100 Vanguard Boulevard</w:t>
            </w: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243"/>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Malvern, PA 19355</w:t>
            </w:r>
          </w:p>
        </w:tc>
        <w:tc>
          <w:tcPr>
            <w:tcW w:w="3660" w:type="dxa"/>
            <w:vAlign w:val="bottom"/>
          </w:tcPr>
          <w:p>
            <w:pPr>
              <w:jc w:val="right"/>
              <w:spacing w:after="0"/>
              <w:rPr>
                <w:sz w:val="20"/>
                <w:szCs w:val="20"/>
                <w:color w:val="auto"/>
              </w:rPr>
            </w:pPr>
            <w:r>
              <w:rPr>
                <w:rFonts w:ascii="Arial" w:cs="Arial" w:eastAsia="Arial" w:hAnsi="Arial"/>
                <w:sz w:val="14"/>
                <w:szCs w:val="14"/>
                <w:color w:val="auto"/>
              </w:rPr>
              <w:t>65,593,077</w:t>
            </w:r>
          </w:p>
        </w:tc>
        <w:tc>
          <w:tcPr>
            <w:tcW w:w="100" w:type="dxa"/>
            <w:vAlign w:val="bottom"/>
          </w:tcPr>
          <w:p>
            <w:pPr>
              <w:spacing w:after="0"/>
              <w:rPr>
                <w:sz w:val="21"/>
                <w:szCs w:val="21"/>
                <w:color w:val="auto"/>
              </w:rPr>
            </w:pPr>
          </w:p>
        </w:tc>
        <w:tc>
          <w:tcPr>
            <w:tcW w:w="37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48"/>
        </w:trPr>
        <w:tc>
          <w:tcPr>
            <w:tcW w:w="3780" w:type="dxa"/>
            <w:vAlign w:val="bottom"/>
            <w:tcBorders>
              <w:bottom w:val="single" w:sz="8" w:color="0D92D8"/>
            </w:tcBorders>
          </w:tcPr>
          <w:p>
            <w:pPr>
              <w:spacing w:after="0"/>
              <w:rPr>
                <w:sz w:val="4"/>
                <w:szCs w:val="4"/>
                <w:color w:val="auto"/>
              </w:rPr>
            </w:pPr>
          </w:p>
        </w:tc>
        <w:tc>
          <w:tcPr>
            <w:tcW w:w="120" w:type="dxa"/>
            <w:vAlign w:val="bottom"/>
            <w:tcBorders>
              <w:bottom w:val="single" w:sz="8" w:color="0D92D8"/>
            </w:tcBorders>
          </w:tcPr>
          <w:p>
            <w:pPr>
              <w:spacing w:after="0"/>
              <w:rPr>
                <w:sz w:val="4"/>
                <w:szCs w:val="4"/>
                <w:color w:val="auto"/>
              </w:rPr>
            </w:pPr>
          </w:p>
        </w:tc>
        <w:tc>
          <w:tcPr>
            <w:tcW w:w="3660" w:type="dxa"/>
            <w:vAlign w:val="bottom"/>
            <w:tcBorders>
              <w:bottom w:val="single" w:sz="8" w:color="0D92D8"/>
            </w:tcBorders>
          </w:tcPr>
          <w:p>
            <w:pPr>
              <w:spacing w:after="0"/>
              <w:rPr>
                <w:sz w:val="4"/>
                <w:szCs w:val="4"/>
                <w:color w:val="auto"/>
              </w:rPr>
            </w:pPr>
          </w:p>
        </w:tc>
        <w:tc>
          <w:tcPr>
            <w:tcW w:w="100" w:type="dxa"/>
            <w:vAlign w:val="bottom"/>
            <w:tcBorders>
              <w:bottom w:val="single" w:sz="8" w:color="0D92D8"/>
            </w:tcBorders>
          </w:tcPr>
          <w:p>
            <w:pPr>
              <w:spacing w:after="0"/>
              <w:rPr>
                <w:sz w:val="4"/>
                <w:szCs w:val="4"/>
                <w:color w:val="auto"/>
              </w:rPr>
            </w:pPr>
          </w:p>
        </w:tc>
        <w:tc>
          <w:tcPr>
            <w:tcW w:w="3760" w:type="dxa"/>
            <w:vAlign w:val="bottom"/>
            <w:tcBorders>
              <w:bottom w:val="single" w:sz="8" w:color="0D92D8"/>
            </w:tcBorders>
          </w:tcPr>
          <w:p>
            <w:pPr>
              <w:spacing w:after="0"/>
              <w:rPr>
                <w:sz w:val="4"/>
                <w:szCs w:val="4"/>
                <w:color w:val="auto"/>
              </w:rPr>
            </w:pPr>
          </w:p>
        </w:tc>
      </w:tr>
      <w:tr>
        <w:trPr>
          <w:trHeight w:val="337"/>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BlackRock, Inc.</w:t>
            </w:r>
            <w:r>
              <w:rPr>
                <w:rFonts w:ascii="Arial" w:cs="Arial" w:eastAsia="Arial" w:hAnsi="Arial"/>
                <w:sz w:val="22"/>
                <w:szCs w:val="22"/>
                <w:b w:val="1"/>
                <w:bCs w:val="1"/>
                <w:color w:val="0E93D8"/>
                <w:vertAlign w:val="superscript"/>
              </w:rPr>
              <w:t>(3)</w:t>
            </w: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62"/>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55 East 52nd Street</w:t>
            </w: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243"/>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New York, NY 10055</w:t>
            </w:r>
          </w:p>
        </w:tc>
        <w:tc>
          <w:tcPr>
            <w:tcW w:w="3660" w:type="dxa"/>
            <w:vAlign w:val="bottom"/>
          </w:tcPr>
          <w:p>
            <w:pPr>
              <w:jc w:val="right"/>
              <w:spacing w:after="0"/>
              <w:rPr>
                <w:sz w:val="20"/>
                <w:szCs w:val="20"/>
                <w:color w:val="auto"/>
              </w:rPr>
            </w:pPr>
            <w:r>
              <w:rPr>
                <w:rFonts w:ascii="Arial" w:cs="Arial" w:eastAsia="Arial" w:hAnsi="Arial"/>
                <w:sz w:val="14"/>
                <w:szCs w:val="14"/>
                <w:color w:val="auto"/>
              </w:rPr>
              <w:t>54,035,145</w:t>
            </w:r>
          </w:p>
        </w:tc>
        <w:tc>
          <w:tcPr>
            <w:tcW w:w="100" w:type="dxa"/>
            <w:vAlign w:val="bottom"/>
          </w:tcPr>
          <w:p>
            <w:pPr>
              <w:spacing w:after="0"/>
              <w:rPr>
                <w:sz w:val="21"/>
                <w:szCs w:val="21"/>
                <w:color w:val="auto"/>
              </w:rPr>
            </w:pPr>
          </w:p>
        </w:tc>
        <w:tc>
          <w:tcPr>
            <w:tcW w:w="3760" w:type="dxa"/>
            <w:vAlign w:val="bottom"/>
          </w:tcPr>
          <w:p>
            <w:pPr>
              <w:jc w:val="right"/>
              <w:ind w:right="12"/>
              <w:spacing w:after="0"/>
              <w:rPr>
                <w:sz w:val="20"/>
                <w:szCs w:val="20"/>
                <w:color w:val="auto"/>
              </w:rPr>
            </w:pPr>
            <w:r>
              <w:rPr>
                <w:rFonts w:ascii="Arial" w:cs="Arial" w:eastAsia="Arial" w:hAnsi="Arial"/>
                <w:sz w:val="14"/>
                <w:szCs w:val="14"/>
                <w:color w:val="auto"/>
              </w:rPr>
              <w:t>6.3%</w:t>
            </w:r>
          </w:p>
        </w:tc>
      </w:tr>
      <w:tr>
        <w:trPr>
          <w:trHeight w:val="41"/>
        </w:trPr>
        <w:tc>
          <w:tcPr>
            <w:tcW w:w="3780" w:type="dxa"/>
            <w:vAlign w:val="bottom"/>
            <w:tcBorders>
              <w:bottom w:val="single" w:sz="8" w:color="0D92D8"/>
            </w:tcBorders>
          </w:tcPr>
          <w:p>
            <w:pPr>
              <w:spacing w:after="0"/>
              <w:rPr>
                <w:sz w:val="3"/>
                <w:szCs w:val="3"/>
                <w:color w:val="auto"/>
              </w:rPr>
            </w:pPr>
          </w:p>
        </w:tc>
        <w:tc>
          <w:tcPr>
            <w:tcW w:w="120" w:type="dxa"/>
            <w:vAlign w:val="bottom"/>
            <w:tcBorders>
              <w:bottom w:val="single" w:sz="8" w:color="0D92D8"/>
            </w:tcBorders>
          </w:tcPr>
          <w:p>
            <w:pPr>
              <w:spacing w:after="0"/>
              <w:rPr>
                <w:sz w:val="3"/>
                <w:szCs w:val="3"/>
                <w:color w:val="auto"/>
              </w:rPr>
            </w:pPr>
          </w:p>
        </w:tc>
        <w:tc>
          <w:tcPr>
            <w:tcW w:w="3660" w:type="dxa"/>
            <w:vAlign w:val="bottom"/>
            <w:tcBorders>
              <w:bottom w:val="single" w:sz="8" w:color="0D92D8"/>
            </w:tcBorders>
          </w:tcPr>
          <w:p>
            <w:pPr>
              <w:spacing w:after="0"/>
              <w:rPr>
                <w:sz w:val="3"/>
                <w:szCs w:val="3"/>
                <w:color w:val="auto"/>
              </w:rPr>
            </w:pPr>
          </w:p>
        </w:tc>
        <w:tc>
          <w:tcPr>
            <w:tcW w:w="100" w:type="dxa"/>
            <w:vAlign w:val="bottom"/>
            <w:tcBorders>
              <w:bottom w:val="single" w:sz="8" w:color="0D92D8"/>
            </w:tcBorders>
          </w:tcPr>
          <w:p>
            <w:pPr>
              <w:spacing w:after="0"/>
              <w:rPr>
                <w:sz w:val="3"/>
                <w:szCs w:val="3"/>
                <w:color w:val="auto"/>
              </w:rPr>
            </w:pPr>
          </w:p>
        </w:tc>
        <w:tc>
          <w:tcPr>
            <w:tcW w:w="3760" w:type="dxa"/>
            <w:vAlign w:val="bottom"/>
            <w:tcBorders>
              <w:bottom w:val="single" w:sz="8" w:color="0D92D8"/>
            </w:tcBorders>
          </w:tcPr>
          <w:p>
            <w:pPr>
              <w:spacing w:after="0"/>
              <w:rPr>
                <w:sz w:val="3"/>
                <w:szCs w:val="3"/>
                <w:color w:val="auto"/>
              </w:rPr>
            </w:pPr>
          </w:p>
        </w:tc>
      </w:tr>
    </w:tbl>
    <w:p>
      <w:pPr>
        <w:spacing w:after="0" w:line="242" w:lineRule="exact"/>
        <w:rPr>
          <w:sz w:val="20"/>
          <w:szCs w:val="20"/>
          <w:color w:val="auto"/>
        </w:rPr>
      </w:pPr>
    </w:p>
    <w:p>
      <w:pPr>
        <w:ind w:left="220" w:right="60" w:hanging="212"/>
        <w:spacing w:after="0" w:line="225" w:lineRule="auto"/>
        <w:tabs>
          <w:tab w:leader="none" w:pos="2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State Street Corporation reported in an SEC filing that, as of December 31, 2018, it held sole voting power with respect to zero shares of Common Stock, shared voting power with respect to 81,137,873 shares of Common Stock, sole dispositive power with respect to zero shares of Common Stock, and shared dispositive power with respect to 89,777,522 shares of Common Stock. State Street Corporation also reported that its wholly owned subsidiary, State Street Bank and Trust Company, is the trustee for the UTC Common Stock in the UTC Employee Savings Plan Master Trust, which beneficially owns 5.9% of Common Stock of UTC, and that in this capacity State Street Bank and Trust Company has dispositive power and voting power over the shares in certain circumstances.</w:t>
      </w:r>
    </w:p>
    <w:p>
      <w:pPr>
        <w:spacing w:after="0" w:line="55" w:lineRule="exact"/>
        <w:rPr>
          <w:rFonts w:ascii="Arial" w:cs="Arial" w:eastAsia="Arial" w:hAnsi="Arial"/>
          <w:sz w:val="14"/>
          <w:szCs w:val="14"/>
          <w:color w:val="auto"/>
        </w:rPr>
      </w:pPr>
    </w:p>
    <w:p>
      <w:pPr>
        <w:ind w:left="220" w:right="60" w:hanging="212"/>
        <w:spacing w:after="0" w:line="228" w:lineRule="auto"/>
        <w:tabs>
          <w:tab w:leader="none" w:pos="2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Vanguard Group reported in an SEC filing that, as of December 31, 2018, it held sole voting power with respect to 919,135 shares of Common Stock, shared voting power with respect to 197,765 shares of Common Stock, sole dispositive power with respect to 64,469,610 shares of Common Stock, and shared dispositive power with respect to 1,123,467 shares of Common Stock.</w:t>
      </w:r>
    </w:p>
    <w:p>
      <w:pPr>
        <w:spacing w:after="0" w:line="54" w:lineRule="exact"/>
        <w:rPr>
          <w:rFonts w:ascii="Arial" w:cs="Arial" w:eastAsia="Arial" w:hAnsi="Arial"/>
          <w:sz w:val="14"/>
          <w:szCs w:val="14"/>
          <w:color w:val="auto"/>
        </w:rPr>
      </w:pPr>
    </w:p>
    <w:p>
      <w:pPr>
        <w:ind w:left="220" w:right="300" w:hanging="212"/>
        <w:spacing w:after="0" w:line="231" w:lineRule="auto"/>
        <w:tabs>
          <w:tab w:leader="none" w:pos="2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BlackRock, Inc., reported in an SEC filing that, as of December 31, 2018, it held sole voting power with respect to 47,755,974 shares of Common Stock and sole dispositive power with respect to 54,035,145 shares of Common Stock.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31</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557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DB03F"/>
          <w:highlight w:val="white"/>
        </w:rPr>
        <w:t>PROPOSAL 2</w:t>
      </w:r>
    </w:p>
    <w:p>
      <w:pPr>
        <w:spacing w:after="0" w:line="297"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Advisory Vote to Approve</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926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120"/>
        <w:spacing w:after="0" w:line="238" w:lineRule="auto"/>
        <w:rPr>
          <w:sz w:val="20"/>
          <w:szCs w:val="20"/>
          <w:color w:val="auto"/>
        </w:rPr>
      </w:pPr>
      <w:r>
        <w:rPr>
          <w:rFonts w:ascii="Arial" w:cs="Arial" w:eastAsia="Arial" w:hAnsi="Arial"/>
          <w:sz w:val="18"/>
          <w:szCs w:val="18"/>
          <w:color w:val="auto"/>
        </w:rPr>
        <w:t xml:space="preserve">Each year we ask shareowners to approve, on an advisory basis, the compensation of UTC’s Named Executive Officers (“NEOs”). Before voting, we encourage you to read and consider the </w:t>
      </w:r>
      <w:r>
        <w:rPr>
          <w:rFonts w:ascii="Arial" w:cs="Arial" w:eastAsia="Arial" w:hAnsi="Arial"/>
          <w:sz w:val="18"/>
          <w:szCs w:val="18"/>
          <w:b w:val="1"/>
          <w:bCs w:val="1"/>
          <w:color w:val="FDB03F"/>
        </w:rPr>
        <w:t>Compensation Discussion and Analysis</w:t>
      </w:r>
      <w:r>
        <w:rPr>
          <w:rFonts w:ascii="Arial" w:cs="Arial" w:eastAsia="Arial" w:hAnsi="Arial"/>
          <w:sz w:val="18"/>
          <w:szCs w:val="18"/>
          <w:color w:val="auto"/>
        </w:rPr>
        <w:t xml:space="preserve"> on pages </w:t>
      </w:r>
      <w:r>
        <w:rPr>
          <w:rFonts w:ascii="Arial" w:cs="Arial" w:eastAsia="Arial" w:hAnsi="Arial"/>
          <w:sz w:val="18"/>
          <w:szCs w:val="18"/>
          <w:b w:val="1"/>
          <w:bCs w:val="1"/>
          <w:color w:val="FDB03F"/>
        </w:rPr>
        <w:t>33-56,</w:t>
      </w:r>
      <w:r>
        <w:rPr>
          <w:rFonts w:ascii="Arial" w:cs="Arial" w:eastAsia="Arial" w:hAnsi="Arial"/>
          <w:sz w:val="18"/>
          <w:szCs w:val="18"/>
          <w:color w:val="auto"/>
        </w:rPr>
        <w:t xml:space="preserve"> along with the </w:t>
      </w:r>
      <w:r>
        <w:rPr>
          <w:rFonts w:ascii="Arial" w:cs="Arial" w:eastAsia="Arial" w:hAnsi="Arial"/>
          <w:sz w:val="18"/>
          <w:szCs w:val="18"/>
          <w:b w:val="1"/>
          <w:bCs w:val="1"/>
          <w:color w:val="FDB03F"/>
        </w:rPr>
        <w:t>compensation tables</w:t>
      </w:r>
      <w:r>
        <w:rPr>
          <w:rFonts w:ascii="Arial" w:cs="Arial" w:eastAsia="Arial" w:hAnsi="Arial"/>
          <w:sz w:val="18"/>
          <w:szCs w:val="18"/>
          <w:color w:val="auto"/>
        </w:rPr>
        <w:t xml:space="preserve"> on pages </w:t>
      </w:r>
      <w:r>
        <w:rPr>
          <w:rFonts w:ascii="Arial" w:cs="Arial" w:eastAsia="Arial" w:hAnsi="Arial"/>
          <w:sz w:val="18"/>
          <w:szCs w:val="18"/>
          <w:b w:val="1"/>
          <w:bCs w:val="1"/>
          <w:color w:val="FDB03F"/>
        </w:rPr>
        <w:t>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181610</wp:posOffset>
            </wp:positionV>
            <wp:extent cx="5908675"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0867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is Shareowner Feedback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UTC values and considers shareowner opinions when making executive compensation decisions. Over the years, shareowner input has substantially contributed to our executive compensation program’s Guiding Principles, which can be found on page 34 of this Proxy Statement. We actively engage in annual discussions with investors on executive compensation matters. The Compensation Committee uses this feedback in its annual evaluation and management of our program. Shareowner feedback also is reflected in our ongoing effort to enhance the clarity and transparency of the compensation disclosures in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Why Should I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executive compensation program is structured to advance its fundamental objective: aligning our executives’ compensation with the long-term interests of UTC shareowners. Our program is designed to reward financial performance and effective strategic leadership, key elements in building sustainable shareowner value. The performance metrics used in our incentive plans align with shareowner interests by correlating the timing and amount of actual payouts to our short-, medium- and long-term performance. Compensation opportunities are structured to reward the appropriate balance of financial, strategic and operational business results, and to require ethical and responsible conduct in pursuit of these goals. The Board and its Compensation Committee believe that UTC’s executive compensation program has effectively aligned pay with performance, while facilitating the retention of highly talented executives who are critical to our long-term success.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that shareowners vote FOR the following resolution:</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“RESOLVED, that the compensation of UTC’s NEOs, as disclosed pursuant to the compensation disclosure rules of the Securities and Exchange Commission, including the Compensation Discussion and Analysis, compensation tables and related information provided in this Proxy Statement, is hereby APPROVED on an advisory basis.”</w:t>
      </w:r>
    </w:p>
    <w:p>
      <w:pPr>
        <w:spacing w:after="0" w:line="20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As a matter of law, the approval or disapproval of this Proposal 2 may not be construed as overruling any decision by UTC or the Board, or as imposing any duty or obligation on UTC, the Board or any individual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789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78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FFFFFF"/>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80" w:hanging="628"/>
        <w:spacing w:after="0"/>
        <w:tabs>
          <w:tab w:leader="none" w:pos="880" w:val="left"/>
        </w:tabs>
        <w:numPr>
          <w:ilvl w:val="0"/>
          <w:numId w:val="104"/>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Discussion and Analysis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Borders>
              <w:bottom w:val="single" w:sz="8" w:color="0E93D8"/>
            </w:tcBorders>
            <w:gridSpan w:val="3"/>
          </w:tcPr>
          <w:p>
            <w:pPr>
              <w:spacing w:after="0"/>
              <w:rPr>
                <w:rFonts w:ascii="Arial" w:cs="Arial" w:eastAsia="Arial" w:hAnsi="Arial"/>
                <w:sz w:val="14"/>
                <w:szCs w:val="14"/>
                <w:b w:val="1"/>
                <w:bCs w:val="1"/>
                <w:color w:val="0E93D8"/>
                <w:w w:val="96"/>
              </w:rPr>
            </w:pPr>
            <w:hyperlink w:anchor="page38">
              <w:r>
                <w:rPr>
                  <w:rFonts w:ascii="Arial" w:cs="Arial" w:eastAsia="Arial" w:hAnsi="Arial"/>
                  <w:sz w:val="14"/>
                  <w:szCs w:val="14"/>
                  <w:b w:val="1"/>
                  <w:bCs w:val="1"/>
                  <w:color w:val="0E93D8"/>
                  <w:w w:val="96"/>
                </w:rPr>
                <w:t>Executive Summary</w:t>
              </w:r>
            </w:hyperlink>
          </w:p>
        </w:tc>
        <w:tc>
          <w:tcPr>
            <w:tcW w:w="2680" w:type="dxa"/>
            <w:vAlign w:val="bottom"/>
            <w:gridSpan w:val="8"/>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0E93D8"/>
            </w:tcBorders>
          </w:tcPr>
          <w:p>
            <w:pPr>
              <w:jc w:val="right"/>
              <w:spacing w:after="0"/>
              <w:rPr>
                <w:rFonts w:ascii="Arial" w:cs="Arial" w:eastAsia="Arial" w:hAnsi="Arial"/>
                <w:sz w:val="14"/>
                <w:szCs w:val="14"/>
                <w:b w:val="1"/>
                <w:bCs w:val="1"/>
                <w:color w:val="0E93D8"/>
                <w:w w:val="89"/>
              </w:rPr>
            </w:pPr>
            <w:hyperlink w:anchor="page38">
              <w:r>
                <w:rPr>
                  <w:rFonts w:ascii="Arial" w:cs="Arial" w:eastAsia="Arial" w:hAnsi="Arial"/>
                  <w:sz w:val="14"/>
                  <w:szCs w:val="14"/>
                  <w:b w:val="1"/>
                  <w:bCs w:val="1"/>
                  <w:color w:val="0E93D8"/>
                  <w:w w:val="89"/>
                </w:rPr>
                <w:t>33</w:t>
              </w:r>
            </w:hyperlink>
          </w:p>
        </w:tc>
        <w:tc>
          <w:tcPr>
            <w:tcW w:w="460" w:type="dxa"/>
            <w:vAlign w:val="bottom"/>
          </w:tcPr>
          <w:p>
            <w:pPr>
              <w:spacing w:after="0"/>
              <w:rPr>
                <w:sz w:val="14"/>
                <w:szCs w:val="14"/>
                <w:color w:val="auto"/>
              </w:rPr>
            </w:pPr>
          </w:p>
        </w:tc>
        <w:tc>
          <w:tcPr>
            <w:tcW w:w="220" w:type="dxa"/>
            <w:vAlign w:val="bottom"/>
            <w:tcBorders>
              <w:left w:val="single" w:sz="8" w:color="FDB03F"/>
            </w:tcBorders>
          </w:tcPr>
          <w:p>
            <w:pPr>
              <w:spacing w:after="0"/>
              <w:rPr>
                <w:sz w:val="14"/>
                <w:szCs w:val="14"/>
                <w:color w:val="auto"/>
              </w:rPr>
            </w:pPr>
          </w:p>
        </w:tc>
        <w:tc>
          <w:tcPr>
            <w:tcW w:w="5260" w:type="dxa"/>
            <w:vAlign w:val="bottom"/>
            <w:gridSpan w:val="4"/>
          </w:tcPr>
          <w:p>
            <w:pPr>
              <w:ind w:left="80"/>
              <w:spacing w:after="0"/>
              <w:rPr>
                <w:sz w:val="20"/>
                <w:szCs w:val="20"/>
                <w:color w:val="auto"/>
              </w:rPr>
            </w:pPr>
            <w:r>
              <w:rPr>
                <w:rFonts w:ascii="Arial" w:cs="Arial" w:eastAsia="Arial" w:hAnsi="Arial"/>
                <w:sz w:val="14"/>
                <w:szCs w:val="14"/>
                <w:color w:val="0E93D8"/>
              </w:rPr>
              <w:t>2018 NAMED EXECUTIVE OFFICERS</w:t>
            </w:r>
          </w:p>
        </w:tc>
        <w:tc>
          <w:tcPr>
            <w:tcW w:w="0" w:type="dxa"/>
            <w:vAlign w:val="bottom"/>
          </w:tcPr>
          <w:p>
            <w:pPr>
              <w:spacing w:after="0"/>
              <w:rPr>
                <w:sz w:val="1"/>
                <w:szCs w:val="1"/>
                <w:color w:val="auto"/>
              </w:rPr>
            </w:pPr>
          </w:p>
        </w:tc>
      </w:tr>
      <w:tr>
        <w:trPr>
          <w:trHeight w:val="102"/>
        </w:trPr>
        <w:tc>
          <w:tcPr>
            <w:tcW w:w="1860" w:type="dxa"/>
            <w:vAlign w:val="bottom"/>
            <w:gridSpan w:val="5"/>
            <w:vMerge w:val="restart"/>
          </w:tcPr>
          <w:p>
            <w:pPr>
              <w:spacing w:after="0"/>
              <w:rPr>
                <w:rFonts w:ascii="Arial" w:cs="Arial" w:eastAsia="Arial" w:hAnsi="Arial"/>
                <w:sz w:val="14"/>
                <w:szCs w:val="14"/>
                <w:b w:val="1"/>
                <w:bCs w:val="1"/>
                <w:color w:val="0E93D8"/>
                <w:w w:val="95"/>
              </w:rPr>
            </w:pPr>
            <w:hyperlink w:anchor="page43">
              <w:r>
                <w:rPr>
                  <w:rFonts w:ascii="Arial" w:cs="Arial" w:eastAsia="Arial" w:hAnsi="Arial"/>
                  <w:sz w:val="14"/>
                  <w:szCs w:val="14"/>
                  <w:b w:val="1"/>
                  <w:bCs w:val="1"/>
                  <w:color w:val="0E93D8"/>
                  <w:w w:val="95"/>
                </w:rPr>
                <w:t>How We Make Pay Decisions</w:t>
              </w:r>
            </w:hyperlink>
          </w:p>
        </w:tc>
        <w:tc>
          <w:tcPr>
            <w:tcW w:w="2120" w:type="dxa"/>
            <w:vAlign w:val="bottom"/>
            <w:gridSpan w:val="6"/>
            <w:vMerge w:val="restart"/>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left w:val="single" w:sz="8" w:color="FDB03F"/>
            </w:tcBorders>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860" w:type="dxa"/>
            <w:vAlign w:val="bottom"/>
            <w:tcBorders>
              <w:bottom w:val="single" w:sz="8" w:color="0E93D8"/>
            </w:tcBorders>
            <w:gridSpan w:val="5"/>
            <w:vMerge w:val="continue"/>
          </w:tcPr>
          <w:p>
            <w:pPr>
              <w:spacing w:after="0"/>
              <w:rPr>
                <w:sz w:val="7"/>
                <w:szCs w:val="7"/>
                <w:color w:val="auto"/>
              </w:rPr>
            </w:pPr>
          </w:p>
        </w:tc>
        <w:tc>
          <w:tcPr>
            <w:tcW w:w="2120" w:type="dxa"/>
            <w:vAlign w:val="bottom"/>
            <w:gridSpan w:val="6"/>
            <w:vMerge w:val="continue"/>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Borders>
              <w:left w:val="single" w:sz="8" w:color="FDB03F"/>
            </w:tcBorders>
          </w:tcPr>
          <w:p>
            <w:pPr>
              <w:spacing w:after="0"/>
              <w:rPr>
                <w:sz w:val="7"/>
                <w:szCs w:val="7"/>
                <w:color w:val="auto"/>
              </w:rPr>
            </w:pPr>
          </w:p>
        </w:tc>
        <w:tc>
          <w:tcPr>
            <w:tcW w:w="1760" w:type="dxa"/>
            <w:vAlign w:val="bottom"/>
            <w:tcBorders>
              <w:bottom w:val="single" w:sz="8" w:color="EDF4FA"/>
            </w:tcBorders>
            <w:vMerge w:val="restart"/>
            <w:shd w:val="clear" w:color="auto" w:fill="EDF4FA"/>
          </w:tcPr>
          <w:p>
            <w:pPr>
              <w:ind w:left="80"/>
              <w:spacing w:after="0"/>
              <w:rPr>
                <w:sz w:val="20"/>
                <w:szCs w:val="20"/>
                <w:color w:val="auto"/>
              </w:rPr>
            </w:pPr>
            <w:r>
              <w:rPr>
                <w:rFonts w:ascii="Arial" w:cs="Arial" w:eastAsia="Arial" w:hAnsi="Arial"/>
                <w:sz w:val="14"/>
                <w:szCs w:val="14"/>
                <w:b w:val="1"/>
                <w:bCs w:val="1"/>
                <w:color w:val="0E93D8"/>
              </w:rPr>
              <w:t>GREGORY J. HAYES</w:t>
            </w:r>
          </w:p>
        </w:tc>
        <w:tc>
          <w:tcPr>
            <w:tcW w:w="420" w:type="dxa"/>
            <w:vAlign w:val="bottom"/>
          </w:tcPr>
          <w:p>
            <w:pPr>
              <w:spacing w:after="0"/>
              <w:rPr>
                <w:sz w:val="7"/>
                <w:szCs w:val="7"/>
                <w:color w:val="auto"/>
              </w:rPr>
            </w:pPr>
          </w:p>
        </w:tc>
        <w:tc>
          <w:tcPr>
            <w:tcW w:w="1320" w:type="dxa"/>
            <w:vAlign w:val="bottom"/>
            <w:tcBorders>
              <w:bottom w:val="single" w:sz="8" w:color="EDF4FA"/>
            </w:tcBorders>
            <w:vMerge w:val="restart"/>
            <w:shd w:val="clear" w:color="auto" w:fill="EDF4FA"/>
          </w:tcPr>
          <w:p>
            <w:pPr>
              <w:ind w:left="80"/>
              <w:spacing w:after="0"/>
              <w:rPr>
                <w:sz w:val="20"/>
                <w:szCs w:val="20"/>
                <w:color w:val="auto"/>
              </w:rPr>
            </w:pPr>
            <w:r>
              <w:rPr>
                <w:rFonts w:ascii="Arial" w:cs="Arial" w:eastAsia="Arial" w:hAnsi="Arial"/>
                <w:sz w:val="14"/>
                <w:szCs w:val="14"/>
                <w:b w:val="1"/>
                <w:bCs w:val="1"/>
                <w:color w:val="0E93D8"/>
                <w:w w:val="99"/>
              </w:rPr>
              <w:t>JUDITH F. MARKS</w:t>
            </w: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980" w:type="dxa"/>
            <w:vAlign w:val="bottom"/>
            <w:gridSpan w:val="11"/>
            <w:vMerge w:val="restart"/>
          </w:tcPr>
          <w:p>
            <w:pPr>
              <w:spacing w:after="0" w:line="129" w:lineRule="exact"/>
              <w:rPr>
                <w:rFonts w:ascii="Arial" w:cs="Arial" w:eastAsia="Arial" w:hAnsi="Arial"/>
                <w:sz w:val="14"/>
                <w:szCs w:val="14"/>
                <w:b w:val="1"/>
                <w:bCs w:val="1"/>
                <w:color w:val="0E93D8"/>
              </w:rPr>
            </w:pPr>
            <w:hyperlink w:anchor="page43">
              <w:r>
                <w:rPr>
                  <w:rFonts w:ascii="Arial" w:cs="Arial" w:eastAsia="Arial" w:hAnsi="Arial"/>
                  <w:sz w:val="14"/>
                  <w:szCs w:val="14"/>
                  <w:b w:val="1"/>
                  <w:bCs w:val="1"/>
                  <w:color w:val="0E93D8"/>
                </w:rPr>
                <w:t>and Assess Our Programs</w:t>
              </w:r>
            </w:hyperlink>
          </w:p>
        </w:tc>
        <w:tc>
          <w:tcPr>
            <w:tcW w:w="1960" w:type="dxa"/>
            <w:vAlign w:val="bottom"/>
            <w:gridSpan w:val="3"/>
            <w:vMerge w:val="restart"/>
          </w:tcPr>
          <w:p>
            <w:pPr>
              <w:jc w:val="right"/>
              <w:ind w:right="460"/>
              <w:spacing w:after="0" w:line="129" w:lineRule="exact"/>
              <w:rPr>
                <w:rFonts w:ascii="Arial" w:cs="Arial" w:eastAsia="Arial" w:hAnsi="Arial"/>
                <w:sz w:val="14"/>
                <w:szCs w:val="14"/>
                <w:b w:val="1"/>
                <w:bCs w:val="1"/>
                <w:color w:val="0E93D8"/>
              </w:rPr>
            </w:pPr>
            <w:hyperlink w:anchor="page43">
              <w:r>
                <w:rPr>
                  <w:rFonts w:ascii="Arial" w:cs="Arial" w:eastAsia="Arial" w:hAnsi="Arial"/>
                  <w:sz w:val="14"/>
                  <w:szCs w:val="14"/>
                  <w:b w:val="1"/>
                  <w:bCs w:val="1"/>
                  <w:color w:val="0E93D8"/>
                </w:rPr>
                <w:t>38</w:t>
              </w:r>
            </w:hyperlink>
          </w:p>
        </w:tc>
        <w:tc>
          <w:tcPr>
            <w:tcW w:w="220" w:type="dxa"/>
            <w:vAlign w:val="bottom"/>
            <w:tcBorders>
              <w:left w:val="single" w:sz="8" w:color="FDB03F"/>
            </w:tcBorders>
          </w:tcPr>
          <w:p>
            <w:pPr>
              <w:spacing w:after="0"/>
              <w:rPr>
                <w:sz w:val="8"/>
                <w:szCs w:val="8"/>
                <w:color w:val="auto"/>
              </w:rPr>
            </w:pPr>
          </w:p>
        </w:tc>
        <w:tc>
          <w:tcPr>
            <w:tcW w:w="1760" w:type="dxa"/>
            <w:vAlign w:val="bottom"/>
            <w:vMerge w:val="continue"/>
            <w:shd w:val="clear" w:color="auto" w:fill="EDF4FA"/>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vMerge w:val="continue"/>
            <w:shd w:val="clear" w:color="auto" w:fill="EDF4FA"/>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980" w:type="dxa"/>
            <w:vAlign w:val="bottom"/>
            <w:gridSpan w:val="11"/>
            <w:vMerge w:val="continue"/>
          </w:tcPr>
          <w:p>
            <w:pPr>
              <w:spacing w:after="0"/>
              <w:rPr>
                <w:sz w:val="2"/>
                <w:szCs w:val="2"/>
                <w:color w:val="auto"/>
              </w:rPr>
            </w:pPr>
          </w:p>
        </w:tc>
        <w:tc>
          <w:tcPr>
            <w:tcW w:w="1960" w:type="dxa"/>
            <w:vAlign w:val="bottom"/>
            <w:gridSpan w:val="3"/>
            <w:vMerge w:val="continue"/>
          </w:tcPr>
          <w:p>
            <w:pPr>
              <w:spacing w:after="0"/>
              <w:rPr>
                <w:sz w:val="2"/>
                <w:szCs w:val="2"/>
                <w:color w:val="auto"/>
              </w:rPr>
            </w:pPr>
          </w:p>
        </w:tc>
        <w:tc>
          <w:tcPr>
            <w:tcW w:w="220" w:type="dxa"/>
            <w:vAlign w:val="bottom"/>
            <w:tcBorders>
              <w:left w:val="single" w:sz="8" w:color="FDB03F"/>
            </w:tcBorders>
          </w:tcPr>
          <w:p>
            <w:pPr>
              <w:spacing w:after="0"/>
              <w:rPr>
                <w:sz w:val="2"/>
                <w:szCs w:val="2"/>
                <w:color w:val="auto"/>
              </w:rPr>
            </w:pP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Chairman &amp; CEO</w:t>
            </w:r>
          </w:p>
        </w:tc>
        <w:tc>
          <w:tcPr>
            <w:tcW w:w="420" w:type="dxa"/>
            <w:vAlign w:val="bottom"/>
          </w:tcPr>
          <w:p>
            <w:pPr>
              <w:spacing w:after="0"/>
              <w:rPr>
                <w:sz w:val="2"/>
                <w:szCs w:val="2"/>
                <w:color w:val="auto"/>
              </w:rPr>
            </w:pPr>
          </w:p>
        </w:tc>
        <w:tc>
          <w:tcPr>
            <w:tcW w:w="3080" w:type="dxa"/>
            <w:vAlign w:val="bottom"/>
            <w:gridSpan w:val="2"/>
            <w:vMerge w:val="restart"/>
          </w:tcPr>
          <w:p>
            <w:pPr>
              <w:ind w:left="80"/>
              <w:spacing w:after="0"/>
              <w:rPr>
                <w:sz w:val="20"/>
                <w:szCs w:val="20"/>
                <w:color w:val="auto"/>
              </w:rPr>
            </w:pPr>
            <w:r>
              <w:rPr>
                <w:rFonts w:ascii="Arial" w:cs="Arial" w:eastAsia="Arial" w:hAnsi="Arial"/>
                <w:sz w:val="14"/>
                <w:szCs w:val="14"/>
                <w:color w:val="auto"/>
              </w:rPr>
              <w:t>President, Otis</w:t>
            </w:r>
          </w:p>
        </w:tc>
        <w:tc>
          <w:tcPr>
            <w:tcW w:w="0" w:type="dxa"/>
            <w:vAlign w:val="bottom"/>
          </w:tcPr>
          <w:p>
            <w:pPr>
              <w:spacing w:after="0" w:line="20" w:lineRule="exact"/>
              <w:rPr>
                <w:sz w:val="1"/>
                <w:szCs w:val="1"/>
                <w:color w:val="auto"/>
              </w:rPr>
            </w:pPr>
          </w:p>
        </w:tc>
      </w:tr>
      <w:tr>
        <w:trPr>
          <w:trHeight w:val="20"/>
        </w:trPr>
        <w:tc>
          <w:tcPr>
            <w:tcW w:w="880" w:type="dxa"/>
            <w:vAlign w:val="bottom"/>
            <w:shd w:val="clear" w:color="auto" w:fill="0E93D8"/>
          </w:tcPr>
          <w:p>
            <w:pPr>
              <w:spacing w:after="0" w:line="20" w:lineRule="exact"/>
              <w:rPr>
                <w:sz w:val="1"/>
                <w:szCs w:val="1"/>
                <w:color w:val="auto"/>
              </w:rPr>
            </w:pPr>
          </w:p>
        </w:tc>
        <w:tc>
          <w:tcPr>
            <w:tcW w:w="340" w:type="dxa"/>
            <w:vAlign w:val="bottom"/>
            <w:shd w:val="clear" w:color="auto" w:fill="0E93D8"/>
          </w:tcPr>
          <w:p>
            <w:pPr>
              <w:spacing w:after="0" w:line="20" w:lineRule="exact"/>
              <w:rPr>
                <w:sz w:val="1"/>
                <w:szCs w:val="1"/>
                <w:color w:val="auto"/>
              </w:rPr>
            </w:pPr>
          </w:p>
        </w:tc>
        <w:tc>
          <w:tcPr>
            <w:tcW w:w="80" w:type="dxa"/>
            <w:vAlign w:val="bottom"/>
            <w:shd w:val="clear" w:color="auto" w:fill="0E93D8"/>
          </w:tcPr>
          <w:p>
            <w:pPr>
              <w:spacing w:after="0" w:line="20" w:lineRule="exact"/>
              <w:rPr>
                <w:sz w:val="1"/>
                <w:szCs w:val="1"/>
                <w:color w:val="auto"/>
              </w:rPr>
            </w:pPr>
          </w:p>
        </w:tc>
        <w:tc>
          <w:tcPr>
            <w:tcW w:w="400" w:type="dxa"/>
            <w:vAlign w:val="bottom"/>
            <w:shd w:val="clear" w:color="auto" w:fill="0E93D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E93D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left w:val="single" w:sz="8" w:color="FDB03F"/>
            </w:tcBorders>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gridSpan w:val="10"/>
            <w:vMerge w:val="restart"/>
          </w:tcPr>
          <w:p>
            <w:pPr>
              <w:spacing w:after="0"/>
              <w:rPr>
                <w:rFonts w:ascii="Arial" w:cs="Arial" w:eastAsia="Arial" w:hAnsi="Arial"/>
                <w:sz w:val="14"/>
                <w:szCs w:val="14"/>
                <w:b w:val="1"/>
                <w:bCs w:val="1"/>
                <w:color w:val="0E93D8"/>
                <w:w w:val="96"/>
              </w:rPr>
            </w:pPr>
            <w:hyperlink w:anchor="page46">
              <w:r>
                <w:rPr>
                  <w:rFonts w:ascii="Arial" w:cs="Arial" w:eastAsia="Arial" w:hAnsi="Arial"/>
                  <w:sz w:val="14"/>
                  <w:szCs w:val="14"/>
                  <w:b w:val="1"/>
                  <w:bCs w:val="1"/>
                  <w:color w:val="0E93D8"/>
                  <w:w w:val="96"/>
                </w:rPr>
                <w:t>Our Principal Elements of Compensation</w:t>
              </w:r>
            </w:hyperlink>
          </w:p>
        </w:tc>
        <w:tc>
          <w:tcPr>
            <w:tcW w:w="1340" w:type="dxa"/>
            <w:vAlign w:val="bottom"/>
            <w:vMerge w:val="restart"/>
          </w:tcPr>
          <w:p>
            <w:pPr>
              <w:spacing w:after="0"/>
              <w:rPr>
                <w:sz w:val="12"/>
                <w:szCs w:val="12"/>
                <w:color w:val="auto"/>
              </w:rPr>
            </w:pPr>
          </w:p>
        </w:tc>
        <w:tc>
          <w:tcPr>
            <w:tcW w:w="1340" w:type="dxa"/>
            <w:vAlign w:val="bottom"/>
            <w:vMerge w:val="restart"/>
          </w:tcPr>
          <w:p>
            <w:pPr>
              <w:spacing w:after="0"/>
              <w:rPr>
                <w:sz w:val="12"/>
                <w:szCs w:val="12"/>
                <w:color w:val="auto"/>
              </w:rPr>
            </w:pPr>
          </w:p>
        </w:tc>
        <w:tc>
          <w:tcPr>
            <w:tcW w:w="160" w:type="dxa"/>
            <w:vAlign w:val="bottom"/>
            <w:vMerge w:val="restart"/>
          </w:tcPr>
          <w:p>
            <w:pPr>
              <w:jc w:val="right"/>
              <w:spacing w:after="0"/>
              <w:rPr>
                <w:rFonts w:ascii="Arial" w:cs="Arial" w:eastAsia="Arial" w:hAnsi="Arial"/>
                <w:sz w:val="14"/>
                <w:szCs w:val="14"/>
                <w:b w:val="1"/>
                <w:bCs w:val="1"/>
                <w:color w:val="0E93D8"/>
                <w:w w:val="89"/>
              </w:rPr>
            </w:pPr>
            <w:hyperlink w:anchor="page46">
              <w:r>
                <w:rPr>
                  <w:rFonts w:ascii="Arial" w:cs="Arial" w:eastAsia="Arial" w:hAnsi="Arial"/>
                  <w:sz w:val="14"/>
                  <w:szCs w:val="14"/>
                  <w:b w:val="1"/>
                  <w:bCs w:val="1"/>
                  <w:color w:val="0E93D8"/>
                  <w:w w:val="89"/>
                </w:rPr>
                <w:t>41</w:t>
              </w:r>
            </w:hyperlink>
          </w:p>
        </w:tc>
        <w:tc>
          <w:tcPr>
            <w:tcW w:w="460" w:type="dxa"/>
            <w:vAlign w:val="bottom"/>
            <w:vMerge w:val="restart"/>
          </w:tcPr>
          <w:p>
            <w:pPr>
              <w:spacing w:after="0"/>
              <w:rPr>
                <w:sz w:val="12"/>
                <w:szCs w:val="12"/>
                <w:color w:val="auto"/>
              </w:rPr>
            </w:pPr>
          </w:p>
        </w:tc>
        <w:tc>
          <w:tcPr>
            <w:tcW w:w="220" w:type="dxa"/>
            <w:vAlign w:val="bottom"/>
            <w:tcBorders>
              <w:left w:val="single" w:sz="8" w:color="FDB03F"/>
            </w:tcBorders>
          </w:tcPr>
          <w:p>
            <w:pPr>
              <w:spacing w:after="0"/>
              <w:rPr>
                <w:sz w:val="12"/>
                <w:szCs w:val="12"/>
                <w:color w:val="auto"/>
              </w:rPr>
            </w:pPr>
          </w:p>
        </w:tc>
        <w:tc>
          <w:tcPr>
            <w:tcW w:w="17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640" w:type="dxa"/>
            <w:vAlign w:val="bottom"/>
            <w:tcBorders>
              <w:bottom w:val="single" w:sz="8" w:color="0E93D8"/>
            </w:tcBorders>
            <w:gridSpan w:val="10"/>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60" w:type="dxa"/>
            <w:vAlign w:val="bottom"/>
            <w:tcBorders>
              <w:bottom w:val="single" w:sz="8" w:color="0E93D8"/>
            </w:tcBorders>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Borders>
              <w:left w:val="single" w:sz="8" w:color="FDB03F"/>
            </w:tcBorders>
          </w:tcPr>
          <w:p>
            <w:pPr>
              <w:spacing w:after="0"/>
              <w:rPr>
                <w:sz w:val="3"/>
                <w:szCs w:val="3"/>
                <w:color w:val="auto"/>
              </w:rPr>
            </w:pPr>
          </w:p>
        </w:tc>
        <w:tc>
          <w:tcPr>
            <w:tcW w:w="1760" w:type="dxa"/>
            <w:vAlign w:val="bottom"/>
            <w:tcBorders>
              <w:bottom w:val="single" w:sz="8" w:color="EDF4FA"/>
            </w:tcBorders>
            <w:vMerge w:val="restart"/>
            <w:shd w:val="clear" w:color="auto" w:fill="EDF4FA"/>
          </w:tcPr>
          <w:p>
            <w:pPr>
              <w:ind w:left="80"/>
              <w:spacing w:after="0"/>
              <w:rPr>
                <w:sz w:val="20"/>
                <w:szCs w:val="20"/>
                <w:color w:val="auto"/>
              </w:rPr>
            </w:pPr>
            <w:r>
              <w:rPr>
                <w:rFonts w:ascii="Arial" w:cs="Arial" w:eastAsia="Arial" w:hAnsi="Arial"/>
                <w:sz w:val="14"/>
                <w:szCs w:val="14"/>
                <w:b w:val="1"/>
                <w:bCs w:val="1"/>
                <w:color w:val="0E93D8"/>
              </w:rPr>
              <w:t>AKHIL JOHRI</w:t>
            </w:r>
          </w:p>
        </w:tc>
        <w:tc>
          <w:tcPr>
            <w:tcW w:w="420" w:type="dxa"/>
            <w:vAlign w:val="bottom"/>
          </w:tcPr>
          <w:p>
            <w:pPr>
              <w:spacing w:after="0"/>
              <w:rPr>
                <w:sz w:val="3"/>
                <w:szCs w:val="3"/>
                <w:color w:val="auto"/>
              </w:rPr>
            </w:pPr>
          </w:p>
        </w:tc>
        <w:tc>
          <w:tcPr>
            <w:tcW w:w="1320" w:type="dxa"/>
            <w:vAlign w:val="bottom"/>
            <w:tcBorders>
              <w:bottom w:val="single" w:sz="8" w:color="EDF4FA"/>
            </w:tcBorders>
            <w:vMerge w:val="restart"/>
            <w:shd w:val="clear" w:color="auto" w:fill="EDF4FA"/>
          </w:tcPr>
          <w:p>
            <w:pPr>
              <w:ind w:left="80"/>
              <w:spacing w:after="0"/>
              <w:rPr>
                <w:sz w:val="20"/>
                <w:szCs w:val="20"/>
                <w:color w:val="auto"/>
              </w:rPr>
            </w:pPr>
            <w:r>
              <w:rPr>
                <w:rFonts w:ascii="Arial" w:cs="Arial" w:eastAsia="Arial" w:hAnsi="Arial"/>
                <w:sz w:val="14"/>
                <w:szCs w:val="14"/>
                <w:b w:val="1"/>
                <w:bCs w:val="1"/>
                <w:color w:val="0E93D8"/>
              </w:rPr>
              <w:t>DAVID L. GITLIN</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20" w:type="dxa"/>
            <w:vAlign w:val="bottom"/>
            <w:gridSpan w:val="2"/>
            <w:vMerge w:val="restart"/>
          </w:tcPr>
          <w:p>
            <w:pPr>
              <w:spacing w:after="0"/>
              <w:rPr>
                <w:rFonts w:ascii="Arial" w:cs="Arial" w:eastAsia="Arial" w:hAnsi="Arial"/>
                <w:sz w:val="14"/>
                <w:szCs w:val="14"/>
                <w:b w:val="1"/>
                <w:bCs w:val="1"/>
                <w:color w:val="0E93D8"/>
                <w:w w:val="95"/>
              </w:rPr>
            </w:pPr>
            <w:hyperlink w:anchor="page51">
              <w:r>
                <w:rPr>
                  <w:rFonts w:ascii="Arial" w:cs="Arial" w:eastAsia="Arial" w:hAnsi="Arial"/>
                  <w:sz w:val="14"/>
                  <w:szCs w:val="14"/>
                  <w:b w:val="1"/>
                  <w:bCs w:val="1"/>
                  <w:color w:val="0E93D8"/>
                  <w:w w:val="95"/>
                </w:rPr>
                <w:t>CEO Pay Overview</w:t>
              </w:r>
            </w:hyperlink>
          </w:p>
        </w:tc>
        <w:tc>
          <w:tcPr>
            <w:tcW w:w="2760" w:type="dxa"/>
            <w:vAlign w:val="bottom"/>
            <w:gridSpan w:val="9"/>
            <w:vMerge w:val="restart"/>
          </w:tcPr>
          <w:p>
            <w:pPr>
              <w:spacing w:after="0"/>
              <w:rPr>
                <w:sz w:val="13"/>
                <w:szCs w:val="13"/>
                <w:color w:val="auto"/>
              </w:rPr>
            </w:pPr>
          </w:p>
        </w:tc>
        <w:tc>
          <w:tcPr>
            <w:tcW w:w="1340" w:type="dxa"/>
            <w:vAlign w:val="bottom"/>
            <w:vMerge w:val="restart"/>
          </w:tcPr>
          <w:p>
            <w:pPr>
              <w:spacing w:after="0"/>
              <w:rPr>
                <w:sz w:val="13"/>
                <w:szCs w:val="13"/>
                <w:color w:val="auto"/>
              </w:rPr>
            </w:pPr>
          </w:p>
        </w:tc>
        <w:tc>
          <w:tcPr>
            <w:tcW w:w="160" w:type="dxa"/>
            <w:vAlign w:val="bottom"/>
            <w:vMerge w:val="restart"/>
          </w:tcPr>
          <w:p>
            <w:pPr>
              <w:jc w:val="right"/>
              <w:spacing w:after="0"/>
              <w:rPr>
                <w:rFonts w:ascii="Arial" w:cs="Arial" w:eastAsia="Arial" w:hAnsi="Arial"/>
                <w:sz w:val="14"/>
                <w:szCs w:val="14"/>
                <w:b w:val="1"/>
                <w:bCs w:val="1"/>
                <w:color w:val="0E93D8"/>
                <w:w w:val="89"/>
              </w:rPr>
            </w:pPr>
            <w:hyperlink w:anchor="page51">
              <w:r>
                <w:rPr>
                  <w:rFonts w:ascii="Arial" w:cs="Arial" w:eastAsia="Arial" w:hAnsi="Arial"/>
                  <w:sz w:val="14"/>
                  <w:szCs w:val="14"/>
                  <w:b w:val="1"/>
                  <w:bCs w:val="1"/>
                  <w:color w:val="0E93D8"/>
                  <w:w w:val="89"/>
                </w:rPr>
                <w:t>46</w:t>
              </w:r>
            </w:hyperlink>
          </w:p>
        </w:tc>
        <w:tc>
          <w:tcPr>
            <w:tcW w:w="460" w:type="dxa"/>
            <w:vAlign w:val="bottom"/>
            <w:vMerge w:val="restart"/>
          </w:tcPr>
          <w:p>
            <w:pPr>
              <w:spacing w:after="0"/>
              <w:rPr>
                <w:sz w:val="13"/>
                <w:szCs w:val="13"/>
                <w:color w:val="auto"/>
              </w:rPr>
            </w:pPr>
          </w:p>
        </w:tc>
        <w:tc>
          <w:tcPr>
            <w:tcW w:w="220" w:type="dxa"/>
            <w:vAlign w:val="bottom"/>
            <w:tcBorders>
              <w:left w:val="single" w:sz="8" w:color="FDB03F"/>
            </w:tcBorders>
          </w:tcPr>
          <w:p>
            <w:pPr>
              <w:spacing w:after="0"/>
              <w:rPr>
                <w:sz w:val="13"/>
                <w:szCs w:val="13"/>
                <w:color w:val="auto"/>
              </w:rPr>
            </w:pPr>
          </w:p>
        </w:tc>
        <w:tc>
          <w:tcPr>
            <w:tcW w:w="1760" w:type="dxa"/>
            <w:vAlign w:val="bottom"/>
            <w:vMerge w:val="continue"/>
            <w:shd w:val="clear" w:color="auto" w:fill="EDF4FA"/>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continue"/>
            <w:shd w:val="clear" w:color="auto" w:fill="EDF4FA"/>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220" w:type="dxa"/>
            <w:vAlign w:val="bottom"/>
            <w:tcBorders>
              <w:bottom w:val="single" w:sz="8" w:color="0E93D8"/>
            </w:tcBorders>
            <w:gridSpan w:val="2"/>
            <w:vMerge w:val="continue"/>
          </w:tcPr>
          <w:p>
            <w:pPr>
              <w:spacing w:after="0"/>
              <w:rPr>
                <w:sz w:val="2"/>
                <w:szCs w:val="2"/>
                <w:color w:val="auto"/>
              </w:rPr>
            </w:pPr>
          </w:p>
        </w:tc>
        <w:tc>
          <w:tcPr>
            <w:tcW w:w="2760" w:type="dxa"/>
            <w:vAlign w:val="bottom"/>
            <w:gridSpan w:val="9"/>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60" w:type="dxa"/>
            <w:vAlign w:val="bottom"/>
            <w:tcBorders>
              <w:bottom w:val="single" w:sz="8" w:color="0E93D8"/>
            </w:tcBorders>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220" w:type="dxa"/>
            <w:vAlign w:val="bottom"/>
            <w:tcBorders>
              <w:left w:val="single" w:sz="8" w:color="FDB03F"/>
            </w:tcBorders>
          </w:tcPr>
          <w:p>
            <w:pPr>
              <w:spacing w:after="0"/>
              <w:rPr>
                <w:sz w:val="2"/>
                <w:szCs w:val="2"/>
                <w:color w:val="auto"/>
              </w:rPr>
            </w:pP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w w:val="98"/>
              </w:rPr>
              <w:t>Executive Vice President &amp;</w:t>
            </w:r>
          </w:p>
        </w:tc>
        <w:tc>
          <w:tcPr>
            <w:tcW w:w="420" w:type="dxa"/>
            <w:vAlign w:val="bottom"/>
          </w:tcPr>
          <w:p>
            <w:pPr>
              <w:spacing w:after="0"/>
              <w:rPr>
                <w:sz w:val="2"/>
                <w:szCs w:val="2"/>
                <w:color w:val="auto"/>
              </w:rPr>
            </w:pPr>
          </w:p>
        </w:tc>
        <w:tc>
          <w:tcPr>
            <w:tcW w:w="3080" w:type="dxa"/>
            <w:vAlign w:val="bottom"/>
            <w:gridSpan w:val="2"/>
            <w:vMerge w:val="restart"/>
          </w:tcPr>
          <w:p>
            <w:pPr>
              <w:ind w:left="80"/>
              <w:spacing w:after="0"/>
              <w:rPr>
                <w:sz w:val="20"/>
                <w:szCs w:val="20"/>
                <w:color w:val="auto"/>
              </w:rPr>
            </w:pPr>
            <w:r>
              <w:rPr>
                <w:rFonts w:ascii="Arial" w:cs="Arial" w:eastAsia="Arial" w:hAnsi="Arial"/>
                <w:sz w:val="14"/>
                <w:szCs w:val="14"/>
                <w:color w:val="auto"/>
              </w:rPr>
              <w:t>President &amp; Chief</w:t>
            </w:r>
          </w:p>
        </w:tc>
        <w:tc>
          <w:tcPr>
            <w:tcW w:w="0" w:type="dxa"/>
            <w:vAlign w:val="bottom"/>
          </w:tcPr>
          <w:p>
            <w:pPr>
              <w:spacing w:after="0"/>
              <w:rPr>
                <w:sz w:val="1"/>
                <w:szCs w:val="1"/>
                <w:color w:val="auto"/>
              </w:rPr>
            </w:pPr>
          </w:p>
        </w:tc>
      </w:tr>
      <w:tr>
        <w:trPr>
          <w:trHeight w:val="128"/>
        </w:trPr>
        <w:tc>
          <w:tcPr>
            <w:tcW w:w="3980" w:type="dxa"/>
            <w:vAlign w:val="bottom"/>
            <w:gridSpan w:val="11"/>
            <w:vMerge w:val="restart"/>
          </w:tcPr>
          <w:p>
            <w:pPr>
              <w:spacing w:after="0"/>
              <w:rPr>
                <w:rFonts w:ascii="Arial" w:cs="Arial" w:eastAsia="Arial" w:hAnsi="Arial"/>
                <w:sz w:val="14"/>
                <w:szCs w:val="14"/>
                <w:b w:val="1"/>
                <w:bCs w:val="1"/>
                <w:color w:val="0E93D8"/>
              </w:rPr>
            </w:pPr>
            <w:hyperlink w:anchor="page53">
              <w:r>
                <w:rPr>
                  <w:rFonts w:ascii="Arial" w:cs="Arial" w:eastAsia="Arial" w:hAnsi="Arial"/>
                  <w:sz w:val="14"/>
                  <w:szCs w:val="14"/>
                  <w:b w:val="1"/>
                  <w:bCs w:val="1"/>
                  <w:color w:val="0E93D8"/>
                </w:rPr>
                <w:t>How We Assess Pay-for-Performance</w:t>
              </w:r>
            </w:hyperlink>
          </w:p>
        </w:tc>
        <w:tc>
          <w:tcPr>
            <w:tcW w:w="1960" w:type="dxa"/>
            <w:vAlign w:val="bottom"/>
            <w:gridSpan w:val="3"/>
            <w:vMerge w:val="restart"/>
          </w:tcPr>
          <w:p>
            <w:pPr>
              <w:jc w:val="right"/>
              <w:ind w:right="460"/>
              <w:spacing w:after="0"/>
              <w:rPr>
                <w:rFonts w:ascii="Arial" w:cs="Arial" w:eastAsia="Arial" w:hAnsi="Arial"/>
                <w:sz w:val="14"/>
                <w:szCs w:val="14"/>
                <w:b w:val="1"/>
                <w:bCs w:val="1"/>
                <w:color w:val="0E93D8"/>
              </w:rPr>
            </w:pPr>
            <w:hyperlink w:anchor="page53">
              <w:r>
                <w:rPr>
                  <w:rFonts w:ascii="Arial" w:cs="Arial" w:eastAsia="Arial" w:hAnsi="Arial"/>
                  <w:sz w:val="14"/>
                  <w:szCs w:val="14"/>
                  <w:b w:val="1"/>
                  <w:bCs w:val="1"/>
                  <w:color w:val="0E93D8"/>
                </w:rPr>
                <w:t>48</w:t>
              </w:r>
            </w:hyperlink>
          </w:p>
        </w:tc>
        <w:tc>
          <w:tcPr>
            <w:tcW w:w="220" w:type="dxa"/>
            <w:vAlign w:val="bottom"/>
            <w:tcBorders>
              <w:left w:val="single" w:sz="8" w:color="FDB03F"/>
            </w:tcBorders>
          </w:tcPr>
          <w:p>
            <w:pPr>
              <w:spacing w:after="0"/>
              <w:rPr>
                <w:sz w:val="11"/>
                <w:szCs w:val="11"/>
                <w:color w:val="auto"/>
              </w:rPr>
            </w:pPr>
          </w:p>
        </w:tc>
        <w:tc>
          <w:tcPr>
            <w:tcW w:w="17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3980" w:type="dxa"/>
            <w:vAlign w:val="bottom"/>
            <w:gridSpan w:val="11"/>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220" w:type="dxa"/>
            <w:vAlign w:val="bottom"/>
            <w:tcBorders>
              <w:left w:val="single" w:sz="8" w:color="FDB03F"/>
            </w:tcBorders>
          </w:tcPr>
          <w:p>
            <w:pPr>
              <w:spacing w:after="0"/>
              <w:rPr>
                <w:sz w:val="4"/>
                <w:szCs w:val="4"/>
                <w:color w:val="auto"/>
              </w:rPr>
            </w:pPr>
          </w:p>
        </w:tc>
        <w:tc>
          <w:tcPr>
            <w:tcW w:w="176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Chief Financial Officer</w:t>
            </w:r>
          </w:p>
        </w:tc>
        <w:tc>
          <w:tcPr>
            <w:tcW w:w="420" w:type="dxa"/>
            <w:vAlign w:val="bottom"/>
          </w:tcPr>
          <w:p>
            <w:pPr>
              <w:spacing w:after="0"/>
              <w:rPr>
                <w:sz w:val="4"/>
                <w:szCs w:val="4"/>
                <w:color w:val="auto"/>
              </w:rPr>
            </w:pPr>
          </w:p>
        </w:tc>
        <w:tc>
          <w:tcPr>
            <w:tcW w:w="308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auto"/>
              </w:rPr>
              <w:t>Operating Officer,</w:t>
            </w:r>
          </w:p>
        </w:tc>
        <w:tc>
          <w:tcPr>
            <w:tcW w:w="0" w:type="dxa"/>
            <w:vAlign w:val="bottom"/>
          </w:tcPr>
          <w:p>
            <w:pPr>
              <w:spacing w:after="0"/>
              <w:rPr>
                <w:sz w:val="1"/>
                <w:szCs w:val="1"/>
                <w:color w:val="auto"/>
              </w:rPr>
            </w:pPr>
          </w:p>
        </w:tc>
      </w:tr>
      <w:tr>
        <w:trPr>
          <w:trHeight w:val="74"/>
        </w:trPr>
        <w:tc>
          <w:tcPr>
            <w:tcW w:w="2180" w:type="dxa"/>
            <w:vAlign w:val="bottom"/>
            <w:tcBorders>
              <w:top w:val="single" w:sz="8" w:color="0E93D8"/>
            </w:tcBorders>
            <w:gridSpan w:val="7"/>
            <w:vMerge w:val="restart"/>
          </w:tcPr>
          <w:p>
            <w:pPr>
              <w:spacing w:after="0"/>
              <w:rPr>
                <w:rFonts w:ascii="Arial" w:cs="Arial" w:eastAsia="Arial" w:hAnsi="Arial"/>
                <w:sz w:val="14"/>
                <w:szCs w:val="14"/>
                <w:b w:val="1"/>
                <w:bCs w:val="1"/>
                <w:color w:val="0E93D8"/>
                <w:w w:val="94"/>
              </w:rPr>
            </w:pPr>
            <w:hyperlink w:anchor="page55">
              <w:r>
                <w:rPr>
                  <w:rFonts w:ascii="Arial" w:cs="Arial" w:eastAsia="Arial" w:hAnsi="Arial"/>
                  <w:sz w:val="14"/>
                  <w:szCs w:val="14"/>
                  <w:b w:val="1"/>
                  <w:bCs w:val="1"/>
                  <w:color w:val="0E93D8"/>
                  <w:w w:val="94"/>
                </w:rPr>
                <w:t>Pay Decisions for the Other NEOs</w:t>
              </w:r>
            </w:hyperlink>
          </w:p>
        </w:tc>
        <w:tc>
          <w:tcPr>
            <w:tcW w:w="240" w:type="dxa"/>
            <w:vAlign w:val="bottom"/>
            <w:tcBorders>
              <w:top w:val="single" w:sz="8" w:color="0E93D8"/>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Borders>
              <w:top w:val="single" w:sz="8" w:color="0E93D8"/>
            </w:tcBorders>
            <w:vMerge w:val="restart"/>
          </w:tcPr>
          <w:p>
            <w:pPr>
              <w:jc w:val="right"/>
              <w:spacing w:after="0"/>
              <w:rPr>
                <w:rFonts w:ascii="Arial" w:cs="Arial" w:eastAsia="Arial" w:hAnsi="Arial"/>
                <w:sz w:val="14"/>
                <w:szCs w:val="14"/>
                <w:b w:val="1"/>
                <w:bCs w:val="1"/>
                <w:color w:val="0E93D8"/>
                <w:w w:val="89"/>
              </w:rPr>
            </w:pPr>
            <w:hyperlink w:anchor="page55">
              <w:r>
                <w:rPr>
                  <w:rFonts w:ascii="Arial" w:cs="Arial" w:eastAsia="Arial" w:hAnsi="Arial"/>
                  <w:sz w:val="14"/>
                  <w:szCs w:val="14"/>
                  <w:b w:val="1"/>
                  <w:bCs w:val="1"/>
                  <w:color w:val="0E93D8"/>
                  <w:w w:val="89"/>
                </w:rPr>
                <w:t>50</w:t>
              </w:r>
            </w:hyperlink>
          </w:p>
        </w:tc>
        <w:tc>
          <w:tcPr>
            <w:tcW w:w="460" w:type="dxa"/>
            <w:vAlign w:val="bottom"/>
          </w:tcPr>
          <w:p>
            <w:pPr>
              <w:spacing w:after="0"/>
              <w:rPr>
                <w:sz w:val="6"/>
                <w:szCs w:val="6"/>
                <w:color w:val="auto"/>
              </w:rPr>
            </w:pPr>
          </w:p>
        </w:tc>
        <w:tc>
          <w:tcPr>
            <w:tcW w:w="220" w:type="dxa"/>
            <w:vAlign w:val="bottom"/>
            <w:tcBorders>
              <w:left w:val="single" w:sz="8" w:color="FDB03F"/>
            </w:tcBorders>
          </w:tcPr>
          <w:p>
            <w:pPr>
              <w:spacing w:after="0"/>
              <w:rPr>
                <w:sz w:val="6"/>
                <w:szCs w:val="6"/>
                <w:color w:val="auto"/>
              </w:rPr>
            </w:pPr>
          </w:p>
        </w:tc>
        <w:tc>
          <w:tcPr>
            <w:tcW w:w="17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3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180" w:type="dxa"/>
            <w:vAlign w:val="bottom"/>
            <w:gridSpan w:val="7"/>
            <w:vMerge w:val="continue"/>
          </w:tcPr>
          <w:p>
            <w:pPr>
              <w:spacing w:after="0"/>
              <w:rPr>
                <w:sz w:val="2"/>
                <w:szCs w:val="2"/>
                <w:color w:val="auto"/>
              </w:rPr>
            </w:pPr>
          </w:p>
        </w:tc>
        <w:tc>
          <w:tcPr>
            <w:tcW w:w="38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left w:val="single" w:sz="8" w:color="FDB03F"/>
            </w:tcBorders>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80" w:type="dxa"/>
            <w:vAlign w:val="bottom"/>
            <w:gridSpan w:val="2"/>
            <w:vMerge w:val="restart"/>
          </w:tcPr>
          <w:p>
            <w:pPr>
              <w:ind w:left="80"/>
              <w:spacing w:after="0"/>
              <w:rPr>
                <w:sz w:val="20"/>
                <w:szCs w:val="20"/>
                <w:color w:val="auto"/>
              </w:rPr>
            </w:pPr>
            <w:r>
              <w:rPr>
                <w:rFonts w:ascii="Arial" w:cs="Arial" w:eastAsia="Arial" w:hAnsi="Arial"/>
                <w:sz w:val="14"/>
                <w:szCs w:val="14"/>
                <w:color w:val="auto"/>
              </w:rPr>
              <w:t>Collins Aerospace</w:t>
            </w:r>
          </w:p>
        </w:tc>
        <w:tc>
          <w:tcPr>
            <w:tcW w:w="0" w:type="dxa"/>
            <w:vAlign w:val="bottom"/>
          </w:tcPr>
          <w:p>
            <w:pPr>
              <w:spacing w:after="0" w:line="20" w:lineRule="exact"/>
              <w:rPr>
                <w:sz w:val="1"/>
                <w:szCs w:val="1"/>
                <w:color w:val="auto"/>
              </w:rPr>
            </w:pPr>
          </w:p>
        </w:tc>
      </w:tr>
      <w:tr>
        <w:trPr>
          <w:trHeight w:val="86"/>
        </w:trPr>
        <w:tc>
          <w:tcPr>
            <w:tcW w:w="2180" w:type="dxa"/>
            <w:vAlign w:val="bottom"/>
            <w:tcBorders>
              <w:bottom w:val="single" w:sz="8" w:color="0E93D8"/>
            </w:tcBorders>
            <w:gridSpan w:val="7"/>
            <w:vMerge w:val="continue"/>
          </w:tcPr>
          <w:p>
            <w:pPr>
              <w:spacing w:after="0"/>
              <w:rPr>
                <w:sz w:val="7"/>
                <w:szCs w:val="7"/>
                <w:color w:val="auto"/>
              </w:rPr>
            </w:pPr>
          </w:p>
        </w:tc>
        <w:tc>
          <w:tcPr>
            <w:tcW w:w="380" w:type="dxa"/>
            <w:vAlign w:val="bottom"/>
            <w:gridSpan w:val="2"/>
          </w:tcPr>
          <w:p>
            <w:pPr>
              <w:spacing w:after="0"/>
              <w:rPr>
                <w:sz w:val="7"/>
                <w:szCs w:val="7"/>
                <w:color w:val="auto"/>
              </w:rPr>
            </w:pPr>
          </w:p>
        </w:tc>
        <w:tc>
          <w:tcPr>
            <w:tcW w:w="1420" w:type="dxa"/>
            <w:vAlign w:val="bottom"/>
            <w:gridSpan w:val="2"/>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Borders>
              <w:bottom w:val="single" w:sz="8" w:color="0E93D8"/>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Borders>
              <w:left w:val="single" w:sz="8" w:color="FDB03F"/>
            </w:tcBorders>
            <w:vMerge w:val="restart"/>
          </w:tcPr>
          <w:p>
            <w:pPr>
              <w:spacing w:after="0"/>
              <w:rPr>
                <w:sz w:val="7"/>
                <w:szCs w:val="7"/>
                <w:color w:val="auto"/>
              </w:rPr>
            </w:pPr>
          </w:p>
        </w:tc>
        <w:tc>
          <w:tcPr>
            <w:tcW w:w="1760" w:type="dxa"/>
            <w:vAlign w:val="bottom"/>
            <w:tcBorders>
              <w:bottom w:val="single" w:sz="8" w:color="EDF4FA"/>
            </w:tcBorders>
            <w:vMerge w:val="restart"/>
            <w:shd w:val="clear" w:color="auto" w:fill="EDF4FA"/>
          </w:tcPr>
          <w:p>
            <w:pPr>
              <w:ind w:left="80"/>
              <w:spacing w:after="0"/>
              <w:rPr>
                <w:sz w:val="20"/>
                <w:szCs w:val="20"/>
                <w:color w:val="auto"/>
              </w:rPr>
            </w:pPr>
            <w:r>
              <w:rPr>
                <w:rFonts w:ascii="Arial" w:cs="Arial" w:eastAsia="Arial" w:hAnsi="Arial"/>
                <w:sz w:val="14"/>
                <w:szCs w:val="14"/>
                <w:b w:val="1"/>
                <w:bCs w:val="1"/>
                <w:color w:val="0E93D8"/>
              </w:rPr>
              <w:t>ROBERT K. ORTBERG</w:t>
            </w:r>
          </w:p>
        </w:tc>
        <w:tc>
          <w:tcPr>
            <w:tcW w:w="420" w:type="dxa"/>
            <w:vAlign w:val="bottom"/>
            <w:vMerge w:val="restart"/>
          </w:tcPr>
          <w:p>
            <w:pPr>
              <w:spacing w:after="0"/>
              <w:rPr>
                <w:sz w:val="7"/>
                <w:szCs w:val="7"/>
                <w:color w:val="auto"/>
              </w:rPr>
            </w:pPr>
          </w:p>
        </w:tc>
        <w:tc>
          <w:tcPr>
            <w:tcW w:w="3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980" w:type="dxa"/>
            <w:vAlign w:val="bottom"/>
            <w:gridSpan w:val="11"/>
            <w:vMerge w:val="restart"/>
          </w:tcPr>
          <w:p>
            <w:pPr>
              <w:spacing w:after="0"/>
              <w:rPr>
                <w:rFonts w:ascii="Arial" w:cs="Arial" w:eastAsia="Arial" w:hAnsi="Arial"/>
                <w:sz w:val="14"/>
                <w:szCs w:val="14"/>
                <w:b w:val="1"/>
                <w:bCs w:val="1"/>
                <w:color w:val="0E93D8"/>
              </w:rPr>
            </w:pPr>
            <w:hyperlink w:anchor="page59">
              <w:r>
                <w:rPr>
                  <w:rFonts w:ascii="Arial" w:cs="Arial" w:eastAsia="Arial" w:hAnsi="Arial"/>
                  <w:sz w:val="14"/>
                  <w:szCs w:val="14"/>
                  <w:b w:val="1"/>
                  <w:bCs w:val="1"/>
                  <w:color w:val="0E93D8"/>
                </w:rPr>
                <w:t>Other Compensation Elements</w:t>
              </w:r>
            </w:hyperlink>
          </w:p>
        </w:tc>
        <w:tc>
          <w:tcPr>
            <w:tcW w:w="1960" w:type="dxa"/>
            <w:vAlign w:val="bottom"/>
            <w:gridSpan w:val="3"/>
            <w:vMerge w:val="restart"/>
          </w:tcPr>
          <w:p>
            <w:pPr>
              <w:jc w:val="right"/>
              <w:ind w:right="460"/>
              <w:spacing w:after="0"/>
              <w:rPr>
                <w:rFonts w:ascii="Arial" w:cs="Arial" w:eastAsia="Arial" w:hAnsi="Arial"/>
                <w:sz w:val="14"/>
                <w:szCs w:val="14"/>
                <w:b w:val="1"/>
                <w:bCs w:val="1"/>
                <w:color w:val="0E93D8"/>
              </w:rPr>
            </w:pPr>
            <w:hyperlink w:anchor="page59">
              <w:r>
                <w:rPr>
                  <w:rFonts w:ascii="Arial" w:cs="Arial" w:eastAsia="Arial" w:hAnsi="Arial"/>
                  <w:sz w:val="14"/>
                  <w:szCs w:val="14"/>
                  <w:b w:val="1"/>
                  <w:bCs w:val="1"/>
                  <w:color w:val="0E93D8"/>
                </w:rPr>
                <w:t>54</w:t>
              </w:r>
            </w:hyperlink>
          </w:p>
        </w:tc>
        <w:tc>
          <w:tcPr>
            <w:tcW w:w="220" w:type="dxa"/>
            <w:vAlign w:val="bottom"/>
            <w:tcBorders>
              <w:left w:val="single" w:sz="8" w:color="FDB03F"/>
            </w:tcBorders>
            <w:vMerge w:val="continue"/>
          </w:tcPr>
          <w:p>
            <w:pPr>
              <w:spacing w:after="0"/>
              <w:rPr>
                <w:sz w:val="8"/>
                <w:szCs w:val="8"/>
                <w:color w:val="auto"/>
              </w:rPr>
            </w:pPr>
          </w:p>
        </w:tc>
        <w:tc>
          <w:tcPr>
            <w:tcW w:w="1760" w:type="dxa"/>
            <w:vAlign w:val="bottom"/>
            <w:vMerge w:val="continue"/>
            <w:shd w:val="clear" w:color="auto" w:fill="EDF4FA"/>
          </w:tcPr>
          <w:p>
            <w:pPr>
              <w:spacing w:after="0"/>
              <w:rPr>
                <w:sz w:val="8"/>
                <w:szCs w:val="8"/>
                <w:color w:val="auto"/>
              </w:rPr>
            </w:pPr>
          </w:p>
        </w:tc>
        <w:tc>
          <w:tcPr>
            <w:tcW w:w="420" w:type="dxa"/>
            <w:vAlign w:val="bottom"/>
            <w:vMerge w:val="continue"/>
          </w:tcPr>
          <w:p>
            <w:pPr>
              <w:spacing w:after="0"/>
              <w:rPr>
                <w:sz w:val="8"/>
                <w:szCs w:val="8"/>
                <w:color w:val="auto"/>
              </w:rPr>
            </w:pPr>
          </w:p>
        </w:tc>
        <w:tc>
          <w:tcPr>
            <w:tcW w:w="3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980" w:type="dxa"/>
            <w:vAlign w:val="bottom"/>
            <w:gridSpan w:val="11"/>
            <w:vMerge w:val="continue"/>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CEO, Collins Aerospace</w:t>
            </w:r>
          </w:p>
        </w:tc>
        <w:tc>
          <w:tcPr>
            <w:tcW w:w="4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E93D8"/>
          </w:tcPr>
          <w:p>
            <w:pPr>
              <w:spacing w:after="0" w:line="20" w:lineRule="exact"/>
              <w:rPr>
                <w:sz w:val="1"/>
                <w:szCs w:val="1"/>
                <w:color w:val="auto"/>
              </w:rPr>
            </w:pPr>
          </w:p>
        </w:tc>
        <w:tc>
          <w:tcPr>
            <w:tcW w:w="340" w:type="dxa"/>
            <w:vAlign w:val="bottom"/>
            <w:shd w:val="clear" w:color="auto" w:fill="0E93D8"/>
          </w:tcPr>
          <w:p>
            <w:pPr>
              <w:spacing w:after="0" w:line="20" w:lineRule="exact"/>
              <w:rPr>
                <w:sz w:val="1"/>
                <w:szCs w:val="1"/>
                <w:color w:val="auto"/>
              </w:rPr>
            </w:pPr>
          </w:p>
        </w:tc>
        <w:tc>
          <w:tcPr>
            <w:tcW w:w="80" w:type="dxa"/>
            <w:vAlign w:val="bottom"/>
            <w:shd w:val="clear" w:color="auto" w:fill="0E93D8"/>
          </w:tcPr>
          <w:p>
            <w:pPr>
              <w:spacing w:after="0" w:line="20" w:lineRule="exact"/>
              <w:rPr>
                <w:sz w:val="1"/>
                <w:szCs w:val="1"/>
                <w:color w:val="auto"/>
              </w:rPr>
            </w:pPr>
          </w:p>
        </w:tc>
        <w:tc>
          <w:tcPr>
            <w:tcW w:w="400" w:type="dxa"/>
            <w:vAlign w:val="bottom"/>
            <w:shd w:val="clear" w:color="auto" w:fill="0E93D8"/>
          </w:tcPr>
          <w:p>
            <w:pPr>
              <w:spacing w:after="0" w:line="20" w:lineRule="exact"/>
              <w:rPr>
                <w:sz w:val="1"/>
                <w:szCs w:val="1"/>
                <w:color w:val="auto"/>
              </w:rPr>
            </w:pPr>
          </w:p>
        </w:tc>
        <w:tc>
          <w:tcPr>
            <w:tcW w:w="160" w:type="dxa"/>
            <w:vAlign w:val="bottom"/>
            <w:shd w:val="clear" w:color="auto" w:fill="0E93D8"/>
          </w:tcPr>
          <w:p>
            <w:pPr>
              <w:spacing w:after="0" w:line="20" w:lineRule="exact"/>
              <w:rPr>
                <w:sz w:val="1"/>
                <w:szCs w:val="1"/>
                <w:color w:val="auto"/>
              </w:rPr>
            </w:pPr>
          </w:p>
        </w:tc>
        <w:tc>
          <w:tcPr>
            <w:tcW w:w="120" w:type="dxa"/>
            <w:vAlign w:val="bottom"/>
            <w:shd w:val="clear" w:color="auto" w:fill="0E93D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E93D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980" w:type="dxa"/>
            <w:vAlign w:val="bottom"/>
            <w:gridSpan w:val="11"/>
            <w:vMerge w:val="restart"/>
          </w:tcPr>
          <w:p>
            <w:pPr>
              <w:spacing w:after="0"/>
              <w:rPr>
                <w:rFonts w:ascii="Arial" w:cs="Arial" w:eastAsia="Arial" w:hAnsi="Arial"/>
                <w:sz w:val="14"/>
                <w:szCs w:val="14"/>
                <w:b w:val="1"/>
                <w:bCs w:val="1"/>
                <w:color w:val="0E93D8"/>
              </w:rPr>
            </w:pPr>
            <w:hyperlink w:anchor="page61">
              <w:r>
                <w:rPr>
                  <w:rFonts w:ascii="Arial" w:cs="Arial" w:eastAsia="Arial" w:hAnsi="Arial"/>
                  <w:sz w:val="14"/>
                  <w:szCs w:val="14"/>
                  <w:b w:val="1"/>
                  <w:bCs w:val="1"/>
                  <w:color w:val="0E93D8"/>
                </w:rPr>
                <w:t>Other Executive Compensation Policies</w:t>
              </w:r>
            </w:hyperlink>
          </w:p>
        </w:tc>
        <w:tc>
          <w:tcPr>
            <w:tcW w:w="1960" w:type="dxa"/>
            <w:vAlign w:val="bottom"/>
            <w:gridSpan w:val="3"/>
            <w:vMerge w:val="restart"/>
          </w:tcPr>
          <w:p>
            <w:pPr>
              <w:jc w:val="right"/>
              <w:ind w:right="460"/>
              <w:spacing w:after="0"/>
              <w:rPr>
                <w:rFonts w:ascii="Arial" w:cs="Arial" w:eastAsia="Arial" w:hAnsi="Arial"/>
                <w:sz w:val="14"/>
                <w:szCs w:val="14"/>
                <w:b w:val="1"/>
                <w:bCs w:val="1"/>
                <w:color w:val="0E93D8"/>
              </w:rPr>
            </w:pPr>
            <w:hyperlink w:anchor="page61">
              <w:r>
                <w:rPr>
                  <w:rFonts w:ascii="Arial" w:cs="Arial" w:eastAsia="Arial" w:hAnsi="Arial"/>
                  <w:sz w:val="14"/>
                  <w:szCs w:val="14"/>
                  <w:b w:val="1"/>
                  <w:bCs w:val="1"/>
                  <w:color w:val="0E93D8"/>
                </w:rPr>
                <w:t>56</w:t>
              </w:r>
            </w:hyperlink>
          </w:p>
        </w:tc>
        <w:tc>
          <w:tcPr>
            <w:tcW w:w="22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980" w:type="dxa"/>
            <w:vAlign w:val="bottom"/>
            <w:gridSpan w:val="11"/>
            <w:vMerge w:val="continue"/>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560" w:type="dxa"/>
            <w:vAlign w:val="bottom"/>
            <w:tcBorders>
              <w:top w:val="single" w:sz="8" w:color="0E93D8"/>
            </w:tcBorders>
            <w:gridSpan w:val="9"/>
          </w:tcPr>
          <w:p>
            <w:pPr>
              <w:spacing w:after="0" w:line="129" w:lineRule="exact"/>
              <w:rPr>
                <w:rFonts w:ascii="Arial" w:cs="Arial" w:eastAsia="Arial" w:hAnsi="Arial"/>
                <w:sz w:val="14"/>
                <w:szCs w:val="14"/>
                <w:b w:val="1"/>
                <w:bCs w:val="1"/>
                <w:color w:val="0E93D8"/>
              </w:rPr>
            </w:pPr>
            <w:hyperlink w:anchor="page61">
              <w:r>
                <w:rPr>
                  <w:rFonts w:ascii="Arial" w:cs="Arial" w:eastAsia="Arial" w:hAnsi="Arial"/>
                  <w:sz w:val="14"/>
                  <w:szCs w:val="14"/>
                  <w:b w:val="1"/>
                  <w:bCs w:val="1"/>
                  <w:color w:val="0E93D8"/>
                </w:rPr>
                <w:t>and Practices</w:t>
              </w:r>
            </w:hyperlink>
          </w:p>
        </w:tc>
        <w:tc>
          <w:tcPr>
            <w:tcW w:w="1420" w:type="dxa"/>
            <w:vAlign w:val="bottom"/>
            <w:gridSpan w:val="2"/>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80" w:type="dxa"/>
            <w:vAlign w:val="bottom"/>
            <w:tcBorders>
              <w:top w:val="single" w:sz="8" w:color="0E93D8"/>
            </w:tcBorders>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Borders>
              <w:top w:val="single" w:sz="8" w:color="0E93D8"/>
            </w:tcBorders>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right w:val="single" w:sz="8" w:color="FDB03F"/>
            </w:tcBorders>
          </w:tcPr>
          <w:p>
            <w:pPr>
              <w:spacing w:after="0"/>
              <w:rPr>
                <w:sz w:val="9"/>
                <w:szCs w:val="9"/>
                <w:color w:val="auto"/>
              </w:rPr>
            </w:pPr>
          </w:p>
        </w:tc>
        <w:tc>
          <w:tcPr>
            <w:tcW w:w="240" w:type="dxa"/>
            <w:vAlign w:val="bottom"/>
            <w:shd w:val="clear" w:color="auto" w:fill="FDB03F"/>
          </w:tcPr>
          <w:p>
            <w:pPr>
              <w:spacing w:after="0"/>
              <w:rPr>
                <w:sz w:val="9"/>
                <w:szCs w:val="9"/>
                <w:color w:val="auto"/>
              </w:rPr>
            </w:pPr>
          </w:p>
        </w:tc>
        <w:tc>
          <w:tcPr>
            <w:tcW w:w="140" w:type="dxa"/>
            <w:vAlign w:val="bottom"/>
            <w:shd w:val="clear" w:color="auto" w:fill="FDB03F"/>
          </w:tcPr>
          <w:p>
            <w:pPr>
              <w:spacing w:after="0"/>
              <w:rPr>
                <w:sz w:val="9"/>
                <w:szCs w:val="9"/>
                <w:color w:val="auto"/>
              </w:rPr>
            </w:pPr>
          </w:p>
        </w:tc>
        <w:tc>
          <w:tcPr>
            <w:tcW w:w="80" w:type="dxa"/>
            <w:vAlign w:val="bottom"/>
            <w:shd w:val="clear" w:color="auto" w:fill="FDB03F"/>
          </w:tcPr>
          <w:p>
            <w:pPr>
              <w:spacing w:after="0"/>
              <w:rPr>
                <w:sz w:val="9"/>
                <w:szCs w:val="9"/>
                <w:color w:val="auto"/>
              </w:rPr>
            </w:pPr>
          </w:p>
        </w:tc>
        <w:tc>
          <w:tcPr>
            <w:tcW w:w="1340" w:type="dxa"/>
            <w:vAlign w:val="bottom"/>
            <w:shd w:val="clear" w:color="auto" w:fill="FDB03F"/>
          </w:tcPr>
          <w:p>
            <w:pPr>
              <w:spacing w:after="0"/>
              <w:rPr>
                <w:sz w:val="9"/>
                <w:szCs w:val="9"/>
                <w:color w:val="auto"/>
              </w:rPr>
            </w:pPr>
          </w:p>
        </w:tc>
        <w:tc>
          <w:tcPr>
            <w:tcW w:w="1340" w:type="dxa"/>
            <w:vAlign w:val="bottom"/>
            <w:shd w:val="clear" w:color="auto" w:fill="FDB03F"/>
          </w:tcPr>
          <w:p>
            <w:pPr>
              <w:spacing w:after="0"/>
              <w:rPr>
                <w:sz w:val="9"/>
                <w:szCs w:val="9"/>
                <w:color w:val="auto"/>
              </w:rPr>
            </w:pPr>
          </w:p>
        </w:tc>
        <w:tc>
          <w:tcPr>
            <w:tcW w:w="160" w:type="dxa"/>
            <w:vAlign w:val="bottom"/>
            <w:shd w:val="clear" w:color="auto" w:fill="FDB03F"/>
          </w:tcPr>
          <w:p>
            <w:pPr>
              <w:spacing w:after="0"/>
              <w:rPr>
                <w:sz w:val="9"/>
                <w:szCs w:val="9"/>
                <w:color w:val="auto"/>
              </w:rPr>
            </w:pPr>
          </w:p>
        </w:tc>
        <w:tc>
          <w:tcPr>
            <w:tcW w:w="460" w:type="dxa"/>
            <w:vAlign w:val="bottom"/>
            <w:shd w:val="clear" w:color="auto" w:fill="FDB03F"/>
          </w:tcPr>
          <w:p>
            <w:pPr>
              <w:spacing w:after="0"/>
              <w:rPr>
                <w:sz w:val="9"/>
                <w:szCs w:val="9"/>
                <w:color w:val="auto"/>
              </w:rPr>
            </w:pPr>
          </w:p>
        </w:tc>
        <w:tc>
          <w:tcPr>
            <w:tcW w:w="220" w:type="dxa"/>
            <w:vAlign w:val="bottom"/>
            <w:tcBorders>
              <w:left w:val="single" w:sz="8" w:color="FDB03F"/>
            </w:tcBorders>
            <w:shd w:val="clear" w:color="auto" w:fill="FDB03F"/>
          </w:tcPr>
          <w:p>
            <w:pPr>
              <w:spacing w:after="0"/>
              <w:rPr>
                <w:sz w:val="9"/>
                <w:szCs w:val="9"/>
                <w:color w:val="auto"/>
              </w:rPr>
            </w:pPr>
          </w:p>
        </w:tc>
        <w:tc>
          <w:tcPr>
            <w:tcW w:w="1760" w:type="dxa"/>
            <w:vAlign w:val="bottom"/>
            <w:shd w:val="clear" w:color="auto" w:fill="FDB03F"/>
          </w:tcPr>
          <w:p>
            <w:pPr>
              <w:spacing w:after="0"/>
              <w:rPr>
                <w:sz w:val="9"/>
                <w:szCs w:val="9"/>
                <w:color w:val="auto"/>
              </w:rPr>
            </w:pPr>
          </w:p>
        </w:tc>
        <w:tc>
          <w:tcPr>
            <w:tcW w:w="420" w:type="dxa"/>
            <w:vAlign w:val="bottom"/>
            <w:shd w:val="clear" w:color="auto" w:fill="FDB03F"/>
          </w:tcPr>
          <w:p>
            <w:pPr>
              <w:spacing w:after="0"/>
              <w:rPr>
                <w:sz w:val="9"/>
                <w:szCs w:val="9"/>
                <w:color w:val="auto"/>
              </w:rPr>
            </w:pPr>
          </w:p>
        </w:tc>
        <w:tc>
          <w:tcPr>
            <w:tcW w:w="1320" w:type="dxa"/>
            <w:vAlign w:val="bottom"/>
            <w:shd w:val="clear" w:color="auto" w:fill="FDB03F"/>
          </w:tcPr>
          <w:p>
            <w:pPr>
              <w:spacing w:after="0"/>
              <w:rPr>
                <w:sz w:val="9"/>
                <w:szCs w:val="9"/>
                <w:color w:val="auto"/>
              </w:rPr>
            </w:pPr>
          </w:p>
        </w:tc>
        <w:tc>
          <w:tcPr>
            <w:tcW w:w="1760" w:type="dxa"/>
            <w:vAlign w:val="bottom"/>
            <w:shd w:val="clear" w:color="auto" w:fill="FDB03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43330" cy="13976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43330" cy="1397635"/>
                    </a:xfrm>
                    <a:prstGeom prst="rect">
                      <a:avLst/>
                    </a:prstGeom>
                    <a:noFill/>
                  </pic:spPr>
                </pic:pic>
              </a:graphicData>
            </a:graphic>
          </wp:anchor>
        </w:drawing>
      </w:r>
    </w:p>
    <w:p>
      <w:pPr>
        <w:spacing w:after="0" w:line="339" w:lineRule="exact"/>
        <w:rPr>
          <w:sz w:val="20"/>
          <w:szCs w:val="20"/>
          <w:color w:val="auto"/>
        </w:rPr>
      </w:pPr>
    </w:p>
    <w:p>
      <w:pPr>
        <w:ind w:left="2120" w:right="320"/>
        <w:spacing w:after="0"/>
        <w:rPr>
          <w:sz w:val="20"/>
          <w:szCs w:val="20"/>
          <w:color w:val="auto"/>
        </w:rPr>
      </w:pPr>
      <w:r>
        <w:rPr>
          <w:rFonts w:ascii="Arial" w:cs="Arial" w:eastAsia="Arial" w:hAnsi="Arial"/>
          <w:sz w:val="18"/>
          <w:szCs w:val="18"/>
          <w:color w:val="auto"/>
        </w:rPr>
        <w:t xml:space="preserve">In this section, we discuss our </w:t>
      </w:r>
      <w:r>
        <w:rPr>
          <w:rFonts w:ascii="Arial" w:cs="Arial" w:eastAsia="Arial" w:hAnsi="Arial"/>
          <w:sz w:val="18"/>
          <w:szCs w:val="18"/>
          <w:b w:val="1"/>
          <w:bCs w:val="1"/>
          <w:color w:val="FDB03F"/>
        </w:rPr>
        <w:t>compensation philosophy</w:t>
      </w:r>
      <w:r>
        <w:rPr>
          <w:rFonts w:ascii="Arial" w:cs="Arial" w:eastAsia="Arial" w:hAnsi="Arial"/>
          <w:sz w:val="18"/>
          <w:szCs w:val="18"/>
          <w:color w:val="auto"/>
        </w:rPr>
        <w:t xml:space="preserve"> and explain how our executive compensation program is structured to advance </w:t>
      </w:r>
      <w:r>
        <w:rPr>
          <w:rFonts w:ascii="Arial" w:cs="Arial" w:eastAsia="Arial" w:hAnsi="Arial"/>
          <w:sz w:val="18"/>
          <w:szCs w:val="18"/>
          <w:b w:val="1"/>
          <w:bCs w:val="1"/>
          <w:color w:val="FDB03F"/>
        </w:rPr>
        <w:t>our fundamental objective of aligning our executives’ compensation with the long-term</w:t>
      </w:r>
      <w:r>
        <w:rPr>
          <w:rFonts w:ascii="Arial" w:cs="Arial" w:eastAsia="Arial" w:hAnsi="Arial"/>
          <w:sz w:val="18"/>
          <w:szCs w:val="18"/>
          <w:color w:val="auto"/>
        </w:rPr>
        <w:t xml:space="preserve"> </w:t>
      </w:r>
      <w:r>
        <w:rPr>
          <w:rFonts w:ascii="Arial" w:cs="Arial" w:eastAsia="Arial" w:hAnsi="Arial"/>
          <w:sz w:val="18"/>
          <w:szCs w:val="18"/>
          <w:b w:val="1"/>
          <w:bCs w:val="1"/>
          <w:color w:val="FDB03F"/>
        </w:rPr>
        <w:t xml:space="preserve">interests of UTC shareowners. </w:t>
      </w:r>
      <w:r>
        <w:rPr>
          <w:rFonts w:ascii="Arial" w:cs="Arial" w:eastAsia="Arial" w:hAnsi="Arial"/>
          <w:sz w:val="18"/>
          <w:szCs w:val="18"/>
          <w:color w:val="000000"/>
        </w:rPr>
        <w:t>We also explain how the Compensation Committee of the Board (the “Committee”)</w:t>
      </w:r>
      <w:r>
        <w:rPr>
          <w:rFonts w:ascii="Arial" w:cs="Arial" w:eastAsia="Arial" w:hAnsi="Arial"/>
          <w:sz w:val="18"/>
          <w:szCs w:val="18"/>
          <w:b w:val="1"/>
          <w:bCs w:val="1"/>
          <w:color w:val="FDB03F"/>
        </w:rPr>
        <w:t xml:space="preserve"> </w:t>
      </w:r>
      <w:r>
        <w:rPr>
          <w:rFonts w:ascii="Arial" w:cs="Arial" w:eastAsia="Arial" w:hAnsi="Arial"/>
          <w:sz w:val="18"/>
          <w:szCs w:val="18"/>
          <w:color w:val="000000"/>
        </w:rPr>
        <w:t>determines compensation for the members of our Executive Leadership Group (“ELG”), which is comprised of approximately 30 of our most senior executives and includes each of the NEOs listed above. This discussion also explains the Committee’s rationale for specific 2018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235585</wp:posOffset>
            </wp:positionV>
            <wp:extent cx="5900420" cy="774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0042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Executive Summary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Investor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SHAREOWNER OUTREACH EFFORTS</w:t>
      </w:r>
    </w:p>
    <w:p>
      <w:pPr>
        <w:spacing w:after="0" w:line="2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actively seek and highly value feedback from shareowners and their advisors. The Committee annually considers this feedback along with factors such as external market data and staff and consultant recommendations in its ongoing assessment of the effectiveness of our program.</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55"/>
          <w:szCs w:val="55"/>
          <w:b w:val="1"/>
          <w:bCs w:val="1"/>
          <w:color w:val="FDB03F"/>
        </w:rPr>
        <w:t>96</w:t>
      </w:r>
      <w:r>
        <w:rPr>
          <w:rFonts w:ascii="Arial" w:cs="Arial" w:eastAsia="Arial" w:hAnsi="Arial"/>
          <w:sz w:val="89"/>
          <w:szCs w:val="89"/>
          <w:b w:val="1"/>
          <w:bCs w:val="1"/>
          <w:color w:val="FDB03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-520065</wp:posOffset>
            </wp:positionV>
            <wp:extent cx="8890" cy="7372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737235"/>
                    </a:xfrm>
                    <a:prstGeom prst="rect">
                      <a:avLst/>
                    </a:prstGeom>
                    <a:noFill/>
                  </pic:spPr>
                </pic:pic>
              </a:graphicData>
            </a:graphic>
          </wp:anchor>
        </w:drawing>
      </w:r>
    </w:p>
    <w:p>
      <w:pPr>
        <w:ind w:left="60"/>
        <w:spacing w:after="0"/>
        <w:rPr>
          <w:sz w:val="20"/>
          <w:szCs w:val="20"/>
          <w:color w:val="auto"/>
        </w:rPr>
      </w:pPr>
      <w:r>
        <w:rPr>
          <w:rFonts w:ascii="Arial" w:cs="Arial" w:eastAsia="Arial" w:hAnsi="Arial"/>
          <w:sz w:val="29"/>
          <w:szCs w:val="29"/>
          <w:b w:val="1"/>
          <w:bCs w:val="1"/>
          <w:color w:val="0F94D8"/>
        </w:rPr>
        <w:t>support</w:t>
      </w:r>
    </w:p>
    <w:p>
      <w:pPr>
        <w:spacing w:after="0" w:line="200" w:lineRule="exact"/>
        <w:rPr>
          <w:sz w:val="20"/>
          <w:szCs w:val="20"/>
          <w:color w:val="auto"/>
        </w:rPr>
      </w:pPr>
    </w:p>
    <w:p>
      <w:pPr>
        <w:sectPr>
          <w:pgSz w:w="11900" w:h="16838" w:orient="portrait"/>
          <w:cols w:equalWidth="0" w:num="2">
            <w:col w:w="9860" w:space="420"/>
            <w:col w:w="1160"/>
          </w:cols>
          <w:pgMar w:left="240" w:top="121" w:right="2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RESPONSE TO OUR 2018 SAY-ON-PAY VOTE</w:t>
      </w:r>
    </w:p>
    <w:p>
      <w:pPr>
        <w:spacing w:after="0" w:line="2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Each year we consider the results of our advisory vote on executive compensation (“say-on-pay”) from the prior year. In 2018, 96% of the votes cast (excluding abstentions and broker non-votes) voted in favor of the Committee’s 2017 executive compensation decisions. We interpreted this result as an endorsement of our compensation program’s design and direction.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SHAREOWNER FEEDBACK</w:t>
      </w:r>
    </w:p>
    <w:p>
      <w:pPr>
        <w:spacing w:after="0" w:line="22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This past year, shareowners also expressed support for our recent executive compensation program changes, which are discussed in detail in the Proxy Summary on page 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33</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Committee believes that there must be a meaningful link between the compensation paid to our executives and our goal of long-term, sustainable growth for our shareowners. This core philosophy is embedded in the following principles, which guide all aspects of our compensation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0E93D8"/>
        </w:rPr>
        <w:t xml:space="preserve">UTC’S GUIDING PRINCIPLES FOR EXECUTIVE COMPENSATION </w:t>
      </w:r>
      <w:r>
        <w:rPr>
          <w:sz w:val="1"/>
          <w:szCs w:val="1"/>
          <w:color w:val="auto"/>
        </w:rPr>
        <w:drawing>
          <wp:inline distT="0" distB="0" distL="0" distR="0">
            <wp:extent cx="4579620" cy="9461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79620" cy="946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14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24100" cy="651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24100" cy="651510"/>
                    </a:xfrm>
                    <a:prstGeom prst="rect">
                      <a:avLst/>
                    </a:prstGeom>
                    <a:noFill/>
                  </pic:spPr>
                </pic:pic>
              </a:graphicData>
            </a:graphic>
          </wp:anchor>
        </w:drawing>
      </w:r>
    </w:p>
    <w:p>
      <w:pPr>
        <w:spacing w:after="0" w:line="129" w:lineRule="exact"/>
        <w:rPr>
          <w:sz w:val="20"/>
          <w:szCs w:val="20"/>
          <w:color w:val="auto"/>
        </w:rPr>
      </w:pPr>
    </w:p>
    <w:p>
      <w:pPr>
        <w:jc w:val="both"/>
        <w:ind w:left="80"/>
        <w:spacing w:after="0" w:line="226" w:lineRule="auto"/>
        <w:rPr>
          <w:sz w:val="20"/>
          <w:szCs w:val="20"/>
          <w:color w:val="auto"/>
        </w:rPr>
      </w:pPr>
      <w:r>
        <w:rPr>
          <w:rFonts w:ascii="Arial" w:cs="Arial" w:eastAsia="Arial" w:hAnsi="Arial"/>
          <w:sz w:val="14"/>
          <w:szCs w:val="14"/>
          <w:color w:val="auto"/>
        </w:rPr>
        <w:t>Total compensation should be sufficiently competitive to attract, retain and motivate a leadership team capable of maximizing UTC’s performance. Each element should be benchmarked relative to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2324100" cy="214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241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Long-Term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52070</wp:posOffset>
            </wp:positionV>
            <wp:extent cx="2255520" cy="651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55520" cy="651510"/>
                    </a:xfrm>
                    <a:prstGeom prst="rect">
                      <a:avLst/>
                    </a:prstGeom>
                    <a:noFill/>
                  </pic:spPr>
                </pic:pic>
              </a:graphicData>
            </a:graphic>
          </wp:anchor>
        </w:drawing>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For our most senior executives, long-term, stock-based compensation opportunities should significantly outweigh short-term, cash-based opportunities. Annual objectives should complement sustainable,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452120</wp:posOffset>
            </wp:positionV>
            <wp:extent cx="2255520" cy="2146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555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52070</wp:posOffset>
            </wp:positionV>
            <wp:extent cx="2324100" cy="651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324100" cy="651510"/>
                    </a:xfrm>
                    <a:prstGeom prst="rect">
                      <a:avLst/>
                    </a:prstGeom>
                    <a:noFill/>
                  </pic:spPr>
                </pic:pic>
              </a:graphicData>
            </a:graphic>
          </wp:anchor>
        </w:drawing>
      </w:r>
    </w:p>
    <w:p>
      <w:pPr>
        <w:spacing w:after="0" w:line="129" w:lineRule="exact"/>
        <w:rPr>
          <w:sz w:val="20"/>
          <w:szCs w:val="20"/>
          <w:color w:val="auto"/>
        </w:rPr>
      </w:pPr>
    </w:p>
    <w:p>
      <w:pPr>
        <w:ind w:right="220"/>
        <w:spacing w:after="0" w:line="224" w:lineRule="auto"/>
        <w:rPr>
          <w:sz w:val="20"/>
          <w:szCs w:val="20"/>
          <w:color w:val="auto"/>
        </w:rPr>
      </w:pPr>
      <w:r>
        <w:rPr>
          <w:rFonts w:ascii="Arial" w:cs="Arial" w:eastAsia="Arial" w:hAnsi="Arial"/>
          <w:sz w:val="14"/>
          <w:szCs w:val="14"/>
          <w:color w:val="auto"/>
        </w:rPr>
        <w:t>The portion of total compensation contingent on performance should increase with an executive’s level of responsibility. Annual and long-term incentive opportunities should reward the appropriate balance of short-, medium- and long-term financial, strategic and operational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276860</wp:posOffset>
            </wp:positionV>
            <wp:extent cx="2324100" cy="2146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2410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80" w:space="540"/>
            <w:col w:w="3400" w:space="420"/>
            <w:col w:w="3580"/>
          </w:cols>
          <w:pgMar w:left="240" w:top="121" w:right="239" w:bottom="1440" w:gutter="0" w:footer="0" w:header="0"/>
          <w:type w:val="continuous"/>
        </w:sect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24100" cy="840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24100" cy="840740"/>
                    </a:xfrm>
                    <a:prstGeom prst="rect">
                      <a:avLst/>
                    </a:prstGeom>
                    <a:noFill/>
                  </pic:spPr>
                </pic:pic>
              </a:graphicData>
            </a:graphic>
          </wp:anchor>
        </w:drawing>
      </w:r>
    </w:p>
    <w:p>
      <w:pPr>
        <w:spacing w:after="0" w:line="129" w:lineRule="exact"/>
        <w:rPr>
          <w:sz w:val="20"/>
          <w:szCs w:val="20"/>
          <w:color w:val="auto"/>
        </w:rPr>
      </w:pPr>
    </w:p>
    <w:p>
      <w:pPr>
        <w:jc w:val="both"/>
        <w:ind w:left="80"/>
        <w:spacing w:after="0" w:line="228" w:lineRule="auto"/>
        <w:rPr>
          <w:sz w:val="20"/>
          <w:szCs w:val="20"/>
          <w:color w:val="auto"/>
        </w:rPr>
      </w:pPr>
      <w:r>
        <w:rPr>
          <w:rFonts w:ascii="Arial" w:cs="Arial" w:eastAsia="Arial" w:hAnsi="Arial"/>
          <w:sz w:val="14"/>
          <w:szCs w:val="14"/>
          <w:color w:val="auto"/>
        </w:rPr>
        <w:t>A substantial portion of compensation should be variable, contingent and directly linked to individual, company and business unit performance.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52070</wp:posOffset>
            </wp:positionV>
            <wp:extent cx="2255520" cy="840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55520" cy="840740"/>
                    </a:xfrm>
                    <a:prstGeom prst="rect">
                      <a:avLst/>
                    </a:prstGeom>
                    <a:noFill/>
                  </pic:spPr>
                </pic:pic>
              </a:graphicData>
            </a:graphic>
          </wp:anchor>
        </w:drawing>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A complete commitment to ethical and corporate responsibility is a fundamental principle incorporated into all aspects of our compensation program. Compensation should take into account each executive’s responsibility to act at all times in accordance with our Code of Ethics and our environmental, health and safety objectives. Financial, strategic and operational performance must not compromise these values.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Shareowner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52070</wp:posOffset>
            </wp:positionV>
            <wp:extent cx="2324100" cy="840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24100" cy="840740"/>
                    </a:xfrm>
                    <a:prstGeom prst="rect">
                      <a:avLst/>
                    </a:prstGeom>
                    <a:noFill/>
                  </pic:spPr>
                </pic:pic>
              </a:graphicData>
            </a:graphic>
          </wp:anchor>
        </w:drawing>
      </w:r>
    </w:p>
    <w:p>
      <w:pPr>
        <w:spacing w:after="0" w:line="129"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The financial interests of executives should be aligned with the long-term interests of our shareowners through stock-based compensation and performance metrics that correlate with long-term shareowner value.</w:t>
      </w:r>
    </w:p>
    <w:p>
      <w:pPr>
        <w:spacing w:after="0" w:line="656" w:lineRule="exact"/>
        <w:rPr>
          <w:sz w:val="20"/>
          <w:szCs w:val="20"/>
          <w:color w:val="auto"/>
        </w:rPr>
      </w:pPr>
    </w:p>
    <w:p>
      <w:pPr>
        <w:sectPr>
          <w:pgSz w:w="11900" w:h="16838" w:orient="portrait"/>
          <w:cols w:equalWidth="0" w:num="3">
            <w:col w:w="3500" w:space="520"/>
            <w:col w:w="3380" w:space="440"/>
            <w:col w:w="3580"/>
          </w:cols>
          <w:pgMar w:left="240" w:top="121"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Principal Components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following table summarizes the principal components of our executive compensation program. The Committee structures these elements to promote and reward financial performance through a variety of performance metrics and time horizons. For additional details on each of these components refer to pages 41-46.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ind w:left="80"/>
              <w:spacing w:after="0"/>
              <w:rPr>
                <w:sz w:val="20"/>
                <w:szCs w:val="20"/>
                <w:color w:val="auto"/>
              </w:rPr>
            </w:pPr>
            <w:r>
              <w:rPr>
                <w:rFonts w:ascii="Arial" w:cs="Arial" w:eastAsia="Arial" w:hAnsi="Arial"/>
                <w:sz w:val="14"/>
                <w:szCs w:val="14"/>
                <w:b w:val="1"/>
                <w:bCs w:val="1"/>
                <w:color w:val="0F94D8"/>
              </w:rPr>
              <w:t>Pay Component</w:t>
            </w:r>
          </w:p>
        </w:tc>
        <w:tc>
          <w:tcPr>
            <w:tcW w:w="120" w:type="dxa"/>
            <w:vAlign w:val="bottom"/>
          </w:tcPr>
          <w:p>
            <w:pPr>
              <w:spacing w:after="0"/>
              <w:rPr>
                <w:sz w:val="16"/>
                <w:szCs w:val="16"/>
                <w:color w:val="auto"/>
              </w:rPr>
            </w:pPr>
          </w:p>
        </w:tc>
        <w:tc>
          <w:tcPr>
            <w:tcW w:w="2300" w:type="dxa"/>
            <w:vAlign w:val="bottom"/>
          </w:tcPr>
          <w:p>
            <w:pPr>
              <w:ind w:left="80"/>
              <w:spacing w:after="0"/>
              <w:rPr>
                <w:sz w:val="20"/>
                <w:szCs w:val="20"/>
                <w:color w:val="auto"/>
              </w:rPr>
            </w:pPr>
            <w:r>
              <w:rPr>
                <w:rFonts w:ascii="Arial" w:cs="Arial" w:eastAsia="Arial" w:hAnsi="Arial"/>
                <w:sz w:val="14"/>
                <w:szCs w:val="14"/>
                <w:b w:val="1"/>
                <w:bCs w:val="1"/>
                <w:color w:val="0F94D8"/>
              </w:rPr>
              <w:t>Time Horizon</w:t>
            </w:r>
          </w:p>
        </w:tc>
        <w:tc>
          <w:tcPr>
            <w:tcW w:w="100" w:type="dxa"/>
            <w:vAlign w:val="bottom"/>
          </w:tcPr>
          <w:p>
            <w:pPr>
              <w:spacing w:after="0"/>
              <w:rPr>
                <w:sz w:val="16"/>
                <w:szCs w:val="16"/>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0F94D8"/>
              </w:rPr>
              <w:t>Performance Measures</w:t>
            </w:r>
          </w:p>
        </w:tc>
        <w:tc>
          <w:tcPr>
            <w:tcW w:w="100" w:type="dxa"/>
            <w:vAlign w:val="bottom"/>
          </w:tcPr>
          <w:p>
            <w:pPr>
              <w:spacing w:after="0"/>
              <w:rPr>
                <w:sz w:val="16"/>
                <w:szCs w:val="16"/>
                <w:color w:val="auto"/>
              </w:rPr>
            </w:pPr>
          </w:p>
        </w:tc>
        <w:tc>
          <w:tcPr>
            <w:tcW w:w="3760" w:type="dxa"/>
            <w:vAlign w:val="bottom"/>
          </w:tcPr>
          <w:p>
            <w:pPr>
              <w:ind w:left="80"/>
              <w:spacing w:after="0"/>
              <w:rPr>
                <w:sz w:val="20"/>
                <w:szCs w:val="20"/>
                <w:color w:val="auto"/>
              </w:rPr>
            </w:pPr>
            <w:r>
              <w:rPr>
                <w:rFonts w:ascii="Arial" w:cs="Arial" w:eastAsia="Arial" w:hAnsi="Arial"/>
                <w:sz w:val="14"/>
                <w:szCs w:val="14"/>
                <w:b w:val="1"/>
                <w:bCs w:val="1"/>
                <w:color w:val="0F94D8"/>
              </w:rPr>
              <w:t>Purpose</w:t>
            </w:r>
          </w:p>
        </w:tc>
        <w:tc>
          <w:tcPr>
            <w:tcW w:w="0" w:type="dxa"/>
            <w:vAlign w:val="bottom"/>
          </w:tcPr>
          <w:p>
            <w:pPr>
              <w:spacing w:after="0"/>
              <w:rPr>
                <w:sz w:val="1"/>
                <w:szCs w:val="1"/>
                <w:color w:val="auto"/>
              </w:rPr>
            </w:pPr>
          </w:p>
        </w:tc>
      </w:tr>
      <w:tr>
        <w:trPr>
          <w:trHeight w:val="61"/>
        </w:trPr>
        <w:tc>
          <w:tcPr>
            <w:tcW w:w="230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shd w:val="clear" w:color="auto" w:fill="0F94D8"/>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Base Salary</w:t>
            </w:r>
          </w:p>
        </w:tc>
        <w:tc>
          <w:tcPr>
            <w:tcW w:w="120" w:type="dxa"/>
            <w:vAlign w:val="bottom"/>
            <w:tcBorders>
              <w:bottom w:val="single" w:sz="8" w:color="7C7C7C"/>
            </w:tcBorders>
          </w:tcPr>
          <w:p>
            <w:pPr>
              <w:spacing w:after="0"/>
              <w:rPr>
                <w:sz w:val="17"/>
                <w:szCs w:val="17"/>
                <w:color w:val="auto"/>
              </w:rPr>
            </w:pPr>
          </w:p>
        </w:tc>
        <w:tc>
          <w:tcPr>
            <w:tcW w:w="230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 year</w:t>
            </w:r>
          </w:p>
        </w:tc>
        <w:tc>
          <w:tcPr>
            <w:tcW w:w="100" w:type="dxa"/>
            <w:vAlign w:val="bottom"/>
            <w:tcBorders>
              <w:bottom w:val="single" w:sz="8" w:color="7C7C7C"/>
            </w:tcBorders>
          </w:tcPr>
          <w:p>
            <w:pPr>
              <w:spacing w:after="0"/>
              <w:rPr>
                <w:sz w:val="17"/>
                <w:szCs w:val="17"/>
                <w:color w:val="auto"/>
              </w:rPr>
            </w:pPr>
          </w:p>
        </w:tc>
        <w:tc>
          <w:tcPr>
            <w:tcW w:w="27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Individual achievement</w:t>
            </w:r>
          </w:p>
        </w:tc>
        <w:tc>
          <w:tcPr>
            <w:tcW w:w="100" w:type="dxa"/>
            <w:vAlign w:val="bottom"/>
            <w:tcBorders>
              <w:bottom w:val="single" w:sz="8" w:color="7C7C7C"/>
            </w:tcBorders>
          </w:tcPr>
          <w:p>
            <w:pPr>
              <w:spacing w:after="0"/>
              <w:rPr>
                <w:sz w:val="17"/>
                <w:szCs w:val="17"/>
                <w:color w:val="auto"/>
              </w:rPr>
            </w:pPr>
          </w:p>
        </w:tc>
        <w:tc>
          <w:tcPr>
            <w:tcW w:w="37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Attract and retain talent</w:t>
            </w:r>
          </w:p>
        </w:tc>
        <w:tc>
          <w:tcPr>
            <w:tcW w:w="0" w:type="dxa"/>
            <w:vAlign w:val="bottom"/>
          </w:tcPr>
          <w:p>
            <w:pPr>
              <w:spacing w:after="0"/>
              <w:rPr>
                <w:sz w:val="1"/>
                <w:szCs w:val="1"/>
                <w:color w:val="auto"/>
              </w:rPr>
            </w:pPr>
          </w:p>
        </w:tc>
      </w:tr>
      <w:tr>
        <w:trPr>
          <w:trHeight w:val="189"/>
        </w:trPr>
        <w:tc>
          <w:tcPr>
            <w:tcW w:w="2300" w:type="dxa"/>
            <w:vAlign w:val="bottom"/>
          </w:tcPr>
          <w:p>
            <w:pPr>
              <w:ind w:left="80"/>
              <w:spacing w:after="0"/>
              <w:rPr>
                <w:sz w:val="20"/>
                <w:szCs w:val="20"/>
                <w:color w:val="auto"/>
              </w:rPr>
            </w:pPr>
            <w:r>
              <w:rPr>
                <w:rFonts w:ascii="Arial" w:cs="Arial" w:eastAsia="Arial" w:hAnsi="Arial"/>
                <w:sz w:val="14"/>
                <w:szCs w:val="14"/>
                <w:color w:val="auto"/>
              </w:rPr>
              <w:t>Annual Bonus</w:t>
            </w:r>
          </w:p>
        </w:tc>
        <w:tc>
          <w:tcPr>
            <w:tcW w:w="120" w:type="dxa"/>
            <w:vAlign w:val="bottom"/>
          </w:tcPr>
          <w:p>
            <w:pPr>
              <w:spacing w:after="0"/>
              <w:rPr>
                <w:sz w:val="16"/>
                <w:szCs w:val="16"/>
                <w:color w:val="auto"/>
              </w:rPr>
            </w:pPr>
          </w:p>
        </w:tc>
        <w:tc>
          <w:tcPr>
            <w:tcW w:w="2300" w:type="dxa"/>
            <w:vAlign w:val="bottom"/>
          </w:tcPr>
          <w:p>
            <w:pPr>
              <w:ind w:left="80"/>
              <w:spacing w:after="0"/>
              <w:rPr>
                <w:sz w:val="20"/>
                <w:szCs w:val="20"/>
                <w:color w:val="auto"/>
              </w:rPr>
            </w:pPr>
            <w:r>
              <w:rPr>
                <w:rFonts w:ascii="Arial" w:cs="Arial" w:eastAsia="Arial" w:hAnsi="Arial"/>
                <w:sz w:val="14"/>
                <w:szCs w:val="14"/>
                <w:color w:val="auto"/>
              </w:rPr>
              <w:t>1 year</w:t>
            </w:r>
          </w:p>
        </w:tc>
        <w:tc>
          <w:tcPr>
            <w:tcW w:w="100" w:type="dxa"/>
            <w:vAlign w:val="bottom"/>
          </w:tcPr>
          <w:p>
            <w:pPr>
              <w:spacing w:after="0"/>
              <w:rPr>
                <w:sz w:val="16"/>
                <w:szCs w:val="16"/>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Free cash flow</w:t>
            </w:r>
          </w:p>
        </w:tc>
        <w:tc>
          <w:tcPr>
            <w:tcW w:w="100" w:type="dxa"/>
            <w:vAlign w:val="bottom"/>
          </w:tcPr>
          <w:p>
            <w:pPr>
              <w:spacing w:after="0"/>
              <w:rPr>
                <w:sz w:val="21"/>
                <w:szCs w:val="21"/>
                <w:color w:val="auto"/>
              </w:rPr>
            </w:pPr>
          </w:p>
        </w:tc>
        <w:tc>
          <w:tcPr>
            <w:tcW w:w="3760" w:type="dxa"/>
            <w:vAlign w:val="bottom"/>
          </w:tcPr>
          <w:p>
            <w:pPr>
              <w:ind w:left="80"/>
              <w:spacing w:after="0"/>
              <w:rPr>
                <w:sz w:val="20"/>
                <w:szCs w:val="20"/>
                <w:color w:val="auto"/>
              </w:rPr>
            </w:pPr>
            <w:r>
              <w:rPr>
                <w:rFonts w:ascii="Arial" w:cs="Arial" w:eastAsia="Arial" w:hAnsi="Arial"/>
                <w:sz w:val="14"/>
                <w:szCs w:val="14"/>
                <w:color w:val="auto"/>
              </w:rPr>
              <w:t>Drive near-term performance goals</w:t>
            </w:r>
          </w:p>
        </w:tc>
        <w:tc>
          <w:tcPr>
            <w:tcW w:w="0" w:type="dxa"/>
            <w:vAlign w:val="bottom"/>
          </w:tcPr>
          <w:p>
            <w:pPr>
              <w:spacing w:after="0"/>
              <w:rPr>
                <w:sz w:val="1"/>
                <w:szCs w:val="1"/>
                <w:color w:val="auto"/>
              </w:rPr>
            </w:pPr>
          </w:p>
        </w:tc>
      </w:tr>
      <w:tr>
        <w:trPr>
          <w:trHeight w:val="251"/>
        </w:trPr>
        <w:tc>
          <w:tcPr>
            <w:tcW w:w="2300" w:type="dxa"/>
            <w:vAlign w:val="bottom"/>
            <w:tcBorders>
              <w:bottom w:val="single" w:sz="8" w:color="7C7C7C"/>
            </w:tcBorders>
          </w:tcPr>
          <w:p>
            <w:pPr>
              <w:spacing w:after="0"/>
              <w:rPr>
                <w:sz w:val="21"/>
                <w:szCs w:val="21"/>
                <w:color w:val="auto"/>
              </w:rPr>
            </w:pPr>
          </w:p>
        </w:tc>
        <w:tc>
          <w:tcPr>
            <w:tcW w:w="120" w:type="dxa"/>
            <w:vAlign w:val="bottom"/>
            <w:tcBorders>
              <w:bottom w:val="single" w:sz="8" w:color="7C7C7C"/>
            </w:tcBorders>
          </w:tcPr>
          <w:p>
            <w:pPr>
              <w:spacing w:after="0"/>
              <w:rPr>
                <w:sz w:val="21"/>
                <w:szCs w:val="21"/>
                <w:color w:val="auto"/>
              </w:rPr>
            </w:pPr>
          </w:p>
        </w:tc>
        <w:tc>
          <w:tcPr>
            <w:tcW w:w="2300" w:type="dxa"/>
            <w:vAlign w:val="bottom"/>
            <w:tcBorders>
              <w:bottom w:val="single" w:sz="8" w:color="7C7C7C"/>
            </w:tcBorders>
          </w:tcPr>
          <w:p>
            <w:pPr>
              <w:spacing w:after="0"/>
              <w:rPr>
                <w:sz w:val="21"/>
                <w:szCs w:val="21"/>
                <w:color w:val="auto"/>
              </w:rPr>
            </w:pPr>
          </w:p>
        </w:tc>
        <w:tc>
          <w:tcPr>
            <w:tcW w:w="100" w:type="dxa"/>
            <w:vAlign w:val="bottom"/>
            <w:tcBorders>
              <w:bottom w:val="single" w:sz="8" w:color="7C7C7C"/>
            </w:tcBorders>
          </w:tcPr>
          <w:p>
            <w:pPr>
              <w:spacing w:after="0"/>
              <w:rPr>
                <w:sz w:val="21"/>
                <w:szCs w:val="21"/>
                <w:color w:val="auto"/>
              </w:rPr>
            </w:pPr>
          </w:p>
        </w:tc>
        <w:tc>
          <w:tcPr>
            <w:tcW w:w="27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Individual achievement</w:t>
            </w:r>
          </w:p>
        </w:tc>
        <w:tc>
          <w:tcPr>
            <w:tcW w:w="100" w:type="dxa"/>
            <w:vAlign w:val="bottom"/>
            <w:tcBorders>
              <w:bottom w:val="single" w:sz="8" w:color="7C7C7C"/>
            </w:tcBorders>
          </w:tcPr>
          <w:p>
            <w:pPr>
              <w:spacing w:after="0"/>
              <w:rPr>
                <w:sz w:val="21"/>
                <w:szCs w:val="21"/>
                <w:color w:val="auto"/>
              </w:rPr>
            </w:pPr>
          </w:p>
        </w:tc>
        <w:tc>
          <w:tcPr>
            <w:tcW w:w="3760" w:type="dxa"/>
            <w:vAlign w:val="bottom"/>
            <w:tcBorders>
              <w:bottom w:val="single" w:sz="8" w:color="7C7C7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80"/>
              <w:spacing w:after="0"/>
              <w:rPr>
                <w:sz w:val="20"/>
                <w:szCs w:val="20"/>
                <w:color w:val="auto"/>
              </w:rPr>
            </w:pPr>
            <w:r>
              <w:rPr>
                <w:rFonts w:ascii="Arial" w:cs="Arial" w:eastAsia="Arial" w:hAnsi="Arial"/>
                <w:sz w:val="14"/>
                <w:szCs w:val="14"/>
                <w:color w:val="auto"/>
              </w:rPr>
              <w:t>Performance Share Units</w:t>
            </w:r>
          </w:p>
        </w:tc>
        <w:tc>
          <w:tcPr>
            <w:tcW w:w="120" w:type="dxa"/>
            <w:vAlign w:val="bottom"/>
          </w:tcPr>
          <w:p>
            <w:pPr>
              <w:spacing w:after="0"/>
              <w:rPr>
                <w:sz w:val="16"/>
                <w:szCs w:val="16"/>
                <w:color w:val="auto"/>
              </w:rPr>
            </w:pPr>
          </w:p>
        </w:tc>
        <w:tc>
          <w:tcPr>
            <w:tcW w:w="2300" w:type="dxa"/>
            <w:vAlign w:val="bottom"/>
          </w:tcPr>
          <w:p>
            <w:pPr>
              <w:ind w:left="80"/>
              <w:spacing w:after="0"/>
              <w:rPr>
                <w:sz w:val="20"/>
                <w:szCs w:val="20"/>
                <w:color w:val="auto"/>
              </w:rPr>
            </w:pPr>
            <w:r>
              <w:rPr>
                <w:rFonts w:ascii="Arial" w:cs="Arial" w:eastAsia="Arial" w:hAnsi="Arial"/>
                <w:sz w:val="14"/>
                <w:szCs w:val="14"/>
                <w:color w:val="auto"/>
              </w:rPr>
              <w:t>3 years</w:t>
            </w:r>
          </w:p>
        </w:tc>
        <w:tc>
          <w:tcPr>
            <w:tcW w:w="100" w:type="dxa"/>
            <w:vAlign w:val="bottom"/>
          </w:tcPr>
          <w:p>
            <w:pPr>
              <w:spacing w:after="0"/>
              <w:rPr>
                <w:sz w:val="16"/>
                <w:szCs w:val="16"/>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Adjusted earnings per share</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Return on invested capital</w:t>
            </w:r>
          </w:p>
        </w:tc>
        <w:tc>
          <w:tcPr>
            <w:tcW w:w="100" w:type="dxa"/>
            <w:vAlign w:val="bottom"/>
          </w:tcPr>
          <w:p>
            <w:pPr>
              <w:spacing w:after="0"/>
              <w:rPr>
                <w:sz w:val="21"/>
                <w:szCs w:val="21"/>
                <w:color w:val="auto"/>
              </w:rPr>
            </w:pPr>
          </w:p>
        </w:tc>
        <w:tc>
          <w:tcPr>
            <w:tcW w:w="3760" w:type="dxa"/>
            <w:vAlign w:val="bottom"/>
            <w:vMerge w:val="restart"/>
          </w:tcPr>
          <w:p>
            <w:pPr>
              <w:ind w:left="80"/>
              <w:spacing w:after="0"/>
              <w:rPr>
                <w:sz w:val="20"/>
                <w:szCs w:val="20"/>
                <w:color w:val="auto"/>
              </w:rPr>
            </w:pPr>
            <w:r>
              <w:rPr>
                <w:rFonts w:ascii="Arial" w:cs="Arial" w:eastAsia="Arial" w:hAnsi="Arial"/>
                <w:sz w:val="14"/>
                <w:szCs w:val="14"/>
                <w:color w:val="auto"/>
              </w:rPr>
              <w:t>Drive medium-term performance goals</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restart"/>
          </w:tcPr>
          <w:p>
            <w:pPr>
              <w:ind w:left="80"/>
              <w:spacing w:after="0"/>
              <w:rPr>
                <w:sz w:val="20"/>
                <w:szCs w:val="20"/>
                <w:color w:val="auto"/>
              </w:rPr>
            </w:pPr>
            <w:r>
              <w:rPr>
                <w:rFonts w:ascii="Arial" w:cs="Arial" w:eastAsia="Arial" w:hAnsi="Arial"/>
                <w:sz w:val="14"/>
                <w:szCs w:val="14"/>
                <w:color w:val="auto"/>
              </w:rPr>
              <w:t>Total shareowner return vs. the S&amp;P 500</w:t>
            </w:r>
          </w:p>
        </w:tc>
        <w:tc>
          <w:tcPr>
            <w:tcW w:w="10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300" w:type="dxa"/>
            <w:vAlign w:val="bottom"/>
            <w:tcBorders>
              <w:bottom w:val="single" w:sz="8" w:color="7C7C7C"/>
            </w:tcBorders>
          </w:tcPr>
          <w:p>
            <w:pPr>
              <w:spacing w:after="0"/>
              <w:rPr>
                <w:sz w:val="21"/>
                <w:szCs w:val="21"/>
                <w:color w:val="auto"/>
              </w:rPr>
            </w:pPr>
          </w:p>
        </w:tc>
        <w:tc>
          <w:tcPr>
            <w:tcW w:w="120" w:type="dxa"/>
            <w:vAlign w:val="bottom"/>
            <w:tcBorders>
              <w:bottom w:val="single" w:sz="8" w:color="7C7C7C"/>
            </w:tcBorders>
          </w:tcPr>
          <w:p>
            <w:pPr>
              <w:spacing w:after="0"/>
              <w:rPr>
                <w:sz w:val="21"/>
                <w:szCs w:val="21"/>
                <w:color w:val="auto"/>
              </w:rPr>
            </w:pPr>
          </w:p>
        </w:tc>
        <w:tc>
          <w:tcPr>
            <w:tcW w:w="2300" w:type="dxa"/>
            <w:vAlign w:val="bottom"/>
            <w:tcBorders>
              <w:bottom w:val="single" w:sz="8" w:color="7C7C7C"/>
            </w:tcBorders>
          </w:tcPr>
          <w:p>
            <w:pPr>
              <w:spacing w:after="0"/>
              <w:rPr>
                <w:sz w:val="21"/>
                <w:szCs w:val="21"/>
                <w:color w:val="auto"/>
              </w:rPr>
            </w:pPr>
          </w:p>
        </w:tc>
        <w:tc>
          <w:tcPr>
            <w:tcW w:w="100" w:type="dxa"/>
            <w:vAlign w:val="bottom"/>
            <w:tcBorders>
              <w:bottom w:val="single" w:sz="8" w:color="7C7C7C"/>
            </w:tcBorders>
          </w:tcPr>
          <w:p>
            <w:pPr>
              <w:spacing w:after="0"/>
              <w:rPr>
                <w:sz w:val="21"/>
                <w:szCs w:val="21"/>
                <w:color w:val="auto"/>
              </w:rPr>
            </w:pPr>
          </w:p>
        </w:tc>
        <w:tc>
          <w:tcPr>
            <w:tcW w:w="27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Share price appreciation</w:t>
            </w:r>
          </w:p>
        </w:tc>
        <w:tc>
          <w:tcPr>
            <w:tcW w:w="100" w:type="dxa"/>
            <w:vAlign w:val="bottom"/>
            <w:tcBorders>
              <w:bottom w:val="single" w:sz="8" w:color="7C7C7C"/>
            </w:tcBorders>
          </w:tcPr>
          <w:p>
            <w:pPr>
              <w:spacing w:after="0"/>
              <w:rPr>
                <w:sz w:val="21"/>
                <w:szCs w:val="21"/>
                <w:color w:val="auto"/>
              </w:rPr>
            </w:pPr>
          </w:p>
        </w:tc>
        <w:tc>
          <w:tcPr>
            <w:tcW w:w="3760" w:type="dxa"/>
            <w:vAlign w:val="bottom"/>
            <w:tcBorders>
              <w:bottom w:val="single" w:sz="8" w:color="7C7C7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Restricted Stock Units</w:t>
            </w:r>
          </w:p>
        </w:tc>
        <w:tc>
          <w:tcPr>
            <w:tcW w:w="120" w:type="dxa"/>
            <w:vAlign w:val="bottom"/>
            <w:tcBorders>
              <w:bottom w:val="single" w:sz="8" w:color="7C7C7C"/>
            </w:tcBorders>
          </w:tcPr>
          <w:p>
            <w:pPr>
              <w:spacing w:after="0"/>
              <w:rPr>
                <w:sz w:val="17"/>
                <w:szCs w:val="17"/>
                <w:color w:val="auto"/>
              </w:rPr>
            </w:pPr>
          </w:p>
        </w:tc>
        <w:tc>
          <w:tcPr>
            <w:tcW w:w="230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3 years</w:t>
            </w:r>
          </w:p>
        </w:tc>
        <w:tc>
          <w:tcPr>
            <w:tcW w:w="100" w:type="dxa"/>
            <w:vAlign w:val="bottom"/>
            <w:tcBorders>
              <w:bottom w:val="single" w:sz="8" w:color="7C7C7C"/>
            </w:tcBorders>
          </w:tcPr>
          <w:p>
            <w:pPr>
              <w:spacing w:after="0"/>
              <w:rPr>
                <w:sz w:val="17"/>
                <w:szCs w:val="17"/>
                <w:color w:val="auto"/>
              </w:rPr>
            </w:pPr>
          </w:p>
        </w:tc>
        <w:tc>
          <w:tcPr>
            <w:tcW w:w="27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Share price appreciation</w:t>
            </w:r>
          </w:p>
        </w:tc>
        <w:tc>
          <w:tcPr>
            <w:tcW w:w="100" w:type="dxa"/>
            <w:vAlign w:val="bottom"/>
            <w:tcBorders>
              <w:bottom w:val="single" w:sz="8" w:color="7C7C7C"/>
            </w:tcBorders>
          </w:tcPr>
          <w:p>
            <w:pPr>
              <w:spacing w:after="0"/>
              <w:rPr>
                <w:sz w:val="17"/>
                <w:szCs w:val="17"/>
                <w:color w:val="auto"/>
              </w:rPr>
            </w:pPr>
          </w:p>
        </w:tc>
        <w:tc>
          <w:tcPr>
            <w:tcW w:w="37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Retain talent</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Stock Appreciation Rights</w:t>
            </w:r>
          </w:p>
        </w:tc>
        <w:tc>
          <w:tcPr>
            <w:tcW w:w="120" w:type="dxa"/>
            <w:vAlign w:val="bottom"/>
            <w:tcBorders>
              <w:bottom w:val="single" w:sz="8" w:color="7C7C7C"/>
            </w:tcBorders>
          </w:tcPr>
          <w:p>
            <w:pPr>
              <w:spacing w:after="0"/>
              <w:rPr>
                <w:sz w:val="17"/>
                <w:szCs w:val="17"/>
                <w:color w:val="auto"/>
              </w:rPr>
            </w:pPr>
          </w:p>
        </w:tc>
        <w:tc>
          <w:tcPr>
            <w:tcW w:w="230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10 years</w:t>
            </w:r>
          </w:p>
        </w:tc>
        <w:tc>
          <w:tcPr>
            <w:tcW w:w="100" w:type="dxa"/>
            <w:vAlign w:val="bottom"/>
            <w:tcBorders>
              <w:bottom w:val="single" w:sz="8" w:color="7C7C7C"/>
            </w:tcBorders>
          </w:tcPr>
          <w:p>
            <w:pPr>
              <w:spacing w:after="0"/>
              <w:rPr>
                <w:sz w:val="17"/>
                <w:szCs w:val="17"/>
                <w:color w:val="auto"/>
              </w:rPr>
            </w:pPr>
          </w:p>
        </w:tc>
        <w:tc>
          <w:tcPr>
            <w:tcW w:w="27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Share price appreciation</w:t>
            </w:r>
          </w:p>
        </w:tc>
        <w:tc>
          <w:tcPr>
            <w:tcW w:w="100" w:type="dxa"/>
            <w:vAlign w:val="bottom"/>
            <w:tcBorders>
              <w:bottom w:val="single" w:sz="8" w:color="7C7C7C"/>
            </w:tcBorders>
          </w:tcPr>
          <w:p>
            <w:pPr>
              <w:spacing w:after="0"/>
              <w:rPr>
                <w:sz w:val="17"/>
                <w:szCs w:val="17"/>
                <w:color w:val="auto"/>
              </w:rPr>
            </w:pPr>
          </w:p>
        </w:tc>
        <w:tc>
          <w:tcPr>
            <w:tcW w:w="376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Drive long-term share price appreciation</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880" w:hanging="628"/>
        <w:spacing w:after="0"/>
        <w:tabs>
          <w:tab w:leader="none" w:pos="880" w:val="left"/>
        </w:tabs>
        <w:numPr>
          <w:ilvl w:val="0"/>
          <w:numId w:val="105"/>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2018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HIGHLIGHTS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Two transformational changes to our company occurred in 2018.</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First, on November 26, 2018, we completed the acquisition of Rockwell Collins, making UTC the preeminent systems and component supplier to the aerospace and defense industry. The merged business, Collins Aerospace, will be able to offer customers a full suite of systems throughout an entire aircraft. This acquisition enhances our capabilities in the development of intelligent aircraft, integrated and optimized aircraft products and services, and advanced defense systems.</w:t>
      </w:r>
    </w:p>
    <w:p>
      <w:pPr>
        <w:spacing w:after="0" w:line="209"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Second, we completed a comprehensive business portfolio review and subsequently announced our intention to separate our commercial businesses – Carrier and Otis – into independent companies. As standalone companies, we believe Carrier and Otis will have the resources, capital and strategic flexibility to focus on the unique needs of their respective customers. We further believe that focused companies perform better, offer greater transparency to investors and bring operating discipline and enhanced competitiveness within their specific industries. We expect this proposed separation to be tax free to our shareowners for U.S. federal income tax purposes and to be completed by mid-year 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OPERATIONAL HIGHLIGHTS</w:t>
      </w:r>
    </w:p>
    <w:p>
      <w:pPr>
        <w:spacing w:after="0" w:line="223" w:lineRule="exact"/>
        <w:rPr>
          <w:sz w:val="20"/>
          <w:szCs w:val="20"/>
          <w:color w:val="auto"/>
        </w:rPr>
      </w:pPr>
    </w:p>
    <w:p>
      <w:pPr>
        <w:ind w:left="260" w:right="240" w:hanging="252"/>
        <w:spacing w:after="0" w:line="299" w:lineRule="auto"/>
        <w:tabs>
          <w:tab w:leader="none" w:pos="260" w:val="left"/>
        </w:tabs>
        <w:numPr>
          <w:ilvl w:val="0"/>
          <w:numId w:val="106"/>
        </w:numPr>
        <w:rPr>
          <w:rFonts w:ascii="Arial" w:cs="Arial" w:eastAsia="Arial" w:hAnsi="Arial"/>
          <w:sz w:val="16"/>
          <w:szCs w:val="16"/>
          <w:color w:val="FDB03F"/>
        </w:rPr>
      </w:pPr>
      <w:r>
        <w:rPr>
          <w:rFonts w:ascii="Arial" w:cs="Arial" w:eastAsia="Arial" w:hAnsi="Arial"/>
          <w:sz w:val="16"/>
          <w:szCs w:val="16"/>
          <w:color w:val="0F94D8"/>
        </w:rPr>
        <w:t xml:space="preserve">Pratt &amp; Whitney: </w:t>
      </w:r>
      <w:r>
        <w:rPr>
          <w:rFonts w:ascii="Arial" w:cs="Arial" w:eastAsia="Arial" w:hAnsi="Arial"/>
          <w:sz w:val="16"/>
          <w:szCs w:val="16"/>
          <w:color w:val="000000"/>
        </w:rPr>
        <w:t>Achieved net sales growth of 20% (GAAP), which included 14% organic growth (non-GAAP), while nearly doubling the 2017</w:t>
      </w:r>
      <w:r>
        <w:rPr>
          <w:rFonts w:ascii="Arial" w:cs="Arial" w:eastAsia="Arial" w:hAnsi="Arial"/>
          <w:sz w:val="16"/>
          <w:szCs w:val="16"/>
          <w:color w:val="0F94D8"/>
        </w:rPr>
        <w:t xml:space="preserve"> </w:t>
      </w:r>
      <w:r>
        <w:rPr>
          <w:rFonts w:ascii="Arial" w:cs="Arial" w:eastAsia="Arial" w:hAnsi="Arial"/>
          <w:sz w:val="16"/>
          <w:szCs w:val="16"/>
          <w:color w:val="000000"/>
        </w:rPr>
        <w:t>production of the GTF engine and, for the first time in over 30 years, manufactured more than 1,000 large commercial and military engines.</w:t>
      </w:r>
    </w:p>
    <w:p>
      <w:pPr>
        <w:spacing w:after="0" w:line="54" w:lineRule="exact"/>
        <w:rPr>
          <w:rFonts w:ascii="Arial" w:cs="Arial" w:eastAsia="Arial" w:hAnsi="Arial"/>
          <w:sz w:val="16"/>
          <w:szCs w:val="16"/>
          <w:color w:val="FDB03F"/>
        </w:rPr>
      </w:pPr>
    </w:p>
    <w:p>
      <w:pPr>
        <w:ind w:left="260" w:right="220" w:hanging="252"/>
        <w:spacing w:after="0" w:line="237" w:lineRule="auto"/>
        <w:tabs>
          <w:tab w:leader="none" w:pos="260" w:val="left"/>
        </w:tabs>
        <w:numPr>
          <w:ilvl w:val="0"/>
          <w:numId w:val="106"/>
        </w:numPr>
        <w:rPr>
          <w:rFonts w:ascii="Arial" w:cs="Arial" w:eastAsia="Arial" w:hAnsi="Arial"/>
          <w:sz w:val="17"/>
          <w:szCs w:val="17"/>
          <w:color w:val="FDB03F"/>
        </w:rPr>
      </w:pPr>
      <w:r>
        <w:rPr>
          <w:rFonts w:ascii="Arial" w:cs="Arial" w:eastAsia="Arial" w:hAnsi="Arial"/>
          <w:sz w:val="18"/>
          <w:szCs w:val="18"/>
          <w:color w:val="0F94D8"/>
        </w:rPr>
        <w:t xml:space="preserve">Collins Aerospace: </w:t>
      </w:r>
      <w:r>
        <w:rPr>
          <w:rFonts w:ascii="Arial" w:cs="Arial" w:eastAsia="Arial" w:hAnsi="Arial"/>
          <w:sz w:val="18"/>
          <w:szCs w:val="18"/>
          <w:color w:val="000000"/>
        </w:rPr>
        <w:t>Secured a number of substantial product placement wins from key customers – examples include a contract to provide an</w:t>
      </w:r>
      <w:r>
        <w:rPr>
          <w:rFonts w:ascii="Arial" w:cs="Arial" w:eastAsia="Arial" w:hAnsi="Arial"/>
          <w:sz w:val="18"/>
          <w:szCs w:val="18"/>
          <w:color w:val="0F94D8"/>
        </w:rPr>
        <w:t xml:space="preserve"> </w:t>
      </w:r>
      <w:r>
        <w:rPr>
          <w:rFonts w:ascii="Arial" w:cs="Arial" w:eastAsia="Arial" w:hAnsi="Arial"/>
          <w:sz w:val="18"/>
          <w:szCs w:val="18"/>
          <w:color w:val="000000"/>
        </w:rPr>
        <w:t>advanced nacelle system for Dassault Aviation’s Falcon 6X business jet, selection by Boeing to provide its ACES 5 ejection seat and a fully integrated landing gear system for the U.S. Air Force’s new T-X jet trainer, and development of the main electric power generation system for South Korea’s KF-X fighter.</w:t>
      </w:r>
    </w:p>
    <w:p>
      <w:pPr>
        <w:spacing w:after="0" w:line="100" w:lineRule="exact"/>
        <w:rPr>
          <w:rFonts w:ascii="Arial" w:cs="Arial" w:eastAsia="Arial" w:hAnsi="Arial"/>
          <w:sz w:val="17"/>
          <w:szCs w:val="17"/>
          <w:color w:val="FDB03F"/>
        </w:rPr>
      </w:pPr>
    </w:p>
    <w:p>
      <w:pPr>
        <w:jc w:val="both"/>
        <w:ind w:left="260" w:right="560" w:hanging="252"/>
        <w:spacing w:after="0" w:line="238" w:lineRule="auto"/>
        <w:tabs>
          <w:tab w:leader="none" w:pos="260" w:val="left"/>
        </w:tabs>
        <w:numPr>
          <w:ilvl w:val="0"/>
          <w:numId w:val="106"/>
        </w:numPr>
        <w:rPr>
          <w:rFonts w:ascii="Arial" w:cs="Arial" w:eastAsia="Arial" w:hAnsi="Arial"/>
          <w:sz w:val="17"/>
          <w:szCs w:val="17"/>
          <w:color w:val="FDB03F"/>
        </w:rPr>
      </w:pPr>
      <w:r>
        <w:rPr>
          <w:rFonts w:ascii="Arial" w:cs="Arial" w:eastAsia="Arial" w:hAnsi="Arial"/>
          <w:sz w:val="18"/>
          <w:szCs w:val="18"/>
          <w:color w:val="0F94D8"/>
        </w:rPr>
        <w:t xml:space="preserve">Otis: </w:t>
      </w:r>
      <w:r>
        <w:rPr>
          <w:rFonts w:ascii="Arial" w:cs="Arial" w:eastAsia="Arial" w:hAnsi="Arial"/>
          <w:sz w:val="18"/>
          <w:szCs w:val="18"/>
          <w:color w:val="000000"/>
        </w:rPr>
        <w:t>Saw the launch of the IoT-enabled Otis ONE service platform, which collects real-time performance data to help predict and prevent</w:t>
      </w:r>
      <w:r>
        <w:rPr>
          <w:rFonts w:ascii="Arial" w:cs="Arial" w:eastAsia="Arial" w:hAnsi="Arial"/>
          <w:sz w:val="18"/>
          <w:szCs w:val="18"/>
          <w:color w:val="0F94D8"/>
        </w:rPr>
        <w:t xml:space="preserve"> </w:t>
      </w:r>
      <w:r>
        <w:rPr>
          <w:rFonts w:ascii="Arial" w:cs="Arial" w:eastAsia="Arial" w:hAnsi="Arial"/>
          <w:sz w:val="18"/>
          <w:szCs w:val="18"/>
          <w:color w:val="000000"/>
        </w:rPr>
        <w:t>equipment shutdowns. This digital ecosystem combines Otis’ decades of experience in remote elevator monitoring with the latest in data analytics, machine learning and the Internet of Things.</w:t>
      </w:r>
    </w:p>
    <w:p>
      <w:pPr>
        <w:spacing w:after="0" w:line="99" w:lineRule="exact"/>
        <w:rPr>
          <w:rFonts w:ascii="Arial" w:cs="Arial" w:eastAsia="Arial" w:hAnsi="Arial"/>
          <w:sz w:val="17"/>
          <w:szCs w:val="17"/>
          <w:color w:val="FDB03F"/>
        </w:rPr>
      </w:pPr>
    </w:p>
    <w:p>
      <w:pPr>
        <w:ind w:left="260" w:right="340" w:hanging="252"/>
        <w:spacing w:after="0" w:line="239" w:lineRule="auto"/>
        <w:tabs>
          <w:tab w:leader="none" w:pos="260" w:val="left"/>
        </w:tabs>
        <w:numPr>
          <w:ilvl w:val="0"/>
          <w:numId w:val="106"/>
        </w:numPr>
        <w:rPr>
          <w:rFonts w:ascii="Arial" w:cs="Arial" w:eastAsia="Arial" w:hAnsi="Arial"/>
          <w:sz w:val="17"/>
          <w:szCs w:val="17"/>
          <w:color w:val="FDB03F"/>
        </w:rPr>
      </w:pPr>
      <w:r>
        <w:rPr>
          <w:rFonts w:ascii="Arial" w:cs="Arial" w:eastAsia="Arial" w:hAnsi="Arial"/>
          <w:sz w:val="18"/>
          <w:szCs w:val="18"/>
          <w:color w:val="0F94D8"/>
        </w:rPr>
        <w:t xml:space="preserve">Carrier: </w:t>
      </w:r>
      <w:r>
        <w:rPr>
          <w:rFonts w:ascii="Arial" w:cs="Arial" w:eastAsia="Arial" w:hAnsi="Arial"/>
          <w:sz w:val="18"/>
          <w:szCs w:val="18"/>
          <w:color w:val="000000"/>
        </w:rPr>
        <w:t>Through its investments in innovation and research and development, Carrier launched more than 100 products in 2018. During the</w:t>
      </w:r>
      <w:r>
        <w:rPr>
          <w:rFonts w:ascii="Arial" w:cs="Arial" w:eastAsia="Arial" w:hAnsi="Arial"/>
          <w:sz w:val="18"/>
          <w:szCs w:val="18"/>
          <w:color w:val="0F94D8"/>
        </w:rPr>
        <w:t xml:space="preserve"> </w:t>
      </w:r>
      <w:r>
        <w:rPr>
          <w:rFonts w:ascii="Arial" w:cs="Arial" w:eastAsia="Arial" w:hAnsi="Arial"/>
          <w:sz w:val="18"/>
          <w:szCs w:val="18"/>
          <w:color w:val="000000"/>
        </w:rPr>
        <w:t>same period, Carrier achieved net sales and organic growth of 6% (GAAP and non-GAAP).</w:t>
      </w:r>
    </w:p>
    <w:p>
      <w:pPr>
        <w:spacing w:after="0" w:line="200" w:lineRule="exact"/>
        <w:rPr>
          <w:sz w:val="20"/>
          <w:szCs w:val="20"/>
          <w:color w:val="auto"/>
        </w:rPr>
      </w:pPr>
    </w:p>
    <w:p>
      <w:pPr>
        <w:ind w:left="5020" w:right="500" w:hanging="107"/>
        <w:spacing w:after="0" w:line="238" w:lineRule="auto"/>
        <w:rPr>
          <w:sz w:val="20"/>
          <w:szCs w:val="20"/>
          <w:color w:val="auto"/>
        </w:rPr>
      </w:pPr>
      <w:r>
        <w:rPr>
          <w:rFonts w:ascii="Arial" w:cs="Arial" w:eastAsia="Arial" w:hAnsi="Arial"/>
          <w:sz w:val="22"/>
          <w:szCs w:val="22"/>
          <w:b w:val="1"/>
          <w:bCs w:val="1"/>
          <w:color w:val="0F94D8"/>
        </w:rPr>
        <w:t xml:space="preserve">“Our decision to separate UTC into three companies is a pivotal moment in our history and will best position each independent company </w:t>
      </w:r>
      <w:r>
        <w:rPr>
          <w:rFonts w:ascii="Arial" w:cs="Arial" w:eastAsia="Arial" w:hAnsi="Arial"/>
          <w:sz w:val="22"/>
          <w:szCs w:val="22"/>
          <w:b w:val="1"/>
          <w:bCs w:val="1"/>
          <w:color w:val="80B8E7"/>
        </w:rPr>
        <w:t>to drive sustained growth, lead its</w:t>
      </w:r>
      <w:r>
        <w:rPr>
          <w:rFonts w:ascii="Arial" w:cs="Arial" w:eastAsia="Arial" w:hAnsi="Arial"/>
          <w:sz w:val="22"/>
          <w:szCs w:val="22"/>
          <w:b w:val="1"/>
          <w:bCs w:val="1"/>
          <w:color w:val="0F94D8"/>
        </w:rPr>
        <w:t xml:space="preserve"> </w:t>
      </w:r>
      <w:r>
        <w:rPr>
          <w:rFonts w:ascii="Arial" w:cs="Arial" w:eastAsia="Arial" w:hAnsi="Arial"/>
          <w:sz w:val="22"/>
          <w:szCs w:val="22"/>
          <w:b w:val="1"/>
          <w:bCs w:val="1"/>
          <w:color w:val="80B8E7"/>
        </w:rPr>
        <w:t>industry in innovation and customer focus, and maximize value creation.”</w:t>
      </w:r>
    </w:p>
    <w:p>
      <w:pPr>
        <w:spacing w:after="0" w:line="101" w:lineRule="exact"/>
        <w:rPr>
          <w:sz w:val="20"/>
          <w:szCs w:val="20"/>
          <w:color w:val="auto"/>
        </w:rPr>
      </w:pPr>
    </w:p>
    <w:p>
      <w:pPr>
        <w:ind w:left="5020"/>
        <w:spacing w:after="0"/>
        <w:rPr>
          <w:sz w:val="20"/>
          <w:szCs w:val="20"/>
          <w:color w:val="auto"/>
        </w:rPr>
      </w:pPr>
      <w:r>
        <w:rPr>
          <w:rFonts w:ascii="Arial" w:cs="Arial" w:eastAsia="Arial" w:hAnsi="Arial"/>
          <w:sz w:val="14"/>
          <w:szCs w:val="14"/>
          <w:color w:val="0F94D8"/>
        </w:rPr>
        <w:t>Gregory J. Hayes, 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86995</wp:posOffset>
            </wp:positionV>
            <wp:extent cx="43478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35</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HIGHLIGHTS*</w:t>
      </w:r>
    </w:p>
    <w:p>
      <w:pPr>
        <w:spacing w:after="0" w:line="22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2018, we delivered strong financial results. We achieved 14% diluted EPS growth (GAAP and non-GAAP) and increased sales by 11% (GAAP), which included organic growth of 8% (non-GAAP) — our best in over a decade. We also generated $6.3 billion of cash flow from continuing operations (GAAP) and free cash flow of $4.4 billion (non-GAAP), while spending $4.0 billion in company- and customer-funded research and development. Further, we continued our 82-year tradition of paying a dividend to shareowners and increased the dividends paid in 2018 by 4.2%.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tcBorders>
              <w:bottom w:val="single" w:sz="8" w:color="0F94D8"/>
            </w:tcBorders>
            <w:shd w:val="clear" w:color="auto" w:fill="0F94D8"/>
          </w:tcPr>
          <w:p>
            <w:pPr>
              <w:ind w:left="80"/>
              <w:spacing w:after="0"/>
              <w:rPr>
                <w:sz w:val="20"/>
                <w:szCs w:val="20"/>
                <w:color w:val="auto"/>
              </w:rPr>
            </w:pPr>
            <w:r>
              <w:rPr>
                <w:rFonts w:ascii="Arial" w:cs="Arial" w:eastAsia="Arial" w:hAnsi="Arial"/>
                <w:sz w:val="14"/>
                <w:szCs w:val="14"/>
                <w:b w:val="1"/>
                <w:bCs w:val="1"/>
                <w:color w:val="FFFFFF"/>
              </w:rPr>
              <w:t>GAAP FINANCIAL MEASURES*</w:t>
            </w:r>
          </w:p>
        </w:tc>
        <w:tc>
          <w:tcPr>
            <w:tcW w:w="260" w:type="dxa"/>
            <w:vAlign w:val="bottom"/>
          </w:tcPr>
          <w:p>
            <w:pPr>
              <w:spacing w:after="0"/>
              <w:rPr>
                <w:sz w:val="22"/>
                <w:szCs w:val="22"/>
                <w:color w:val="auto"/>
              </w:rPr>
            </w:pPr>
          </w:p>
        </w:tc>
        <w:tc>
          <w:tcPr>
            <w:tcW w:w="5580" w:type="dxa"/>
            <w:vAlign w:val="bottom"/>
            <w:tcBorders>
              <w:bottom w:val="single" w:sz="8" w:color="7C7C7C"/>
            </w:tcBorders>
            <w:shd w:val="clear" w:color="auto" w:fill="7C7C7C"/>
          </w:tcPr>
          <w:p>
            <w:pPr>
              <w:ind w:left="80"/>
              <w:spacing w:after="0"/>
              <w:rPr>
                <w:sz w:val="20"/>
                <w:szCs w:val="20"/>
                <w:color w:val="auto"/>
              </w:rPr>
            </w:pPr>
            <w:r>
              <w:rPr>
                <w:rFonts w:ascii="Arial" w:cs="Arial" w:eastAsia="Arial" w:hAnsi="Arial"/>
                <w:sz w:val="14"/>
                <w:szCs w:val="14"/>
                <w:b w:val="1"/>
                <w:bCs w:val="1"/>
                <w:color w:val="FFFFFF"/>
              </w:rPr>
              <w:t>NON-GAAP FINANCIAL MEASURES*</w:t>
            </w:r>
          </w:p>
        </w:tc>
      </w:tr>
      <w:tr>
        <w:trPr>
          <w:trHeight w:val="229"/>
        </w:trPr>
        <w:tc>
          <w:tcPr>
            <w:tcW w:w="5580" w:type="dxa"/>
            <w:vAlign w:val="bottom"/>
          </w:tcPr>
          <w:p>
            <w:pPr>
              <w:ind w:left="80"/>
              <w:spacing w:after="0"/>
              <w:rPr>
                <w:sz w:val="20"/>
                <w:szCs w:val="20"/>
                <w:color w:val="auto"/>
              </w:rPr>
            </w:pPr>
            <w:r>
              <w:rPr>
                <w:rFonts w:ascii="Arial" w:cs="Arial" w:eastAsia="Arial" w:hAnsi="Arial"/>
                <w:sz w:val="14"/>
                <w:szCs w:val="14"/>
                <w:b w:val="1"/>
                <w:bCs w:val="1"/>
                <w:color w:val="0F94D8"/>
              </w:rPr>
              <w:t>NET SALES (in billions)</w:t>
            </w:r>
          </w:p>
        </w:tc>
        <w:tc>
          <w:tcPr>
            <w:tcW w:w="2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4"/>
                <w:szCs w:val="14"/>
                <w:b w:val="1"/>
                <w:bCs w:val="1"/>
                <w:color w:val="616161"/>
              </w:rPr>
              <w:t>ADJUSTED NET SALES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6791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36791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0F94D8"/>
        </w:rPr>
        <w:t>DILUTED EPS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16161"/>
        </w:rPr>
        <w:t>ADJUSTED DILUTED EPS ($ per share)</w:t>
      </w:r>
    </w:p>
    <w:p>
      <w:pPr>
        <w:spacing w:after="0" w:line="254" w:lineRule="exact"/>
        <w:rPr>
          <w:sz w:val="20"/>
          <w:szCs w:val="20"/>
          <w:color w:val="auto"/>
        </w:rPr>
      </w:pPr>
    </w:p>
    <w:p>
      <w:pPr>
        <w:sectPr>
          <w:pgSz w:w="11900" w:h="16838" w:orient="portrait"/>
          <w:cols w:equalWidth="0" w:num="2">
            <w:col w:w="5200" w:space="720"/>
            <w:col w:w="55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0F94D8"/>
        </w:rPr>
        <w:t>CASH FLOW FROM OPERATIONS (in billions)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color w:val="616161"/>
        </w:rPr>
        <w:t>FREE CASH FLOW (in billions)</w:t>
      </w:r>
    </w:p>
    <w:p>
      <w:pPr>
        <w:spacing w:after="0" w:line="254" w:lineRule="exact"/>
        <w:rPr>
          <w:sz w:val="20"/>
          <w:szCs w:val="20"/>
          <w:color w:val="auto"/>
        </w:rPr>
      </w:pPr>
    </w:p>
    <w:p>
      <w:pPr>
        <w:sectPr>
          <w:pgSz w:w="11900" w:h="16838" w:orient="portrait"/>
          <w:cols w:equalWidth="0" w:num="2">
            <w:col w:w="5200" w:space="720"/>
            <w:col w:w="55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0F94D8"/>
              </w:rPr>
              <w:t>NET INCOME (in billions)</w:t>
            </w:r>
          </w:p>
        </w:tc>
        <w:tc>
          <w:tcPr>
            <w:tcW w:w="4480" w:type="dxa"/>
            <w:vAlign w:val="bottom"/>
          </w:tcPr>
          <w:p>
            <w:pPr>
              <w:ind w:left="2120"/>
              <w:spacing w:after="0"/>
              <w:rPr>
                <w:sz w:val="20"/>
                <w:szCs w:val="20"/>
                <w:color w:val="auto"/>
              </w:rPr>
            </w:pPr>
            <w:r>
              <w:rPr>
                <w:rFonts w:ascii="Arial" w:cs="Arial" w:eastAsia="Arial" w:hAnsi="Arial"/>
                <w:sz w:val="14"/>
                <w:szCs w:val="14"/>
                <w:b w:val="1"/>
                <w:bCs w:val="1"/>
                <w:color w:val="616161"/>
                <w:w w:val="95"/>
              </w:rPr>
              <w:t>ADJUSTED NET INCOME (in billions)</w:t>
            </w: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 See Appendix A on pages 86-87 for additional information regarding these GAAP and non-GAAP financial measures.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58"/>
        </w:trPr>
        <w:tc>
          <w:tcPr>
            <w:tcW w:w="3580" w:type="dxa"/>
            <w:vAlign w:val="bottom"/>
            <w:vMerge w:val="restart"/>
          </w:tcPr>
          <w:p>
            <w:pPr>
              <w:spacing w:after="0"/>
              <w:rPr>
                <w:sz w:val="20"/>
                <w:szCs w:val="20"/>
                <w:color w:val="auto"/>
              </w:rPr>
            </w:pPr>
            <w:r>
              <w:rPr>
                <w:rFonts w:ascii="Arial" w:cs="Arial" w:eastAsia="Arial" w:hAnsi="Arial"/>
                <w:sz w:val="45"/>
                <w:szCs w:val="45"/>
                <w:b w:val="1"/>
                <w:bCs w:val="1"/>
                <w:color w:val="FDB03F"/>
              </w:rPr>
              <w:t>16</w:t>
            </w:r>
            <w:r>
              <w:rPr>
                <w:rFonts w:ascii="Arial" w:cs="Arial" w:eastAsia="Arial" w:hAnsi="Arial"/>
                <w:sz w:val="27"/>
                <w:szCs w:val="27"/>
                <w:b w:val="1"/>
                <w:bCs w:val="1"/>
                <w:color w:val="FDB03F"/>
              </w:rPr>
              <w:t>%</w:t>
            </w:r>
          </w:p>
        </w:tc>
        <w:tc>
          <w:tcPr>
            <w:tcW w:w="20" w:type="dxa"/>
            <w:vAlign w:val="bottom"/>
          </w:tcPr>
          <w:p>
            <w:pPr>
              <w:spacing w:after="0"/>
              <w:rPr>
                <w:sz w:val="5"/>
                <w:szCs w:val="5"/>
                <w:color w:val="auto"/>
              </w:rPr>
            </w:pPr>
          </w:p>
        </w:tc>
        <w:tc>
          <w:tcPr>
            <w:tcW w:w="3860" w:type="dxa"/>
            <w:vAlign w:val="bottom"/>
            <w:vMerge w:val="restart"/>
          </w:tcPr>
          <w:p>
            <w:pPr>
              <w:ind w:left="180"/>
              <w:spacing w:after="0"/>
              <w:rPr>
                <w:sz w:val="20"/>
                <w:szCs w:val="20"/>
                <w:color w:val="auto"/>
              </w:rPr>
            </w:pPr>
            <w:r>
              <w:rPr>
                <w:rFonts w:ascii="Arial" w:cs="Arial" w:eastAsia="Arial" w:hAnsi="Arial"/>
                <w:sz w:val="45"/>
                <w:szCs w:val="45"/>
                <w:b w:val="1"/>
                <w:bCs w:val="1"/>
                <w:color w:val="FDB03F"/>
              </w:rPr>
              <w:t>14</w:t>
            </w:r>
            <w:r>
              <w:rPr>
                <w:rFonts w:ascii="Arial" w:cs="Arial" w:eastAsia="Arial" w:hAnsi="Arial"/>
                <w:sz w:val="27"/>
                <w:szCs w:val="27"/>
                <w:b w:val="1"/>
                <w:bCs w:val="1"/>
                <w:color w:val="FDB03F"/>
              </w:rPr>
              <w:t>%</w:t>
            </w:r>
          </w:p>
        </w:tc>
        <w:tc>
          <w:tcPr>
            <w:tcW w:w="20" w:type="dxa"/>
            <w:vAlign w:val="bottom"/>
          </w:tcPr>
          <w:p>
            <w:pPr>
              <w:spacing w:after="0"/>
              <w:rPr>
                <w:sz w:val="5"/>
                <w:szCs w:val="5"/>
                <w:color w:val="auto"/>
              </w:rPr>
            </w:pPr>
          </w:p>
        </w:tc>
        <w:tc>
          <w:tcPr>
            <w:tcW w:w="2140" w:type="dxa"/>
            <w:vAlign w:val="bottom"/>
            <w:vMerge w:val="restart"/>
          </w:tcPr>
          <w:p>
            <w:pPr>
              <w:ind w:left="180"/>
              <w:spacing w:after="0"/>
              <w:rPr>
                <w:sz w:val="20"/>
                <w:szCs w:val="20"/>
                <w:color w:val="auto"/>
              </w:rPr>
            </w:pPr>
            <w:r>
              <w:rPr>
                <w:rFonts w:ascii="Arial" w:cs="Arial" w:eastAsia="Arial" w:hAnsi="Arial"/>
                <w:sz w:val="45"/>
                <w:szCs w:val="45"/>
                <w:b w:val="1"/>
                <w:bCs w:val="1"/>
                <w:color w:val="FDB03F"/>
              </w:rPr>
              <w:t>8</w:t>
            </w:r>
            <w:r>
              <w:rPr>
                <w:rFonts w:ascii="Arial" w:cs="Arial" w:eastAsia="Arial" w:hAnsi="Arial"/>
                <w:sz w:val="27"/>
                <w:szCs w:val="27"/>
                <w:b w:val="1"/>
                <w:bCs w:val="1"/>
                <w:color w:val="FDB03F"/>
              </w:rPr>
              <w:t>%</w:t>
            </w:r>
          </w:p>
        </w:tc>
        <w:tc>
          <w:tcPr>
            <w:tcW w:w="0" w:type="dxa"/>
            <w:vAlign w:val="bottom"/>
          </w:tcPr>
          <w:p>
            <w:pPr>
              <w:spacing w:after="0"/>
              <w:rPr>
                <w:sz w:val="1"/>
                <w:szCs w:val="1"/>
                <w:color w:val="auto"/>
              </w:rPr>
            </w:pPr>
          </w:p>
        </w:tc>
      </w:tr>
      <w:tr>
        <w:trPr>
          <w:trHeight w:val="482"/>
        </w:trPr>
        <w:tc>
          <w:tcPr>
            <w:tcW w:w="358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386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0"/>
                <w:szCs w:val="20"/>
                <w:color w:val="auto"/>
              </w:rPr>
            </w:pPr>
            <w:r>
              <w:rPr>
                <w:rFonts w:ascii="Arial" w:cs="Arial" w:eastAsia="Arial" w:hAnsi="Arial"/>
                <w:sz w:val="31"/>
                <w:szCs w:val="31"/>
                <w:b w:val="1"/>
                <w:bCs w:val="1"/>
                <w:color w:val="73B2E5"/>
              </w:rPr>
              <w:t>net income</w:t>
            </w:r>
          </w:p>
        </w:tc>
        <w:tc>
          <w:tcPr>
            <w:tcW w:w="20" w:type="dxa"/>
            <w:vAlign w:val="bottom"/>
            <w:shd w:val="clear" w:color="auto" w:fill="FDB03F"/>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31"/>
                <w:szCs w:val="31"/>
                <w:b w:val="1"/>
                <w:bCs w:val="1"/>
                <w:color w:val="73B2E5"/>
              </w:rPr>
              <w:t>diluted EPS</w:t>
            </w:r>
          </w:p>
        </w:tc>
        <w:tc>
          <w:tcPr>
            <w:tcW w:w="20" w:type="dxa"/>
            <w:vAlign w:val="bottom"/>
            <w:shd w:val="clear" w:color="auto" w:fill="FDB03F"/>
          </w:tcPr>
          <w:p>
            <w:pPr>
              <w:spacing w:after="0"/>
              <w:rPr>
                <w:sz w:val="24"/>
                <w:szCs w:val="24"/>
                <w:color w:val="auto"/>
              </w:rPr>
            </w:pPr>
          </w:p>
        </w:tc>
        <w:tc>
          <w:tcPr>
            <w:tcW w:w="2140" w:type="dxa"/>
            <w:vAlign w:val="bottom"/>
          </w:tcPr>
          <w:p>
            <w:pPr>
              <w:ind w:left="180"/>
              <w:spacing w:after="0"/>
              <w:rPr>
                <w:sz w:val="20"/>
                <w:szCs w:val="20"/>
                <w:color w:val="auto"/>
              </w:rPr>
            </w:pPr>
            <w:r>
              <w:rPr>
                <w:rFonts w:ascii="Arial" w:cs="Arial" w:eastAsia="Arial" w:hAnsi="Arial"/>
                <w:sz w:val="31"/>
                <w:szCs w:val="31"/>
                <w:b w:val="1"/>
                <w:bCs w:val="1"/>
                <w:color w:val="73B2E5"/>
                <w:w w:val="97"/>
              </w:rPr>
              <w:t>organic sales</w:t>
            </w:r>
          </w:p>
        </w:tc>
        <w:tc>
          <w:tcPr>
            <w:tcW w:w="0" w:type="dxa"/>
            <w:vAlign w:val="bottom"/>
          </w:tcPr>
          <w:p>
            <w:pPr>
              <w:spacing w:after="0"/>
              <w:rPr>
                <w:sz w:val="1"/>
                <w:szCs w:val="1"/>
                <w:color w:val="auto"/>
              </w:rPr>
            </w:pPr>
          </w:p>
        </w:tc>
      </w:tr>
      <w:tr>
        <w:trPr>
          <w:trHeight w:val="396"/>
        </w:trPr>
        <w:tc>
          <w:tcPr>
            <w:tcW w:w="3580" w:type="dxa"/>
            <w:vAlign w:val="bottom"/>
          </w:tcPr>
          <w:p>
            <w:pPr>
              <w:spacing w:after="0"/>
              <w:rPr>
                <w:sz w:val="20"/>
                <w:szCs w:val="20"/>
                <w:color w:val="auto"/>
              </w:rPr>
            </w:pPr>
            <w:r>
              <w:rPr>
                <w:rFonts w:ascii="Arial" w:cs="Arial" w:eastAsia="Arial" w:hAnsi="Arial"/>
                <w:sz w:val="31"/>
                <w:szCs w:val="31"/>
                <w:b w:val="1"/>
                <w:bCs w:val="1"/>
                <w:color w:val="73B2E5"/>
              </w:rPr>
              <w:t>growth</w:t>
            </w:r>
          </w:p>
        </w:tc>
        <w:tc>
          <w:tcPr>
            <w:tcW w:w="20" w:type="dxa"/>
            <w:vAlign w:val="bottom"/>
            <w:shd w:val="clear" w:color="auto" w:fill="FDB03F"/>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31"/>
                <w:szCs w:val="31"/>
                <w:b w:val="1"/>
                <w:bCs w:val="1"/>
                <w:color w:val="73B2E5"/>
              </w:rPr>
              <w:t>growth</w:t>
            </w:r>
          </w:p>
        </w:tc>
        <w:tc>
          <w:tcPr>
            <w:tcW w:w="20" w:type="dxa"/>
            <w:vAlign w:val="bottom"/>
            <w:shd w:val="clear" w:color="auto" w:fill="FDB03F"/>
          </w:tcPr>
          <w:p>
            <w:pPr>
              <w:spacing w:after="0"/>
              <w:rPr>
                <w:sz w:val="24"/>
                <w:szCs w:val="24"/>
                <w:color w:val="auto"/>
              </w:rPr>
            </w:pPr>
          </w:p>
        </w:tc>
        <w:tc>
          <w:tcPr>
            <w:tcW w:w="2140" w:type="dxa"/>
            <w:vAlign w:val="bottom"/>
          </w:tcPr>
          <w:p>
            <w:pPr>
              <w:ind w:left="180"/>
              <w:spacing w:after="0"/>
              <w:rPr>
                <w:sz w:val="20"/>
                <w:szCs w:val="20"/>
                <w:color w:val="auto"/>
              </w:rPr>
            </w:pPr>
            <w:r>
              <w:rPr>
                <w:rFonts w:ascii="Arial" w:cs="Arial" w:eastAsia="Arial" w:hAnsi="Arial"/>
                <w:sz w:val="31"/>
                <w:szCs w:val="31"/>
                <w:b w:val="1"/>
                <w:bCs w:val="1"/>
                <w:color w:val="73B2E5"/>
              </w:rPr>
              <w:t>growth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8890" cy="7886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18" w:lineRule="exact"/>
        <w:rPr>
          <w:sz w:val="20"/>
          <w:szCs w:val="20"/>
          <w:color w:val="auto"/>
        </w:rPr>
      </w:pPr>
    </w:p>
    <w:p>
      <w:pPr>
        <w:ind w:left="880" w:hanging="628"/>
        <w:spacing w:after="0"/>
        <w:tabs>
          <w:tab w:leader="none" w:pos="880" w:val="left"/>
        </w:tabs>
        <w:numPr>
          <w:ilvl w:val="0"/>
          <w:numId w:val="107"/>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Shareowner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DIVIDENDS PAID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-90805</wp:posOffset>
            </wp:positionV>
            <wp:extent cx="5497195" cy="946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971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946150</wp:posOffset>
            </wp:positionV>
            <wp:extent cx="8890" cy="643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3790315" cy="6343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7903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40" w:type="dxa"/>
        <w:tblCellMar>
          <w:top w:w="0" w:type="dxa"/>
          <w:left w:w="0" w:type="dxa"/>
          <w:bottom w:w="0" w:type="dxa"/>
          <w:right w:w="0" w:type="dxa"/>
        </w:tblCellMar>
      </w:tblPr>
      <w:tr>
        <w:trPr>
          <w:trHeight w:val="690"/>
        </w:trPr>
        <w:tc>
          <w:tcPr>
            <w:tcW w:w="3680" w:type="dxa"/>
            <w:vAlign w:val="bottom"/>
            <w:tcBorders>
              <w:right w:val="single" w:sz="8" w:color="FDB03F"/>
            </w:tcBorders>
          </w:tcPr>
          <w:p>
            <w:pPr>
              <w:spacing w:after="0"/>
              <w:rPr>
                <w:sz w:val="20"/>
                <w:szCs w:val="20"/>
                <w:color w:val="auto"/>
              </w:rPr>
            </w:pPr>
            <w:r>
              <w:rPr>
                <w:rFonts w:ascii="Arial" w:cs="Arial" w:eastAsia="Arial" w:hAnsi="Arial"/>
                <w:sz w:val="36"/>
                <w:szCs w:val="36"/>
                <w:b w:val="1"/>
                <w:bCs w:val="1"/>
                <w:color w:val="FDB03F"/>
              </w:rPr>
              <w:t>82nd</w:t>
            </w:r>
          </w:p>
        </w:tc>
        <w:tc>
          <w:tcPr>
            <w:tcW w:w="3820" w:type="dxa"/>
            <w:vAlign w:val="bottom"/>
            <w:tcBorders>
              <w:right w:val="single" w:sz="8" w:color="FDB03F"/>
            </w:tcBorders>
          </w:tcPr>
          <w:p>
            <w:pPr>
              <w:ind w:left="100"/>
              <w:spacing w:after="0"/>
              <w:rPr>
                <w:sz w:val="20"/>
                <w:szCs w:val="20"/>
                <w:color w:val="auto"/>
              </w:rPr>
            </w:pPr>
            <w:r>
              <w:rPr>
                <w:rFonts w:ascii="Arial" w:cs="Arial" w:eastAsia="Arial" w:hAnsi="Arial"/>
                <w:sz w:val="60"/>
                <w:szCs w:val="60"/>
                <w:b w:val="1"/>
                <w:bCs w:val="1"/>
                <w:color w:val="FDB03F"/>
                <w:vertAlign w:val="superscript"/>
              </w:rPr>
              <w:t>$</w:t>
            </w:r>
            <w:r>
              <w:rPr>
                <w:rFonts w:ascii="Arial" w:cs="Arial" w:eastAsia="Arial" w:hAnsi="Arial"/>
                <w:sz w:val="36"/>
                <w:szCs w:val="36"/>
                <w:b w:val="1"/>
                <w:bCs w:val="1"/>
                <w:color w:val="FDB03F"/>
              </w:rPr>
              <w:t>2.5 billion</w:t>
            </w:r>
          </w:p>
        </w:tc>
        <w:tc>
          <w:tcPr>
            <w:tcW w:w="3440" w:type="dxa"/>
            <w:vAlign w:val="bottom"/>
          </w:tcPr>
          <w:p>
            <w:pPr>
              <w:ind w:left="100"/>
              <w:spacing w:after="0"/>
              <w:rPr>
                <w:sz w:val="20"/>
                <w:szCs w:val="20"/>
                <w:color w:val="auto"/>
              </w:rPr>
            </w:pPr>
            <w:r>
              <w:rPr>
                <w:rFonts w:ascii="Arial" w:cs="Arial" w:eastAsia="Arial" w:hAnsi="Arial"/>
                <w:sz w:val="36"/>
                <w:szCs w:val="36"/>
                <w:b w:val="1"/>
                <w:bCs w:val="1"/>
                <w:color w:val="FDB03F"/>
              </w:rPr>
              <w:t>4.2% increase</w:t>
            </w:r>
          </w:p>
        </w:tc>
      </w:tr>
      <w:tr>
        <w:trPr>
          <w:trHeight w:val="203"/>
        </w:trPr>
        <w:tc>
          <w:tcPr>
            <w:tcW w:w="3680" w:type="dxa"/>
            <w:vAlign w:val="bottom"/>
            <w:tcBorders>
              <w:right w:val="single" w:sz="8" w:color="FDB03F"/>
            </w:tcBorders>
          </w:tcPr>
          <w:p>
            <w:pPr>
              <w:spacing w:after="0" w:line="202" w:lineRule="exact"/>
              <w:rPr>
                <w:sz w:val="20"/>
                <w:szCs w:val="20"/>
                <w:color w:val="auto"/>
              </w:rPr>
            </w:pPr>
            <w:r>
              <w:rPr>
                <w:rFonts w:ascii="Arial" w:cs="Arial" w:eastAsia="Arial" w:hAnsi="Arial"/>
                <w:sz w:val="18"/>
                <w:szCs w:val="18"/>
                <w:color w:val="auto"/>
              </w:rPr>
              <w:t>consecutive year we paid dividends</w:t>
            </w:r>
          </w:p>
        </w:tc>
        <w:tc>
          <w:tcPr>
            <w:tcW w:w="3820" w:type="dxa"/>
            <w:vAlign w:val="bottom"/>
            <w:tcBorders>
              <w:right w:val="single" w:sz="8" w:color="FDB03F"/>
            </w:tcBorders>
          </w:tcPr>
          <w:p>
            <w:pPr>
              <w:ind w:left="100"/>
              <w:spacing w:after="0" w:line="202" w:lineRule="exact"/>
              <w:rPr>
                <w:sz w:val="20"/>
                <w:szCs w:val="20"/>
                <w:color w:val="auto"/>
              </w:rPr>
            </w:pPr>
            <w:r>
              <w:rPr>
                <w:rFonts w:ascii="Arial" w:cs="Arial" w:eastAsia="Arial" w:hAnsi="Arial"/>
                <w:sz w:val="18"/>
                <w:szCs w:val="18"/>
                <w:color w:val="auto"/>
              </w:rPr>
              <w:t>paid in 2018 to investors through dividends</w:t>
            </w:r>
          </w:p>
        </w:tc>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w w:val="96"/>
              </w:rPr>
              <w:t>in dividends per share paid to shareowners</w:t>
            </w:r>
          </w:p>
        </w:tc>
      </w:tr>
      <w:tr>
        <w:trPr>
          <w:trHeight w:val="226"/>
        </w:trPr>
        <w:tc>
          <w:tcPr>
            <w:tcW w:w="3680" w:type="dxa"/>
            <w:vAlign w:val="bottom"/>
            <w:tcBorders>
              <w:right w:val="single" w:sz="8" w:color="FDB03F"/>
            </w:tcBorders>
          </w:tcPr>
          <w:p>
            <w:pPr>
              <w:spacing w:after="0"/>
              <w:rPr>
                <w:sz w:val="20"/>
                <w:szCs w:val="20"/>
                <w:color w:val="auto"/>
              </w:rPr>
            </w:pPr>
            <w:r>
              <w:rPr>
                <w:rFonts w:ascii="Arial" w:cs="Arial" w:eastAsia="Arial" w:hAnsi="Arial"/>
                <w:sz w:val="18"/>
                <w:szCs w:val="18"/>
                <w:color w:val="auto"/>
              </w:rPr>
              <w:t>to shareowners</w:t>
            </w:r>
          </w:p>
        </w:tc>
        <w:tc>
          <w:tcPr>
            <w:tcW w:w="3820" w:type="dxa"/>
            <w:vAlign w:val="bottom"/>
            <w:tcBorders>
              <w:right w:val="single" w:sz="8" w:color="FDB03F"/>
            </w:tcBorders>
          </w:tcPr>
          <w:p>
            <w:pPr>
              <w:ind w:left="100"/>
              <w:spacing w:after="0"/>
              <w:rPr>
                <w:sz w:val="20"/>
                <w:szCs w:val="20"/>
                <w:color w:val="auto"/>
              </w:rPr>
            </w:pPr>
            <w:r>
              <w:rPr>
                <w:rFonts w:ascii="Arial" w:cs="Arial" w:eastAsia="Arial" w:hAnsi="Arial"/>
                <w:sz w:val="18"/>
                <w:szCs w:val="18"/>
                <w:color w:val="auto"/>
              </w:rPr>
              <w:t>and share buybacks</w:t>
            </w:r>
          </w:p>
        </w:tc>
        <w:tc>
          <w:tcPr>
            <w:tcW w:w="3440" w:type="dxa"/>
            <w:vAlign w:val="bottom"/>
          </w:tcPr>
          <w:p>
            <w:pPr>
              <w:ind w:left="100"/>
              <w:spacing w:after="0"/>
              <w:rPr>
                <w:sz w:val="20"/>
                <w:szCs w:val="20"/>
                <w:color w:val="auto"/>
              </w:rPr>
            </w:pPr>
            <w:r>
              <w:rPr>
                <w:rFonts w:ascii="Arial" w:cs="Arial" w:eastAsia="Arial" w:hAnsi="Arial"/>
                <w:sz w:val="18"/>
                <w:szCs w:val="18"/>
                <w:color w:val="auto"/>
              </w:rPr>
              <w:t>during 2018</w:t>
            </w:r>
          </w:p>
        </w:tc>
      </w:tr>
    </w:tbl>
    <w:p>
      <w:pPr>
        <w:spacing w:after="0" w:line="21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During his four-plus years as CEO, Mr. Hayes has led UTC’s efforts to invest in the development of innovative products and to execute transformative, strategic transactions, while focusing on efforts to more rapidly and efficiently satisfy our customers’ needs. For example, the strong customer demand for Pratt &amp; Whitney’s game-changing GTF engine continues, with more than 1,300 firm and option orders in 2018. The historic Rockwell Collins acquisition was successfully completed in the last quarter of 2018 and our new Collins Aerospace business unit is poised to become one of the world’s leading aerospace systems and component suppliers. UTC’s investment in digital technologies is producing results in each of our business units. For example, Carrier’s Automated Logic business developed the new OptiFlex virtual integrator platform that enables building operators to monitor up to 50,000 data points from various building systems, subsystems and devices using a single computer server. Further, Pratt &amp; Whitney’s FAST solution, which is used for predictive and preventive aircraft maintenance, continues to expand on a growing number of aircraft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4375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 xml:space="preserve">Over the last four years, we have spent </w:t>
      </w:r>
      <w:r>
        <w:rPr>
          <w:rFonts w:ascii="Arial" w:cs="Arial" w:eastAsia="Arial" w:hAnsi="Arial"/>
          <w:sz w:val="18"/>
          <w:szCs w:val="18"/>
          <w:b w:val="1"/>
          <w:bCs w:val="1"/>
          <w:color w:val="FDB03F"/>
        </w:rPr>
        <w:t>$15.5 billion in company- and customer-funded research and development.</w:t>
      </w:r>
    </w:p>
    <w:p>
      <w:pPr>
        <w:spacing w:after="0" w:line="200" w:lineRule="exact"/>
        <w:rPr>
          <w:sz w:val="20"/>
          <w:szCs w:val="20"/>
          <w:color w:val="auto"/>
        </w:rPr>
      </w:pPr>
    </w:p>
    <w:p>
      <w:pPr>
        <w:spacing w:after="0" w:line="277"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In short, we believe we have built a solid foundation for future UTC earnings growth following a multi-year cycle of heavy product and strategic investments. The chart below illustrates UTC’s annualized TSR compared to our Compensation Peer Group (“CPG”) and other major market indices over varying time periods.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TOTAL SHAREOWNER RETURN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-90805</wp:posOffset>
            </wp:positionV>
            <wp:extent cx="4631055"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631055" cy="9461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139700</wp:posOffset>
            </wp:positionV>
            <wp:extent cx="5231130" cy="12693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3113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right="300" w:hanging="112"/>
        <w:spacing w:after="0" w:line="231" w:lineRule="auto"/>
        <w:tabs>
          <w:tab w:leader="none" w:pos="1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TSR values are provided by S&amp;P Capital IQ and are calculated on an annualized basis as of December 31, 2018. The CPG composite returns are determined by calculating the TSR for each peer company, then a weighted average is applied based on each company’s market capitalization at the beginning of the measurement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37</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2018 Performance Affected Incentive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previously discussed on page 3, the Committee utilizes five key financial metrics that it believes are essential to the long-term financial health of our Company. The chart below shows UTC’s performance against these pre-established financial goals set for our 2018 annual bonus and our 2016-2018 PSU awards.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620" w:type="dxa"/>
            <w:vAlign w:val="bottom"/>
          </w:tcPr>
          <w:p>
            <w:pPr>
              <w:ind w:left="80"/>
              <w:spacing w:after="0"/>
              <w:rPr>
                <w:sz w:val="20"/>
                <w:szCs w:val="20"/>
                <w:color w:val="auto"/>
              </w:rPr>
            </w:pPr>
            <w:r>
              <w:rPr>
                <w:rFonts w:ascii="Arial" w:cs="Arial" w:eastAsia="Arial" w:hAnsi="Arial"/>
                <w:sz w:val="14"/>
                <w:szCs w:val="14"/>
                <w:b w:val="1"/>
                <w:bCs w:val="1"/>
                <w:color w:val="0E93D8"/>
              </w:rPr>
              <w:t>Incentive Plans</w:t>
            </w:r>
            <w:r>
              <w:rPr>
                <w:rFonts w:ascii="Arial" w:cs="Arial" w:eastAsia="Arial" w:hAnsi="Arial"/>
                <w:sz w:val="22"/>
                <w:szCs w:val="22"/>
                <w:b w:val="1"/>
                <w:bCs w:val="1"/>
                <w:color w:val="0E93D8"/>
                <w:vertAlign w:val="superscript"/>
              </w:rPr>
              <w:t>(1)</w:t>
            </w:r>
          </w:p>
        </w:tc>
        <w:tc>
          <w:tcPr>
            <w:tcW w:w="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0E93D8"/>
              </w:rPr>
              <w:t>Threshold</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E93D8"/>
              </w:rPr>
              <w:t>Target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E93D8"/>
              </w:rPr>
              <w:t>Maximum</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Actual</w:t>
            </w: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0E93D8"/>
              </w:rPr>
              <w:t>Payout Factor</w:t>
            </w:r>
          </w:p>
        </w:tc>
      </w:tr>
      <w:tr>
        <w:trPr>
          <w:trHeight w:val="250"/>
        </w:trPr>
        <w:tc>
          <w:tcPr>
            <w:tcW w:w="5620" w:type="dxa"/>
            <w:vAlign w:val="bottom"/>
            <w:tcBorders>
              <w:top w:val="single" w:sz="8" w:color="DAE9F7"/>
              <w:bottom w:val="single" w:sz="8" w:color="0E93D8"/>
            </w:tcBorders>
          </w:tcPr>
          <w:p>
            <w:pPr>
              <w:ind w:left="80"/>
              <w:spacing w:after="0" w:line="243" w:lineRule="exact"/>
              <w:rPr>
                <w:sz w:val="20"/>
                <w:szCs w:val="20"/>
                <w:color w:val="auto"/>
              </w:rPr>
            </w:pPr>
            <w:r>
              <w:rPr>
                <w:rFonts w:ascii="Arial" w:cs="Arial" w:eastAsia="Arial" w:hAnsi="Arial"/>
                <w:sz w:val="14"/>
                <w:szCs w:val="14"/>
                <w:b w:val="1"/>
                <w:bCs w:val="1"/>
                <w:color w:val="0E93D8"/>
              </w:rPr>
              <w:t>2018 Annual Bonus</w:t>
            </w:r>
            <w:r>
              <w:rPr>
                <w:rFonts w:ascii="Arial" w:cs="Arial" w:eastAsia="Arial" w:hAnsi="Arial"/>
                <w:sz w:val="22"/>
                <w:szCs w:val="22"/>
                <w:b w:val="1"/>
                <w:bCs w:val="1"/>
                <w:color w:val="0E93D8"/>
                <w:vertAlign w:val="superscript"/>
              </w:rPr>
              <w:t>(2)</w:t>
            </w:r>
          </w:p>
        </w:tc>
        <w:tc>
          <w:tcPr>
            <w:tcW w:w="80" w:type="dxa"/>
            <w:vAlign w:val="bottom"/>
            <w:tcBorders>
              <w:bottom w:val="single" w:sz="8" w:color="0E93D8"/>
            </w:tcBorders>
          </w:tcPr>
          <w:p>
            <w:pPr>
              <w:spacing w:after="0"/>
              <w:rPr>
                <w:sz w:val="21"/>
                <w:szCs w:val="21"/>
                <w:color w:val="auto"/>
              </w:rPr>
            </w:pPr>
          </w:p>
        </w:tc>
        <w:tc>
          <w:tcPr>
            <w:tcW w:w="1080" w:type="dxa"/>
            <w:vAlign w:val="bottom"/>
            <w:tcBorders>
              <w:top w:val="single" w:sz="8" w:color="DAE9F7"/>
              <w:bottom w:val="single" w:sz="8" w:color="0E93D8"/>
            </w:tcBorders>
          </w:tcPr>
          <w:p>
            <w:pPr>
              <w:spacing w:after="0"/>
              <w:rPr>
                <w:sz w:val="21"/>
                <w:szCs w:val="21"/>
                <w:color w:val="auto"/>
              </w:rPr>
            </w:pPr>
          </w:p>
        </w:tc>
        <w:tc>
          <w:tcPr>
            <w:tcW w:w="80" w:type="dxa"/>
            <w:vAlign w:val="bottom"/>
            <w:tcBorders>
              <w:bottom w:val="single" w:sz="8" w:color="0E93D8"/>
            </w:tcBorders>
          </w:tcPr>
          <w:p>
            <w:pPr>
              <w:spacing w:after="0"/>
              <w:rPr>
                <w:sz w:val="21"/>
                <w:szCs w:val="21"/>
                <w:color w:val="auto"/>
              </w:rPr>
            </w:pPr>
          </w:p>
        </w:tc>
        <w:tc>
          <w:tcPr>
            <w:tcW w:w="1080" w:type="dxa"/>
            <w:vAlign w:val="bottom"/>
            <w:tcBorders>
              <w:top w:val="single" w:sz="8" w:color="DAE9F7"/>
              <w:bottom w:val="single" w:sz="8" w:color="0E93D8"/>
            </w:tcBorders>
          </w:tcPr>
          <w:p>
            <w:pPr>
              <w:spacing w:after="0"/>
              <w:rPr>
                <w:sz w:val="21"/>
                <w:szCs w:val="21"/>
                <w:color w:val="auto"/>
              </w:rPr>
            </w:pPr>
          </w:p>
        </w:tc>
        <w:tc>
          <w:tcPr>
            <w:tcW w:w="100" w:type="dxa"/>
            <w:vAlign w:val="bottom"/>
            <w:tcBorders>
              <w:bottom w:val="single" w:sz="8" w:color="0E93D8"/>
            </w:tcBorders>
          </w:tcPr>
          <w:p>
            <w:pPr>
              <w:spacing w:after="0"/>
              <w:rPr>
                <w:sz w:val="21"/>
                <w:szCs w:val="21"/>
                <w:color w:val="auto"/>
              </w:rPr>
            </w:pPr>
          </w:p>
        </w:tc>
        <w:tc>
          <w:tcPr>
            <w:tcW w:w="1040" w:type="dxa"/>
            <w:vAlign w:val="bottom"/>
            <w:tcBorders>
              <w:top w:val="single" w:sz="8" w:color="DAE9F7"/>
              <w:bottom w:val="single" w:sz="8" w:color="0E93D8"/>
            </w:tcBorders>
          </w:tcPr>
          <w:p>
            <w:pPr>
              <w:spacing w:after="0"/>
              <w:rPr>
                <w:sz w:val="21"/>
                <w:szCs w:val="21"/>
                <w:color w:val="auto"/>
              </w:rPr>
            </w:pPr>
          </w:p>
        </w:tc>
        <w:tc>
          <w:tcPr>
            <w:tcW w:w="100" w:type="dxa"/>
            <w:vAlign w:val="bottom"/>
            <w:tcBorders>
              <w:bottom w:val="single" w:sz="8" w:color="0E93D8"/>
            </w:tcBorders>
          </w:tcPr>
          <w:p>
            <w:pPr>
              <w:spacing w:after="0"/>
              <w:rPr>
                <w:sz w:val="21"/>
                <w:szCs w:val="21"/>
                <w:color w:val="auto"/>
              </w:rPr>
            </w:pPr>
          </w:p>
        </w:tc>
        <w:tc>
          <w:tcPr>
            <w:tcW w:w="1100" w:type="dxa"/>
            <w:vAlign w:val="bottom"/>
            <w:tcBorders>
              <w:top w:val="single" w:sz="8" w:color="DAE9F7"/>
              <w:bottom w:val="single" w:sz="8" w:color="0E93D8"/>
            </w:tcBorders>
          </w:tcPr>
          <w:p>
            <w:pPr>
              <w:spacing w:after="0"/>
              <w:rPr>
                <w:sz w:val="21"/>
                <w:szCs w:val="21"/>
                <w:color w:val="auto"/>
              </w:rPr>
            </w:pPr>
          </w:p>
        </w:tc>
        <w:tc>
          <w:tcPr>
            <w:tcW w:w="80" w:type="dxa"/>
            <w:vAlign w:val="bottom"/>
            <w:tcBorders>
              <w:bottom w:val="single" w:sz="8" w:color="0E93D8"/>
            </w:tcBorders>
          </w:tcPr>
          <w:p>
            <w:pPr>
              <w:spacing w:after="0"/>
              <w:rPr>
                <w:sz w:val="21"/>
                <w:szCs w:val="21"/>
                <w:color w:val="auto"/>
              </w:rPr>
            </w:pPr>
          </w:p>
        </w:tc>
        <w:tc>
          <w:tcPr>
            <w:tcW w:w="1060" w:type="dxa"/>
            <w:vAlign w:val="bottom"/>
            <w:tcBorders>
              <w:top w:val="single" w:sz="8" w:color="0E93D8"/>
              <w:bottom w:val="single" w:sz="8" w:color="0E93D8"/>
            </w:tcBorders>
          </w:tcPr>
          <w:p>
            <w:pPr>
              <w:spacing w:after="0"/>
              <w:rPr>
                <w:sz w:val="21"/>
                <w:szCs w:val="21"/>
                <w:color w:val="auto"/>
              </w:rPr>
            </w:pPr>
          </w:p>
        </w:tc>
      </w:tr>
      <w:tr>
        <w:trPr>
          <w:trHeight w:val="196"/>
        </w:trPr>
        <w:tc>
          <w:tcPr>
            <w:tcW w:w="56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UTC Earnings (net income)</w:t>
            </w:r>
          </w:p>
        </w:tc>
        <w:tc>
          <w:tcPr>
            <w:tcW w:w="80" w:type="dxa"/>
            <w:vAlign w:val="bottom"/>
            <w:tcBorders>
              <w:bottom w:val="single" w:sz="8" w:color="7C7C7C"/>
            </w:tcBorders>
          </w:tcPr>
          <w:p>
            <w:pPr>
              <w:spacing w:after="0"/>
              <w:rPr>
                <w:sz w:val="17"/>
                <w:szCs w:val="17"/>
                <w:color w:val="auto"/>
              </w:rPr>
            </w:pPr>
          </w:p>
        </w:tc>
        <w:tc>
          <w:tcPr>
            <w:tcW w:w="10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$5.1 billion</w:t>
            </w:r>
          </w:p>
        </w:tc>
        <w:tc>
          <w:tcPr>
            <w:tcW w:w="80" w:type="dxa"/>
            <w:vAlign w:val="bottom"/>
            <w:tcBorders>
              <w:bottom w:val="single" w:sz="8" w:color="7C7C7C"/>
            </w:tcBorders>
          </w:tcPr>
          <w:p>
            <w:pPr>
              <w:spacing w:after="0"/>
              <w:rPr>
                <w:sz w:val="17"/>
                <w:szCs w:val="17"/>
                <w:color w:val="auto"/>
              </w:rPr>
            </w:pPr>
          </w:p>
        </w:tc>
        <w:tc>
          <w:tcPr>
            <w:tcW w:w="10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$5.6 billion</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$6.2 billion</w:t>
            </w:r>
          </w:p>
        </w:tc>
        <w:tc>
          <w:tcPr>
            <w:tcW w:w="100" w:type="dxa"/>
            <w:vAlign w:val="bottom"/>
            <w:tcBorders>
              <w:bottom w:val="single" w:sz="8" w:color="7C7C7C"/>
            </w:tcBorders>
          </w:tcPr>
          <w:p>
            <w:pPr>
              <w:spacing w:after="0"/>
              <w:rPr>
                <w:sz w:val="17"/>
                <w:szCs w:val="17"/>
                <w:color w:val="auto"/>
              </w:rPr>
            </w:pPr>
          </w:p>
        </w:tc>
        <w:tc>
          <w:tcPr>
            <w:tcW w:w="118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$5.9 billion</w:t>
            </w:r>
          </w:p>
        </w:tc>
        <w:tc>
          <w:tcPr>
            <w:tcW w:w="1060" w:type="dxa"/>
            <w:vAlign w:val="bottom"/>
            <w:tcBorders>
              <w:bottom w:val="single" w:sz="8" w:color="7C7C7C"/>
            </w:tcBorders>
          </w:tcPr>
          <w:p>
            <w:pPr>
              <w:jc w:val="right"/>
              <w:ind w:right="212"/>
              <w:spacing w:after="0"/>
              <w:rPr>
                <w:sz w:val="20"/>
                <w:szCs w:val="20"/>
                <w:color w:val="auto"/>
              </w:rPr>
            </w:pPr>
            <w:r>
              <w:rPr>
                <w:rFonts w:ascii="Arial" w:cs="Arial" w:eastAsia="Arial" w:hAnsi="Arial"/>
                <w:sz w:val="14"/>
                <w:szCs w:val="14"/>
                <w:color w:val="auto"/>
              </w:rPr>
              <w:t>152%</w:t>
            </w:r>
          </w:p>
        </w:tc>
      </w:tr>
      <w:tr>
        <w:trPr>
          <w:trHeight w:val="210"/>
        </w:trPr>
        <w:tc>
          <w:tcPr>
            <w:tcW w:w="56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UTC Free Cash Flow</w:t>
            </w:r>
          </w:p>
        </w:tc>
        <w:tc>
          <w:tcPr>
            <w:tcW w:w="80" w:type="dxa"/>
            <w:vAlign w:val="bottom"/>
            <w:tcBorders>
              <w:bottom w:val="single" w:sz="8" w:color="7C7C7C"/>
            </w:tcBorders>
          </w:tcPr>
          <w:p>
            <w:pPr>
              <w:spacing w:after="0"/>
              <w:rPr>
                <w:sz w:val="18"/>
                <w:szCs w:val="18"/>
                <w:color w:val="auto"/>
              </w:rPr>
            </w:pPr>
          </w:p>
        </w:tc>
        <w:tc>
          <w:tcPr>
            <w:tcW w:w="10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$3.8 billion</w:t>
            </w:r>
          </w:p>
        </w:tc>
        <w:tc>
          <w:tcPr>
            <w:tcW w:w="80" w:type="dxa"/>
            <w:vAlign w:val="bottom"/>
            <w:tcBorders>
              <w:bottom w:val="single" w:sz="8" w:color="7C7C7C"/>
            </w:tcBorders>
          </w:tcPr>
          <w:p>
            <w:pPr>
              <w:spacing w:after="0"/>
              <w:rPr>
                <w:sz w:val="18"/>
                <w:szCs w:val="18"/>
                <w:color w:val="auto"/>
              </w:rPr>
            </w:pPr>
          </w:p>
        </w:tc>
        <w:tc>
          <w:tcPr>
            <w:tcW w:w="10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$5.0 billion</w:t>
            </w:r>
          </w:p>
        </w:tc>
        <w:tc>
          <w:tcPr>
            <w:tcW w:w="100" w:type="dxa"/>
            <w:vAlign w:val="bottom"/>
            <w:tcBorders>
              <w:bottom w:val="single" w:sz="8" w:color="7C7C7C"/>
            </w:tcBorders>
          </w:tcPr>
          <w:p>
            <w:pPr>
              <w:spacing w:after="0"/>
              <w:rPr>
                <w:sz w:val="18"/>
                <w:szCs w:val="18"/>
                <w:color w:val="auto"/>
              </w:rPr>
            </w:pPr>
          </w:p>
        </w:tc>
        <w:tc>
          <w:tcPr>
            <w:tcW w:w="10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$6.3 billion</w:t>
            </w:r>
          </w:p>
        </w:tc>
        <w:tc>
          <w:tcPr>
            <w:tcW w:w="100" w:type="dxa"/>
            <w:vAlign w:val="bottom"/>
            <w:tcBorders>
              <w:bottom w:val="single" w:sz="8" w:color="7C7C7C"/>
            </w:tcBorders>
          </w:tcPr>
          <w:p>
            <w:pPr>
              <w:spacing w:after="0"/>
              <w:rPr>
                <w:sz w:val="18"/>
                <w:szCs w:val="18"/>
                <w:color w:val="auto"/>
              </w:rPr>
            </w:pPr>
          </w:p>
        </w:tc>
        <w:tc>
          <w:tcPr>
            <w:tcW w:w="118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$4.9 billion</w:t>
            </w:r>
          </w:p>
        </w:tc>
        <w:tc>
          <w:tcPr>
            <w:tcW w:w="1060" w:type="dxa"/>
            <w:vAlign w:val="bottom"/>
            <w:tcBorders>
              <w:bottom w:val="single" w:sz="8" w:color="7C7C7C"/>
            </w:tcBorders>
          </w:tcPr>
          <w:p>
            <w:pPr>
              <w:jc w:val="right"/>
              <w:ind w:right="212"/>
              <w:spacing w:after="0"/>
              <w:rPr>
                <w:sz w:val="20"/>
                <w:szCs w:val="20"/>
                <w:color w:val="auto"/>
              </w:rPr>
            </w:pPr>
            <w:r>
              <w:rPr>
                <w:rFonts w:ascii="Arial" w:cs="Arial" w:eastAsia="Arial" w:hAnsi="Arial"/>
                <w:sz w:val="14"/>
                <w:szCs w:val="14"/>
                <w:color w:val="auto"/>
              </w:rPr>
              <w:t>95%</w:t>
            </w:r>
          </w:p>
        </w:tc>
      </w:tr>
      <w:tr>
        <w:trPr>
          <w:trHeight w:val="257"/>
        </w:trPr>
        <w:tc>
          <w:tcPr>
            <w:tcW w:w="5620" w:type="dxa"/>
            <w:vAlign w:val="bottom"/>
            <w:tcBorders>
              <w:bottom w:val="single" w:sz="8" w:color="7C7C7C"/>
            </w:tcBorders>
            <w:shd w:val="clear" w:color="auto" w:fill="F6FAFB"/>
          </w:tcPr>
          <w:p>
            <w:pPr>
              <w:spacing w:after="0"/>
              <w:rPr>
                <w:sz w:val="22"/>
                <w:szCs w:val="22"/>
                <w:color w:val="auto"/>
              </w:rPr>
            </w:pPr>
          </w:p>
        </w:tc>
        <w:tc>
          <w:tcPr>
            <w:tcW w:w="80" w:type="dxa"/>
            <w:vAlign w:val="bottom"/>
            <w:tcBorders>
              <w:bottom w:val="single" w:sz="8" w:color="7C7C7C"/>
            </w:tcBorders>
            <w:shd w:val="clear" w:color="auto" w:fill="F6FAFB"/>
          </w:tcPr>
          <w:p>
            <w:pPr>
              <w:spacing w:after="0"/>
              <w:rPr>
                <w:sz w:val="22"/>
                <w:szCs w:val="22"/>
                <w:color w:val="auto"/>
              </w:rPr>
            </w:pPr>
          </w:p>
        </w:tc>
        <w:tc>
          <w:tcPr>
            <w:tcW w:w="1080" w:type="dxa"/>
            <w:vAlign w:val="bottom"/>
            <w:tcBorders>
              <w:bottom w:val="single" w:sz="8" w:color="7C7C7C"/>
            </w:tcBorders>
            <w:shd w:val="clear" w:color="auto" w:fill="F6FAFB"/>
          </w:tcPr>
          <w:p>
            <w:pPr>
              <w:spacing w:after="0"/>
              <w:rPr>
                <w:sz w:val="22"/>
                <w:szCs w:val="22"/>
                <w:color w:val="auto"/>
              </w:rPr>
            </w:pPr>
          </w:p>
        </w:tc>
        <w:tc>
          <w:tcPr>
            <w:tcW w:w="80" w:type="dxa"/>
            <w:vAlign w:val="bottom"/>
            <w:tcBorders>
              <w:bottom w:val="single" w:sz="8" w:color="7C7C7C"/>
            </w:tcBorders>
            <w:shd w:val="clear" w:color="auto" w:fill="F6FAFB"/>
          </w:tcPr>
          <w:p>
            <w:pPr>
              <w:spacing w:after="0"/>
              <w:rPr>
                <w:sz w:val="22"/>
                <w:szCs w:val="22"/>
                <w:color w:val="auto"/>
              </w:rPr>
            </w:pPr>
          </w:p>
        </w:tc>
        <w:tc>
          <w:tcPr>
            <w:tcW w:w="3500" w:type="dxa"/>
            <w:vAlign w:val="bottom"/>
            <w:tcBorders>
              <w:bottom w:val="single" w:sz="8" w:color="7C7C7C"/>
            </w:tcBorders>
            <w:gridSpan w:val="6"/>
            <w:shd w:val="clear" w:color="auto" w:fill="F6FAFB"/>
          </w:tcPr>
          <w:p>
            <w:pPr>
              <w:jc w:val="right"/>
              <w:ind w:right="80"/>
              <w:spacing w:after="0"/>
              <w:rPr>
                <w:sz w:val="20"/>
                <w:szCs w:val="20"/>
                <w:color w:val="auto"/>
              </w:rPr>
            </w:pPr>
            <w:r>
              <w:rPr>
                <w:rFonts w:ascii="Arial" w:cs="Arial" w:eastAsia="Arial" w:hAnsi="Arial"/>
                <w:sz w:val="14"/>
                <w:szCs w:val="14"/>
                <w:b w:val="1"/>
                <w:bCs w:val="1"/>
                <w:color w:val="0E93D8"/>
              </w:rPr>
              <w:t>Calculated UTC Financial Performance Factor</w:t>
            </w:r>
          </w:p>
        </w:tc>
        <w:tc>
          <w:tcPr>
            <w:tcW w:w="1060" w:type="dxa"/>
            <w:vAlign w:val="bottom"/>
            <w:tcBorders>
              <w:bottom w:val="single" w:sz="8" w:color="7C7C7C"/>
            </w:tcBorders>
            <w:shd w:val="clear" w:color="auto" w:fill="F6FAFB"/>
          </w:tcPr>
          <w:p>
            <w:pPr>
              <w:jc w:val="right"/>
              <w:ind w:right="72"/>
              <w:spacing w:after="0"/>
              <w:rPr>
                <w:sz w:val="20"/>
                <w:szCs w:val="20"/>
                <w:color w:val="auto"/>
              </w:rPr>
            </w:pPr>
            <w:r>
              <w:rPr>
                <w:rFonts w:ascii="Arial" w:cs="Arial" w:eastAsia="Arial" w:hAnsi="Arial"/>
                <w:sz w:val="14"/>
                <w:szCs w:val="14"/>
                <w:b w:val="1"/>
                <w:bCs w:val="1"/>
                <w:color w:val="0E93D8"/>
              </w:rPr>
              <w:t>129%</w:t>
            </w:r>
            <w:r>
              <w:rPr>
                <w:rFonts w:ascii="Arial" w:cs="Arial" w:eastAsia="Arial" w:hAnsi="Arial"/>
                <w:sz w:val="22"/>
                <w:szCs w:val="22"/>
                <w:b w:val="1"/>
                <w:bCs w:val="1"/>
                <w:color w:val="0E93D8"/>
                <w:vertAlign w:val="superscript"/>
              </w:rPr>
              <w:t>(3)</w:t>
            </w:r>
          </w:p>
        </w:tc>
      </w:tr>
      <w:tr>
        <w:trPr>
          <w:trHeight w:val="250"/>
        </w:trPr>
        <w:tc>
          <w:tcPr>
            <w:tcW w:w="5620" w:type="dxa"/>
            <w:vAlign w:val="bottom"/>
            <w:tcBorders>
              <w:bottom w:val="single" w:sz="8" w:color="7C7C7C"/>
            </w:tcBorders>
            <w:shd w:val="clear" w:color="auto" w:fill="F6FAFB"/>
          </w:tcPr>
          <w:p>
            <w:pPr>
              <w:spacing w:after="0"/>
              <w:rPr>
                <w:sz w:val="21"/>
                <w:szCs w:val="21"/>
                <w:color w:val="auto"/>
              </w:rPr>
            </w:pPr>
          </w:p>
        </w:tc>
        <w:tc>
          <w:tcPr>
            <w:tcW w:w="80" w:type="dxa"/>
            <w:vAlign w:val="bottom"/>
            <w:tcBorders>
              <w:bottom w:val="single" w:sz="8" w:color="7C7C7C"/>
            </w:tcBorders>
            <w:shd w:val="clear" w:color="auto" w:fill="F6FAFB"/>
          </w:tcPr>
          <w:p>
            <w:pPr>
              <w:spacing w:after="0"/>
              <w:rPr>
                <w:sz w:val="21"/>
                <w:szCs w:val="21"/>
                <w:color w:val="auto"/>
              </w:rPr>
            </w:pPr>
          </w:p>
        </w:tc>
        <w:tc>
          <w:tcPr>
            <w:tcW w:w="4660" w:type="dxa"/>
            <w:vAlign w:val="bottom"/>
            <w:tcBorders>
              <w:bottom w:val="single" w:sz="8" w:color="7C7C7C"/>
            </w:tcBorders>
            <w:gridSpan w:val="8"/>
            <w:shd w:val="clear" w:color="auto" w:fill="F6FAFB"/>
          </w:tcPr>
          <w:p>
            <w:pPr>
              <w:jc w:val="right"/>
              <w:ind w:right="80"/>
              <w:spacing w:after="0"/>
              <w:rPr>
                <w:sz w:val="20"/>
                <w:szCs w:val="20"/>
                <w:color w:val="auto"/>
              </w:rPr>
            </w:pPr>
            <w:r>
              <w:rPr>
                <w:rFonts w:ascii="Arial" w:cs="Arial" w:eastAsia="Arial" w:hAnsi="Arial"/>
                <w:sz w:val="14"/>
                <w:szCs w:val="14"/>
                <w:b w:val="1"/>
                <w:bCs w:val="1"/>
                <w:color w:val="0E93D8"/>
              </w:rPr>
              <w:t>Committee Approved UTC Financial Performance Factor</w:t>
            </w:r>
          </w:p>
        </w:tc>
        <w:tc>
          <w:tcPr>
            <w:tcW w:w="1060" w:type="dxa"/>
            <w:vAlign w:val="bottom"/>
            <w:tcBorders>
              <w:bottom w:val="single" w:sz="8" w:color="7C7C7C"/>
            </w:tcBorders>
            <w:shd w:val="clear" w:color="auto" w:fill="F6FAFB"/>
          </w:tcPr>
          <w:p>
            <w:pPr>
              <w:jc w:val="right"/>
              <w:ind w:right="72"/>
              <w:spacing w:after="0" w:line="250" w:lineRule="exact"/>
              <w:rPr>
                <w:sz w:val="20"/>
                <w:szCs w:val="20"/>
                <w:color w:val="auto"/>
              </w:rPr>
            </w:pPr>
            <w:r>
              <w:rPr>
                <w:rFonts w:ascii="Arial" w:cs="Arial" w:eastAsia="Arial" w:hAnsi="Arial"/>
                <w:sz w:val="14"/>
                <w:szCs w:val="14"/>
                <w:b w:val="1"/>
                <w:bCs w:val="1"/>
                <w:color w:val="0E93D8"/>
              </w:rPr>
              <w:t>125%</w:t>
            </w:r>
            <w:r>
              <w:rPr>
                <w:rFonts w:ascii="Arial" w:cs="Arial" w:eastAsia="Arial" w:hAnsi="Arial"/>
                <w:sz w:val="22"/>
                <w:szCs w:val="22"/>
                <w:b w:val="1"/>
                <w:bCs w:val="1"/>
                <w:color w:val="0E93D8"/>
                <w:vertAlign w:val="superscript"/>
              </w:rPr>
              <w:t>(3)</w:t>
            </w:r>
          </w:p>
        </w:tc>
      </w:tr>
      <w:tr>
        <w:trPr>
          <w:trHeight w:val="203"/>
        </w:trPr>
        <w:tc>
          <w:tcPr>
            <w:tcW w:w="5620" w:type="dxa"/>
            <w:vAlign w:val="bottom"/>
            <w:tcBorders>
              <w:bottom w:val="single" w:sz="8" w:color="0E93D8"/>
            </w:tcBorders>
          </w:tcPr>
          <w:p>
            <w:pPr>
              <w:ind w:left="80"/>
              <w:spacing w:after="0"/>
              <w:rPr>
                <w:sz w:val="20"/>
                <w:szCs w:val="20"/>
                <w:color w:val="auto"/>
              </w:rPr>
            </w:pPr>
            <w:r>
              <w:rPr>
                <w:rFonts w:ascii="Arial" w:cs="Arial" w:eastAsia="Arial" w:hAnsi="Arial"/>
                <w:sz w:val="14"/>
                <w:szCs w:val="14"/>
                <w:b w:val="1"/>
                <w:bCs w:val="1"/>
                <w:color w:val="0E93D8"/>
              </w:rPr>
              <w:t>2016-2018 Performance Share Units</w:t>
            </w:r>
          </w:p>
        </w:tc>
        <w:tc>
          <w:tcPr>
            <w:tcW w:w="80" w:type="dxa"/>
            <w:vAlign w:val="bottom"/>
            <w:tcBorders>
              <w:bottom w:val="single" w:sz="8" w:color="0E93D8"/>
            </w:tcBorders>
          </w:tcPr>
          <w:p>
            <w:pPr>
              <w:spacing w:after="0"/>
              <w:rPr>
                <w:sz w:val="17"/>
                <w:szCs w:val="17"/>
                <w:color w:val="auto"/>
              </w:rPr>
            </w:pPr>
          </w:p>
        </w:tc>
        <w:tc>
          <w:tcPr>
            <w:tcW w:w="1080" w:type="dxa"/>
            <w:vAlign w:val="bottom"/>
            <w:tcBorders>
              <w:bottom w:val="single" w:sz="8" w:color="0E93D8"/>
            </w:tcBorders>
          </w:tcPr>
          <w:p>
            <w:pPr>
              <w:spacing w:after="0"/>
              <w:rPr>
                <w:sz w:val="17"/>
                <w:szCs w:val="17"/>
                <w:color w:val="auto"/>
              </w:rPr>
            </w:pPr>
          </w:p>
        </w:tc>
        <w:tc>
          <w:tcPr>
            <w:tcW w:w="80" w:type="dxa"/>
            <w:vAlign w:val="bottom"/>
            <w:tcBorders>
              <w:bottom w:val="single" w:sz="8" w:color="0E93D8"/>
            </w:tcBorders>
          </w:tcPr>
          <w:p>
            <w:pPr>
              <w:spacing w:after="0"/>
              <w:rPr>
                <w:sz w:val="17"/>
                <w:szCs w:val="17"/>
                <w:color w:val="auto"/>
              </w:rPr>
            </w:pPr>
          </w:p>
        </w:tc>
        <w:tc>
          <w:tcPr>
            <w:tcW w:w="1080" w:type="dxa"/>
            <w:vAlign w:val="bottom"/>
            <w:tcBorders>
              <w:bottom w:val="single" w:sz="8" w:color="0E93D8"/>
            </w:tcBorders>
          </w:tcPr>
          <w:p>
            <w:pPr>
              <w:spacing w:after="0"/>
              <w:rPr>
                <w:sz w:val="17"/>
                <w:szCs w:val="17"/>
                <w:color w:val="auto"/>
              </w:rPr>
            </w:pPr>
          </w:p>
        </w:tc>
        <w:tc>
          <w:tcPr>
            <w:tcW w:w="100" w:type="dxa"/>
            <w:vAlign w:val="bottom"/>
            <w:tcBorders>
              <w:bottom w:val="single" w:sz="8" w:color="0E93D8"/>
            </w:tcBorders>
          </w:tcPr>
          <w:p>
            <w:pPr>
              <w:spacing w:after="0"/>
              <w:rPr>
                <w:sz w:val="17"/>
                <w:szCs w:val="17"/>
                <w:color w:val="auto"/>
              </w:rPr>
            </w:pPr>
          </w:p>
        </w:tc>
        <w:tc>
          <w:tcPr>
            <w:tcW w:w="1040" w:type="dxa"/>
            <w:vAlign w:val="bottom"/>
            <w:tcBorders>
              <w:bottom w:val="single" w:sz="8" w:color="0E93D8"/>
            </w:tcBorders>
          </w:tcPr>
          <w:p>
            <w:pPr>
              <w:spacing w:after="0"/>
              <w:rPr>
                <w:sz w:val="17"/>
                <w:szCs w:val="17"/>
                <w:color w:val="auto"/>
              </w:rPr>
            </w:pPr>
          </w:p>
        </w:tc>
        <w:tc>
          <w:tcPr>
            <w:tcW w:w="100" w:type="dxa"/>
            <w:vAlign w:val="bottom"/>
            <w:tcBorders>
              <w:bottom w:val="single" w:sz="8" w:color="0E93D8"/>
            </w:tcBorders>
          </w:tcPr>
          <w:p>
            <w:pPr>
              <w:spacing w:after="0"/>
              <w:rPr>
                <w:sz w:val="17"/>
                <w:szCs w:val="17"/>
                <w:color w:val="auto"/>
              </w:rPr>
            </w:pPr>
          </w:p>
        </w:tc>
        <w:tc>
          <w:tcPr>
            <w:tcW w:w="1100" w:type="dxa"/>
            <w:vAlign w:val="bottom"/>
            <w:tcBorders>
              <w:bottom w:val="single" w:sz="8" w:color="0E93D8"/>
            </w:tcBorders>
          </w:tcPr>
          <w:p>
            <w:pPr>
              <w:spacing w:after="0"/>
              <w:rPr>
                <w:sz w:val="17"/>
                <w:szCs w:val="17"/>
                <w:color w:val="auto"/>
              </w:rPr>
            </w:pPr>
          </w:p>
        </w:tc>
        <w:tc>
          <w:tcPr>
            <w:tcW w:w="80" w:type="dxa"/>
            <w:vAlign w:val="bottom"/>
            <w:tcBorders>
              <w:bottom w:val="single" w:sz="8" w:color="0E93D8"/>
            </w:tcBorders>
          </w:tcPr>
          <w:p>
            <w:pPr>
              <w:spacing w:after="0"/>
              <w:rPr>
                <w:sz w:val="17"/>
                <w:szCs w:val="17"/>
                <w:color w:val="auto"/>
              </w:rPr>
            </w:pPr>
          </w:p>
        </w:tc>
        <w:tc>
          <w:tcPr>
            <w:tcW w:w="1060" w:type="dxa"/>
            <w:vAlign w:val="bottom"/>
            <w:tcBorders>
              <w:bottom w:val="single" w:sz="8" w:color="0E93D8"/>
            </w:tcBorders>
          </w:tcPr>
          <w:p>
            <w:pPr>
              <w:spacing w:after="0"/>
              <w:rPr>
                <w:sz w:val="17"/>
                <w:szCs w:val="17"/>
                <w:color w:val="auto"/>
              </w:rPr>
            </w:pPr>
          </w:p>
        </w:tc>
      </w:tr>
      <w:tr>
        <w:trPr>
          <w:trHeight w:val="196"/>
        </w:trPr>
        <w:tc>
          <w:tcPr>
            <w:tcW w:w="56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EPS Growth</w:t>
            </w:r>
          </w:p>
        </w:tc>
        <w:tc>
          <w:tcPr>
            <w:tcW w:w="116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1.5%</w:t>
            </w:r>
          </w:p>
        </w:tc>
        <w:tc>
          <w:tcPr>
            <w:tcW w:w="116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4.5%</w:t>
            </w:r>
          </w:p>
        </w:tc>
        <w:tc>
          <w:tcPr>
            <w:tcW w:w="11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7.5%</w:t>
            </w:r>
          </w:p>
        </w:tc>
        <w:tc>
          <w:tcPr>
            <w:tcW w:w="120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7C7C7C"/>
            </w:tcBorders>
          </w:tcPr>
          <w:p>
            <w:pPr>
              <w:spacing w:after="0"/>
              <w:rPr>
                <w:sz w:val="17"/>
                <w:szCs w:val="17"/>
                <w:color w:val="auto"/>
              </w:rPr>
            </w:pPr>
          </w:p>
        </w:tc>
        <w:tc>
          <w:tcPr>
            <w:tcW w:w="1060" w:type="dxa"/>
            <w:vAlign w:val="bottom"/>
            <w:tcBorders>
              <w:bottom w:val="single" w:sz="8" w:color="7C7C7C"/>
            </w:tcBorders>
          </w:tcPr>
          <w:p>
            <w:pPr>
              <w:jc w:val="right"/>
              <w:ind w:right="212"/>
              <w:spacing w:after="0"/>
              <w:rPr>
                <w:sz w:val="20"/>
                <w:szCs w:val="20"/>
                <w:color w:val="auto"/>
              </w:rPr>
            </w:pPr>
            <w:r>
              <w:rPr>
                <w:rFonts w:ascii="Arial" w:cs="Arial" w:eastAsia="Arial" w:hAnsi="Arial"/>
                <w:sz w:val="14"/>
                <w:szCs w:val="14"/>
                <w:color w:val="auto"/>
              </w:rPr>
              <w:t>98%</w:t>
            </w:r>
          </w:p>
        </w:tc>
      </w:tr>
      <w:tr>
        <w:trPr>
          <w:trHeight w:val="196"/>
        </w:trPr>
        <w:tc>
          <w:tcPr>
            <w:tcW w:w="56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Return on Invested Capital</w:t>
            </w:r>
          </w:p>
        </w:tc>
        <w:tc>
          <w:tcPr>
            <w:tcW w:w="116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9%</w:t>
            </w:r>
          </w:p>
        </w:tc>
        <w:tc>
          <w:tcPr>
            <w:tcW w:w="116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10.5%</w:t>
            </w:r>
          </w:p>
        </w:tc>
        <w:tc>
          <w:tcPr>
            <w:tcW w:w="11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12.5%</w:t>
            </w:r>
          </w:p>
        </w:tc>
        <w:tc>
          <w:tcPr>
            <w:tcW w:w="120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7C7C7C"/>
            </w:tcBorders>
          </w:tcPr>
          <w:p>
            <w:pPr>
              <w:spacing w:after="0"/>
              <w:rPr>
                <w:sz w:val="17"/>
                <w:szCs w:val="17"/>
                <w:color w:val="auto"/>
              </w:rPr>
            </w:pPr>
          </w:p>
        </w:tc>
        <w:tc>
          <w:tcPr>
            <w:tcW w:w="1060" w:type="dxa"/>
            <w:vAlign w:val="bottom"/>
            <w:tcBorders>
              <w:bottom w:val="single" w:sz="8" w:color="7C7C7C"/>
            </w:tcBorders>
          </w:tcPr>
          <w:p>
            <w:pPr>
              <w:jc w:val="right"/>
              <w:ind w:right="212"/>
              <w:spacing w:after="0"/>
              <w:rPr>
                <w:sz w:val="20"/>
                <w:szCs w:val="20"/>
                <w:color w:val="auto"/>
              </w:rPr>
            </w:pPr>
            <w:r>
              <w:rPr>
                <w:rFonts w:ascii="Arial" w:cs="Arial" w:eastAsia="Arial" w:hAnsi="Arial"/>
                <w:sz w:val="14"/>
                <w:szCs w:val="14"/>
                <w:color w:val="auto"/>
              </w:rPr>
              <w:t>131%</w:t>
            </w:r>
          </w:p>
        </w:tc>
      </w:tr>
      <w:tr>
        <w:trPr>
          <w:trHeight w:val="250"/>
        </w:trPr>
        <w:tc>
          <w:tcPr>
            <w:tcW w:w="5620" w:type="dxa"/>
            <w:vAlign w:val="bottom"/>
            <w:tcBorders>
              <w:bottom w:val="single" w:sz="8" w:color="7C7C7C"/>
            </w:tcBorders>
          </w:tcPr>
          <w:p>
            <w:pPr>
              <w:ind w:left="80"/>
              <w:spacing w:after="0" w:line="243" w:lineRule="exact"/>
              <w:rPr>
                <w:sz w:val="20"/>
                <w:szCs w:val="20"/>
                <w:color w:val="auto"/>
              </w:rPr>
            </w:pPr>
            <w:r>
              <w:rPr>
                <w:rFonts w:ascii="Arial" w:cs="Arial" w:eastAsia="Arial" w:hAnsi="Arial"/>
                <w:sz w:val="14"/>
                <w:szCs w:val="14"/>
                <w:color w:val="auto"/>
              </w:rPr>
              <w:t>UTC’s TSR rank vs. S&amp;P 500 companies</w:t>
            </w:r>
            <w:r>
              <w:rPr>
                <w:rFonts w:ascii="Arial" w:cs="Arial" w:eastAsia="Arial" w:hAnsi="Arial"/>
                <w:sz w:val="22"/>
                <w:szCs w:val="22"/>
                <w:color w:val="auto"/>
                <w:vertAlign w:val="superscript"/>
              </w:rPr>
              <w:t>(4)</w:t>
            </w:r>
          </w:p>
        </w:tc>
        <w:tc>
          <w:tcPr>
            <w:tcW w:w="80" w:type="dxa"/>
            <w:vAlign w:val="bottom"/>
            <w:tcBorders>
              <w:bottom w:val="single" w:sz="8" w:color="7C7C7C"/>
            </w:tcBorders>
          </w:tcPr>
          <w:p>
            <w:pPr>
              <w:spacing w:after="0"/>
              <w:rPr>
                <w:sz w:val="21"/>
                <w:szCs w:val="21"/>
                <w:color w:val="auto"/>
              </w:rPr>
            </w:pPr>
          </w:p>
        </w:tc>
        <w:tc>
          <w:tcPr>
            <w:tcW w:w="10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25th %ile</w:t>
            </w:r>
          </w:p>
        </w:tc>
        <w:tc>
          <w:tcPr>
            <w:tcW w:w="80" w:type="dxa"/>
            <w:vAlign w:val="bottom"/>
            <w:tcBorders>
              <w:bottom w:val="single" w:sz="8" w:color="7C7C7C"/>
            </w:tcBorders>
          </w:tcPr>
          <w:p>
            <w:pPr>
              <w:spacing w:after="0"/>
              <w:rPr>
                <w:sz w:val="21"/>
                <w:szCs w:val="21"/>
                <w:color w:val="auto"/>
              </w:rPr>
            </w:pPr>
          </w:p>
        </w:tc>
        <w:tc>
          <w:tcPr>
            <w:tcW w:w="10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50th %ile</w:t>
            </w: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75th %ile</w:t>
            </w:r>
          </w:p>
        </w:tc>
        <w:tc>
          <w:tcPr>
            <w:tcW w:w="100" w:type="dxa"/>
            <w:vAlign w:val="bottom"/>
            <w:tcBorders>
              <w:bottom w:val="single" w:sz="8" w:color="7C7C7C"/>
            </w:tcBorders>
          </w:tcPr>
          <w:p>
            <w:pPr>
              <w:spacing w:after="0"/>
              <w:rPr>
                <w:sz w:val="21"/>
                <w:szCs w:val="21"/>
                <w:color w:val="auto"/>
              </w:rPr>
            </w:pPr>
          </w:p>
        </w:tc>
        <w:tc>
          <w:tcPr>
            <w:tcW w:w="118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54.9th %ile</w:t>
            </w:r>
          </w:p>
        </w:tc>
        <w:tc>
          <w:tcPr>
            <w:tcW w:w="1060" w:type="dxa"/>
            <w:vAlign w:val="bottom"/>
            <w:tcBorders>
              <w:bottom w:val="single" w:sz="8" w:color="7C7C7C"/>
            </w:tcBorders>
          </w:tcPr>
          <w:p>
            <w:pPr>
              <w:jc w:val="right"/>
              <w:ind w:right="212"/>
              <w:spacing w:after="0"/>
              <w:rPr>
                <w:sz w:val="20"/>
                <w:szCs w:val="20"/>
                <w:color w:val="auto"/>
              </w:rPr>
            </w:pPr>
            <w:r>
              <w:rPr>
                <w:rFonts w:ascii="Arial" w:cs="Arial" w:eastAsia="Arial" w:hAnsi="Arial"/>
                <w:sz w:val="14"/>
                <w:szCs w:val="14"/>
                <w:color w:val="auto"/>
              </w:rPr>
              <w:t>120%</w:t>
            </w:r>
          </w:p>
        </w:tc>
      </w:tr>
      <w:tr>
        <w:trPr>
          <w:trHeight w:val="196"/>
        </w:trPr>
        <w:tc>
          <w:tcPr>
            <w:tcW w:w="5620" w:type="dxa"/>
            <w:vAlign w:val="bottom"/>
            <w:tcBorders>
              <w:bottom w:val="single" w:sz="8" w:color="7C7C7C"/>
            </w:tcBorders>
            <w:shd w:val="clear" w:color="auto" w:fill="F6FAFB"/>
          </w:tcPr>
          <w:p>
            <w:pPr>
              <w:spacing w:after="0"/>
              <w:rPr>
                <w:sz w:val="17"/>
                <w:szCs w:val="17"/>
                <w:color w:val="auto"/>
              </w:rPr>
            </w:pPr>
          </w:p>
        </w:tc>
        <w:tc>
          <w:tcPr>
            <w:tcW w:w="80" w:type="dxa"/>
            <w:vAlign w:val="bottom"/>
            <w:tcBorders>
              <w:bottom w:val="single" w:sz="8" w:color="7C7C7C"/>
            </w:tcBorders>
            <w:shd w:val="clear" w:color="auto" w:fill="F6FAFB"/>
          </w:tcPr>
          <w:p>
            <w:pPr>
              <w:spacing w:after="0"/>
              <w:rPr>
                <w:sz w:val="17"/>
                <w:szCs w:val="17"/>
                <w:color w:val="auto"/>
              </w:rPr>
            </w:pPr>
          </w:p>
        </w:tc>
        <w:tc>
          <w:tcPr>
            <w:tcW w:w="1080" w:type="dxa"/>
            <w:vAlign w:val="bottom"/>
            <w:tcBorders>
              <w:bottom w:val="single" w:sz="8" w:color="7C7C7C"/>
            </w:tcBorders>
            <w:shd w:val="clear" w:color="auto" w:fill="F6FAFB"/>
          </w:tcPr>
          <w:p>
            <w:pPr>
              <w:spacing w:after="0"/>
              <w:rPr>
                <w:sz w:val="17"/>
                <w:szCs w:val="17"/>
                <w:color w:val="auto"/>
              </w:rPr>
            </w:pPr>
          </w:p>
        </w:tc>
        <w:tc>
          <w:tcPr>
            <w:tcW w:w="80" w:type="dxa"/>
            <w:vAlign w:val="bottom"/>
            <w:tcBorders>
              <w:bottom w:val="single" w:sz="8" w:color="7C7C7C"/>
            </w:tcBorders>
            <w:shd w:val="clear" w:color="auto" w:fill="F6FAFB"/>
          </w:tcPr>
          <w:p>
            <w:pPr>
              <w:spacing w:after="0"/>
              <w:rPr>
                <w:sz w:val="17"/>
                <w:szCs w:val="17"/>
                <w:color w:val="auto"/>
              </w:rPr>
            </w:pPr>
          </w:p>
        </w:tc>
        <w:tc>
          <w:tcPr>
            <w:tcW w:w="1080" w:type="dxa"/>
            <w:vAlign w:val="bottom"/>
            <w:tcBorders>
              <w:bottom w:val="single" w:sz="8" w:color="7C7C7C"/>
            </w:tcBorders>
            <w:shd w:val="clear" w:color="auto" w:fill="F6FAFB"/>
          </w:tcPr>
          <w:p>
            <w:pPr>
              <w:spacing w:after="0"/>
              <w:rPr>
                <w:sz w:val="17"/>
                <w:szCs w:val="17"/>
                <w:color w:val="auto"/>
              </w:rPr>
            </w:pPr>
          </w:p>
        </w:tc>
        <w:tc>
          <w:tcPr>
            <w:tcW w:w="2420" w:type="dxa"/>
            <w:vAlign w:val="bottom"/>
            <w:tcBorders>
              <w:bottom w:val="single" w:sz="8" w:color="7C7C7C"/>
            </w:tcBorders>
            <w:gridSpan w:val="5"/>
            <w:shd w:val="clear" w:color="auto" w:fill="F6FAFB"/>
          </w:tcPr>
          <w:p>
            <w:pPr>
              <w:jc w:val="right"/>
              <w:ind w:right="80"/>
              <w:spacing w:after="0"/>
              <w:rPr>
                <w:sz w:val="20"/>
                <w:szCs w:val="20"/>
                <w:color w:val="auto"/>
              </w:rPr>
            </w:pPr>
            <w:r>
              <w:rPr>
                <w:rFonts w:ascii="Arial" w:cs="Arial" w:eastAsia="Arial" w:hAnsi="Arial"/>
                <w:sz w:val="14"/>
                <w:szCs w:val="14"/>
                <w:b w:val="1"/>
                <w:bCs w:val="1"/>
                <w:color w:val="0E93D8"/>
                <w:w w:val="97"/>
              </w:rPr>
              <w:t>Committee Approved Payout Factor</w:t>
            </w:r>
          </w:p>
        </w:tc>
        <w:tc>
          <w:tcPr>
            <w:tcW w:w="1060" w:type="dxa"/>
            <w:vAlign w:val="bottom"/>
            <w:tcBorders>
              <w:bottom w:val="single" w:sz="8" w:color="7C7C7C"/>
            </w:tcBorders>
            <w:shd w:val="clear" w:color="auto" w:fill="F6FAFB"/>
          </w:tcPr>
          <w:p>
            <w:pPr>
              <w:jc w:val="right"/>
              <w:ind w:right="212"/>
              <w:spacing w:after="0"/>
              <w:rPr>
                <w:sz w:val="20"/>
                <w:szCs w:val="20"/>
                <w:color w:val="auto"/>
              </w:rPr>
            </w:pPr>
            <w:r>
              <w:rPr>
                <w:rFonts w:ascii="Arial" w:cs="Arial" w:eastAsia="Arial" w:hAnsi="Arial"/>
                <w:sz w:val="14"/>
                <w:szCs w:val="14"/>
                <w:b w:val="1"/>
                <w:bCs w:val="1"/>
                <w:color w:val="0E93D8"/>
              </w:rPr>
              <w:t>116%</w:t>
            </w:r>
          </w:p>
        </w:tc>
      </w:tr>
    </w:tbl>
    <w:p>
      <w:pPr>
        <w:spacing w:after="0" w:line="242"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Performance goals and results are based on non-GAAP financial measures. See Appendix B on page 88 for details.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Reflects annual bonus goals and results for the UTC financial performance factor. Business unit goals and results differ. See pages 42-43 for details.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Committee used its discretion and reduced the calculated payout factor from 129% to 125%. See page 43 for additional details on this adjustment.</w:t>
      </w:r>
    </w:p>
    <w:p>
      <w:pPr>
        <w:spacing w:after="0" w:line="55" w:lineRule="exact"/>
        <w:rPr>
          <w:rFonts w:ascii="Arial" w:cs="Arial" w:eastAsia="Arial" w:hAnsi="Arial"/>
          <w:sz w:val="14"/>
          <w:szCs w:val="14"/>
          <w:color w:val="auto"/>
        </w:rPr>
      </w:pPr>
    </w:p>
    <w:p>
      <w:pPr>
        <w:ind w:left="220" w:right="300" w:hanging="212"/>
        <w:spacing w:after="0" w:line="231" w:lineRule="auto"/>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TSR is calculated using a 60-day average stock price at the beginning and end of the performance period for UTC and the companies within the S&amp;P 500 Index at the beginning of the performance period.</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How We Make Pay Decisions and Assess Our Programs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WHO DOES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55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255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E93D8"/>
        </w:rPr>
        <w:t>Compensation Committee</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4"/>
          <w:szCs w:val="14"/>
          <w:color w:val="0E93D8"/>
        </w:rPr>
        <w:t>Oversees our programs</w:t>
      </w:r>
    </w:p>
    <w:p>
      <w:pPr>
        <w:spacing w:after="0" w:line="136" w:lineRule="exact"/>
        <w:rPr>
          <w:sz w:val="20"/>
          <w:szCs w:val="20"/>
          <w:color w:val="auto"/>
        </w:rPr>
      </w:pPr>
    </w:p>
    <w:p>
      <w:pPr>
        <w:ind w:left="360" w:hanging="226"/>
        <w:spacing w:after="0" w:line="231" w:lineRule="auto"/>
        <w:tabs>
          <w:tab w:leader="none" w:pos="346"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Sets financial, strategic and operational goals and objectives for the Company, the business units and the CEO, as they relate to the annual and long-term incentive programs.</w:t>
      </w:r>
    </w:p>
    <w:p>
      <w:pPr>
        <w:spacing w:after="0" w:line="122" w:lineRule="exact"/>
        <w:rPr>
          <w:rFonts w:ascii="Arial" w:cs="Arial" w:eastAsia="Arial" w:hAnsi="Arial"/>
          <w:sz w:val="13"/>
          <w:szCs w:val="13"/>
          <w:color w:val="FDB03F"/>
        </w:rPr>
      </w:pPr>
    </w:p>
    <w:p>
      <w:pPr>
        <w:ind w:left="360" w:right="420" w:hanging="226"/>
        <w:spacing w:after="0" w:line="231" w:lineRule="auto"/>
        <w:tabs>
          <w:tab w:leader="none" w:pos="346"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Assesses Company, business unit and NEO performance relative to the pre-established goals and objectives set for the year.</w:t>
      </w:r>
    </w:p>
    <w:p>
      <w:pPr>
        <w:spacing w:after="0" w:line="135" w:lineRule="exact"/>
        <w:rPr>
          <w:rFonts w:ascii="Arial" w:cs="Arial" w:eastAsia="Arial" w:hAnsi="Arial"/>
          <w:sz w:val="13"/>
          <w:szCs w:val="13"/>
          <w:color w:val="FDB03F"/>
        </w:rPr>
      </w:pPr>
    </w:p>
    <w:p>
      <w:pPr>
        <w:ind w:left="340" w:hanging="206"/>
        <w:spacing w:after="0"/>
        <w:tabs>
          <w:tab w:leader="none" w:pos="340"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Approves CEO pay adjustments based on its assessment of CEO performance.</w:t>
      </w:r>
    </w:p>
    <w:p>
      <w:pPr>
        <w:spacing w:after="0" w:line="136" w:lineRule="exact"/>
        <w:rPr>
          <w:rFonts w:ascii="Arial" w:cs="Arial" w:eastAsia="Arial" w:hAnsi="Arial"/>
          <w:sz w:val="13"/>
          <w:szCs w:val="13"/>
          <w:color w:val="FDB03F"/>
        </w:rPr>
      </w:pPr>
    </w:p>
    <w:p>
      <w:pPr>
        <w:ind w:left="360" w:right="280" w:hanging="226"/>
        <w:spacing w:after="0" w:line="231" w:lineRule="auto"/>
        <w:tabs>
          <w:tab w:leader="none" w:pos="346"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Reviews the CEO’s recommendations for pay changes for ELG members and executive officers, and makes adjustments as appropriate.</w:t>
      </w:r>
    </w:p>
    <w:p>
      <w:pPr>
        <w:spacing w:after="0" w:line="122" w:lineRule="exact"/>
        <w:rPr>
          <w:rFonts w:ascii="Arial" w:cs="Arial" w:eastAsia="Arial" w:hAnsi="Arial"/>
          <w:sz w:val="13"/>
          <w:szCs w:val="13"/>
          <w:color w:val="FDB03F"/>
        </w:rPr>
      </w:pPr>
    </w:p>
    <w:p>
      <w:pPr>
        <w:ind w:left="340" w:hanging="206"/>
        <w:spacing w:after="0"/>
        <w:tabs>
          <w:tab w:leader="none" w:pos="340" w:val="left"/>
        </w:tabs>
        <w:numPr>
          <w:ilvl w:val="0"/>
          <w:numId w:val="110"/>
        </w:numPr>
        <w:rPr>
          <w:rFonts w:ascii="Arial" w:cs="Arial" w:eastAsia="Arial" w:hAnsi="Arial"/>
          <w:sz w:val="12"/>
          <w:szCs w:val="12"/>
          <w:color w:val="FDB03F"/>
        </w:rPr>
      </w:pPr>
      <w:r>
        <w:rPr>
          <w:rFonts w:ascii="Arial" w:cs="Arial" w:eastAsia="Arial" w:hAnsi="Arial"/>
          <w:sz w:val="12"/>
          <w:szCs w:val="12"/>
          <w:color w:val="auto"/>
        </w:rPr>
        <w:t>Evaluates the competitiveness of the compensation packages for ELG members and executive officers.</w:t>
      </w:r>
    </w:p>
    <w:p>
      <w:pPr>
        <w:spacing w:after="0" w:line="159" w:lineRule="exact"/>
        <w:rPr>
          <w:rFonts w:ascii="Arial" w:cs="Arial" w:eastAsia="Arial" w:hAnsi="Arial"/>
          <w:sz w:val="12"/>
          <w:szCs w:val="12"/>
          <w:color w:val="FDB03F"/>
        </w:rPr>
      </w:pPr>
    </w:p>
    <w:p>
      <w:pPr>
        <w:ind w:left="360" w:right="160" w:hanging="226"/>
        <w:spacing w:after="0" w:line="231" w:lineRule="auto"/>
        <w:tabs>
          <w:tab w:leader="none" w:pos="346"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Approves all executive compensation program design changes, including severance, change-in-control and supplemental benefit arrangements.</w:t>
      </w:r>
    </w:p>
    <w:p>
      <w:pPr>
        <w:spacing w:after="0" w:line="135" w:lineRule="exact"/>
        <w:rPr>
          <w:rFonts w:ascii="Arial" w:cs="Arial" w:eastAsia="Arial" w:hAnsi="Arial"/>
          <w:sz w:val="13"/>
          <w:szCs w:val="13"/>
          <w:color w:val="FDB03F"/>
        </w:rPr>
      </w:pPr>
    </w:p>
    <w:p>
      <w:pPr>
        <w:ind w:left="340" w:hanging="206"/>
        <w:spacing w:after="0"/>
        <w:tabs>
          <w:tab w:leader="none" w:pos="340"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Reviews risk assessments of UTC’s compensation plans, policies and practices.</w:t>
      </w:r>
    </w:p>
    <w:p>
      <w:pPr>
        <w:spacing w:after="0" w:line="122" w:lineRule="exact"/>
        <w:rPr>
          <w:rFonts w:ascii="Arial" w:cs="Arial" w:eastAsia="Arial" w:hAnsi="Arial"/>
          <w:sz w:val="13"/>
          <w:szCs w:val="13"/>
          <w:color w:val="FDB03F"/>
        </w:rPr>
      </w:pPr>
    </w:p>
    <w:p>
      <w:pPr>
        <w:ind w:left="340" w:hanging="206"/>
        <w:spacing w:after="0"/>
        <w:tabs>
          <w:tab w:leader="none" w:pos="340"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Considers shareowner input regarding executive compensation decisions and policies.</w:t>
      </w:r>
    </w:p>
    <w:p>
      <w:pPr>
        <w:spacing w:after="0" w:line="136" w:lineRule="exact"/>
        <w:rPr>
          <w:rFonts w:ascii="Arial" w:cs="Arial" w:eastAsia="Arial" w:hAnsi="Arial"/>
          <w:sz w:val="13"/>
          <w:szCs w:val="13"/>
          <w:color w:val="FDB03F"/>
        </w:rPr>
      </w:pPr>
    </w:p>
    <w:p>
      <w:pPr>
        <w:ind w:left="340" w:hanging="206"/>
        <w:spacing w:after="0"/>
        <w:tabs>
          <w:tab w:leader="none" w:pos="340" w:val="left"/>
        </w:tabs>
        <w:numPr>
          <w:ilvl w:val="0"/>
          <w:numId w:val="110"/>
        </w:numPr>
        <w:rPr>
          <w:rFonts w:ascii="Arial" w:cs="Arial" w:eastAsia="Arial" w:hAnsi="Arial"/>
          <w:sz w:val="13"/>
          <w:szCs w:val="13"/>
          <w:color w:val="FDB03F"/>
        </w:rPr>
      </w:pPr>
      <w:r>
        <w:rPr>
          <w:rFonts w:ascii="Arial" w:cs="Arial" w:eastAsia="Arial" w:hAnsi="Arial"/>
          <w:sz w:val="14"/>
          <w:szCs w:val="14"/>
          <w:color w:val="auto"/>
        </w:rPr>
        <w:t>All decisions are subject to review by the other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8890" cy="7289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728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CEO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0E93D8"/>
        </w:rPr>
        <w:t>Provides selective input to the Committee</w:t>
      </w:r>
    </w:p>
    <w:p>
      <w:pPr>
        <w:spacing w:after="0" w:line="136" w:lineRule="exact"/>
        <w:rPr>
          <w:sz w:val="20"/>
          <w:szCs w:val="20"/>
          <w:color w:val="auto"/>
        </w:rPr>
      </w:pPr>
    </w:p>
    <w:p>
      <w:pPr>
        <w:ind w:left="220" w:right="120" w:hanging="219"/>
        <w:spacing w:after="0" w:line="279" w:lineRule="auto"/>
        <w:tabs>
          <w:tab w:leader="none" w:pos="206" w:val="left"/>
        </w:tabs>
        <w:numPr>
          <w:ilvl w:val="0"/>
          <w:numId w:val="111"/>
        </w:numPr>
        <w:rPr>
          <w:rFonts w:ascii="Arial" w:cs="Arial" w:eastAsia="Arial" w:hAnsi="Arial"/>
          <w:sz w:val="12"/>
          <w:szCs w:val="12"/>
          <w:color w:val="FDB03F"/>
        </w:rPr>
      </w:pPr>
      <w:r>
        <w:rPr>
          <w:rFonts w:ascii="Arial" w:cs="Arial" w:eastAsia="Arial" w:hAnsi="Arial"/>
          <w:sz w:val="12"/>
          <w:szCs w:val="12"/>
          <w:color w:val="auto"/>
        </w:rPr>
        <w:t>Considers the performance of each ELG member/executive officer, his or her business unit and/or function, market benchmarks, internal equity and retention risk when determining pay recommendations.</w:t>
      </w:r>
    </w:p>
    <w:p>
      <w:pPr>
        <w:spacing w:after="0" w:line="99" w:lineRule="exact"/>
        <w:rPr>
          <w:rFonts w:ascii="Arial" w:cs="Arial" w:eastAsia="Arial" w:hAnsi="Arial"/>
          <w:sz w:val="12"/>
          <w:szCs w:val="12"/>
          <w:color w:val="FDB03F"/>
        </w:rPr>
      </w:pPr>
    </w:p>
    <w:p>
      <w:pPr>
        <w:ind w:left="220" w:right="320" w:hanging="219"/>
        <w:spacing w:after="0" w:line="228" w:lineRule="auto"/>
        <w:tabs>
          <w:tab w:leader="none" w:pos="206" w:val="left"/>
        </w:tabs>
        <w:numPr>
          <w:ilvl w:val="0"/>
          <w:numId w:val="111"/>
        </w:numPr>
        <w:rPr>
          <w:rFonts w:ascii="Arial" w:cs="Arial" w:eastAsia="Arial" w:hAnsi="Arial"/>
          <w:sz w:val="13"/>
          <w:szCs w:val="13"/>
          <w:color w:val="FDB03F"/>
        </w:rPr>
      </w:pPr>
      <w:r>
        <w:rPr>
          <w:rFonts w:ascii="Arial" w:cs="Arial" w:eastAsia="Arial" w:hAnsi="Arial"/>
          <w:sz w:val="14"/>
          <w:szCs w:val="14"/>
          <w:color w:val="auto"/>
        </w:rPr>
        <w:t>Presents the Committee with recommendations for each principal element of compensation for ELG members (including the other NEOs) and executive officers.</w:t>
      </w:r>
    </w:p>
    <w:p>
      <w:pPr>
        <w:spacing w:after="0" w:line="135" w:lineRule="exact"/>
        <w:rPr>
          <w:rFonts w:ascii="Arial" w:cs="Arial" w:eastAsia="Arial" w:hAnsi="Arial"/>
          <w:sz w:val="13"/>
          <w:szCs w:val="13"/>
          <w:color w:val="FDB03F"/>
        </w:rPr>
      </w:pPr>
    </w:p>
    <w:p>
      <w:pPr>
        <w:ind w:left="220" w:right="180" w:hanging="219"/>
        <w:spacing w:after="0" w:line="231" w:lineRule="auto"/>
        <w:tabs>
          <w:tab w:leader="none" w:pos="206" w:val="left"/>
        </w:tabs>
        <w:numPr>
          <w:ilvl w:val="0"/>
          <w:numId w:val="111"/>
        </w:numPr>
        <w:rPr>
          <w:rFonts w:ascii="Arial" w:cs="Arial" w:eastAsia="Arial" w:hAnsi="Arial"/>
          <w:sz w:val="13"/>
          <w:szCs w:val="13"/>
          <w:color w:val="FDB03F"/>
        </w:rPr>
      </w:pPr>
      <w:r>
        <w:rPr>
          <w:rFonts w:ascii="Arial" w:cs="Arial" w:eastAsia="Arial" w:hAnsi="Arial"/>
          <w:sz w:val="14"/>
          <w:szCs w:val="14"/>
          <w:color w:val="auto"/>
        </w:rPr>
        <w:t>Does not have any role in the Committee’s determination of his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1158875</wp:posOffset>
            </wp:positionV>
            <wp:extent cx="8890" cy="7289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728980"/>
                    </a:xfrm>
                    <a:prstGeom prst="rect">
                      <a:avLst/>
                    </a:prstGeom>
                    <a:noFill/>
                  </pic:spPr>
                </pic:pic>
              </a:graphicData>
            </a:graphic>
          </wp:anchor>
        </w:drawing>
      </w:r>
    </w:p>
    <w:p>
      <w:pPr>
        <w:spacing w:after="0" w:line="1806" w:lineRule="exact"/>
        <w:rPr>
          <w:sz w:val="20"/>
          <w:szCs w:val="20"/>
          <w:color w:val="auto"/>
        </w:rPr>
      </w:pPr>
    </w:p>
    <w:p>
      <w:pPr>
        <w:sectPr>
          <w:pgSz w:w="11900" w:h="16838" w:orient="portrait"/>
          <w:cols w:equalWidth="0" w:num="2">
            <w:col w:w="6640" w:space="340"/>
            <w:col w:w="4440"/>
          </w:cols>
          <w:pgMar w:left="240" w:top="121" w:right="239" w:bottom="1440" w:gutter="0" w:footer="0" w:header="0"/>
          <w:type w:val="continuous"/>
        </w:sectPr>
      </w:pP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E93D8"/>
        </w:rPr>
        <w:t>Management and the Independent Consultant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4"/>
          <w:szCs w:val="14"/>
          <w:color w:val="0E93D8"/>
        </w:rPr>
        <w:t>Provide insight and assistance</w:t>
      </w:r>
    </w:p>
    <w:p>
      <w:pPr>
        <w:spacing w:after="0" w:line="136" w:lineRule="exact"/>
        <w:rPr>
          <w:sz w:val="20"/>
          <w:szCs w:val="20"/>
          <w:color w:val="auto"/>
        </w:rPr>
      </w:pPr>
    </w:p>
    <w:p>
      <w:pPr>
        <w:ind w:left="140"/>
        <w:spacing w:after="0" w:line="226" w:lineRule="auto"/>
        <w:rPr>
          <w:sz w:val="20"/>
          <w:szCs w:val="20"/>
          <w:color w:val="auto"/>
        </w:rPr>
      </w:pPr>
      <w:r>
        <w:rPr>
          <w:rFonts w:ascii="Arial" w:cs="Arial" w:eastAsia="Arial" w:hAnsi="Arial"/>
          <w:sz w:val="14"/>
          <w:szCs w:val="14"/>
          <w:color w:val="auto"/>
        </w:rPr>
        <w:t>The Executive Vice President &amp; Chief Human Resources Officer, along with UTC’s Human Resources staff and the independent compensation consultant, provide insights on program design and compensation market data to assist the Committee with its decisions. Management also has been delegated oversight responsibility of executive compensation plan administration.</w:t>
      </w:r>
    </w:p>
    <w:p>
      <w:pPr>
        <w:spacing w:after="0" w:line="254" w:lineRule="exact"/>
        <w:rPr>
          <w:sz w:val="20"/>
          <w:szCs w:val="20"/>
          <w:color w:val="auto"/>
        </w:rPr>
      </w:pPr>
    </w:p>
    <w:p>
      <w:pPr>
        <w:ind w:left="880" w:hanging="628"/>
        <w:spacing w:after="0"/>
        <w:tabs>
          <w:tab w:leader="none" w:pos="880" w:val="left"/>
        </w:tabs>
        <w:numPr>
          <w:ilvl w:val="0"/>
          <w:numId w:val="112"/>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Shareowners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0E93D8"/>
        </w:rPr>
        <w:t>Provide feedback on our programs</w:t>
      </w:r>
    </w:p>
    <w:p>
      <w:pPr>
        <w:spacing w:after="0" w:line="136" w:lineRule="exact"/>
        <w:rPr>
          <w:sz w:val="20"/>
          <w:szCs w:val="20"/>
          <w:color w:val="auto"/>
        </w:rPr>
      </w:pPr>
    </w:p>
    <w:p>
      <w:pPr>
        <w:ind w:right="280"/>
        <w:spacing w:after="0" w:line="226" w:lineRule="auto"/>
        <w:rPr>
          <w:sz w:val="20"/>
          <w:szCs w:val="20"/>
          <w:color w:val="auto"/>
        </w:rPr>
      </w:pPr>
      <w:r>
        <w:rPr>
          <w:rFonts w:ascii="Arial" w:cs="Arial" w:eastAsia="Arial" w:hAnsi="Arial"/>
          <w:sz w:val="14"/>
          <w:szCs w:val="14"/>
          <w:color w:val="auto"/>
        </w:rPr>
        <w:t>In assessing our program each year, the Committee reviews the feedback received from shareowners. This feedback, along with other factors, helps the Committee in its decisions and its ongoing assessment of the effectiveness of our program.</w:t>
      </w:r>
    </w:p>
    <w:p>
      <w:pPr>
        <w:sectPr>
          <w:pgSz w:w="11900" w:h="16838" w:orient="portrait"/>
          <w:cols w:equalWidth="0" w:num="2">
            <w:col w:w="6680" w:space="300"/>
            <w:col w:w="4440"/>
          </w:cols>
          <w:pgMar w:left="240" w:top="121"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Role of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Compensation Committee retained Pearl Meyer &amp; Partners (“Pearl Meyer”) to serve as its executive compensation consultant for 2018. Although Pearl Meyer may make recommendations on the form and amount of compensation, the Committee makes all decisions regarding the compensation of our NEOs and other ELG members.</w:t>
      </w:r>
    </w:p>
    <w:p>
      <w:pPr>
        <w:spacing w:after="0" w:line="20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During 2018, Pearl Meyer advised the Committee on a variety of subjects, including compensation plan design and trends, pay-for-performance analytics, benchmarking data and related matters. Pearl Meyer reports directly to the Committee, participates in meetings as requested and communicates with the Committee Chair between meetings as necessary. A Pearl Meyer representative attended each of the five Committee meetings in 2018.</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Prior to engaging Pearl Meyer, the Committee reviewed the firm’s qualifications, independence and any potential conflicts of interest. Pearl Meyer does not perform other services for or receive other fees from UTC (except for an incidental amount of $9,400 in 2018 for participation in certain business surveys). The Committee therefore determined that Pearl Meyer qualified as an independent consultant. The Committee has the sole authority to modify or approve Pearl Meyer’s compensation, determine the nature and scope of its services, evaluate its performance, terminate the engagement, and hire a replacement or additional consultant at any time.</w:t>
      </w:r>
    </w:p>
    <w:p>
      <w:pPr>
        <w:spacing w:after="0" w:line="21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Committee also uses market data from other compensation consulting firms for benchmarking and other purposes. However, this benchmark data is generally available broadly to these firms’ other consulting clients. No other consulting firm made recommendations to the Committee or Management on peer group composition or on the form, amount or design of executive compensation in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i w:val="1"/>
          <w:iCs w:val="1"/>
          <w:color w:val="0E93D8"/>
        </w:rPr>
        <w:t xml:space="preserve">How We Use Peer Group Data. </w:t>
      </w:r>
      <w:r>
        <w:rPr>
          <w:rFonts w:ascii="Arial" w:cs="Arial" w:eastAsia="Arial" w:hAnsi="Arial"/>
          <w:sz w:val="18"/>
          <w:szCs w:val="18"/>
          <w:color w:val="000000"/>
        </w:rPr>
        <w:t>We compare our executive compensation program to those at the 23 companies that make up our Compensation</w:t>
      </w:r>
      <w:r>
        <w:rPr>
          <w:rFonts w:ascii="Arial" w:cs="Arial" w:eastAsia="Arial" w:hAnsi="Arial"/>
          <w:sz w:val="18"/>
          <w:szCs w:val="18"/>
          <w:i w:val="1"/>
          <w:iCs w:val="1"/>
          <w:color w:val="0E93D8"/>
        </w:rPr>
        <w:t xml:space="preserve"> </w:t>
      </w:r>
      <w:r>
        <w:rPr>
          <w:rFonts w:ascii="Arial" w:cs="Arial" w:eastAsia="Arial" w:hAnsi="Arial"/>
          <w:sz w:val="18"/>
          <w:szCs w:val="18"/>
          <w:color w:val="000000"/>
        </w:rPr>
        <w:t>Peer Group (“CPG”). Data from a broader range of companies, including the Fortune 100, are used for insight into general compensation trends and to supplement CPG data when necessary and appropriate. To maintain a sufficiently competitive executive compensation program, the Committee believes the target value of each principal element of compensation should approximate the market median of the companies UTC views as competitors for executive talent. The Committee annually evaluates each compensation element relative to the market for each ELG member’s role and makes adjustments as necessary. However, individual compensation may vary from market median benchmarks based on the Committee’s assessment of Company, business unit/function and individual performance, job scope, retention risk, tenure, and other factors that it determines to be relevant to its evaluation.</w:t>
      </w:r>
    </w:p>
    <w:p>
      <w:pPr>
        <w:spacing w:after="0" w:line="1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i w:val="1"/>
          <w:iCs w:val="1"/>
          <w:color w:val="0E93D8"/>
        </w:rPr>
        <w:t xml:space="preserve">How Our Compensation Peer Group is Constructed. </w:t>
      </w:r>
      <w:r>
        <w:rPr>
          <w:rFonts w:ascii="Arial" w:cs="Arial" w:eastAsia="Arial" w:hAnsi="Arial"/>
          <w:sz w:val="18"/>
          <w:szCs w:val="18"/>
          <w:color w:val="000000"/>
        </w:rPr>
        <w:t>The CPG’s composition reflects a mix of both industry and non-industry peers that the</w:t>
      </w:r>
      <w:r>
        <w:rPr>
          <w:rFonts w:ascii="Arial" w:cs="Arial" w:eastAsia="Arial" w:hAnsi="Arial"/>
          <w:sz w:val="18"/>
          <w:szCs w:val="18"/>
          <w:i w:val="1"/>
          <w:iCs w:val="1"/>
          <w:color w:val="0E93D8"/>
        </w:rPr>
        <w:t xml:space="preserve"> </w:t>
      </w:r>
      <w:r>
        <w:rPr>
          <w:rFonts w:ascii="Arial" w:cs="Arial" w:eastAsia="Arial" w:hAnsi="Arial"/>
          <w:sz w:val="18"/>
          <w:szCs w:val="18"/>
          <w:color w:val="000000"/>
        </w:rPr>
        <w:t>Committee views as competitors for senior executive talent. Like UTC, 11 of these 23 companies are Dow Jones Industrial Average components. In its 2018 review, the Committee made no adjustments to the CPG. The Committee believes the companies in the CPG provide a relevant comparison based on their similarity to UTC in size, geographic footprint and operational complexity, taking into account factors such as revenue, market capitalization, global scope of operations, manufacturing footprint, research and development activities, and diversified product portfolios. The CPG is constructed to serve the specific purpose of benchmarking executive compensation. For this reason, we do not use the relative financial performance of the CPG as a performance metric in our incentive compensation programs.</w:t>
      </w:r>
    </w:p>
    <w:p>
      <w:pPr>
        <w:spacing w:after="0" w:line="174"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80B8E7"/>
        </w:rPr>
        <w:t xml:space="preserve">We target compensation to </w:t>
      </w:r>
      <w:r>
        <w:rPr>
          <w:rFonts w:ascii="Arial" w:cs="Arial" w:eastAsia="Arial" w:hAnsi="Arial"/>
          <w:sz w:val="22"/>
          <w:szCs w:val="22"/>
          <w:b w:val="1"/>
          <w:bCs w:val="1"/>
          <w:color w:val="0E93D8"/>
        </w:rPr>
        <w:t>approximate the</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0E93D8"/>
        </w:rPr>
        <w:t>market 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118110</wp:posOffset>
            </wp:positionV>
            <wp:extent cx="34905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39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0E93D8"/>
        </w:rPr>
        <w:t xml:space="preserve">OUR COMPENSATION PEER GROUP </w:t>
      </w:r>
      <w:r>
        <w:rPr>
          <w:sz w:val="1"/>
          <w:szCs w:val="1"/>
          <w:color w:val="auto"/>
        </w:rPr>
        <w:drawing>
          <wp:inline distT="0" distB="0" distL="0" distR="0">
            <wp:extent cx="5694045" cy="9461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94045" cy="94615"/>
                    </a:xfrm>
                    <a:prstGeom prst="rect">
                      <a:avLst/>
                    </a:prstGeom>
                    <a:noFill/>
                    <a:ln>
                      <a:noFill/>
                    </a:ln>
                  </pic:spPr>
                </pic:pic>
              </a:graphicData>
            </a:graphic>
          </wp:inline>
        </w:drawing>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Companies in </w:t>
      </w:r>
      <w:r>
        <w:rPr>
          <w:rFonts w:ascii="Arial" w:cs="Arial" w:eastAsia="Arial" w:hAnsi="Arial"/>
          <w:sz w:val="14"/>
          <w:szCs w:val="14"/>
          <w:color w:val="0E93D8"/>
        </w:rPr>
        <w:t>Blue</w:t>
      </w:r>
      <w:r>
        <w:rPr>
          <w:rFonts w:ascii="Arial" w:cs="Arial" w:eastAsia="Arial" w:hAnsi="Arial"/>
          <w:sz w:val="14"/>
          <w:szCs w:val="14"/>
          <w:color w:val="auto"/>
        </w:rPr>
        <w:t xml:space="preserve"> represent Dow Jones Industrial Average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8890" cy="12090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1209040"/>
                    </a:xfrm>
                    <a:prstGeom prst="rect">
                      <a:avLst/>
                    </a:prstGeom>
                    <a:noFill/>
                  </pic:spPr>
                </pic:pic>
              </a:graphicData>
            </a:graphic>
          </wp:anchor>
        </w:drawing>
      </w:r>
    </w:p>
    <w:p>
      <w:pPr>
        <w:spacing w:after="0" w:line="184"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2180" w:type="dxa"/>
            <w:vAlign w:val="bottom"/>
            <w:tcBorders>
              <w:right w:val="single" w:sz="8" w:color="FDB03F"/>
            </w:tcBorders>
          </w:tcPr>
          <w:p>
            <w:pPr>
              <w:spacing w:after="0"/>
              <w:rPr>
                <w:sz w:val="20"/>
                <w:szCs w:val="20"/>
                <w:color w:val="auto"/>
              </w:rPr>
            </w:pPr>
            <w:r>
              <w:rPr>
                <w:rFonts w:ascii="Arial" w:cs="Arial" w:eastAsia="Arial" w:hAnsi="Arial"/>
                <w:sz w:val="14"/>
                <w:szCs w:val="14"/>
                <w:b w:val="1"/>
                <w:bCs w:val="1"/>
                <w:color w:val="auto"/>
              </w:rPr>
              <w:t>Aerospace &amp; Defense</w:t>
            </w: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b w:val="1"/>
                <w:bCs w:val="1"/>
                <w:color w:val="auto"/>
              </w:rPr>
              <w:t>Equipment &amp; Machinery</w:t>
            </w: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b w:val="1"/>
                <w:bCs w:val="1"/>
                <w:color w:val="auto"/>
              </w:rPr>
              <w:t>Technology/Communications</w:t>
            </w: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b w:val="1"/>
                <w:bCs w:val="1"/>
                <w:color w:val="auto"/>
              </w:rPr>
              <w:t>Consumer Packaged Goods</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w w:val="95"/>
              </w:rPr>
              <w:t>Oil &amp; Gas</w:t>
            </w:r>
          </w:p>
        </w:tc>
      </w:tr>
      <w:tr>
        <w:trPr>
          <w:trHeight w:val="149"/>
        </w:trPr>
        <w:tc>
          <w:tcPr>
            <w:tcW w:w="218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color w:val="0E93D8"/>
              </w:rPr>
              <w:t>Boeing</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3M</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AT&amp;T</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Johnson &amp; Johnson</w:t>
            </w:r>
          </w:p>
        </w:tc>
        <w:tc>
          <w:tcPr>
            <w:tcW w:w="720" w:type="dxa"/>
            <w:vAlign w:val="bottom"/>
          </w:tcPr>
          <w:p>
            <w:pPr>
              <w:ind w:left="100"/>
              <w:spacing w:after="0" w:line="149" w:lineRule="exact"/>
              <w:rPr>
                <w:sz w:val="20"/>
                <w:szCs w:val="20"/>
                <w:color w:val="auto"/>
              </w:rPr>
            </w:pPr>
            <w:r>
              <w:rPr>
                <w:rFonts w:ascii="Arial" w:cs="Arial" w:eastAsia="Arial" w:hAnsi="Arial"/>
                <w:sz w:val="14"/>
                <w:szCs w:val="14"/>
                <w:color w:val="0E93D8"/>
              </w:rPr>
              <w:t>Chevron</w:t>
            </w:r>
          </w:p>
        </w:tc>
      </w:tr>
      <w:tr>
        <w:trPr>
          <w:trHeight w:val="149"/>
        </w:trPr>
        <w:tc>
          <w:tcPr>
            <w:tcW w:w="218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color w:val="auto"/>
              </w:rPr>
              <w:t>General Dynamics</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Caterpillar</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Cisco</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Procter &amp; Gamble</w:t>
            </w:r>
          </w:p>
        </w:tc>
        <w:tc>
          <w:tcPr>
            <w:tcW w:w="720" w:type="dxa"/>
            <w:vAlign w:val="bottom"/>
          </w:tcPr>
          <w:p>
            <w:pPr>
              <w:spacing w:after="0"/>
              <w:rPr>
                <w:sz w:val="12"/>
                <w:szCs w:val="12"/>
                <w:color w:val="auto"/>
              </w:rPr>
            </w:pPr>
          </w:p>
        </w:tc>
      </w:tr>
      <w:tr>
        <w:trPr>
          <w:trHeight w:val="149"/>
        </w:trPr>
        <w:tc>
          <w:tcPr>
            <w:tcW w:w="218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color w:val="auto"/>
              </w:rPr>
              <w:t>Lockheed Martin</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Deere</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IBM</w:t>
            </w:r>
          </w:p>
        </w:tc>
        <w:tc>
          <w:tcPr>
            <w:tcW w:w="2280" w:type="dxa"/>
            <w:vAlign w:val="bottom"/>
            <w:tcBorders>
              <w:right w:val="single" w:sz="8" w:color="FDB03F"/>
            </w:tcBorders>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18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color w:val="auto"/>
              </w:rPr>
              <w:t>Northrop Grumman</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Eaton</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0E93D8"/>
              </w:rPr>
              <w:t>Verizon</w:t>
            </w:r>
          </w:p>
        </w:tc>
        <w:tc>
          <w:tcPr>
            <w:tcW w:w="2280" w:type="dxa"/>
            <w:vAlign w:val="bottom"/>
            <w:tcBorders>
              <w:right w:val="single" w:sz="8" w:color="FDB03F"/>
            </w:tcBorders>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18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color w:val="auto"/>
              </w:rPr>
              <w:t>Raytheon</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Emerson Electric</w:t>
            </w:r>
          </w:p>
        </w:tc>
        <w:tc>
          <w:tcPr>
            <w:tcW w:w="2280" w:type="dxa"/>
            <w:vAlign w:val="bottom"/>
            <w:tcBorders>
              <w:right w:val="single" w:sz="8" w:color="FDB03F"/>
            </w:tcBorders>
          </w:tcPr>
          <w:p>
            <w:pPr>
              <w:spacing w:after="0"/>
              <w:rPr>
                <w:sz w:val="12"/>
                <w:szCs w:val="12"/>
                <w:color w:val="auto"/>
              </w:rPr>
            </w:pPr>
          </w:p>
        </w:tc>
        <w:tc>
          <w:tcPr>
            <w:tcW w:w="2280" w:type="dxa"/>
            <w:vAlign w:val="bottom"/>
            <w:tcBorders>
              <w:right w:val="single" w:sz="8" w:color="FDB03F"/>
            </w:tcBorders>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2180" w:type="dxa"/>
            <w:vAlign w:val="bottom"/>
            <w:tcBorders>
              <w:right w:val="single" w:sz="8" w:color="FDB03F"/>
            </w:tcBorders>
          </w:tcPr>
          <w:p>
            <w:pPr>
              <w:spacing w:after="0"/>
              <w:rPr>
                <w:sz w:val="14"/>
                <w:szCs w:val="14"/>
                <w:color w:val="auto"/>
              </w:rPr>
            </w:pP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color w:val="auto"/>
              </w:rPr>
              <w:t>Johnson Controls</w:t>
            </w:r>
          </w:p>
        </w:tc>
        <w:tc>
          <w:tcPr>
            <w:tcW w:w="2280" w:type="dxa"/>
            <w:vAlign w:val="bottom"/>
            <w:tcBorders>
              <w:right w:val="single" w:sz="8" w:color="FDB03F"/>
            </w:tcBorders>
          </w:tcPr>
          <w:p>
            <w:pPr>
              <w:spacing w:after="0"/>
              <w:rPr>
                <w:sz w:val="14"/>
                <w:szCs w:val="14"/>
                <w:color w:val="auto"/>
              </w:rPr>
            </w:pPr>
          </w:p>
        </w:tc>
        <w:tc>
          <w:tcPr>
            <w:tcW w:w="2280" w:type="dxa"/>
            <w:vAlign w:val="bottom"/>
            <w:tcBorders>
              <w:right w:val="single" w:sz="8" w:color="FDB03F"/>
            </w:tcBorders>
          </w:tcPr>
          <w:p>
            <w:pPr>
              <w:spacing w:after="0"/>
              <w:rPr>
                <w:sz w:val="14"/>
                <w:szCs w:val="14"/>
                <w:color w:val="auto"/>
              </w:rPr>
            </w:pPr>
          </w:p>
        </w:tc>
        <w:tc>
          <w:tcPr>
            <w:tcW w:w="720" w:type="dxa"/>
            <w:vAlign w:val="bottom"/>
          </w:tcPr>
          <w:p>
            <w:pPr>
              <w:spacing w:after="0"/>
              <w:rPr>
                <w:sz w:val="14"/>
                <w:szCs w:val="14"/>
                <w:color w:val="auto"/>
              </w:rPr>
            </w:pPr>
          </w:p>
        </w:tc>
      </w:tr>
      <w:tr>
        <w:trPr>
          <w:trHeight w:val="824"/>
        </w:trPr>
        <w:tc>
          <w:tcPr>
            <w:tcW w:w="2180" w:type="dxa"/>
            <w:vAlign w:val="bottom"/>
            <w:tcBorders>
              <w:right w:val="single" w:sz="8" w:color="FDB03F"/>
            </w:tcBorders>
          </w:tcPr>
          <w:p>
            <w:pPr>
              <w:spacing w:after="0"/>
              <w:rPr>
                <w:sz w:val="24"/>
                <w:szCs w:val="24"/>
                <w:color w:val="auto"/>
              </w:rPr>
            </w:pPr>
          </w:p>
        </w:tc>
        <w:tc>
          <w:tcPr>
            <w:tcW w:w="2280" w:type="dxa"/>
            <w:vAlign w:val="bottom"/>
            <w:tcBorders>
              <w:right w:val="single" w:sz="8" w:color="FDB03F"/>
            </w:tcBorders>
          </w:tcPr>
          <w:p>
            <w:pPr>
              <w:spacing w:after="0"/>
              <w:rPr>
                <w:sz w:val="24"/>
                <w:szCs w:val="24"/>
                <w:color w:val="auto"/>
              </w:rPr>
            </w:pPr>
          </w:p>
        </w:tc>
        <w:tc>
          <w:tcPr>
            <w:tcW w:w="2280" w:type="dxa"/>
            <w:vAlign w:val="bottom"/>
            <w:tcBorders>
              <w:right w:val="single" w:sz="8" w:color="FDB03F"/>
            </w:tcBorders>
          </w:tcPr>
          <w:p>
            <w:pPr>
              <w:spacing w:after="0"/>
              <w:rPr>
                <w:sz w:val="24"/>
                <w:szCs w:val="24"/>
                <w:color w:val="auto"/>
              </w:rPr>
            </w:pPr>
          </w:p>
        </w:tc>
        <w:tc>
          <w:tcPr>
            <w:tcW w:w="2280" w:type="dxa"/>
            <w:vAlign w:val="bottom"/>
            <w:tcBorders>
              <w:right w:val="single" w:sz="8" w:color="FDB03F"/>
            </w:tcBorders>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6217285" cy="13036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17285" cy="13036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6217285" cy="13036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17285" cy="1303655"/>
                    </a:xfrm>
                    <a:prstGeom prst="rect">
                      <a:avLst/>
                    </a:prstGeom>
                    <a:noFill/>
                  </pic:spPr>
                </pic:pic>
              </a:graphicData>
            </a:graphic>
          </wp:anchor>
        </w:drawing>
      </w:r>
    </w:p>
    <w:p>
      <w:pPr>
        <w:spacing w:after="0" w:line="129"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2180" w:type="dxa"/>
            <w:vAlign w:val="bottom"/>
            <w:tcBorders>
              <w:right w:val="single" w:sz="8" w:color="FDB03F"/>
            </w:tcBorders>
          </w:tcPr>
          <w:p>
            <w:pPr>
              <w:spacing w:after="0"/>
              <w:rPr>
                <w:sz w:val="20"/>
                <w:szCs w:val="20"/>
                <w:color w:val="auto"/>
              </w:rPr>
            </w:pPr>
            <w:r>
              <w:rPr>
                <w:rFonts w:ascii="Arial" w:cs="Arial" w:eastAsia="Arial" w:hAnsi="Arial"/>
                <w:sz w:val="14"/>
                <w:szCs w:val="14"/>
                <w:b w:val="1"/>
                <w:bCs w:val="1"/>
                <w:color w:val="auto"/>
              </w:rPr>
              <w:t>Chemicals</w:t>
            </w: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b w:val="1"/>
                <w:bCs w:val="1"/>
                <w:color w:val="auto"/>
              </w:rPr>
              <w:t>Diversified Industrials</w:t>
            </w: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b w:val="1"/>
                <w:bCs w:val="1"/>
                <w:color w:val="auto"/>
              </w:rPr>
              <w:t>Automotive</w:t>
            </w:r>
          </w:p>
        </w:tc>
        <w:tc>
          <w:tcPr>
            <w:tcW w:w="1180" w:type="dxa"/>
            <w:vAlign w:val="bottom"/>
          </w:tcPr>
          <w:p>
            <w:pPr>
              <w:ind w:left="100"/>
              <w:spacing w:after="0"/>
              <w:rPr>
                <w:sz w:val="20"/>
                <w:szCs w:val="20"/>
                <w:color w:val="auto"/>
              </w:rPr>
            </w:pPr>
            <w:r>
              <w:rPr>
                <w:rFonts w:ascii="Arial" w:cs="Arial" w:eastAsia="Arial" w:hAnsi="Arial"/>
                <w:sz w:val="14"/>
                <w:szCs w:val="14"/>
                <w:b w:val="1"/>
                <w:bCs w:val="1"/>
                <w:color w:val="auto"/>
                <w:w w:val="95"/>
              </w:rPr>
              <w:t>Pharmaceuticals</w:t>
            </w:r>
          </w:p>
        </w:tc>
      </w:tr>
      <w:tr>
        <w:trPr>
          <w:trHeight w:val="149"/>
        </w:trPr>
        <w:tc>
          <w:tcPr>
            <w:tcW w:w="218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color w:val="0E93D8"/>
              </w:rPr>
              <w:t>DowDuPont</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General Electric</w:t>
            </w:r>
          </w:p>
        </w:tc>
        <w:tc>
          <w:tcPr>
            <w:tcW w:w="2280" w:type="dxa"/>
            <w:vAlign w:val="bottom"/>
            <w:tcBorders>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General Motors</w:t>
            </w: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0E93D8"/>
              </w:rPr>
              <w:t>Pfizer</w:t>
            </w:r>
          </w:p>
        </w:tc>
      </w:tr>
      <w:tr>
        <w:trPr>
          <w:trHeight w:val="162"/>
        </w:trPr>
        <w:tc>
          <w:tcPr>
            <w:tcW w:w="2180" w:type="dxa"/>
            <w:vAlign w:val="bottom"/>
            <w:tcBorders>
              <w:right w:val="single" w:sz="8" w:color="FDB03F"/>
            </w:tcBorders>
          </w:tcPr>
          <w:p>
            <w:pPr>
              <w:spacing w:after="0"/>
              <w:rPr>
                <w:sz w:val="14"/>
                <w:szCs w:val="14"/>
                <w:color w:val="auto"/>
              </w:rPr>
            </w:pPr>
          </w:p>
        </w:tc>
        <w:tc>
          <w:tcPr>
            <w:tcW w:w="2280" w:type="dxa"/>
            <w:vAlign w:val="bottom"/>
            <w:tcBorders>
              <w:right w:val="single" w:sz="8" w:color="FDB03F"/>
            </w:tcBorders>
          </w:tcPr>
          <w:p>
            <w:pPr>
              <w:ind w:left="100"/>
              <w:spacing w:after="0"/>
              <w:rPr>
                <w:sz w:val="20"/>
                <w:szCs w:val="20"/>
                <w:color w:val="auto"/>
              </w:rPr>
            </w:pPr>
            <w:r>
              <w:rPr>
                <w:rFonts w:ascii="Arial" w:cs="Arial" w:eastAsia="Arial" w:hAnsi="Arial"/>
                <w:sz w:val="14"/>
                <w:szCs w:val="14"/>
                <w:color w:val="auto"/>
              </w:rPr>
              <w:t>Honeywell</w:t>
            </w:r>
          </w:p>
        </w:tc>
        <w:tc>
          <w:tcPr>
            <w:tcW w:w="2280" w:type="dxa"/>
            <w:vAlign w:val="bottom"/>
            <w:tcBorders>
              <w:right w:val="single" w:sz="8" w:color="FDB03F"/>
            </w:tcBorders>
          </w:tcPr>
          <w:p>
            <w:pPr>
              <w:spacing w:after="0"/>
              <w:rPr>
                <w:sz w:val="14"/>
                <w:szCs w:val="14"/>
                <w:color w:val="auto"/>
              </w:rPr>
            </w:pPr>
          </w:p>
        </w:tc>
        <w:tc>
          <w:tcPr>
            <w:tcW w:w="1180" w:type="dxa"/>
            <w:vAlign w:val="bottom"/>
          </w:tcPr>
          <w:p>
            <w:pPr>
              <w:spacing w:after="0"/>
              <w:rPr>
                <w:sz w:val="14"/>
                <w:szCs w:val="14"/>
                <w:color w:val="auto"/>
              </w:rPr>
            </w:pPr>
          </w:p>
        </w:tc>
      </w:tr>
      <w:tr>
        <w:trPr>
          <w:trHeight w:val="716"/>
        </w:trPr>
        <w:tc>
          <w:tcPr>
            <w:tcW w:w="2180" w:type="dxa"/>
            <w:vAlign w:val="bottom"/>
            <w:tcBorders>
              <w:right w:val="single" w:sz="8" w:color="FDB03F"/>
            </w:tcBorders>
          </w:tcPr>
          <w:p>
            <w:pPr>
              <w:spacing w:after="0"/>
              <w:rPr>
                <w:sz w:val="24"/>
                <w:szCs w:val="24"/>
                <w:color w:val="auto"/>
              </w:rPr>
            </w:pPr>
          </w:p>
        </w:tc>
        <w:tc>
          <w:tcPr>
            <w:tcW w:w="2280" w:type="dxa"/>
            <w:vAlign w:val="bottom"/>
            <w:tcBorders>
              <w:right w:val="single" w:sz="8" w:color="FDB03F"/>
            </w:tcBorders>
          </w:tcPr>
          <w:p>
            <w:pPr>
              <w:spacing w:after="0"/>
              <w:rPr>
                <w:sz w:val="24"/>
                <w:szCs w:val="24"/>
                <w:color w:val="auto"/>
              </w:rPr>
            </w:pPr>
          </w:p>
        </w:tc>
        <w:tc>
          <w:tcPr>
            <w:tcW w:w="2280" w:type="dxa"/>
            <w:vAlign w:val="bottom"/>
            <w:tcBorders>
              <w:right w:val="single" w:sz="8" w:color="FDB03F"/>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-376555</wp:posOffset>
            </wp:positionV>
            <wp:extent cx="274320" cy="3600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000000"/>
                        </a:clrFrom>
                        <a:clrTo>
                          <a:srgbClr val="000000">
                            <a:alpha val="0"/>
                          </a:srgbClr>
                        </a:clrTo>
                      </a:clrChange>
                      <a:extLst>
                        <a:ext uri="{28A0092B-C50C-407E-A947-70E740481C1C}"/>
                      </a:extLst>
                    </a:blip>
                    <a:srcRect/>
                    <a:stretch>
                      <a:fillRect/>
                    </a:stretch>
                  </pic:blipFill>
                  <pic:spPr bwMode="auto">
                    <a:xfrm>
                      <a:off x="0" y="0"/>
                      <a:ext cx="274320" cy="3600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-376555</wp:posOffset>
            </wp:positionV>
            <wp:extent cx="274320" cy="3600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274320" cy="36004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-376555</wp:posOffset>
            </wp:positionV>
            <wp:extent cx="351790" cy="3517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000000"/>
                        </a:clrFrom>
                        <a:clrTo>
                          <a:srgbClr val="000000">
                            <a:alpha val="0"/>
                          </a:srgbClr>
                        </a:clrTo>
                      </a:clrChange>
                      <a:extLst>
                        <a:ext uri="{28A0092B-C50C-407E-A947-70E740481C1C}"/>
                      </a:extLst>
                    </a:blip>
                    <a:srcRect/>
                    <a:stretch>
                      <a:fillRect/>
                    </a:stretch>
                  </pic:blipFill>
                  <pic:spPr bwMode="auto">
                    <a:xfrm>
                      <a:off x="0" y="0"/>
                      <a:ext cx="351790" cy="3517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-376555</wp:posOffset>
            </wp:positionV>
            <wp:extent cx="351790" cy="3517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351790" cy="3517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-376555</wp:posOffset>
            </wp:positionV>
            <wp:extent cx="454660" cy="3429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000000"/>
                        </a:clrFrom>
                        <a:clrTo>
                          <a:srgbClr val="000000">
                            <a:alpha val="0"/>
                          </a:srgbClr>
                        </a:clrTo>
                      </a:clrChange>
                      <a:extLst>
                        <a:ext uri="{28A0092B-C50C-407E-A947-70E740481C1C}"/>
                      </a:extLst>
                    </a:blip>
                    <a:srcRect/>
                    <a:stretch>
                      <a:fillRect/>
                    </a:stretch>
                  </pic:blipFill>
                  <pic:spPr bwMode="auto">
                    <a:xfrm>
                      <a:off x="0" y="0"/>
                      <a:ext cx="454660" cy="34290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-376555</wp:posOffset>
            </wp:positionV>
            <wp:extent cx="454660" cy="3429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454660" cy="34290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-376555</wp:posOffset>
            </wp:positionV>
            <wp:extent cx="188595" cy="3346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000000"/>
                        </a:clrFrom>
                        <a:clrTo>
                          <a:srgbClr val="000000">
                            <a:alpha val="0"/>
                          </a:srgbClr>
                        </a:clrTo>
                      </a:clrChange>
                      <a:extLst>
                        <a:ext uri="{28A0092B-C50C-407E-A947-70E740481C1C}"/>
                      </a:extLst>
                    </a:blip>
                    <a:srcRect/>
                    <a:stretch>
                      <a:fillRect/>
                    </a:stretch>
                  </pic:blipFill>
                  <pic:spPr bwMode="auto">
                    <a:xfrm>
                      <a:off x="0" y="0"/>
                      <a:ext cx="188595" cy="33464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-376555</wp:posOffset>
            </wp:positionV>
            <wp:extent cx="188595" cy="3346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188595" cy="3346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20"/>
                <w:szCs w:val="20"/>
                <w:color w:val="auto"/>
              </w:rPr>
            </w:pPr>
            <w:r>
              <w:rPr>
                <w:rFonts w:ascii="Arial" w:cs="Arial" w:eastAsia="Arial" w:hAnsi="Arial"/>
                <w:sz w:val="14"/>
                <w:szCs w:val="14"/>
                <w:b w:val="1"/>
                <w:bCs w:val="1"/>
                <w:color w:val="0E93D8"/>
              </w:rPr>
              <w:t>PEER GROUP DATA*</w:t>
            </w:r>
          </w:p>
        </w:tc>
        <w:tc>
          <w:tcPr>
            <w:tcW w:w="1440" w:type="dxa"/>
            <w:vAlign w:val="bottom"/>
            <w:shd w:val="clear" w:color="auto" w:fill="D0E4F5"/>
          </w:tcPr>
          <w:p>
            <w:pPr>
              <w:spacing w:after="0"/>
              <w:rPr>
                <w:sz w:val="14"/>
                <w:szCs w:val="14"/>
                <w:color w:val="auto"/>
              </w:rPr>
            </w:pPr>
          </w:p>
        </w:tc>
        <w:tc>
          <w:tcPr>
            <w:tcW w:w="120" w:type="dxa"/>
            <w:vAlign w:val="bottom"/>
            <w:shd w:val="clear" w:color="auto" w:fill="D0E4F5"/>
          </w:tcPr>
          <w:p>
            <w:pPr>
              <w:spacing w:after="0"/>
              <w:rPr>
                <w:sz w:val="14"/>
                <w:szCs w:val="14"/>
                <w:color w:val="auto"/>
              </w:rPr>
            </w:pPr>
          </w:p>
        </w:tc>
        <w:tc>
          <w:tcPr>
            <w:tcW w:w="2740" w:type="dxa"/>
            <w:vAlign w:val="bottom"/>
            <w:shd w:val="clear" w:color="auto" w:fill="D0E4F5"/>
          </w:tcPr>
          <w:p>
            <w:pPr>
              <w:spacing w:after="0"/>
              <w:rPr>
                <w:sz w:val="14"/>
                <w:szCs w:val="14"/>
                <w:color w:val="auto"/>
              </w:rPr>
            </w:pPr>
          </w:p>
        </w:tc>
        <w:tc>
          <w:tcPr>
            <w:tcW w:w="120" w:type="dxa"/>
            <w:vAlign w:val="bottom"/>
            <w:shd w:val="clear" w:color="auto" w:fill="D0E4F5"/>
          </w:tcPr>
          <w:p>
            <w:pPr>
              <w:spacing w:after="0"/>
              <w:rPr>
                <w:sz w:val="14"/>
                <w:szCs w:val="14"/>
                <w:color w:val="auto"/>
              </w:rPr>
            </w:pPr>
          </w:p>
        </w:tc>
        <w:tc>
          <w:tcPr>
            <w:tcW w:w="2720" w:type="dxa"/>
            <w:vAlign w:val="bottom"/>
            <w:shd w:val="clear" w:color="auto" w:fill="D0E4F5"/>
          </w:tcPr>
          <w:p>
            <w:pPr>
              <w:spacing w:after="0"/>
              <w:rPr>
                <w:sz w:val="14"/>
                <w:szCs w:val="14"/>
                <w:color w:val="auto"/>
              </w:rPr>
            </w:pPr>
          </w:p>
        </w:tc>
        <w:tc>
          <w:tcPr>
            <w:tcW w:w="120" w:type="dxa"/>
            <w:vAlign w:val="bottom"/>
            <w:shd w:val="clear" w:color="auto" w:fill="D0E4F5"/>
          </w:tcPr>
          <w:p>
            <w:pPr>
              <w:spacing w:after="0"/>
              <w:rPr>
                <w:sz w:val="14"/>
                <w:szCs w:val="14"/>
                <w:color w:val="auto"/>
              </w:rPr>
            </w:pPr>
          </w:p>
        </w:tc>
        <w:tc>
          <w:tcPr>
            <w:tcW w:w="2720" w:type="dxa"/>
            <w:vAlign w:val="bottom"/>
            <w:shd w:val="clear" w:color="auto" w:fill="D0E4F5"/>
          </w:tcPr>
          <w:p>
            <w:pPr>
              <w:spacing w:after="0"/>
              <w:rPr>
                <w:sz w:val="14"/>
                <w:szCs w:val="14"/>
                <w:color w:val="auto"/>
              </w:rPr>
            </w:pPr>
          </w:p>
        </w:tc>
      </w:tr>
      <w:tr>
        <w:trPr>
          <w:trHeight w:val="402"/>
        </w:trPr>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0E93D8"/>
              </w:rPr>
              <w:t>Market</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49"/>
        </w:trPr>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Net Sales</w:t>
            </w:r>
          </w:p>
        </w:tc>
        <w:tc>
          <w:tcPr>
            <w:tcW w:w="120" w:type="dxa"/>
            <w:vAlign w:val="bottom"/>
          </w:tcPr>
          <w:p>
            <w:pPr>
              <w:spacing w:after="0"/>
              <w:rPr>
                <w:sz w:val="12"/>
                <w:szCs w:val="12"/>
                <w:color w:val="auto"/>
              </w:rPr>
            </w:pPr>
          </w:p>
        </w:tc>
        <w:tc>
          <w:tcPr>
            <w:tcW w:w="2720" w:type="dxa"/>
            <w:vAlign w:val="bottom"/>
          </w:tcPr>
          <w:p>
            <w:pPr>
              <w:jc w:val="right"/>
              <w:spacing w:after="0" w:line="149" w:lineRule="exact"/>
              <w:rPr>
                <w:sz w:val="20"/>
                <w:szCs w:val="20"/>
                <w:color w:val="auto"/>
              </w:rPr>
            </w:pPr>
            <w:r>
              <w:rPr>
                <w:rFonts w:ascii="Arial" w:cs="Arial" w:eastAsia="Arial" w:hAnsi="Arial"/>
                <w:sz w:val="14"/>
                <w:szCs w:val="14"/>
                <w:b w:val="1"/>
                <w:bCs w:val="1"/>
                <w:color w:val="0E93D8"/>
              </w:rPr>
              <w:t>Capitalization</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85"/>
        </w:trPr>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jc w:val="right"/>
              <w:ind w:right="12"/>
              <w:spacing w:after="0"/>
              <w:rPr>
                <w:sz w:val="20"/>
                <w:szCs w:val="20"/>
                <w:color w:val="auto"/>
              </w:rPr>
            </w:pPr>
            <w:r>
              <w:rPr>
                <w:rFonts w:ascii="Arial" w:cs="Arial" w:eastAsia="Arial" w:hAnsi="Arial"/>
                <w:sz w:val="14"/>
                <w:szCs w:val="14"/>
                <w:b w:val="1"/>
                <w:bCs w:val="1"/>
                <w:color w:val="0E93D8"/>
              </w:rPr>
              <w:t>(in billions)</w:t>
            </w:r>
          </w:p>
        </w:tc>
        <w:tc>
          <w:tcPr>
            <w:tcW w:w="12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0E93D8"/>
              </w:rPr>
              <w:t>(in billions)</w:t>
            </w:r>
          </w:p>
        </w:tc>
        <w:tc>
          <w:tcPr>
            <w:tcW w:w="120" w:type="dxa"/>
            <w:vAlign w:val="bottom"/>
          </w:tcPr>
          <w:p>
            <w:pPr>
              <w:spacing w:after="0"/>
              <w:rPr>
                <w:sz w:val="16"/>
                <w:szCs w:val="16"/>
                <w:color w:val="auto"/>
              </w:rPr>
            </w:pPr>
          </w:p>
        </w:tc>
        <w:tc>
          <w:tcPr>
            <w:tcW w:w="2720" w:type="dxa"/>
            <w:vAlign w:val="bottom"/>
          </w:tcPr>
          <w:p>
            <w:pPr>
              <w:jc w:val="right"/>
              <w:ind w:right="12"/>
              <w:spacing w:after="0"/>
              <w:rPr>
                <w:sz w:val="20"/>
                <w:szCs w:val="20"/>
                <w:color w:val="auto"/>
              </w:rPr>
            </w:pPr>
            <w:r>
              <w:rPr>
                <w:rFonts w:ascii="Arial" w:cs="Arial" w:eastAsia="Arial" w:hAnsi="Arial"/>
                <w:sz w:val="14"/>
                <w:szCs w:val="14"/>
                <w:b w:val="1"/>
                <w:bCs w:val="1"/>
                <w:color w:val="0E93D8"/>
              </w:rPr>
              <w:t>Employees</w:t>
            </w:r>
          </w:p>
        </w:tc>
      </w:tr>
      <w:tr>
        <w:trPr>
          <w:trHeight w:val="61"/>
        </w:trPr>
        <w:tc>
          <w:tcPr>
            <w:tcW w:w="1440" w:type="dxa"/>
            <w:vAlign w:val="bottom"/>
            <w:shd w:val="clear" w:color="auto" w:fill="DAE9F7"/>
          </w:tcPr>
          <w:p>
            <w:pPr>
              <w:spacing w:after="0"/>
              <w:rPr>
                <w:sz w:val="5"/>
                <w:szCs w:val="5"/>
                <w:color w:val="auto"/>
              </w:rPr>
            </w:pPr>
          </w:p>
        </w:tc>
        <w:tc>
          <w:tcPr>
            <w:tcW w:w="144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2740" w:type="dxa"/>
            <w:vAlign w:val="bottom"/>
            <w:shd w:val="clear" w:color="auto" w:fill="0E93D8"/>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shd w:val="clear" w:color="auto" w:fill="0E93D8"/>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shd w:val="clear" w:color="auto" w:fill="0E93D8"/>
          </w:tcPr>
          <w:p>
            <w:pPr>
              <w:spacing w:after="0"/>
              <w:rPr>
                <w:sz w:val="5"/>
                <w:szCs w:val="5"/>
                <w:color w:val="auto"/>
              </w:rPr>
            </w:pPr>
          </w:p>
        </w:tc>
      </w:tr>
      <w:tr>
        <w:trPr>
          <w:trHeight w:val="196"/>
        </w:trPr>
        <w:tc>
          <w:tcPr>
            <w:tcW w:w="14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25th percentile</w:t>
            </w:r>
          </w:p>
        </w:tc>
        <w:tc>
          <w:tcPr>
            <w:tcW w:w="430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$34.5</w:t>
            </w:r>
          </w:p>
        </w:tc>
        <w:tc>
          <w:tcPr>
            <w:tcW w:w="28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$46.9</w:t>
            </w:r>
          </w:p>
        </w:tc>
        <w:tc>
          <w:tcPr>
            <w:tcW w:w="284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89,750</w:t>
            </w:r>
          </w:p>
        </w:tc>
      </w:tr>
      <w:tr>
        <w:trPr>
          <w:trHeight w:val="196"/>
        </w:trPr>
        <w:tc>
          <w:tcPr>
            <w:tcW w:w="14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50th percentile</w:t>
            </w:r>
          </w:p>
        </w:tc>
        <w:tc>
          <w:tcPr>
            <w:tcW w:w="430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$53.8</w:t>
            </w:r>
          </w:p>
        </w:tc>
        <w:tc>
          <w:tcPr>
            <w:tcW w:w="28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$97.8</w:t>
            </w:r>
          </w:p>
        </w:tc>
        <w:tc>
          <w:tcPr>
            <w:tcW w:w="284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104,000</w:t>
            </w:r>
          </w:p>
        </w:tc>
      </w:tr>
      <w:tr>
        <w:trPr>
          <w:trHeight w:val="196"/>
        </w:trPr>
        <w:tc>
          <w:tcPr>
            <w:tcW w:w="14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75th percentile</w:t>
            </w:r>
          </w:p>
        </w:tc>
        <w:tc>
          <w:tcPr>
            <w:tcW w:w="430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$93.6</w:t>
            </w:r>
          </w:p>
        </w:tc>
        <w:tc>
          <w:tcPr>
            <w:tcW w:w="2840" w:type="dxa"/>
            <w:vAlign w:val="bottom"/>
            <w:tcBorders>
              <w:bottom w:val="single" w:sz="8" w:color="7C7C7C"/>
            </w:tcBorders>
            <w:gridSpan w:val="2"/>
          </w:tcPr>
          <w:p>
            <w:pPr>
              <w:jc w:val="right"/>
              <w:spacing w:after="0"/>
              <w:rPr>
                <w:sz w:val="20"/>
                <w:szCs w:val="20"/>
                <w:color w:val="auto"/>
              </w:rPr>
            </w:pPr>
            <w:r>
              <w:rPr>
                <w:rFonts w:ascii="Arial" w:cs="Arial" w:eastAsia="Arial" w:hAnsi="Arial"/>
                <w:sz w:val="14"/>
                <w:szCs w:val="14"/>
                <w:color w:val="auto"/>
              </w:rPr>
              <w:t>$201.3</w:t>
            </w:r>
          </w:p>
        </w:tc>
        <w:tc>
          <w:tcPr>
            <w:tcW w:w="2840" w:type="dxa"/>
            <w:vAlign w:val="bottom"/>
            <w:tcBorders>
              <w:bottom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128,550</w:t>
            </w:r>
          </w:p>
        </w:tc>
      </w:tr>
      <w:tr>
        <w:trPr>
          <w:trHeight w:val="196"/>
        </w:trPr>
        <w:tc>
          <w:tcPr>
            <w:tcW w:w="1440" w:type="dxa"/>
            <w:vAlign w:val="bottom"/>
            <w:tcBorders>
              <w:bottom w:val="single" w:sz="8" w:color="7C7C7C"/>
            </w:tcBorders>
            <w:shd w:val="clear" w:color="auto" w:fill="F6FAFB"/>
          </w:tcPr>
          <w:p>
            <w:pPr>
              <w:ind w:left="80"/>
              <w:spacing w:after="0"/>
              <w:rPr>
                <w:sz w:val="20"/>
                <w:szCs w:val="20"/>
                <w:color w:val="auto"/>
              </w:rPr>
            </w:pPr>
            <w:r>
              <w:rPr>
                <w:rFonts w:ascii="Arial" w:cs="Arial" w:eastAsia="Arial" w:hAnsi="Arial"/>
                <w:sz w:val="14"/>
                <w:szCs w:val="14"/>
                <w:color w:val="0E93D8"/>
              </w:rPr>
              <w:t>UTC</w:t>
            </w:r>
          </w:p>
        </w:tc>
        <w:tc>
          <w:tcPr>
            <w:tcW w:w="430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0E93D8"/>
              </w:rPr>
              <w:t>$66.5</w:t>
            </w:r>
          </w:p>
        </w:tc>
        <w:tc>
          <w:tcPr>
            <w:tcW w:w="2840" w:type="dxa"/>
            <w:vAlign w:val="bottom"/>
            <w:tcBorders>
              <w:bottom w:val="single" w:sz="8" w:color="7C7C7C"/>
            </w:tcBorders>
            <w:gridSpan w:val="2"/>
            <w:shd w:val="clear" w:color="auto" w:fill="F6FAFB"/>
          </w:tcPr>
          <w:p>
            <w:pPr>
              <w:jc w:val="right"/>
              <w:spacing w:after="0"/>
              <w:rPr>
                <w:sz w:val="20"/>
                <w:szCs w:val="20"/>
                <w:color w:val="auto"/>
              </w:rPr>
            </w:pPr>
            <w:r>
              <w:rPr>
                <w:rFonts w:ascii="Arial" w:cs="Arial" w:eastAsia="Arial" w:hAnsi="Arial"/>
                <w:sz w:val="14"/>
                <w:szCs w:val="14"/>
                <w:color w:val="0E93D8"/>
              </w:rPr>
              <w:t>$91.9</w:t>
            </w:r>
          </w:p>
        </w:tc>
        <w:tc>
          <w:tcPr>
            <w:tcW w:w="284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0E93D8"/>
              </w:rPr>
              <w:t>240,200</w:t>
            </w:r>
          </w:p>
        </w:tc>
      </w:tr>
      <w:tr>
        <w:trPr>
          <w:trHeight w:val="196"/>
        </w:trPr>
        <w:tc>
          <w:tcPr>
            <w:tcW w:w="1440" w:type="dxa"/>
            <w:vAlign w:val="bottom"/>
            <w:tcBorders>
              <w:bottom w:val="single" w:sz="8" w:color="7C7C7C"/>
            </w:tcBorders>
            <w:shd w:val="clear" w:color="auto" w:fill="F6FAFB"/>
          </w:tcPr>
          <w:p>
            <w:pPr>
              <w:ind w:left="80"/>
              <w:spacing w:after="0"/>
              <w:rPr>
                <w:sz w:val="20"/>
                <w:szCs w:val="20"/>
                <w:color w:val="auto"/>
              </w:rPr>
            </w:pPr>
            <w:r>
              <w:rPr>
                <w:rFonts w:ascii="Arial" w:cs="Arial" w:eastAsia="Arial" w:hAnsi="Arial"/>
                <w:sz w:val="14"/>
                <w:szCs w:val="14"/>
                <w:color w:val="0E93D8"/>
              </w:rPr>
              <w:t>UTC Rank</w:t>
            </w:r>
          </w:p>
        </w:tc>
        <w:tc>
          <w:tcPr>
            <w:tcW w:w="1440" w:type="dxa"/>
            <w:vAlign w:val="bottom"/>
            <w:tcBorders>
              <w:bottom w:val="single" w:sz="8" w:color="7C7C7C"/>
            </w:tcBorders>
            <w:shd w:val="clear" w:color="auto" w:fill="F6FAFB"/>
          </w:tcPr>
          <w:p>
            <w:pPr>
              <w:spacing w:after="0"/>
              <w:rPr>
                <w:sz w:val="17"/>
                <w:szCs w:val="17"/>
                <w:color w:val="auto"/>
              </w:rPr>
            </w:pPr>
          </w:p>
        </w:tc>
        <w:tc>
          <w:tcPr>
            <w:tcW w:w="120" w:type="dxa"/>
            <w:vAlign w:val="bottom"/>
            <w:tcBorders>
              <w:bottom w:val="single" w:sz="8" w:color="7C7C7C"/>
            </w:tcBorders>
            <w:shd w:val="clear" w:color="auto" w:fill="F6FAFB"/>
          </w:tcPr>
          <w:p>
            <w:pPr>
              <w:spacing w:after="0"/>
              <w:rPr>
                <w:sz w:val="17"/>
                <w:szCs w:val="17"/>
                <w:color w:val="auto"/>
              </w:rPr>
            </w:pPr>
          </w:p>
        </w:tc>
        <w:tc>
          <w:tcPr>
            <w:tcW w:w="274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0E93D8"/>
              </w:rPr>
              <w:t>59th</w:t>
            </w:r>
          </w:p>
        </w:tc>
        <w:tc>
          <w:tcPr>
            <w:tcW w:w="120" w:type="dxa"/>
            <w:vAlign w:val="bottom"/>
            <w:tcBorders>
              <w:bottom w:val="single" w:sz="8" w:color="7C7C7C"/>
            </w:tcBorders>
            <w:shd w:val="clear" w:color="auto" w:fill="F6FAFB"/>
          </w:tcPr>
          <w:p>
            <w:pPr>
              <w:spacing w:after="0"/>
              <w:rPr>
                <w:sz w:val="17"/>
                <w:szCs w:val="17"/>
                <w:color w:val="auto"/>
              </w:rPr>
            </w:pPr>
          </w:p>
        </w:tc>
        <w:tc>
          <w:tcPr>
            <w:tcW w:w="272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0E93D8"/>
              </w:rPr>
              <w:t>49th</w:t>
            </w:r>
          </w:p>
        </w:tc>
        <w:tc>
          <w:tcPr>
            <w:tcW w:w="120" w:type="dxa"/>
            <w:vAlign w:val="bottom"/>
            <w:tcBorders>
              <w:bottom w:val="single" w:sz="8" w:color="7C7C7C"/>
            </w:tcBorders>
            <w:shd w:val="clear" w:color="auto" w:fill="F6FAFB"/>
          </w:tcPr>
          <w:p>
            <w:pPr>
              <w:spacing w:after="0"/>
              <w:rPr>
                <w:sz w:val="17"/>
                <w:szCs w:val="17"/>
                <w:color w:val="auto"/>
              </w:rPr>
            </w:pPr>
          </w:p>
        </w:tc>
        <w:tc>
          <w:tcPr>
            <w:tcW w:w="272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0E93D8"/>
              </w:rPr>
              <w:t>98th</w:t>
            </w:r>
          </w:p>
        </w:tc>
      </w:tr>
    </w:tbl>
    <w:p>
      <w:pPr>
        <w:spacing w:after="0" w:line="242" w:lineRule="exact"/>
        <w:rPr>
          <w:sz w:val="20"/>
          <w:szCs w:val="20"/>
          <w:color w:val="auto"/>
        </w:rPr>
      </w:pPr>
    </w:p>
    <w:p>
      <w:pPr>
        <w:ind w:left="120" w:right="220" w:hanging="112"/>
        <w:spacing w:after="0" w:line="228" w:lineRule="auto"/>
        <w:tabs>
          <w:tab w:leader="none" w:pos="1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Peer company data is provided by S&amp;P Capital IQ. Net sales and employee data reflect the most recent publicly available information (as of February 21, 2019). Net sales are based on continuing operations, as reported, in accordance with U.S. GAAP financial reporting standards. Market capitalization for peer companies is calculated based on shares outstanding as of December 31,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Timeline for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Committee followed the below process to make 2018 annual pay decisions for each of the principal components of compensation included in total direct compensation as detailed on pages 2 and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8890" cy="180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130810</wp:posOffset>
            </wp:positionV>
            <wp:extent cx="8890" cy="1803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130810</wp:posOffset>
            </wp:positionV>
            <wp:extent cx="8890" cy="1803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130810</wp:posOffset>
            </wp:positionV>
            <wp:extent cx="8890" cy="1803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130810</wp:posOffset>
            </wp:positionV>
            <wp:extent cx="8890" cy="1803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980" w:type="dxa"/>
            <w:vAlign w:val="bottom"/>
            <w:tcBorders>
              <w:left w:val="single" w:sz="8" w:color="F6FAFB"/>
              <w:bottom w:val="single" w:sz="8" w:color="F6FAFB"/>
              <w:right w:val="single" w:sz="8" w:color="F6FAFB"/>
            </w:tcBorders>
            <w:shd w:val="clear" w:color="auto" w:fill="F6FAFB"/>
          </w:tcPr>
          <w:p>
            <w:pPr>
              <w:ind w:left="80"/>
              <w:spacing w:after="0"/>
              <w:rPr>
                <w:sz w:val="20"/>
                <w:szCs w:val="20"/>
                <w:color w:val="auto"/>
              </w:rPr>
            </w:pPr>
            <w:r>
              <w:rPr>
                <w:rFonts w:ascii="Arial" w:cs="Arial" w:eastAsia="Arial" w:hAnsi="Arial"/>
                <w:sz w:val="14"/>
                <w:szCs w:val="14"/>
                <w:b w:val="1"/>
                <w:bCs w:val="1"/>
                <w:color w:val="0E93D8"/>
              </w:rPr>
              <w:t>February 2018</w:t>
            </w:r>
          </w:p>
        </w:tc>
        <w:tc>
          <w:tcPr>
            <w:tcW w:w="1940" w:type="dxa"/>
            <w:vAlign w:val="bottom"/>
            <w:tcBorders>
              <w:bottom w:val="single" w:sz="8" w:color="F6FAFB"/>
              <w:right w:val="single" w:sz="8" w:color="F6FAFB"/>
            </w:tcBorders>
            <w:shd w:val="clear" w:color="auto" w:fill="F6FAFB"/>
          </w:tcPr>
          <w:p>
            <w:pPr>
              <w:ind w:left="60"/>
              <w:spacing w:after="0"/>
              <w:rPr>
                <w:sz w:val="20"/>
                <w:szCs w:val="20"/>
                <w:color w:val="auto"/>
              </w:rPr>
            </w:pPr>
            <w:r>
              <w:rPr>
                <w:rFonts w:ascii="Arial" w:cs="Arial" w:eastAsia="Arial" w:hAnsi="Arial"/>
                <w:sz w:val="14"/>
                <w:szCs w:val="14"/>
                <w:b w:val="1"/>
                <w:bCs w:val="1"/>
                <w:color w:val="0E93D8"/>
              </w:rPr>
              <w:t>April 2018</w:t>
            </w:r>
          </w:p>
        </w:tc>
        <w:tc>
          <w:tcPr>
            <w:tcW w:w="1940" w:type="dxa"/>
            <w:vAlign w:val="bottom"/>
            <w:tcBorders>
              <w:bottom w:val="single" w:sz="8" w:color="F6FAFB"/>
              <w:right w:val="single" w:sz="8" w:color="F6FAFB"/>
            </w:tcBorders>
            <w:shd w:val="clear" w:color="auto" w:fill="F6FAFB"/>
          </w:tcPr>
          <w:p>
            <w:pPr>
              <w:ind w:left="60"/>
              <w:spacing w:after="0"/>
              <w:rPr>
                <w:sz w:val="20"/>
                <w:szCs w:val="20"/>
                <w:color w:val="auto"/>
              </w:rPr>
            </w:pPr>
            <w:r>
              <w:rPr>
                <w:rFonts w:ascii="Arial" w:cs="Arial" w:eastAsia="Arial" w:hAnsi="Arial"/>
                <w:sz w:val="14"/>
                <w:szCs w:val="14"/>
                <w:b w:val="1"/>
                <w:bCs w:val="1"/>
                <w:color w:val="0E93D8"/>
              </w:rPr>
              <w:t>December 2018</w:t>
            </w:r>
          </w:p>
        </w:tc>
        <w:tc>
          <w:tcPr>
            <w:tcW w:w="1940" w:type="dxa"/>
            <w:vAlign w:val="bottom"/>
            <w:tcBorders>
              <w:bottom w:val="single" w:sz="8" w:color="F6FAFB"/>
              <w:right w:val="single" w:sz="8" w:color="F6FAFB"/>
            </w:tcBorders>
            <w:shd w:val="clear" w:color="auto" w:fill="F6FAFB"/>
          </w:tcPr>
          <w:p>
            <w:pPr>
              <w:ind w:left="80"/>
              <w:spacing w:after="0"/>
              <w:rPr>
                <w:sz w:val="20"/>
                <w:szCs w:val="20"/>
                <w:color w:val="auto"/>
              </w:rPr>
            </w:pPr>
            <w:r>
              <w:rPr>
                <w:rFonts w:ascii="Arial" w:cs="Arial" w:eastAsia="Arial" w:hAnsi="Arial"/>
                <w:sz w:val="14"/>
                <w:szCs w:val="14"/>
                <w:b w:val="1"/>
                <w:bCs w:val="1"/>
                <w:color w:val="0E93D8"/>
              </w:rPr>
              <w:t>February 1, 2019</w:t>
            </w:r>
          </w:p>
        </w:tc>
        <w:tc>
          <w:tcPr>
            <w:tcW w:w="1920" w:type="dxa"/>
            <w:vAlign w:val="bottom"/>
            <w:tcBorders>
              <w:bottom w:val="single" w:sz="8" w:color="F6FAFB"/>
              <w:right w:val="single" w:sz="8" w:color="F6FAFB"/>
            </w:tcBorders>
            <w:shd w:val="clear" w:color="auto" w:fill="F6FAFB"/>
          </w:tcPr>
          <w:p>
            <w:pPr>
              <w:ind w:left="60"/>
              <w:spacing w:after="0"/>
              <w:rPr>
                <w:sz w:val="20"/>
                <w:szCs w:val="20"/>
                <w:color w:val="auto"/>
              </w:rPr>
            </w:pPr>
            <w:r>
              <w:rPr>
                <w:rFonts w:ascii="Arial" w:cs="Arial" w:eastAsia="Arial" w:hAnsi="Arial"/>
                <w:sz w:val="14"/>
                <w:szCs w:val="14"/>
                <w:b w:val="1"/>
                <w:bCs w:val="1"/>
                <w:color w:val="0E93D8"/>
              </w:rPr>
              <w:t>February 5, 2019</w:t>
            </w:r>
          </w:p>
        </w:tc>
        <w:tc>
          <w:tcPr>
            <w:tcW w:w="1700" w:type="dxa"/>
            <w:vAlign w:val="bottom"/>
            <w:tcBorders>
              <w:bottom w:val="single" w:sz="8" w:color="F6FAFB"/>
            </w:tcBorders>
            <w:shd w:val="clear" w:color="auto" w:fill="F6FAFB"/>
          </w:tcPr>
          <w:p>
            <w:pPr>
              <w:ind w:left="80"/>
              <w:spacing w:after="0"/>
              <w:rPr>
                <w:sz w:val="20"/>
                <w:szCs w:val="20"/>
                <w:color w:val="auto"/>
              </w:rPr>
            </w:pPr>
            <w:r>
              <w:rPr>
                <w:rFonts w:ascii="Arial" w:cs="Arial" w:eastAsia="Arial" w:hAnsi="Arial"/>
                <w:sz w:val="14"/>
                <w:szCs w:val="14"/>
                <w:b w:val="1"/>
                <w:bCs w:val="1"/>
                <w:color w:val="0E93D8"/>
              </w:rPr>
              <w:t>1st Quarter of 2019</w:t>
            </w:r>
          </w:p>
        </w:tc>
        <w:tc>
          <w:tcPr>
            <w:tcW w:w="0" w:type="dxa"/>
            <w:vAlign w:val="bottom"/>
          </w:tcPr>
          <w:p>
            <w:pPr>
              <w:spacing w:after="0"/>
              <w:rPr>
                <w:sz w:val="1"/>
                <w:szCs w:val="1"/>
                <w:color w:val="auto"/>
              </w:rPr>
            </w:pPr>
          </w:p>
        </w:tc>
      </w:tr>
      <w:tr>
        <w:trPr>
          <w:trHeight w:val="215"/>
        </w:trPr>
        <w:tc>
          <w:tcPr>
            <w:tcW w:w="1980" w:type="dxa"/>
            <w:vAlign w:val="bottom"/>
            <w:tcBorders>
              <w:left w:val="single" w:sz="8" w:color="FDB03F"/>
              <w:right w:val="single" w:sz="8" w:color="FDB03F"/>
            </w:tcBorders>
          </w:tcPr>
          <w:p>
            <w:pPr>
              <w:ind w:left="100"/>
              <w:spacing w:after="0"/>
              <w:rPr>
                <w:sz w:val="20"/>
                <w:szCs w:val="20"/>
                <w:color w:val="auto"/>
              </w:rPr>
            </w:pPr>
            <w:r>
              <w:rPr>
                <w:rFonts w:ascii="Arial" w:cs="Arial" w:eastAsia="Arial" w:hAnsi="Arial"/>
                <w:sz w:val="14"/>
                <w:szCs w:val="14"/>
                <w:color w:val="auto"/>
              </w:rPr>
              <w:t>2018 base salary</w:t>
            </w:r>
          </w:p>
        </w:tc>
        <w:tc>
          <w:tcPr>
            <w:tcW w:w="1940" w:type="dxa"/>
            <w:vAlign w:val="bottom"/>
            <w:tcBorders>
              <w:right w:val="single" w:sz="8" w:color="FDB03F"/>
            </w:tcBorders>
          </w:tcPr>
          <w:p>
            <w:pPr>
              <w:ind w:left="60"/>
              <w:spacing w:after="0"/>
              <w:rPr>
                <w:sz w:val="20"/>
                <w:szCs w:val="20"/>
                <w:color w:val="auto"/>
              </w:rPr>
            </w:pPr>
            <w:r>
              <w:rPr>
                <w:rFonts w:ascii="Arial" w:cs="Arial" w:eastAsia="Arial" w:hAnsi="Arial"/>
                <w:sz w:val="14"/>
                <w:szCs w:val="14"/>
                <w:color w:val="auto"/>
              </w:rPr>
              <w:t>2018 base salary</w:t>
            </w:r>
          </w:p>
        </w:tc>
        <w:tc>
          <w:tcPr>
            <w:tcW w:w="1940" w:type="dxa"/>
            <w:vAlign w:val="bottom"/>
            <w:tcBorders>
              <w:right w:val="single" w:sz="8" w:color="FDB03F"/>
            </w:tcBorders>
          </w:tcPr>
          <w:p>
            <w:pPr>
              <w:ind w:left="60"/>
              <w:spacing w:after="0"/>
              <w:rPr>
                <w:sz w:val="20"/>
                <w:szCs w:val="20"/>
                <w:color w:val="auto"/>
              </w:rPr>
            </w:pPr>
            <w:r>
              <w:rPr>
                <w:rFonts w:ascii="Arial" w:cs="Arial" w:eastAsia="Arial" w:hAnsi="Arial"/>
                <w:sz w:val="14"/>
                <w:szCs w:val="14"/>
                <w:color w:val="auto"/>
              </w:rPr>
              <w:t>Review of preliminary 2018</w:t>
            </w: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Review of final 2018</w:t>
            </w:r>
          </w:p>
        </w:tc>
        <w:tc>
          <w:tcPr>
            <w:tcW w:w="1920" w:type="dxa"/>
            <w:vAlign w:val="bottom"/>
            <w:tcBorders>
              <w:right w:val="single" w:sz="8" w:color="FDB03F"/>
            </w:tcBorders>
          </w:tcPr>
          <w:p>
            <w:pPr>
              <w:ind w:left="60"/>
              <w:spacing w:after="0"/>
              <w:rPr>
                <w:sz w:val="20"/>
                <w:szCs w:val="20"/>
                <w:color w:val="auto"/>
              </w:rPr>
            </w:pPr>
            <w:r>
              <w:rPr>
                <w:rFonts w:ascii="Arial" w:cs="Arial" w:eastAsia="Arial" w:hAnsi="Arial"/>
                <w:sz w:val="14"/>
                <w:szCs w:val="14"/>
                <w:color w:val="auto"/>
              </w:rPr>
              <w:t>2019 LTI awards granted.</w:t>
            </w:r>
          </w:p>
        </w:tc>
        <w:tc>
          <w:tcPr>
            <w:tcW w:w="1700" w:type="dxa"/>
            <w:vAlign w:val="bottom"/>
          </w:tcPr>
          <w:p>
            <w:pPr>
              <w:ind w:left="80"/>
              <w:spacing w:after="0"/>
              <w:rPr>
                <w:sz w:val="20"/>
                <w:szCs w:val="20"/>
                <w:color w:val="auto"/>
              </w:rPr>
            </w:pPr>
            <w:r>
              <w:rPr>
                <w:rFonts w:ascii="Arial" w:cs="Arial" w:eastAsia="Arial" w:hAnsi="Arial"/>
                <w:sz w:val="14"/>
                <w:szCs w:val="14"/>
                <w:color w:val="auto"/>
              </w:rPr>
              <w:t>2018 annual bonuses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FDB03F"/>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adjustments were approved.</w:t>
            </w:r>
          </w:p>
        </w:tc>
        <w:tc>
          <w:tcPr>
            <w:tcW w:w="1940" w:type="dxa"/>
            <w:vAlign w:val="bottom"/>
            <w:tcBorders>
              <w:right w:val="single" w:sz="8" w:color="FDB03F"/>
            </w:tcBorders>
          </w:tcPr>
          <w:p>
            <w:pPr>
              <w:ind w:left="60"/>
              <w:spacing w:after="0" w:line="149" w:lineRule="exact"/>
              <w:rPr>
                <w:sz w:val="20"/>
                <w:szCs w:val="20"/>
                <w:color w:val="auto"/>
              </w:rPr>
            </w:pPr>
            <w:r>
              <w:rPr>
                <w:rFonts w:ascii="Arial" w:cs="Arial" w:eastAsia="Arial" w:hAnsi="Arial"/>
                <w:sz w:val="14"/>
                <w:szCs w:val="14"/>
                <w:color w:val="auto"/>
              </w:rPr>
              <w:t>adjustments took effect.</w:t>
            </w:r>
          </w:p>
        </w:tc>
        <w:tc>
          <w:tcPr>
            <w:tcW w:w="1940" w:type="dxa"/>
            <w:vAlign w:val="bottom"/>
            <w:tcBorders>
              <w:right w:val="single" w:sz="8" w:color="FDB03F"/>
            </w:tcBorders>
          </w:tcPr>
          <w:p>
            <w:pPr>
              <w:ind w:left="60"/>
              <w:spacing w:after="0" w:line="149" w:lineRule="exact"/>
              <w:rPr>
                <w:sz w:val="20"/>
                <w:szCs w:val="20"/>
                <w:color w:val="auto"/>
              </w:rPr>
            </w:pPr>
            <w:r>
              <w:rPr>
                <w:rFonts w:ascii="Arial" w:cs="Arial" w:eastAsia="Arial" w:hAnsi="Arial"/>
                <w:sz w:val="14"/>
                <w:szCs w:val="14"/>
                <w:color w:val="auto"/>
              </w:rPr>
              <w:t>Company/ business</w:t>
            </w:r>
          </w:p>
        </w:tc>
        <w:tc>
          <w:tcPr>
            <w:tcW w:w="1940" w:type="dxa"/>
            <w:vAlign w:val="bottom"/>
            <w:tcBorders>
              <w:right w:val="single" w:sz="8" w:color="FDB03F"/>
            </w:tcBorders>
          </w:tcPr>
          <w:p>
            <w:pPr>
              <w:ind w:left="80"/>
              <w:spacing w:after="0" w:line="149" w:lineRule="exact"/>
              <w:rPr>
                <w:sz w:val="20"/>
                <w:szCs w:val="20"/>
                <w:color w:val="auto"/>
              </w:rPr>
            </w:pPr>
            <w:r>
              <w:rPr>
                <w:rFonts w:ascii="Arial" w:cs="Arial" w:eastAsia="Arial" w:hAnsi="Arial"/>
                <w:sz w:val="14"/>
                <w:szCs w:val="14"/>
                <w:color w:val="auto"/>
              </w:rPr>
              <w:t>Company/business unit/</w:t>
            </w:r>
          </w:p>
        </w:tc>
        <w:tc>
          <w:tcPr>
            <w:tcW w:w="1920" w:type="dxa"/>
            <w:vAlign w:val="bottom"/>
            <w:tcBorders>
              <w:right w:val="single" w:sz="8" w:color="FDB03F"/>
            </w:tcBorders>
          </w:tcPr>
          <w:p>
            <w:pPr>
              <w:spacing w:after="0"/>
              <w:rPr>
                <w:sz w:val="12"/>
                <w:szCs w:val="12"/>
                <w:color w:val="auto"/>
              </w:rPr>
            </w:pP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paid.</w:t>
            </w:r>
          </w:p>
        </w:tc>
        <w:tc>
          <w:tcPr>
            <w:tcW w:w="0" w:type="dxa"/>
            <w:vAlign w:val="bottom"/>
          </w:tcPr>
          <w:p>
            <w:pPr>
              <w:spacing w:after="0"/>
              <w:rPr>
                <w:sz w:val="1"/>
                <w:szCs w:val="1"/>
                <w:color w:val="auto"/>
              </w:rPr>
            </w:pPr>
          </w:p>
        </w:tc>
      </w:tr>
      <w:tr>
        <w:trPr>
          <w:trHeight w:val="162"/>
        </w:trPr>
        <w:tc>
          <w:tcPr>
            <w:tcW w:w="1980" w:type="dxa"/>
            <w:vAlign w:val="bottom"/>
            <w:tcBorders>
              <w:left w:val="single" w:sz="8" w:color="FDB03F"/>
              <w:right w:val="single" w:sz="8" w:color="FDB03F"/>
            </w:tcBorders>
            <w:vMerge w:val="restart"/>
          </w:tcPr>
          <w:p>
            <w:pPr>
              <w:ind w:left="100"/>
              <w:spacing w:after="0"/>
              <w:rPr>
                <w:sz w:val="20"/>
                <w:szCs w:val="20"/>
                <w:color w:val="auto"/>
              </w:rPr>
            </w:pPr>
            <w:r>
              <w:rPr>
                <w:rFonts w:ascii="Arial" w:cs="Arial" w:eastAsia="Arial" w:hAnsi="Arial"/>
                <w:sz w:val="14"/>
                <w:szCs w:val="14"/>
                <w:color w:val="auto"/>
              </w:rPr>
              <w:t>Performance goals for the</w:t>
            </w: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ind w:left="60"/>
              <w:spacing w:after="0"/>
              <w:rPr>
                <w:sz w:val="20"/>
                <w:szCs w:val="20"/>
                <w:color w:val="auto"/>
              </w:rPr>
            </w:pPr>
            <w:r>
              <w:rPr>
                <w:rFonts w:ascii="Arial" w:cs="Arial" w:eastAsia="Arial" w:hAnsi="Arial"/>
                <w:sz w:val="14"/>
                <w:szCs w:val="14"/>
                <w:color w:val="auto"/>
              </w:rPr>
              <w:t>unit/individual performance.</w:t>
            </w: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individual performance.</w:t>
            </w:r>
          </w:p>
        </w:tc>
        <w:tc>
          <w:tcPr>
            <w:tcW w:w="1920" w:type="dxa"/>
            <w:vAlign w:val="bottom"/>
            <w:tcBorders>
              <w:right w:val="single" w:sz="8" w:color="FDB03F"/>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FDB03F"/>
              <w:right w:val="single" w:sz="8" w:color="FDB03F"/>
            </w:tcBorders>
            <w:vMerge w:val="continue"/>
          </w:tcPr>
          <w:p>
            <w:pPr>
              <w:spacing w:after="0"/>
              <w:rPr>
                <w:sz w:val="9"/>
                <w:szCs w:val="9"/>
                <w:color w:val="auto"/>
              </w:rPr>
            </w:pPr>
          </w:p>
        </w:tc>
        <w:tc>
          <w:tcPr>
            <w:tcW w:w="1940" w:type="dxa"/>
            <w:vAlign w:val="bottom"/>
            <w:tcBorders>
              <w:right w:val="single" w:sz="8" w:color="FDB03F"/>
            </w:tcBorders>
          </w:tcPr>
          <w:p>
            <w:pPr>
              <w:spacing w:after="0"/>
              <w:rPr>
                <w:sz w:val="9"/>
                <w:szCs w:val="9"/>
                <w:color w:val="auto"/>
              </w:rPr>
            </w:pPr>
          </w:p>
        </w:tc>
        <w:tc>
          <w:tcPr>
            <w:tcW w:w="1940" w:type="dxa"/>
            <w:vAlign w:val="bottom"/>
            <w:tcBorders>
              <w:right w:val="single" w:sz="8" w:color="FDB03F"/>
            </w:tcBorders>
          </w:tcPr>
          <w:p>
            <w:pPr>
              <w:spacing w:after="0"/>
              <w:rPr>
                <w:sz w:val="9"/>
                <w:szCs w:val="9"/>
                <w:color w:val="auto"/>
              </w:rPr>
            </w:pPr>
          </w:p>
        </w:tc>
        <w:tc>
          <w:tcPr>
            <w:tcW w:w="1940" w:type="dxa"/>
            <w:vAlign w:val="bottom"/>
            <w:tcBorders>
              <w:right w:val="single" w:sz="8" w:color="FDB03F"/>
            </w:tcBorders>
          </w:tcPr>
          <w:p>
            <w:pPr>
              <w:spacing w:after="0"/>
              <w:rPr>
                <w:sz w:val="9"/>
                <w:szCs w:val="9"/>
                <w:color w:val="auto"/>
              </w:rPr>
            </w:pPr>
          </w:p>
        </w:tc>
        <w:tc>
          <w:tcPr>
            <w:tcW w:w="1920" w:type="dxa"/>
            <w:vAlign w:val="bottom"/>
            <w:tcBorders>
              <w:right w:val="single" w:sz="8" w:color="FDB03F"/>
            </w:tcBorders>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FDB03F"/>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2018 annual bonuses were</w:t>
            </w: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ind w:left="80"/>
              <w:spacing w:after="0" w:line="149" w:lineRule="exact"/>
              <w:rPr>
                <w:sz w:val="20"/>
                <w:szCs w:val="20"/>
                <w:color w:val="auto"/>
              </w:rPr>
            </w:pPr>
            <w:r>
              <w:rPr>
                <w:rFonts w:ascii="Arial" w:cs="Arial" w:eastAsia="Arial" w:hAnsi="Arial"/>
                <w:sz w:val="14"/>
                <w:szCs w:val="14"/>
                <w:color w:val="auto"/>
              </w:rPr>
              <w:t>Financial performance</w:t>
            </w:r>
          </w:p>
        </w:tc>
        <w:tc>
          <w:tcPr>
            <w:tcW w:w="1920" w:type="dxa"/>
            <w:vAlign w:val="bottom"/>
            <w:tcBorders>
              <w:right w:val="single" w:sz="8" w:color="FDB03F"/>
            </w:tcBorders>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FDB03F"/>
              <w:right w:val="single" w:sz="8" w:color="FDB03F"/>
            </w:tcBorders>
          </w:tcPr>
          <w:p>
            <w:pPr>
              <w:ind w:left="100"/>
              <w:spacing w:after="0" w:line="149" w:lineRule="exact"/>
              <w:rPr>
                <w:sz w:val="20"/>
                <w:szCs w:val="20"/>
                <w:color w:val="auto"/>
              </w:rPr>
            </w:pPr>
            <w:r>
              <w:rPr>
                <w:rFonts w:ascii="Arial" w:cs="Arial" w:eastAsia="Arial" w:hAnsi="Arial"/>
                <w:sz w:val="14"/>
                <w:szCs w:val="14"/>
                <w:color w:val="auto"/>
              </w:rPr>
              <w:t>approved.</w:t>
            </w: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ind w:left="80"/>
              <w:spacing w:after="0" w:line="149" w:lineRule="exact"/>
              <w:rPr>
                <w:sz w:val="20"/>
                <w:szCs w:val="20"/>
                <w:color w:val="auto"/>
              </w:rPr>
            </w:pPr>
            <w:r>
              <w:rPr>
                <w:rFonts w:ascii="Arial" w:cs="Arial" w:eastAsia="Arial" w:hAnsi="Arial"/>
                <w:sz w:val="14"/>
                <w:szCs w:val="14"/>
                <w:color w:val="auto"/>
              </w:rPr>
              <w:t>factors and individual payout</w:t>
            </w:r>
          </w:p>
        </w:tc>
        <w:tc>
          <w:tcPr>
            <w:tcW w:w="1920" w:type="dxa"/>
            <w:vAlign w:val="bottom"/>
            <w:tcBorders>
              <w:right w:val="single" w:sz="8" w:color="FDB03F"/>
            </w:tcBorders>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FDB03F"/>
              <w:right w:val="single" w:sz="8" w:color="FDB03F"/>
            </w:tcBorders>
          </w:tcPr>
          <w:p>
            <w:pPr>
              <w:spacing w:after="0"/>
              <w:rPr>
                <w:sz w:val="12"/>
                <w:szCs w:val="12"/>
                <w:color w:val="auto"/>
              </w:rPr>
            </w:pP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ind w:left="80"/>
              <w:spacing w:after="0" w:line="149" w:lineRule="exact"/>
              <w:rPr>
                <w:sz w:val="20"/>
                <w:szCs w:val="20"/>
                <w:color w:val="auto"/>
              </w:rPr>
            </w:pPr>
            <w:r>
              <w:rPr>
                <w:rFonts w:ascii="Arial" w:cs="Arial" w:eastAsia="Arial" w:hAnsi="Arial"/>
                <w:sz w:val="14"/>
                <w:szCs w:val="14"/>
                <w:color w:val="auto"/>
              </w:rPr>
              <w:t>levels for 2018 annual</w:t>
            </w:r>
          </w:p>
        </w:tc>
        <w:tc>
          <w:tcPr>
            <w:tcW w:w="1920" w:type="dxa"/>
            <w:vAlign w:val="bottom"/>
            <w:tcBorders>
              <w:right w:val="single" w:sz="8" w:color="FDB03F"/>
            </w:tcBorders>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tcBorders>
              <w:left w:val="single" w:sz="8" w:color="FDB03F"/>
              <w:right w:val="single" w:sz="8" w:color="FDB03F"/>
            </w:tcBorders>
          </w:tcPr>
          <w:p>
            <w:pPr>
              <w:spacing w:after="0"/>
              <w:rPr>
                <w:sz w:val="14"/>
                <w:szCs w:val="14"/>
                <w:color w:val="auto"/>
              </w:rPr>
            </w:pP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bonuses were approved.</w:t>
            </w:r>
          </w:p>
        </w:tc>
        <w:tc>
          <w:tcPr>
            <w:tcW w:w="1920" w:type="dxa"/>
            <w:vAlign w:val="bottom"/>
            <w:tcBorders>
              <w:right w:val="single" w:sz="8" w:color="FDB03F"/>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80" w:type="dxa"/>
            <w:vAlign w:val="bottom"/>
            <w:tcBorders>
              <w:left w:val="single" w:sz="8" w:color="FDB03F"/>
              <w:right w:val="single" w:sz="8" w:color="FDB03F"/>
            </w:tcBorders>
          </w:tcPr>
          <w:p>
            <w:pPr>
              <w:spacing w:after="0"/>
              <w:rPr>
                <w:sz w:val="23"/>
                <w:szCs w:val="23"/>
                <w:color w:val="auto"/>
              </w:rPr>
            </w:pPr>
          </w:p>
        </w:tc>
        <w:tc>
          <w:tcPr>
            <w:tcW w:w="1940" w:type="dxa"/>
            <w:vAlign w:val="bottom"/>
            <w:tcBorders>
              <w:right w:val="single" w:sz="8" w:color="FDB03F"/>
            </w:tcBorders>
          </w:tcPr>
          <w:p>
            <w:pPr>
              <w:spacing w:after="0"/>
              <w:rPr>
                <w:sz w:val="23"/>
                <w:szCs w:val="23"/>
                <w:color w:val="auto"/>
              </w:rPr>
            </w:pPr>
          </w:p>
        </w:tc>
        <w:tc>
          <w:tcPr>
            <w:tcW w:w="1940" w:type="dxa"/>
            <w:vAlign w:val="bottom"/>
            <w:tcBorders>
              <w:right w:val="single" w:sz="8" w:color="FDB03F"/>
            </w:tcBorders>
          </w:tcPr>
          <w:p>
            <w:pPr>
              <w:spacing w:after="0"/>
              <w:rPr>
                <w:sz w:val="23"/>
                <w:szCs w:val="23"/>
                <w:color w:val="auto"/>
              </w:rPr>
            </w:pP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Performance goals for the</w:t>
            </w:r>
          </w:p>
        </w:tc>
        <w:tc>
          <w:tcPr>
            <w:tcW w:w="1920" w:type="dxa"/>
            <w:vAlign w:val="bottom"/>
            <w:tcBorders>
              <w:right w:val="single" w:sz="8" w:color="FDB03F"/>
            </w:tcBorders>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FDB03F"/>
              <w:right w:val="single" w:sz="8" w:color="FDB03F"/>
            </w:tcBorders>
          </w:tcPr>
          <w:p>
            <w:pPr>
              <w:spacing w:after="0"/>
              <w:rPr>
                <w:sz w:val="12"/>
                <w:szCs w:val="12"/>
                <w:color w:val="auto"/>
              </w:rPr>
            </w:pP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spacing w:after="0"/>
              <w:rPr>
                <w:sz w:val="12"/>
                <w:szCs w:val="12"/>
                <w:color w:val="auto"/>
              </w:rPr>
            </w:pPr>
          </w:p>
        </w:tc>
        <w:tc>
          <w:tcPr>
            <w:tcW w:w="1940" w:type="dxa"/>
            <w:vAlign w:val="bottom"/>
            <w:tcBorders>
              <w:right w:val="single" w:sz="8" w:color="FDB03F"/>
            </w:tcBorders>
          </w:tcPr>
          <w:p>
            <w:pPr>
              <w:ind w:left="80"/>
              <w:spacing w:after="0" w:line="149" w:lineRule="exact"/>
              <w:rPr>
                <w:sz w:val="20"/>
                <w:szCs w:val="20"/>
                <w:color w:val="auto"/>
              </w:rPr>
            </w:pPr>
            <w:r>
              <w:rPr>
                <w:rFonts w:ascii="Arial" w:cs="Arial" w:eastAsia="Arial" w:hAnsi="Arial"/>
                <w:sz w:val="14"/>
                <w:szCs w:val="14"/>
                <w:color w:val="auto"/>
                <w:w w:val="99"/>
              </w:rPr>
              <w:t>2019-2021 PSU awards were</w:t>
            </w:r>
          </w:p>
        </w:tc>
        <w:tc>
          <w:tcPr>
            <w:tcW w:w="1920" w:type="dxa"/>
            <w:vAlign w:val="bottom"/>
            <w:tcBorders>
              <w:right w:val="single" w:sz="8" w:color="FDB03F"/>
            </w:tcBorders>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tcBorders>
              <w:left w:val="single" w:sz="8" w:color="FDB03F"/>
              <w:right w:val="single" w:sz="8" w:color="FDB03F"/>
            </w:tcBorders>
          </w:tcPr>
          <w:p>
            <w:pPr>
              <w:spacing w:after="0"/>
              <w:rPr>
                <w:sz w:val="14"/>
                <w:szCs w:val="14"/>
                <w:color w:val="auto"/>
              </w:rPr>
            </w:pP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approved.</w:t>
            </w:r>
          </w:p>
        </w:tc>
        <w:tc>
          <w:tcPr>
            <w:tcW w:w="1920" w:type="dxa"/>
            <w:vAlign w:val="bottom"/>
            <w:tcBorders>
              <w:right w:val="single" w:sz="8" w:color="FDB03F"/>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980" w:type="dxa"/>
            <w:vAlign w:val="bottom"/>
            <w:tcBorders>
              <w:left w:val="single" w:sz="8" w:color="FDB03F"/>
              <w:right w:val="single" w:sz="8" w:color="FDB03F"/>
            </w:tcBorders>
          </w:tcPr>
          <w:p>
            <w:pPr>
              <w:spacing w:after="0"/>
              <w:rPr>
                <w:sz w:val="22"/>
                <w:szCs w:val="22"/>
                <w:color w:val="auto"/>
              </w:rPr>
            </w:pPr>
          </w:p>
        </w:tc>
        <w:tc>
          <w:tcPr>
            <w:tcW w:w="1940" w:type="dxa"/>
            <w:vAlign w:val="bottom"/>
            <w:tcBorders>
              <w:right w:val="single" w:sz="8" w:color="FDB03F"/>
            </w:tcBorders>
          </w:tcPr>
          <w:p>
            <w:pPr>
              <w:spacing w:after="0"/>
              <w:rPr>
                <w:sz w:val="22"/>
                <w:szCs w:val="22"/>
                <w:color w:val="auto"/>
              </w:rPr>
            </w:pPr>
          </w:p>
        </w:tc>
        <w:tc>
          <w:tcPr>
            <w:tcW w:w="1940" w:type="dxa"/>
            <w:vAlign w:val="bottom"/>
            <w:tcBorders>
              <w:right w:val="single" w:sz="8" w:color="FDB03F"/>
            </w:tcBorders>
          </w:tcPr>
          <w:p>
            <w:pPr>
              <w:spacing w:after="0"/>
              <w:rPr>
                <w:sz w:val="22"/>
                <w:szCs w:val="22"/>
                <w:color w:val="auto"/>
              </w:rPr>
            </w:pP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2019 LTI award values were</w:t>
            </w:r>
          </w:p>
        </w:tc>
        <w:tc>
          <w:tcPr>
            <w:tcW w:w="1920" w:type="dxa"/>
            <w:vAlign w:val="bottom"/>
            <w:tcBorders>
              <w:right w:val="single" w:sz="8" w:color="FDB03F"/>
            </w:tcBorders>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980" w:type="dxa"/>
            <w:vAlign w:val="bottom"/>
            <w:tcBorders>
              <w:left w:val="single" w:sz="8" w:color="FDB03F"/>
              <w:right w:val="single" w:sz="8" w:color="FDB03F"/>
            </w:tcBorders>
          </w:tcPr>
          <w:p>
            <w:pPr>
              <w:spacing w:after="0"/>
              <w:rPr>
                <w:sz w:val="14"/>
                <w:szCs w:val="14"/>
                <w:color w:val="auto"/>
              </w:rPr>
            </w:pP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spacing w:after="0"/>
              <w:rPr>
                <w:sz w:val="14"/>
                <w:szCs w:val="14"/>
                <w:color w:val="auto"/>
              </w:rPr>
            </w:pPr>
          </w:p>
        </w:tc>
        <w:tc>
          <w:tcPr>
            <w:tcW w:w="1940" w:type="dxa"/>
            <w:vAlign w:val="bottom"/>
            <w:tcBorders>
              <w:right w:val="single" w:sz="8" w:color="FDB03F"/>
            </w:tcBorders>
          </w:tcPr>
          <w:p>
            <w:pPr>
              <w:ind w:left="80"/>
              <w:spacing w:after="0"/>
              <w:rPr>
                <w:sz w:val="20"/>
                <w:szCs w:val="20"/>
                <w:color w:val="auto"/>
              </w:rPr>
            </w:pPr>
            <w:r>
              <w:rPr>
                <w:rFonts w:ascii="Arial" w:cs="Arial" w:eastAsia="Arial" w:hAnsi="Arial"/>
                <w:sz w:val="14"/>
                <w:szCs w:val="14"/>
                <w:color w:val="auto"/>
              </w:rPr>
              <w:t>approved.</w:t>
            </w:r>
          </w:p>
        </w:tc>
        <w:tc>
          <w:tcPr>
            <w:tcW w:w="1920" w:type="dxa"/>
            <w:vAlign w:val="bottom"/>
            <w:tcBorders>
              <w:right w:val="single" w:sz="8" w:color="FDB03F"/>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FDB03F"/>
              <w:right w:val="single" w:sz="8" w:color="FDB03F"/>
            </w:tcBorders>
          </w:tcPr>
          <w:p>
            <w:pPr>
              <w:spacing w:after="0"/>
              <w:rPr>
                <w:sz w:val="4"/>
                <w:szCs w:val="4"/>
                <w:color w:val="auto"/>
              </w:rPr>
            </w:pPr>
          </w:p>
        </w:tc>
        <w:tc>
          <w:tcPr>
            <w:tcW w:w="1940" w:type="dxa"/>
            <w:vAlign w:val="bottom"/>
            <w:tcBorders>
              <w:right w:val="single" w:sz="8" w:color="FDB03F"/>
            </w:tcBorders>
          </w:tcPr>
          <w:p>
            <w:pPr>
              <w:spacing w:after="0"/>
              <w:rPr>
                <w:sz w:val="4"/>
                <w:szCs w:val="4"/>
                <w:color w:val="auto"/>
              </w:rPr>
            </w:pPr>
          </w:p>
        </w:tc>
        <w:tc>
          <w:tcPr>
            <w:tcW w:w="1940" w:type="dxa"/>
            <w:vAlign w:val="bottom"/>
            <w:tcBorders>
              <w:right w:val="single" w:sz="8" w:color="FDB03F"/>
            </w:tcBorders>
          </w:tcPr>
          <w:p>
            <w:pPr>
              <w:spacing w:after="0"/>
              <w:rPr>
                <w:sz w:val="4"/>
                <w:szCs w:val="4"/>
                <w:color w:val="auto"/>
              </w:rPr>
            </w:pPr>
          </w:p>
        </w:tc>
        <w:tc>
          <w:tcPr>
            <w:tcW w:w="1940" w:type="dxa"/>
            <w:vAlign w:val="bottom"/>
            <w:tcBorders>
              <w:right w:val="single" w:sz="8" w:color="FDB03F"/>
            </w:tcBorders>
          </w:tcPr>
          <w:p>
            <w:pPr>
              <w:spacing w:after="0"/>
              <w:rPr>
                <w:sz w:val="4"/>
                <w:szCs w:val="4"/>
                <w:color w:val="auto"/>
              </w:rPr>
            </w:pPr>
          </w:p>
        </w:tc>
        <w:tc>
          <w:tcPr>
            <w:tcW w:w="1920" w:type="dxa"/>
            <w:vAlign w:val="bottom"/>
            <w:tcBorders>
              <w:right w:val="single" w:sz="8" w:color="FDB03F"/>
            </w:tcBorders>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880" w:hanging="628"/>
        <w:spacing w:after="0"/>
        <w:tabs>
          <w:tab w:leader="none" w:pos="880" w:val="left"/>
        </w:tabs>
        <w:numPr>
          <w:ilvl w:val="0"/>
          <w:numId w:val="114"/>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69" w:lineRule="exact"/>
        <w:rPr>
          <w:sz w:val="20"/>
          <w:szCs w:val="20"/>
          <w:color w:val="auto"/>
        </w:rPr>
      </w:pPr>
    </w:p>
    <w:p>
      <w:pPr>
        <w:spacing w:after="0"/>
        <w:rPr>
          <w:sz w:val="20"/>
          <w:szCs w:val="20"/>
          <w:color w:val="auto"/>
        </w:rPr>
      </w:pPr>
      <w:r>
        <w:rPr>
          <w:rFonts w:ascii="Arial" w:cs="Arial" w:eastAsia="Arial" w:hAnsi="Arial"/>
          <w:sz w:val="27"/>
          <w:szCs w:val="27"/>
          <w:color w:val="0E93D8"/>
        </w:rPr>
        <w:t>Our Principal Elements of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To attract and retain talented and qualified executives, we provide competitive base salaries, which we target at the market median. Each year the Committee reviews the CEO’s recommendations for base salary adjustments for ELG members relative to peer market data for similar roles. The Committee has complete discretion to modify or approve the CEO’s recommendations. The CEO has no involvement in the Committee’s determination of his own base salary. Actual salaries may vary from market medians based on factors such as job scope and responsibilities, experience, tenure, individual performance, retention risk, and internal pay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its methodology for determining annual bonus awards accomplishes the following objectives:</w:t>
      </w:r>
    </w:p>
    <w:p>
      <w:pPr>
        <w:spacing w:after="0" w:line="208" w:lineRule="exact"/>
        <w:rPr>
          <w:sz w:val="20"/>
          <w:szCs w:val="20"/>
          <w:color w:val="auto"/>
        </w:rPr>
      </w:pPr>
    </w:p>
    <w:p>
      <w:pPr>
        <w:ind w:left="260" w:right="140" w:hanging="252"/>
        <w:spacing w:after="0" w:line="246" w:lineRule="auto"/>
        <w:tabs>
          <w:tab w:leader="none" w:pos="260" w:val="left"/>
        </w:tabs>
        <w:numPr>
          <w:ilvl w:val="0"/>
          <w:numId w:val="115"/>
        </w:numPr>
        <w:rPr>
          <w:rFonts w:ascii="Arial" w:cs="Arial" w:eastAsia="Arial" w:hAnsi="Arial"/>
          <w:sz w:val="17"/>
          <w:szCs w:val="17"/>
          <w:color w:val="FDB03F"/>
        </w:rPr>
      </w:pPr>
      <w:r>
        <w:rPr>
          <w:rFonts w:ascii="Arial" w:cs="Arial" w:eastAsia="Arial" w:hAnsi="Arial"/>
          <w:sz w:val="18"/>
          <w:szCs w:val="18"/>
          <w:color w:val="0E93D8"/>
        </w:rPr>
        <w:t>Sets financial performance goals that are consistent with the Committee’s assessment of the opportunities and risks for the upcoming year, as communicated to investors.</w:t>
      </w:r>
    </w:p>
    <w:p>
      <w:pPr>
        <w:spacing w:after="0" w:line="183" w:lineRule="exact"/>
        <w:rPr>
          <w:rFonts w:ascii="Arial" w:cs="Arial" w:eastAsia="Arial" w:hAnsi="Arial"/>
          <w:sz w:val="17"/>
          <w:szCs w:val="17"/>
          <w:color w:val="FDB03F"/>
        </w:rPr>
      </w:pPr>
    </w:p>
    <w:p>
      <w:pPr>
        <w:ind w:left="260" w:hanging="252"/>
        <w:spacing w:after="0"/>
        <w:tabs>
          <w:tab w:leader="none" w:pos="260" w:val="left"/>
        </w:tabs>
        <w:numPr>
          <w:ilvl w:val="0"/>
          <w:numId w:val="115"/>
        </w:numPr>
        <w:rPr>
          <w:rFonts w:ascii="Arial" w:cs="Arial" w:eastAsia="Arial" w:hAnsi="Arial"/>
          <w:sz w:val="17"/>
          <w:szCs w:val="17"/>
          <w:color w:val="FDB03F"/>
        </w:rPr>
      </w:pPr>
      <w:r>
        <w:rPr>
          <w:rFonts w:ascii="Arial" w:cs="Arial" w:eastAsia="Arial" w:hAnsi="Arial"/>
          <w:sz w:val="18"/>
          <w:szCs w:val="18"/>
          <w:color w:val="0E93D8"/>
        </w:rPr>
        <w:t>Establishes challenging but achievable performance goals for our executives.</w:t>
      </w:r>
    </w:p>
    <w:p>
      <w:pPr>
        <w:spacing w:after="0" w:line="198" w:lineRule="exact"/>
        <w:rPr>
          <w:rFonts w:ascii="Arial" w:cs="Arial" w:eastAsia="Arial" w:hAnsi="Arial"/>
          <w:sz w:val="17"/>
          <w:szCs w:val="17"/>
          <w:color w:val="FDB03F"/>
        </w:rPr>
      </w:pPr>
    </w:p>
    <w:p>
      <w:pPr>
        <w:ind w:left="260" w:hanging="252"/>
        <w:spacing w:after="0"/>
        <w:tabs>
          <w:tab w:leader="none" w:pos="260" w:val="left"/>
        </w:tabs>
        <w:numPr>
          <w:ilvl w:val="0"/>
          <w:numId w:val="115"/>
        </w:numPr>
        <w:rPr>
          <w:rFonts w:ascii="Arial" w:cs="Arial" w:eastAsia="Arial" w:hAnsi="Arial"/>
          <w:sz w:val="17"/>
          <w:szCs w:val="17"/>
          <w:color w:val="FDB03F"/>
        </w:rPr>
      </w:pPr>
      <w:r>
        <w:rPr>
          <w:rFonts w:ascii="Arial" w:cs="Arial" w:eastAsia="Arial" w:hAnsi="Arial"/>
          <w:sz w:val="18"/>
          <w:szCs w:val="18"/>
          <w:color w:val="0E93D8"/>
        </w:rPr>
        <w:t>Provides incentive opportunities that are market competitive.</w:t>
      </w:r>
    </w:p>
    <w:p>
      <w:pPr>
        <w:spacing w:after="0" w:line="198" w:lineRule="exact"/>
        <w:rPr>
          <w:rFonts w:ascii="Arial" w:cs="Arial" w:eastAsia="Arial" w:hAnsi="Arial"/>
          <w:sz w:val="17"/>
          <w:szCs w:val="17"/>
          <w:color w:val="FDB03F"/>
        </w:rPr>
      </w:pPr>
    </w:p>
    <w:p>
      <w:pPr>
        <w:ind w:left="260" w:right="20" w:hanging="252"/>
        <w:spacing w:after="0" w:line="246" w:lineRule="auto"/>
        <w:tabs>
          <w:tab w:leader="none" w:pos="260" w:val="left"/>
        </w:tabs>
        <w:numPr>
          <w:ilvl w:val="0"/>
          <w:numId w:val="115"/>
        </w:numPr>
        <w:rPr>
          <w:rFonts w:ascii="Arial" w:cs="Arial" w:eastAsia="Arial" w:hAnsi="Arial"/>
          <w:sz w:val="17"/>
          <w:szCs w:val="17"/>
          <w:color w:val="FDB03F"/>
        </w:rPr>
      </w:pPr>
      <w:r>
        <w:rPr>
          <w:rFonts w:ascii="Arial" w:cs="Arial" w:eastAsia="Arial" w:hAnsi="Arial"/>
          <w:sz w:val="18"/>
          <w:szCs w:val="18"/>
          <w:color w:val="0E93D8"/>
        </w:rPr>
        <w:t>Allows the Committee to make discretionary adjustments if it determines that measured performance does not fully align with its assessment of overall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BONUS TARGETS</w:t>
      </w:r>
    </w:p>
    <w:p>
      <w:pPr>
        <w:spacing w:after="0" w:line="2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Committee approves annual bonus target levels based on relevant market data for each ELG member’s role. Target levels are expressed as a percentage of base salary and generally approximate the market median. The 2018 annual bonus targets for each NEO are shown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20"/>
                <w:szCs w:val="20"/>
                <w:color w:val="auto"/>
              </w:rPr>
            </w:pPr>
            <w:r>
              <w:rPr>
                <w:rFonts w:ascii="Arial" w:cs="Arial" w:eastAsia="Arial" w:hAnsi="Arial"/>
                <w:sz w:val="14"/>
                <w:szCs w:val="14"/>
                <w:b w:val="1"/>
                <w:bCs w:val="1"/>
                <w:color w:val="0E93D8"/>
              </w:rPr>
              <w:t>NEO</w:t>
            </w:r>
          </w:p>
        </w:tc>
        <w:tc>
          <w:tcPr>
            <w:tcW w:w="3580" w:type="dxa"/>
            <w:vAlign w:val="bottom"/>
            <w:shd w:val="clear" w:color="auto" w:fill="D0E3F5"/>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0E93D8"/>
                <w:w w:val="98"/>
              </w:rPr>
              <w:t>ANNUAL BONUS TARGET</w:t>
            </w:r>
          </w:p>
        </w:tc>
      </w:tr>
      <w:tr>
        <w:trPr>
          <w:trHeight w:val="241"/>
        </w:trPr>
        <w:tc>
          <w:tcPr>
            <w:tcW w:w="3960" w:type="dxa"/>
            <w:vAlign w:val="bottom"/>
            <w:gridSpan w:val="2"/>
          </w:tcPr>
          <w:p>
            <w:pPr>
              <w:spacing w:after="0"/>
              <w:rPr>
                <w:sz w:val="20"/>
                <w:szCs w:val="20"/>
                <w:color w:val="auto"/>
              </w:rPr>
            </w:pPr>
            <w:r>
              <w:rPr>
                <w:rFonts w:ascii="Arial" w:cs="Arial" w:eastAsia="Arial" w:hAnsi="Arial"/>
                <w:sz w:val="18"/>
                <w:szCs w:val="18"/>
                <w:color w:val="auto"/>
              </w:rPr>
              <w:t>Gregory J. Hayes</w:t>
            </w:r>
          </w:p>
        </w:tc>
        <w:tc>
          <w:tcPr>
            <w:tcW w:w="1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3960" w:type="dxa"/>
            <w:vAlign w:val="bottom"/>
            <w:gridSpan w:val="2"/>
          </w:tcPr>
          <w:p>
            <w:pPr>
              <w:spacing w:after="0"/>
              <w:rPr>
                <w:sz w:val="20"/>
                <w:szCs w:val="20"/>
                <w:color w:val="auto"/>
              </w:rPr>
            </w:pPr>
            <w:r>
              <w:rPr>
                <w:rFonts w:ascii="Arial" w:cs="Arial" w:eastAsia="Arial" w:hAnsi="Arial"/>
                <w:sz w:val="18"/>
                <w:szCs w:val="18"/>
                <w:color w:val="auto"/>
              </w:rPr>
              <w:t>Akhil Johri</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960" w:type="dxa"/>
            <w:vAlign w:val="bottom"/>
            <w:gridSpan w:val="2"/>
          </w:tcPr>
          <w:p>
            <w:pPr>
              <w:spacing w:after="0"/>
              <w:rPr>
                <w:sz w:val="20"/>
                <w:szCs w:val="20"/>
                <w:color w:val="auto"/>
              </w:rPr>
            </w:pPr>
            <w:r>
              <w:rPr>
                <w:rFonts w:ascii="Arial" w:cs="Arial" w:eastAsia="Arial" w:hAnsi="Arial"/>
                <w:sz w:val="18"/>
                <w:szCs w:val="18"/>
                <w:color w:val="auto"/>
              </w:rPr>
              <w:t>Robert K. Ortberg</w:t>
            </w:r>
          </w:p>
        </w:tc>
        <w:tc>
          <w:tcPr>
            <w:tcW w:w="17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3960" w:type="dxa"/>
            <w:vAlign w:val="bottom"/>
            <w:gridSpan w:val="2"/>
          </w:tcPr>
          <w:p>
            <w:pPr>
              <w:spacing w:after="0"/>
              <w:rPr>
                <w:sz w:val="20"/>
                <w:szCs w:val="20"/>
                <w:color w:val="auto"/>
              </w:rPr>
            </w:pPr>
            <w:r>
              <w:rPr>
                <w:rFonts w:ascii="Arial" w:cs="Arial" w:eastAsia="Arial" w:hAnsi="Arial"/>
                <w:sz w:val="18"/>
                <w:szCs w:val="18"/>
                <w:color w:val="auto"/>
              </w:rPr>
              <w:t>Judith F. Marks</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960" w:type="dxa"/>
            <w:vAlign w:val="bottom"/>
            <w:gridSpan w:val="2"/>
          </w:tcPr>
          <w:p>
            <w:pPr>
              <w:spacing w:after="0"/>
              <w:rPr>
                <w:sz w:val="20"/>
                <w:szCs w:val="20"/>
                <w:color w:val="auto"/>
              </w:rPr>
            </w:pPr>
            <w:r>
              <w:rPr>
                <w:rFonts w:ascii="Arial" w:cs="Arial" w:eastAsia="Arial" w:hAnsi="Arial"/>
                <w:sz w:val="18"/>
                <w:szCs w:val="18"/>
                <w:color w:val="auto"/>
              </w:rPr>
              <w:t>David L. Gitlin</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SETTING FINANCIAL PERFORMANCE METRICS AND GOALS FOR 2018</w:t>
      </w:r>
    </w:p>
    <w:p>
      <w:pPr>
        <w:spacing w:after="0" w:line="22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For 2018, the Committee established annual performance goals at threshold, target and maximum levels for two financial metrics: earnings and free cash flow (“FCF”). Performance relative to these pre-established goals determines the financial performance factors for UTC and each business unit.</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charts below show the weighting of each financial metric. UTC’s financial performance factor determines the annual bonus pool for Corporate executives, while a blend of the UTC factor and business unit-specific financial performance factors are used to determine the pool for business unit executives for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20"/>
                <w:szCs w:val="20"/>
                <w:color w:val="auto"/>
              </w:rPr>
            </w:pPr>
            <w:r>
              <w:rPr>
                <w:rFonts w:ascii="Arial" w:cs="Arial" w:eastAsia="Arial" w:hAnsi="Arial"/>
                <w:sz w:val="14"/>
                <w:szCs w:val="14"/>
                <w:b w:val="1"/>
                <w:bCs w:val="1"/>
                <w:color w:val="0E93D8"/>
                <w:w w:val="98"/>
              </w:rPr>
              <w:t>UTC FINANCIAL PERFORMANCE FACTOR</w:t>
            </w:r>
          </w:p>
        </w:tc>
        <w:tc>
          <w:tcPr>
            <w:tcW w:w="2220" w:type="dxa"/>
            <w:vAlign w:val="bottom"/>
            <w:shd w:val="clear" w:color="auto" w:fill="D0E3F5"/>
          </w:tcPr>
          <w:p>
            <w:pPr>
              <w:spacing w:after="0"/>
              <w:rPr>
                <w:sz w:val="14"/>
                <w:szCs w:val="14"/>
                <w:color w:val="auto"/>
              </w:rPr>
            </w:pPr>
          </w:p>
        </w:tc>
        <w:tc>
          <w:tcPr>
            <w:tcW w:w="3840" w:type="dxa"/>
            <w:vAlign w:val="bottom"/>
          </w:tcPr>
          <w:p>
            <w:pPr>
              <w:ind w:left="260"/>
              <w:spacing w:after="0"/>
              <w:rPr>
                <w:sz w:val="20"/>
                <w:szCs w:val="20"/>
                <w:color w:val="auto"/>
              </w:rPr>
            </w:pPr>
            <w:r>
              <w:rPr>
                <w:rFonts w:ascii="Arial" w:cs="Arial" w:eastAsia="Arial" w:hAnsi="Arial"/>
                <w:sz w:val="14"/>
                <w:szCs w:val="14"/>
                <w:b w:val="1"/>
                <w:bCs w:val="1"/>
                <w:color w:val="0E93D8"/>
                <w:w w:val="95"/>
              </w:rPr>
              <w:t>BUSINESS UNIT FINANCIAL PERFORMANCE FACTORS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-93980</wp:posOffset>
            </wp:positionV>
            <wp:extent cx="3884930" cy="12350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8493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41</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0E93D8"/>
        </w:rPr>
        <w:t xml:space="preserve">BACKGROUND ON FINANCIAL PERFORMANCE METRICS AND GOALS </w:t>
      </w:r>
      <w:r>
        <w:rPr>
          <w:sz w:val="1"/>
          <w:szCs w:val="1"/>
          <w:color w:val="auto"/>
        </w:rPr>
        <w:drawing>
          <wp:inline distT="0" distB="0" distL="0" distR="0">
            <wp:extent cx="4288155" cy="9461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88155" cy="94615"/>
                    </a:xfrm>
                    <a:prstGeom prst="rect">
                      <a:avLst/>
                    </a:prstGeom>
                    <a:noFill/>
                    <a:ln>
                      <a:noFill/>
                    </a:ln>
                  </pic:spPr>
                </pic:pic>
              </a:graphicData>
            </a:graphic>
          </wp:inline>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80"/>
        <w:spacing w:after="0" w:line="236" w:lineRule="auto"/>
        <w:rPr>
          <w:sz w:val="20"/>
          <w:szCs w:val="20"/>
          <w:color w:val="auto"/>
        </w:rPr>
      </w:pPr>
      <w:r>
        <w:rPr>
          <w:rFonts w:ascii="Arial" w:cs="Arial" w:eastAsia="Arial" w:hAnsi="Arial"/>
          <w:sz w:val="14"/>
          <w:szCs w:val="14"/>
          <w:b w:val="1"/>
          <w:bCs w:val="1"/>
          <w:color w:val="0E93D8"/>
        </w:rPr>
        <w:t>How are performance metrics defined for annual bonus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8938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8938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UTC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138938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89380" cy="34290"/>
                    </a:xfrm>
                    <a:prstGeom prst="rect">
                      <a:avLst/>
                    </a:prstGeom>
                    <a:noFill/>
                  </pic:spPr>
                </pic:pic>
              </a:graphicData>
            </a:graphic>
          </wp:anchor>
        </w:drawing>
      </w:r>
    </w:p>
    <w:p>
      <w:pPr>
        <w:spacing w:after="0" w:line="13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UTC’s net income, adjusted for restructuring, non-recurring and other significant, non-operational items.*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UTC FCF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19685</wp:posOffset>
            </wp:positionV>
            <wp:extent cx="138938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89380" cy="34290"/>
                    </a:xfrm>
                    <a:prstGeom prst="rect">
                      <a:avLst/>
                    </a:prstGeom>
                    <a:noFill/>
                  </pic:spPr>
                </pic:pic>
              </a:graphicData>
            </a:graphic>
          </wp:anchor>
        </w:drawing>
      </w:r>
    </w:p>
    <w:p>
      <w:pPr>
        <w:spacing w:after="0" w:line="132"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UTC FCF, adjusted for restructuring, non-recurring and other significant, non-operational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318770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Business Unit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19685</wp:posOffset>
            </wp:positionV>
            <wp:extent cx="1397635"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97635" cy="34290"/>
                    </a:xfrm>
                    <a:prstGeom prst="rect">
                      <a:avLst/>
                    </a:prstGeom>
                    <a:noFill/>
                  </pic:spPr>
                </pic:pic>
              </a:graphicData>
            </a:graphic>
          </wp:anchor>
        </w:drawing>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Business unit earnings before interest and taxes (“EBIT”) at constant currency, adjusted for restructuring, non-recurring and other significant, non-operational items, and the impact of acquisitions/ divestitures.*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Business Unit FCF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19685</wp:posOffset>
            </wp:positionV>
            <wp:extent cx="1406525"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06525" cy="34290"/>
                    </a:xfrm>
                    <a:prstGeom prst="rect">
                      <a:avLst/>
                    </a:prstGeom>
                    <a:noFill/>
                  </pic:spPr>
                </pic:pic>
              </a:graphicData>
            </a:graphic>
          </wp:anchor>
        </w:drawing>
      </w:r>
    </w:p>
    <w:p>
      <w:pPr>
        <w:spacing w:after="0" w:line="132" w:lineRule="exact"/>
        <w:rPr>
          <w:sz w:val="20"/>
          <w:szCs w:val="20"/>
          <w:color w:val="auto"/>
        </w:rPr>
      </w:pPr>
    </w:p>
    <w:p>
      <w:pPr>
        <w:jc w:val="both"/>
        <w:ind w:right="180"/>
        <w:spacing w:after="0" w:line="226" w:lineRule="auto"/>
        <w:rPr>
          <w:sz w:val="20"/>
          <w:szCs w:val="20"/>
          <w:color w:val="auto"/>
        </w:rPr>
      </w:pPr>
      <w:r>
        <w:rPr>
          <w:rFonts w:ascii="Arial" w:cs="Arial" w:eastAsia="Arial" w:hAnsi="Arial"/>
          <w:sz w:val="14"/>
          <w:szCs w:val="14"/>
          <w:color w:val="auto"/>
        </w:rPr>
        <w:t>Business unit FCF, adjusted for restructuring, non-recurring and other significant, non-operational items.*</w:t>
      </w:r>
    </w:p>
    <w:p>
      <w:pPr>
        <w:spacing w:after="0" w:line="566" w:lineRule="exact"/>
        <w:rPr>
          <w:sz w:val="20"/>
          <w:szCs w:val="20"/>
          <w:color w:val="auto"/>
        </w:rPr>
      </w:pPr>
    </w:p>
    <w:p>
      <w:pPr>
        <w:sectPr>
          <w:pgSz w:w="11900" w:h="16838" w:orient="portrait"/>
          <w:cols w:equalWidth="0" w:num="5">
            <w:col w:w="1980" w:space="400"/>
            <w:col w:w="1960" w:space="340"/>
            <w:col w:w="1960" w:space="320"/>
            <w:col w:w="1960" w:space="360"/>
            <w:col w:w="2140"/>
          </w:cols>
          <w:pgMar w:left="240" w:top="121" w:right="239" w:bottom="1440" w:gutter="0" w:footer="0" w:header="0"/>
          <w:type w:val="continuous"/>
        </w:sectPr>
      </w:pPr>
    </w:p>
    <w:p>
      <w:pPr>
        <w:ind w:left="80"/>
        <w:spacing w:after="0"/>
        <w:tabs>
          <w:tab w:leader="none" w:pos="2360" w:val="left"/>
        </w:tabs>
        <w:rPr>
          <w:sz w:val="20"/>
          <w:szCs w:val="20"/>
          <w:color w:val="auto"/>
        </w:rPr>
      </w:pPr>
      <w:r>
        <w:rPr>
          <w:rFonts w:ascii="Arial" w:cs="Arial" w:eastAsia="Arial" w:hAnsi="Arial"/>
          <w:sz w:val="14"/>
          <w:szCs w:val="14"/>
          <w:b w:val="1"/>
          <w:bCs w:val="1"/>
          <w:color w:val="0E93D8"/>
        </w:rPr>
        <w:t>Why has the Committee</w:t>
      </w:r>
      <w:r>
        <w:rPr>
          <w:sz w:val="20"/>
          <w:szCs w:val="20"/>
          <w:color w:val="auto"/>
        </w:rPr>
        <w:tab/>
      </w:r>
      <w:r>
        <w:rPr>
          <w:rFonts w:ascii="Arial" w:cs="Arial" w:eastAsia="Arial" w:hAnsi="Arial"/>
          <w:sz w:val="12"/>
          <w:szCs w:val="12"/>
          <w:color w:val="auto"/>
        </w:rPr>
        <w:t>The Committee believes that</w:t>
      </w:r>
    </w:p>
    <w:p>
      <w:pPr>
        <w:ind w:left="80"/>
        <w:spacing w:after="0"/>
        <w:tabs>
          <w:tab w:leader="none" w:pos="2360" w:val="left"/>
        </w:tabs>
        <w:rPr>
          <w:sz w:val="20"/>
          <w:szCs w:val="20"/>
          <w:color w:val="auto"/>
        </w:rPr>
      </w:pPr>
      <w:r>
        <w:rPr>
          <w:rFonts w:ascii="Arial" w:cs="Arial" w:eastAsia="Arial" w:hAnsi="Arial"/>
          <w:sz w:val="14"/>
          <w:szCs w:val="14"/>
          <w:b w:val="1"/>
          <w:bCs w:val="1"/>
          <w:color w:val="0E93D8"/>
        </w:rPr>
        <w:t>selected these metrics?</w:t>
      </w:r>
      <w:r>
        <w:rPr>
          <w:sz w:val="20"/>
          <w:szCs w:val="20"/>
          <w:color w:val="auto"/>
        </w:rPr>
        <w:tab/>
      </w:r>
      <w:r>
        <w:rPr>
          <w:rFonts w:ascii="Arial" w:cs="Arial" w:eastAsia="Arial" w:hAnsi="Arial"/>
          <w:sz w:val="12"/>
          <w:szCs w:val="12"/>
          <w:color w:val="auto"/>
        </w:rPr>
        <w:t>adjusted net income is an</w:t>
      </w:r>
    </w:p>
    <w:p>
      <w:pPr>
        <w:ind w:left="2380"/>
        <w:spacing w:after="0" w:line="222" w:lineRule="auto"/>
        <w:rPr>
          <w:sz w:val="20"/>
          <w:szCs w:val="20"/>
          <w:color w:val="auto"/>
        </w:rPr>
      </w:pPr>
      <w:r>
        <w:rPr>
          <w:rFonts w:ascii="Arial" w:cs="Arial" w:eastAsia="Arial" w:hAnsi="Arial"/>
          <w:sz w:val="14"/>
          <w:szCs w:val="14"/>
          <w:color w:val="auto"/>
        </w:rPr>
        <w:t>appropriate UTC-wide goal</w:t>
      </w:r>
    </w:p>
    <w:p>
      <w:pPr>
        <w:ind w:left="2380"/>
        <w:spacing w:after="0"/>
        <w:rPr>
          <w:sz w:val="20"/>
          <w:szCs w:val="20"/>
          <w:color w:val="auto"/>
        </w:rPr>
      </w:pPr>
      <w:r>
        <w:rPr>
          <w:rFonts w:ascii="Arial" w:cs="Arial" w:eastAsia="Arial" w:hAnsi="Arial"/>
          <w:sz w:val="12"/>
          <w:szCs w:val="12"/>
          <w:color w:val="auto"/>
        </w:rPr>
        <w:t>because it includes the impact of</w:t>
      </w:r>
    </w:p>
    <w:p>
      <w:pPr>
        <w:ind w:left="2380"/>
        <w:spacing w:after="0" w:line="237" w:lineRule="auto"/>
        <w:rPr>
          <w:sz w:val="20"/>
          <w:szCs w:val="20"/>
          <w:color w:val="auto"/>
        </w:rPr>
      </w:pPr>
      <w:r>
        <w:rPr>
          <w:rFonts w:ascii="Arial" w:cs="Arial" w:eastAsia="Arial" w:hAnsi="Arial"/>
          <w:sz w:val="14"/>
          <w:szCs w:val="14"/>
          <w:color w:val="auto"/>
        </w:rPr>
        <w:t>items such as tax, interest and</w:t>
      </w:r>
    </w:p>
    <w:p>
      <w:pPr>
        <w:ind w:left="2380"/>
        <w:spacing w:after="0" w:line="221" w:lineRule="auto"/>
        <w:rPr>
          <w:sz w:val="20"/>
          <w:szCs w:val="20"/>
          <w:color w:val="auto"/>
        </w:rPr>
      </w:pPr>
      <w:r>
        <w:rPr>
          <w:rFonts w:ascii="Arial" w:cs="Arial" w:eastAsia="Arial" w:hAnsi="Arial"/>
          <w:sz w:val="14"/>
          <w:szCs w:val="14"/>
          <w:color w:val="auto"/>
        </w:rPr>
        <w:t>foreign exchange fluctuations,</w:t>
      </w:r>
    </w:p>
    <w:p>
      <w:pPr>
        <w:ind w:left="2380"/>
        <w:spacing w:after="0" w:line="222" w:lineRule="auto"/>
        <w:rPr>
          <w:sz w:val="20"/>
          <w:szCs w:val="20"/>
          <w:color w:val="auto"/>
        </w:rPr>
      </w:pPr>
      <w:r>
        <w:rPr>
          <w:rFonts w:ascii="Arial" w:cs="Arial" w:eastAsia="Arial" w:hAnsi="Arial"/>
          <w:sz w:val="14"/>
          <w:szCs w:val="14"/>
          <w:color w:val="auto"/>
        </w:rPr>
        <w:t>which are managed at the</w:t>
      </w:r>
    </w:p>
    <w:p>
      <w:pPr>
        <w:ind w:left="2380"/>
        <w:spacing w:after="0"/>
        <w:rPr>
          <w:sz w:val="20"/>
          <w:szCs w:val="20"/>
          <w:color w:val="auto"/>
        </w:rPr>
      </w:pPr>
      <w:r>
        <w:rPr>
          <w:rFonts w:ascii="Arial" w:cs="Arial" w:eastAsia="Arial" w:hAnsi="Arial"/>
          <w:sz w:val="12"/>
          <w:szCs w:val="12"/>
          <w:color w:val="auto"/>
        </w:rPr>
        <w:t>Corporate level and thus relevant</w:t>
      </w:r>
    </w:p>
    <w:p>
      <w:pPr>
        <w:ind w:left="2380"/>
        <w:spacing w:after="0" w:line="237" w:lineRule="auto"/>
        <w:rPr>
          <w:sz w:val="20"/>
          <w:szCs w:val="20"/>
          <w:color w:val="auto"/>
        </w:rPr>
      </w:pPr>
      <w:r>
        <w:rPr>
          <w:rFonts w:ascii="Arial" w:cs="Arial" w:eastAsia="Arial" w:hAnsi="Arial"/>
          <w:sz w:val="14"/>
          <w:szCs w:val="14"/>
          <w:color w:val="auto"/>
        </w:rPr>
        <w:t>to assessing UTC’s overall</w:t>
      </w:r>
    </w:p>
    <w:p>
      <w:pPr>
        <w:ind w:left="2380"/>
        <w:spacing w:after="0"/>
        <w:rPr>
          <w:sz w:val="20"/>
          <w:szCs w:val="20"/>
          <w:color w:val="auto"/>
        </w:rPr>
      </w:pPr>
      <w:r>
        <w:rPr>
          <w:rFonts w:ascii="Arial" w:cs="Arial" w:eastAsia="Arial" w:hAnsi="Arial"/>
          <w:sz w:val="14"/>
          <w:szCs w:val="14"/>
          <w:color w:val="auto"/>
        </w:rPr>
        <w:t>performance.</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4"/>
          <w:szCs w:val="14"/>
          <w:color w:val="auto"/>
        </w:rPr>
        <w:t>The Committee believes that FCF performance is a relevant measure of the Company’s ability to generate cash to fund our operations and key business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414020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2"/>
          <w:szCs w:val="12"/>
          <w:color w:val="auto"/>
        </w:rPr>
        <w:t>The Committee believes operating earnings growth, exclusive of tax, interest and foreign exchange exposure should be the focus of business unit performance.</w:t>
      </w:r>
    </w:p>
    <w:p>
      <w:pPr>
        <w:spacing w:after="0" w:line="20" w:lineRule="exact"/>
        <w:rPr>
          <w:sz w:val="20"/>
          <w:szCs w:val="20"/>
          <w:color w:val="auto"/>
        </w:rPr>
      </w:pPr>
      <w:r>
        <w:rPr>
          <w:sz w:val="20"/>
          <w:szCs w:val="20"/>
          <w:color w:val="auto"/>
        </w:rPr>
        <w:br w:type="column"/>
      </w:r>
    </w:p>
    <w:p>
      <w:pPr>
        <w:ind w:right="120"/>
        <w:spacing w:after="0" w:line="224" w:lineRule="auto"/>
        <w:rPr>
          <w:sz w:val="20"/>
          <w:szCs w:val="20"/>
          <w:color w:val="auto"/>
        </w:rPr>
      </w:pPr>
      <w:r>
        <w:rPr>
          <w:rFonts w:ascii="Arial" w:cs="Arial" w:eastAsia="Arial" w:hAnsi="Arial"/>
          <w:sz w:val="14"/>
          <w:szCs w:val="14"/>
          <w:color w:val="auto"/>
        </w:rPr>
        <w:t>The Committee believes that FCF performance is a relevant measure of the business units’ ability to generate cash to fund our operations and key business investments.</w:t>
      </w:r>
    </w:p>
    <w:p>
      <w:pPr>
        <w:spacing w:after="0" w:line="716" w:lineRule="exact"/>
        <w:rPr>
          <w:sz w:val="20"/>
          <w:szCs w:val="20"/>
          <w:color w:val="auto"/>
        </w:rPr>
      </w:pPr>
    </w:p>
    <w:p>
      <w:pPr>
        <w:sectPr>
          <w:pgSz w:w="11900" w:h="16838" w:orient="portrait"/>
          <w:cols w:equalWidth="0" w:num="4">
            <w:col w:w="4360" w:space="320"/>
            <w:col w:w="2020" w:space="260"/>
            <w:col w:w="2060" w:space="260"/>
            <w:col w:w="2140"/>
          </w:cols>
          <w:pgMar w:left="240" w:top="121" w:right="239" w:bottom="1440" w:gutter="0" w:footer="0" w:header="0"/>
          <w:type w:val="continuous"/>
        </w:sectPr>
      </w:pPr>
    </w:p>
    <w:p>
      <w:pPr>
        <w:ind w:left="80"/>
        <w:spacing w:after="0" w:line="232" w:lineRule="auto"/>
        <w:rPr>
          <w:sz w:val="20"/>
          <w:szCs w:val="20"/>
          <w:color w:val="auto"/>
        </w:rPr>
      </w:pPr>
      <w:r>
        <w:rPr>
          <w:rFonts w:ascii="Arial" w:cs="Arial" w:eastAsia="Arial" w:hAnsi="Arial"/>
          <w:sz w:val="14"/>
          <w:szCs w:val="14"/>
          <w:b w:val="1"/>
          <w:bCs w:val="1"/>
          <w:color w:val="0E93D8"/>
        </w:rPr>
        <w:t>Why does the Company use non-GAAP financial performance goals for annual bonus purposes?</w:t>
      </w:r>
    </w:p>
    <w:p>
      <w:pPr>
        <w:spacing w:after="0" w:line="20" w:lineRule="exact"/>
        <w:rPr>
          <w:sz w:val="20"/>
          <w:szCs w:val="20"/>
          <w:color w:val="auto"/>
        </w:rPr>
      </w:pPr>
      <w:r>
        <w:rPr>
          <w:sz w:val="20"/>
          <w:szCs w:val="20"/>
          <w:color w:val="auto"/>
        </w:rPr>
        <w:br w:type="column"/>
      </w:r>
    </w:p>
    <w:p>
      <w:pPr>
        <w:ind w:right="100"/>
        <w:spacing w:after="0" w:line="225" w:lineRule="auto"/>
        <w:rPr>
          <w:sz w:val="20"/>
          <w:szCs w:val="20"/>
          <w:color w:val="auto"/>
        </w:rPr>
      </w:pPr>
      <w:r>
        <w:rPr>
          <w:rFonts w:ascii="Arial" w:cs="Arial" w:eastAsia="Arial" w:hAnsi="Arial"/>
          <w:sz w:val="14"/>
          <w:szCs w:val="14"/>
          <w:color w:val="auto"/>
        </w:rPr>
        <w:t>The Committee believes annual bonuses should not be positively or negatively impacted by short-term decisions made in the best interest of UTC’s long-term business strategies. Using non-GAAP performance measures encourages decision-making that considers long-term value creation that does not conflict with short-term incentive metrics. Adjustments for restructuring, non-recurring and other significant, non-operational items and acquisitions and divestures, provides a more stable performance assessment of the Company’s core business, and aligns compensation opportunities with the non-GAAP financial expectations we communicate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35560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1980" w:space="400"/>
            <w:col w:w="9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200" w:type="dxa"/>
            <w:vAlign w:val="bottom"/>
          </w:tcPr>
          <w:p>
            <w:pPr>
              <w:ind w:left="80"/>
              <w:spacing w:after="0"/>
              <w:rPr>
                <w:sz w:val="20"/>
                <w:szCs w:val="20"/>
                <w:color w:val="auto"/>
              </w:rPr>
            </w:pPr>
            <w:r>
              <w:rPr>
                <w:rFonts w:ascii="Arial" w:cs="Arial" w:eastAsia="Arial" w:hAnsi="Arial"/>
                <w:sz w:val="14"/>
                <w:szCs w:val="14"/>
                <w:b w:val="1"/>
                <w:bCs w:val="1"/>
                <w:color w:val="0E93D8"/>
              </w:rPr>
              <w:t>How did the Committee set</w:t>
            </w:r>
          </w:p>
        </w:tc>
        <w:tc>
          <w:tcPr>
            <w:tcW w:w="2340" w:type="dxa"/>
            <w:vAlign w:val="bottom"/>
          </w:tcPr>
          <w:p>
            <w:pPr>
              <w:ind w:left="180"/>
              <w:spacing w:after="0"/>
              <w:rPr>
                <w:sz w:val="20"/>
                <w:szCs w:val="20"/>
                <w:color w:val="auto"/>
              </w:rPr>
            </w:pPr>
            <w:r>
              <w:rPr>
                <w:rFonts w:ascii="Arial" w:cs="Arial" w:eastAsia="Arial" w:hAnsi="Arial"/>
                <w:sz w:val="14"/>
                <w:szCs w:val="14"/>
                <w:color w:val="auto"/>
              </w:rPr>
              <w:t>An adjusted net income goal was</w:t>
            </w:r>
          </w:p>
        </w:tc>
        <w:tc>
          <w:tcPr>
            <w:tcW w:w="2200" w:type="dxa"/>
            <w:vAlign w:val="bottom"/>
          </w:tcPr>
          <w:p>
            <w:pPr>
              <w:ind w:left="140"/>
              <w:spacing w:after="0"/>
              <w:rPr>
                <w:sz w:val="20"/>
                <w:szCs w:val="20"/>
                <w:color w:val="auto"/>
              </w:rPr>
            </w:pPr>
            <w:r>
              <w:rPr>
                <w:rFonts w:ascii="Arial" w:cs="Arial" w:eastAsia="Arial" w:hAnsi="Arial"/>
                <w:sz w:val="14"/>
                <w:szCs w:val="14"/>
                <w:color w:val="auto"/>
              </w:rPr>
              <w:t>The UTC FCF goal was set to</w:t>
            </w:r>
          </w:p>
        </w:tc>
        <w:tc>
          <w:tcPr>
            <w:tcW w:w="2380" w:type="dxa"/>
            <w:vAlign w:val="bottom"/>
          </w:tcPr>
          <w:p>
            <w:pPr>
              <w:ind w:left="220"/>
              <w:spacing w:after="0"/>
              <w:rPr>
                <w:sz w:val="20"/>
                <w:szCs w:val="20"/>
                <w:color w:val="auto"/>
              </w:rPr>
            </w:pPr>
            <w:r>
              <w:rPr>
                <w:rFonts w:ascii="Arial" w:cs="Arial" w:eastAsia="Arial" w:hAnsi="Arial"/>
                <w:sz w:val="14"/>
                <w:szCs w:val="14"/>
                <w:color w:val="auto"/>
              </w:rPr>
              <w:t>Adjusted EBIT goals were set to</w:t>
            </w:r>
          </w:p>
        </w:tc>
        <w:tc>
          <w:tcPr>
            <w:tcW w:w="2300" w:type="dxa"/>
            <w:vAlign w:val="bottom"/>
          </w:tcPr>
          <w:p>
            <w:pPr>
              <w:ind w:left="160"/>
              <w:spacing w:after="0"/>
              <w:rPr>
                <w:sz w:val="20"/>
                <w:szCs w:val="20"/>
                <w:color w:val="auto"/>
              </w:rPr>
            </w:pPr>
            <w:r>
              <w:rPr>
                <w:rFonts w:ascii="Arial" w:cs="Arial" w:eastAsia="Arial" w:hAnsi="Arial"/>
                <w:sz w:val="14"/>
                <w:szCs w:val="14"/>
                <w:color w:val="auto"/>
              </w:rPr>
              <w:t>FCF goals were set to contribute</w:t>
            </w:r>
          </w:p>
        </w:tc>
      </w:tr>
      <w:tr>
        <w:trPr>
          <w:trHeight w:val="165"/>
        </w:trPr>
        <w:tc>
          <w:tcPr>
            <w:tcW w:w="2200" w:type="dxa"/>
            <w:vAlign w:val="bottom"/>
          </w:tcPr>
          <w:p>
            <w:pPr>
              <w:ind w:left="80"/>
              <w:spacing w:after="0"/>
              <w:rPr>
                <w:sz w:val="20"/>
                <w:szCs w:val="20"/>
                <w:color w:val="auto"/>
              </w:rPr>
            </w:pPr>
            <w:r>
              <w:rPr>
                <w:rFonts w:ascii="Arial" w:cs="Arial" w:eastAsia="Arial" w:hAnsi="Arial"/>
                <w:sz w:val="14"/>
                <w:szCs w:val="14"/>
                <w:b w:val="1"/>
                <w:bCs w:val="1"/>
                <w:color w:val="0E93D8"/>
              </w:rPr>
              <w:t>performance goals?</w:t>
            </w:r>
          </w:p>
        </w:tc>
        <w:tc>
          <w:tcPr>
            <w:tcW w:w="2340" w:type="dxa"/>
            <w:vAlign w:val="bottom"/>
          </w:tcPr>
          <w:p>
            <w:pPr>
              <w:ind w:left="180"/>
              <w:spacing w:after="0"/>
              <w:rPr>
                <w:sz w:val="20"/>
                <w:szCs w:val="20"/>
                <w:color w:val="auto"/>
              </w:rPr>
            </w:pPr>
            <w:r>
              <w:rPr>
                <w:rFonts w:ascii="Arial" w:cs="Arial" w:eastAsia="Arial" w:hAnsi="Arial"/>
                <w:sz w:val="14"/>
                <w:szCs w:val="14"/>
                <w:color w:val="auto"/>
              </w:rPr>
              <w:t>set to correspond to the expected</w:t>
            </w:r>
          </w:p>
        </w:tc>
        <w:tc>
          <w:tcPr>
            <w:tcW w:w="2200" w:type="dxa"/>
            <w:vAlign w:val="bottom"/>
          </w:tcPr>
          <w:p>
            <w:pPr>
              <w:ind w:left="140"/>
              <w:spacing w:after="0"/>
              <w:rPr>
                <w:sz w:val="20"/>
                <w:szCs w:val="20"/>
                <w:color w:val="auto"/>
              </w:rPr>
            </w:pPr>
            <w:r>
              <w:rPr>
                <w:rFonts w:ascii="Arial" w:cs="Arial" w:eastAsia="Arial" w:hAnsi="Arial"/>
                <w:sz w:val="14"/>
                <w:szCs w:val="14"/>
                <w:color w:val="auto"/>
              </w:rPr>
              <w:t>align with the performance</w:t>
            </w:r>
          </w:p>
        </w:tc>
        <w:tc>
          <w:tcPr>
            <w:tcW w:w="2380" w:type="dxa"/>
            <w:vAlign w:val="bottom"/>
          </w:tcPr>
          <w:p>
            <w:pPr>
              <w:ind w:left="220"/>
              <w:spacing w:after="0"/>
              <w:rPr>
                <w:sz w:val="20"/>
                <w:szCs w:val="20"/>
                <w:color w:val="auto"/>
              </w:rPr>
            </w:pPr>
            <w:r>
              <w:rPr>
                <w:rFonts w:ascii="Arial" w:cs="Arial" w:eastAsia="Arial" w:hAnsi="Arial"/>
                <w:sz w:val="14"/>
                <w:szCs w:val="14"/>
                <w:color w:val="auto"/>
              </w:rPr>
              <w:t>contribute to the overall adjusted</w:t>
            </w:r>
          </w:p>
        </w:tc>
        <w:tc>
          <w:tcPr>
            <w:tcW w:w="2300" w:type="dxa"/>
            <w:vAlign w:val="bottom"/>
          </w:tcPr>
          <w:p>
            <w:pPr>
              <w:ind w:left="160"/>
              <w:spacing w:after="0"/>
              <w:rPr>
                <w:sz w:val="20"/>
                <w:szCs w:val="20"/>
                <w:color w:val="auto"/>
              </w:rPr>
            </w:pPr>
            <w:r>
              <w:rPr>
                <w:rFonts w:ascii="Arial" w:cs="Arial" w:eastAsia="Arial" w:hAnsi="Arial"/>
                <w:sz w:val="14"/>
                <w:szCs w:val="14"/>
                <w:color w:val="auto"/>
              </w:rPr>
              <w:t>to the overall UTC goal and to</w:t>
            </w:r>
          </w:p>
        </w:tc>
      </w:tr>
      <w:tr>
        <w:trPr>
          <w:trHeight w:val="149"/>
        </w:trPr>
        <w:tc>
          <w:tcPr>
            <w:tcW w:w="220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adjusted EPS range</w:t>
            </w:r>
          </w:p>
        </w:tc>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expectations communicated to</w:t>
            </w: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UTC net income goal and reflect</w:t>
            </w: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align with each business unit’s</w:t>
            </w:r>
          </w:p>
        </w:tc>
      </w:tr>
      <w:tr>
        <w:trPr>
          <w:trHeight w:val="149"/>
        </w:trPr>
        <w:tc>
          <w:tcPr>
            <w:tcW w:w="220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communicated to investors for the</w:t>
            </w:r>
          </w:p>
        </w:tc>
        <w:tc>
          <w:tcPr>
            <w:tcW w:w="2200" w:type="dxa"/>
            <w:vAlign w:val="bottom"/>
          </w:tcPr>
          <w:p>
            <w:pPr>
              <w:ind w:left="140"/>
              <w:spacing w:after="0" w:line="149" w:lineRule="exact"/>
              <w:rPr>
                <w:sz w:val="20"/>
                <w:szCs w:val="20"/>
                <w:color w:val="auto"/>
              </w:rPr>
            </w:pPr>
            <w:r>
              <w:rPr>
                <w:rFonts w:ascii="Arial" w:cs="Arial" w:eastAsia="Arial" w:hAnsi="Arial"/>
                <w:sz w:val="14"/>
                <w:szCs w:val="14"/>
                <w:color w:val="auto"/>
              </w:rPr>
              <w:t>investors for the year.</w:t>
            </w: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each business unit’s anticipated</w:t>
            </w: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strategic business plan for the</w:t>
            </w:r>
          </w:p>
        </w:tc>
      </w:tr>
      <w:tr>
        <w:trPr>
          <w:trHeight w:val="149"/>
        </w:trPr>
        <w:tc>
          <w:tcPr>
            <w:tcW w:w="220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year.</w:t>
            </w:r>
          </w:p>
        </w:tc>
        <w:tc>
          <w:tcPr>
            <w:tcW w:w="2200" w:type="dxa"/>
            <w:vAlign w:val="bottom"/>
          </w:tcPr>
          <w:p>
            <w:pPr>
              <w:spacing w:after="0"/>
              <w:rPr>
                <w:sz w:val="12"/>
                <w:szCs w:val="12"/>
                <w:color w:val="auto"/>
              </w:rPr>
            </w:pP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opportunities and challenges for</w:t>
            </w: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r>
      <w:tr>
        <w:trPr>
          <w:trHeight w:val="162"/>
        </w:trPr>
        <w:tc>
          <w:tcPr>
            <w:tcW w:w="2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Arial" w:cs="Arial" w:eastAsia="Arial" w:hAnsi="Arial"/>
                <w:sz w:val="14"/>
                <w:szCs w:val="14"/>
                <w:color w:val="auto"/>
              </w:rPr>
              <w:t>the year.</w:t>
            </w:r>
          </w:p>
        </w:tc>
        <w:tc>
          <w:tcPr>
            <w:tcW w:w="2300" w:type="dxa"/>
            <w:vAlign w:val="bottom"/>
          </w:tcPr>
          <w:p>
            <w:pPr>
              <w:spacing w:after="0"/>
              <w:rPr>
                <w:sz w:val="14"/>
                <w:szCs w:val="14"/>
                <w:color w:val="auto"/>
              </w:rPr>
            </w:pPr>
          </w:p>
        </w:tc>
      </w:tr>
      <w:tr>
        <w:trPr>
          <w:trHeight w:val="55"/>
        </w:trPr>
        <w:tc>
          <w:tcPr>
            <w:tcW w:w="2200" w:type="dxa"/>
            <w:vAlign w:val="bottom"/>
            <w:tcBorders>
              <w:bottom w:val="single" w:sz="8" w:color="7C7C7C"/>
            </w:tcBorders>
          </w:tcPr>
          <w:p>
            <w:pPr>
              <w:spacing w:after="0"/>
              <w:rPr>
                <w:sz w:val="4"/>
                <w:szCs w:val="4"/>
                <w:color w:val="auto"/>
              </w:rPr>
            </w:pPr>
          </w:p>
        </w:tc>
        <w:tc>
          <w:tcPr>
            <w:tcW w:w="2340" w:type="dxa"/>
            <w:vAlign w:val="bottom"/>
            <w:tcBorders>
              <w:bottom w:val="single" w:sz="8" w:color="7C7C7C"/>
            </w:tcBorders>
          </w:tcPr>
          <w:p>
            <w:pPr>
              <w:spacing w:after="0"/>
              <w:rPr>
                <w:sz w:val="4"/>
                <w:szCs w:val="4"/>
                <w:color w:val="auto"/>
              </w:rPr>
            </w:pPr>
          </w:p>
        </w:tc>
        <w:tc>
          <w:tcPr>
            <w:tcW w:w="2200" w:type="dxa"/>
            <w:vAlign w:val="bottom"/>
            <w:tcBorders>
              <w:bottom w:val="single" w:sz="8" w:color="7C7C7C"/>
            </w:tcBorders>
          </w:tcPr>
          <w:p>
            <w:pPr>
              <w:spacing w:after="0"/>
              <w:rPr>
                <w:sz w:val="4"/>
                <w:szCs w:val="4"/>
                <w:color w:val="auto"/>
              </w:rPr>
            </w:pPr>
          </w:p>
        </w:tc>
        <w:tc>
          <w:tcPr>
            <w:tcW w:w="2380" w:type="dxa"/>
            <w:vAlign w:val="bottom"/>
            <w:tcBorders>
              <w:bottom w:val="single" w:sz="8" w:color="7C7C7C"/>
            </w:tcBorders>
          </w:tcPr>
          <w:p>
            <w:pPr>
              <w:spacing w:after="0"/>
              <w:rPr>
                <w:sz w:val="4"/>
                <w:szCs w:val="4"/>
                <w:color w:val="auto"/>
              </w:rPr>
            </w:pPr>
          </w:p>
        </w:tc>
        <w:tc>
          <w:tcPr>
            <w:tcW w:w="2300" w:type="dxa"/>
            <w:vAlign w:val="bottom"/>
            <w:tcBorders>
              <w:bottom w:val="single" w:sz="8" w:color="7C7C7C"/>
            </w:tcBorders>
          </w:tcPr>
          <w:p>
            <w:pPr>
              <w:spacing w:after="0"/>
              <w:rPr>
                <w:sz w:val="4"/>
                <w:szCs w:val="4"/>
                <w:color w:val="auto"/>
              </w:rPr>
            </w:pPr>
          </w:p>
        </w:tc>
      </w:tr>
      <w:tr>
        <w:trPr>
          <w:trHeight w:val="193"/>
        </w:trPr>
        <w:tc>
          <w:tcPr>
            <w:tcW w:w="2200" w:type="dxa"/>
            <w:vAlign w:val="bottom"/>
          </w:tcPr>
          <w:p>
            <w:pPr>
              <w:ind w:left="80"/>
              <w:spacing w:after="0"/>
              <w:rPr>
                <w:sz w:val="20"/>
                <w:szCs w:val="20"/>
                <w:color w:val="auto"/>
              </w:rPr>
            </w:pPr>
            <w:r>
              <w:rPr>
                <w:rFonts w:ascii="Arial" w:cs="Arial" w:eastAsia="Arial" w:hAnsi="Arial"/>
                <w:sz w:val="14"/>
                <w:szCs w:val="14"/>
                <w:b w:val="1"/>
                <w:bCs w:val="1"/>
                <w:color w:val="0E93D8"/>
              </w:rPr>
              <w:t>What goals did the Committee</w:t>
            </w:r>
          </w:p>
        </w:tc>
        <w:tc>
          <w:tcPr>
            <w:tcW w:w="2340" w:type="dxa"/>
            <w:vAlign w:val="bottom"/>
          </w:tcPr>
          <w:p>
            <w:pPr>
              <w:ind w:left="180"/>
              <w:spacing w:after="0"/>
              <w:rPr>
                <w:sz w:val="20"/>
                <w:szCs w:val="20"/>
                <w:color w:val="auto"/>
              </w:rPr>
            </w:pPr>
            <w:r>
              <w:rPr>
                <w:rFonts w:ascii="Arial" w:cs="Arial" w:eastAsia="Arial" w:hAnsi="Arial"/>
                <w:sz w:val="14"/>
                <w:szCs w:val="14"/>
                <w:color w:val="auto"/>
              </w:rPr>
              <w:t>A $5.6 billion adjusted net income</w:t>
            </w:r>
          </w:p>
        </w:tc>
        <w:tc>
          <w:tcPr>
            <w:tcW w:w="2200" w:type="dxa"/>
            <w:vAlign w:val="bottom"/>
          </w:tcPr>
          <w:p>
            <w:pPr>
              <w:ind w:left="140"/>
              <w:spacing w:after="0"/>
              <w:rPr>
                <w:sz w:val="20"/>
                <w:szCs w:val="20"/>
                <w:color w:val="auto"/>
              </w:rPr>
            </w:pPr>
            <w:r>
              <w:rPr>
                <w:rFonts w:ascii="Arial" w:cs="Arial" w:eastAsia="Arial" w:hAnsi="Arial"/>
                <w:sz w:val="14"/>
                <w:szCs w:val="14"/>
                <w:color w:val="auto"/>
              </w:rPr>
              <w:t>$5.0 billion FCF goal.</w:t>
            </w:r>
          </w:p>
        </w:tc>
        <w:tc>
          <w:tcPr>
            <w:tcW w:w="2380" w:type="dxa"/>
            <w:vAlign w:val="bottom"/>
          </w:tcPr>
          <w:p>
            <w:pPr>
              <w:ind w:left="220"/>
              <w:spacing w:after="0"/>
              <w:rPr>
                <w:sz w:val="20"/>
                <w:szCs w:val="20"/>
                <w:color w:val="auto"/>
              </w:rPr>
            </w:pPr>
            <w:r>
              <w:rPr>
                <w:rFonts w:ascii="Arial" w:cs="Arial" w:eastAsia="Arial" w:hAnsi="Arial"/>
                <w:sz w:val="14"/>
                <w:szCs w:val="14"/>
                <w:color w:val="auto"/>
              </w:rPr>
              <w:t>Adjusted EBIT goals ranged from</w:t>
            </w:r>
          </w:p>
        </w:tc>
        <w:tc>
          <w:tcPr>
            <w:tcW w:w="2300" w:type="dxa"/>
            <w:vAlign w:val="bottom"/>
          </w:tcPr>
          <w:p>
            <w:pPr>
              <w:ind w:left="160"/>
              <w:spacing w:after="0"/>
              <w:rPr>
                <w:sz w:val="20"/>
                <w:szCs w:val="20"/>
                <w:color w:val="auto"/>
              </w:rPr>
            </w:pPr>
            <w:r>
              <w:rPr>
                <w:rFonts w:ascii="Arial" w:cs="Arial" w:eastAsia="Arial" w:hAnsi="Arial"/>
                <w:sz w:val="14"/>
                <w:szCs w:val="14"/>
                <w:color w:val="auto"/>
              </w:rPr>
              <w:t>FCF goals ranged from $1.0 to</w:t>
            </w:r>
          </w:p>
        </w:tc>
      </w:tr>
      <w:tr>
        <w:trPr>
          <w:trHeight w:val="165"/>
        </w:trPr>
        <w:tc>
          <w:tcPr>
            <w:tcW w:w="2200" w:type="dxa"/>
            <w:vAlign w:val="bottom"/>
          </w:tcPr>
          <w:p>
            <w:pPr>
              <w:ind w:left="80"/>
              <w:spacing w:after="0"/>
              <w:rPr>
                <w:sz w:val="20"/>
                <w:szCs w:val="20"/>
                <w:color w:val="auto"/>
              </w:rPr>
            </w:pPr>
            <w:r>
              <w:rPr>
                <w:rFonts w:ascii="Arial" w:cs="Arial" w:eastAsia="Arial" w:hAnsi="Arial"/>
                <w:sz w:val="14"/>
                <w:szCs w:val="14"/>
                <w:b w:val="1"/>
                <w:bCs w:val="1"/>
                <w:color w:val="0E93D8"/>
              </w:rPr>
              <w:t>set for 2018?</w:t>
            </w:r>
          </w:p>
        </w:tc>
        <w:tc>
          <w:tcPr>
            <w:tcW w:w="2340" w:type="dxa"/>
            <w:vAlign w:val="bottom"/>
          </w:tcPr>
          <w:p>
            <w:pPr>
              <w:ind w:left="180"/>
              <w:spacing w:after="0"/>
              <w:rPr>
                <w:sz w:val="20"/>
                <w:szCs w:val="20"/>
                <w:color w:val="auto"/>
              </w:rPr>
            </w:pPr>
            <w:r>
              <w:rPr>
                <w:rFonts w:ascii="Arial" w:cs="Arial" w:eastAsia="Arial" w:hAnsi="Arial"/>
                <w:sz w:val="14"/>
                <w:szCs w:val="14"/>
                <w:color w:val="auto"/>
              </w:rPr>
              <w:t>goal was set to correspond to an</w:t>
            </w:r>
          </w:p>
        </w:tc>
        <w:tc>
          <w:tcPr>
            <w:tcW w:w="220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Arial" w:cs="Arial" w:eastAsia="Arial" w:hAnsi="Arial"/>
                <w:sz w:val="14"/>
                <w:szCs w:val="14"/>
                <w:color w:val="auto"/>
              </w:rPr>
              <w:t>$1.5 to $3.1 billion.</w:t>
            </w:r>
          </w:p>
        </w:tc>
        <w:tc>
          <w:tcPr>
            <w:tcW w:w="2300" w:type="dxa"/>
            <w:vAlign w:val="bottom"/>
          </w:tcPr>
          <w:p>
            <w:pPr>
              <w:ind w:left="160"/>
              <w:spacing w:after="0"/>
              <w:rPr>
                <w:sz w:val="20"/>
                <w:szCs w:val="20"/>
                <w:color w:val="auto"/>
              </w:rPr>
            </w:pPr>
            <w:r>
              <w:rPr>
                <w:rFonts w:ascii="Arial" w:cs="Arial" w:eastAsia="Arial" w:hAnsi="Arial"/>
                <w:sz w:val="14"/>
                <w:szCs w:val="14"/>
                <w:color w:val="auto"/>
              </w:rPr>
              <w:t>$2.1 billion.</w:t>
            </w:r>
          </w:p>
        </w:tc>
      </w:tr>
      <w:tr>
        <w:trPr>
          <w:trHeight w:val="149"/>
        </w:trPr>
        <w:tc>
          <w:tcPr>
            <w:tcW w:w="220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adjusted EPS of $7.00, which fell</w:t>
            </w:r>
          </w:p>
        </w:tc>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within the EPS range</w:t>
            </w:r>
          </w:p>
        </w:tc>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communicated to investors at the</w:t>
            </w:r>
          </w:p>
        </w:tc>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62"/>
        </w:trPr>
        <w:tc>
          <w:tcPr>
            <w:tcW w:w="220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Arial" w:cs="Arial" w:eastAsia="Arial" w:hAnsi="Arial"/>
                <w:sz w:val="14"/>
                <w:szCs w:val="14"/>
                <w:color w:val="auto"/>
              </w:rPr>
              <w:t>beginning of the year.</w:t>
            </w:r>
          </w:p>
        </w:tc>
        <w:tc>
          <w:tcPr>
            <w:tcW w:w="2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55"/>
        </w:trPr>
        <w:tc>
          <w:tcPr>
            <w:tcW w:w="2200" w:type="dxa"/>
            <w:vAlign w:val="bottom"/>
            <w:tcBorders>
              <w:bottom w:val="single" w:sz="8" w:color="7C7C7C"/>
            </w:tcBorders>
          </w:tcPr>
          <w:p>
            <w:pPr>
              <w:spacing w:after="0"/>
              <w:rPr>
                <w:sz w:val="4"/>
                <w:szCs w:val="4"/>
                <w:color w:val="auto"/>
              </w:rPr>
            </w:pPr>
          </w:p>
        </w:tc>
        <w:tc>
          <w:tcPr>
            <w:tcW w:w="2340" w:type="dxa"/>
            <w:vAlign w:val="bottom"/>
            <w:tcBorders>
              <w:bottom w:val="single" w:sz="8" w:color="7C7C7C"/>
            </w:tcBorders>
          </w:tcPr>
          <w:p>
            <w:pPr>
              <w:spacing w:after="0"/>
              <w:rPr>
                <w:sz w:val="4"/>
                <w:szCs w:val="4"/>
                <w:color w:val="auto"/>
              </w:rPr>
            </w:pPr>
          </w:p>
        </w:tc>
        <w:tc>
          <w:tcPr>
            <w:tcW w:w="2200" w:type="dxa"/>
            <w:vAlign w:val="bottom"/>
            <w:tcBorders>
              <w:bottom w:val="single" w:sz="8" w:color="7C7C7C"/>
            </w:tcBorders>
          </w:tcPr>
          <w:p>
            <w:pPr>
              <w:spacing w:after="0"/>
              <w:rPr>
                <w:sz w:val="4"/>
                <w:szCs w:val="4"/>
                <w:color w:val="auto"/>
              </w:rPr>
            </w:pPr>
          </w:p>
        </w:tc>
        <w:tc>
          <w:tcPr>
            <w:tcW w:w="2380" w:type="dxa"/>
            <w:vAlign w:val="bottom"/>
            <w:tcBorders>
              <w:bottom w:val="single" w:sz="8" w:color="7C7C7C"/>
            </w:tcBorders>
          </w:tcPr>
          <w:p>
            <w:pPr>
              <w:spacing w:after="0"/>
              <w:rPr>
                <w:sz w:val="4"/>
                <w:szCs w:val="4"/>
                <w:color w:val="auto"/>
              </w:rPr>
            </w:pPr>
          </w:p>
        </w:tc>
        <w:tc>
          <w:tcPr>
            <w:tcW w:w="2300" w:type="dxa"/>
            <w:vAlign w:val="bottom"/>
            <w:tcBorders>
              <w:bottom w:val="single" w:sz="8" w:color="7C7C7C"/>
            </w:tcBorders>
          </w:tcPr>
          <w:p>
            <w:pPr>
              <w:spacing w:after="0"/>
              <w:rPr>
                <w:sz w:val="4"/>
                <w:szCs w:val="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 See Appendix B on page 88 for a detailed definition on how we calculate earnings and FCF for the purposes of determining the UTC and business unit financial performance factors.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PAYOUT FACTORS</w:t>
      </w:r>
    </w:p>
    <w:p>
      <w:pPr>
        <w:spacing w:after="0" w:line="2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Payout factors begin at 50% of target (for threshold-level performance) and are capped at 200% of target (for maximum-level performance). There are no payouts for below threshold-level performance and at no point can the Committee approve a payout factor above 200% of target.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gridSpan w:val="2"/>
          </w:tcPr>
          <w:p>
            <w:pPr>
              <w:ind w:left="80"/>
              <w:spacing w:after="0"/>
              <w:rPr>
                <w:sz w:val="20"/>
                <w:szCs w:val="20"/>
                <w:color w:val="auto"/>
              </w:rPr>
            </w:pPr>
            <w:r>
              <w:rPr>
                <w:rFonts w:ascii="Arial" w:cs="Arial" w:eastAsia="Arial" w:hAnsi="Arial"/>
                <w:sz w:val="14"/>
                <w:szCs w:val="14"/>
                <w:b w:val="1"/>
                <w:bCs w:val="1"/>
                <w:color w:val="0E93D8"/>
              </w:rPr>
              <w:t>UTC Earnings Goal*</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Threshold</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Target</w:t>
            </w:r>
          </w:p>
        </w:tc>
        <w:tc>
          <w:tcPr>
            <w:tcW w:w="1140" w:type="dxa"/>
            <w:vAlign w:val="bottom"/>
          </w:tcPr>
          <w:p>
            <w:pPr>
              <w:jc w:val="right"/>
              <w:ind w:right="12"/>
              <w:spacing w:after="0"/>
              <w:rPr>
                <w:sz w:val="20"/>
                <w:szCs w:val="20"/>
                <w:color w:val="auto"/>
              </w:rPr>
            </w:pPr>
            <w:r>
              <w:rPr>
                <w:rFonts w:ascii="Arial" w:cs="Arial" w:eastAsia="Arial" w:hAnsi="Arial"/>
                <w:sz w:val="14"/>
                <w:szCs w:val="14"/>
                <w:b w:val="1"/>
                <w:bCs w:val="1"/>
                <w:color w:val="0E93D8"/>
              </w:rPr>
              <w:t>Maximum</w:t>
            </w:r>
          </w:p>
        </w:tc>
      </w:tr>
      <w:tr>
        <w:trPr>
          <w:trHeight w:val="61"/>
        </w:trPr>
        <w:tc>
          <w:tcPr>
            <w:tcW w:w="7640" w:type="dxa"/>
            <w:vAlign w:val="bottom"/>
            <w:shd w:val="clear" w:color="auto" w:fill="DAE9F7"/>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r>
      <w:tr>
        <w:trPr>
          <w:trHeight w:val="202"/>
        </w:trPr>
        <w:tc>
          <w:tcPr>
            <w:tcW w:w="7740" w:type="dxa"/>
            <w:vAlign w:val="bottom"/>
            <w:gridSpan w:val="2"/>
          </w:tcPr>
          <w:p>
            <w:pPr>
              <w:ind w:left="80"/>
              <w:spacing w:after="0"/>
              <w:rPr>
                <w:sz w:val="20"/>
                <w:szCs w:val="20"/>
                <w:color w:val="auto"/>
              </w:rPr>
            </w:pPr>
            <w:r>
              <w:rPr>
                <w:rFonts w:ascii="Arial" w:cs="Arial" w:eastAsia="Arial" w:hAnsi="Arial"/>
                <w:sz w:val="14"/>
                <w:szCs w:val="14"/>
                <w:color w:val="auto"/>
              </w:rPr>
              <w:t>Adjusted 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$5.1 billion</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$5.6 billion</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$6.2 billion</w:t>
            </w:r>
          </w:p>
        </w:tc>
      </w:tr>
      <w:tr>
        <w:trPr>
          <w:trHeight w:val="41"/>
        </w:trPr>
        <w:tc>
          <w:tcPr>
            <w:tcW w:w="7740" w:type="dxa"/>
            <w:vAlign w:val="bottom"/>
            <w:tcBorders>
              <w:bottom w:val="single" w:sz="8" w:color="7C7C7C"/>
            </w:tcBorders>
            <w:gridSpan w:val="2"/>
          </w:tcPr>
          <w:p>
            <w:pPr>
              <w:spacing w:after="0"/>
              <w:rPr>
                <w:sz w:val="3"/>
                <w:szCs w:val="3"/>
                <w:color w:val="auto"/>
              </w:rPr>
            </w:pPr>
          </w:p>
        </w:tc>
        <w:tc>
          <w:tcPr>
            <w:tcW w:w="11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196"/>
        </w:trPr>
        <w:tc>
          <w:tcPr>
            <w:tcW w:w="7740" w:type="dxa"/>
            <w:vAlign w:val="bottom"/>
            <w:gridSpan w:val="2"/>
          </w:tcPr>
          <w:p>
            <w:pPr>
              <w:ind w:left="80"/>
              <w:spacing w:after="0"/>
              <w:rPr>
                <w:sz w:val="20"/>
                <w:szCs w:val="20"/>
                <w:color w:val="auto"/>
              </w:rPr>
            </w:pPr>
            <w:r>
              <w:rPr>
                <w:rFonts w:ascii="Arial" w:cs="Arial" w:eastAsia="Arial" w:hAnsi="Arial"/>
                <w:sz w:val="14"/>
                <w:szCs w:val="14"/>
                <w:color w:val="auto"/>
              </w:rPr>
              <w:t>Payout Factor (as a % of target)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200%</w:t>
            </w:r>
          </w:p>
        </w:tc>
      </w:tr>
      <w:tr>
        <w:trPr>
          <w:trHeight w:val="41"/>
        </w:trPr>
        <w:tc>
          <w:tcPr>
            <w:tcW w:w="7740" w:type="dxa"/>
            <w:vAlign w:val="bottom"/>
            <w:tcBorders>
              <w:bottom w:val="single" w:sz="8" w:color="7C7C7C"/>
            </w:tcBorders>
            <w:gridSpan w:val="2"/>
          </w:tcPr>
          <w:p>
            <w:pPr>
              <w:spacing w:after="0"/>
              <w:rPr>
                <w:sz w:val="3"/>
                <w:szCs w:val="3"/>
                <w:color w:val="auto"/>
              </w:rPr>
            </w:pPr>
          </w:p>
        </w:tc>
        <w:tc>
          <w:tcPr>
            <w:tcW w:w="1280" w:type="dxa"/>
            <w:vAlign w:val="bottom"/>
            <w:tcBorders>
              <w:bottom w:val="single" w:sz="8" w:color="7C7C7C"/>
            </w:tcBorders>
            <w:gridSpan w:val="2"/>
          </w:tcPr>
          <w:p>
            <w:pPr>
              <w:spacing w:after="0"/>
              <w:rPr>
                <w:sz w:val="3"/>
                <w:szCs w:val="3"/>
                <w:color w:val="auto"/>
              </w:rPr>
            </w:pPr>
          </w:p>
        </w:tc>
        <w:tc>
          <w:tcPr>
            <w:tcW w:w="1260" w:type="dxa"/>
            <w:vAlign w:val="bottom"/>
            <w:tcBorders>
              <w:bottom w:val="single" w:sz="8" w:color="7C7C7C"/>
            </w:tcBorders>
            <w:gridSpan w:val="2"/>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405"/>
        </w:trPr>
        <w:tc>
          <w:tcPr>
            <w:tcW w:w="7740" w:type="dxa"/>
            <w:vAlign w:val="bottom"/>
            <w:gridSpan w:val="2"/>
          </w:tcPr>
          <w:p>
            <w:pPr>
              <w:ind w:left="80"/>
              <w:spacing w:after="0"/>
              <w:rPr>
                <w:sz w:val="20"/>
                <w:szCs w:val="20"/>
                <w:color w:val="auto"/>
              </w:rPr>
            </w:pPr>
            <w:r>
              <w:rPr>
                <w:rFonts w:ascii="Arial" w:cs="Arial" w:eastAsia="Arial" w:hAnsi="Arial"/>
                <w:sz w:val="14"/>
                <w:szCs w:val="14"/>
                <w:b w:val="1"/>
                <w:bCs w:val="1"/>
                <w:color w:val="0E93D8"/>
              </w:rPr>
              <w:t>UTC Free Cash Flow Goal*</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Threshold</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Target</w:t>
            </w:r>
          </w:p>
        </w:tc>
        <w:tc>
          <w:tcPr>
            <w:tcW w:w="1140" w:type="dxa"/>
            <w:vAlign w:val="bottom"/>
          </w:tcPr>
          <w:p>
            <w:pPr>
              <w:jc w:val="right"/>
              <w:ind w:right="12"/>
              <w:spacing w:after="0"/>
              <w:rPr>
                <w:sz w:val="20"/>
                <w:szCs w:val="20"/>
                <w:color w:val="auto"/>
              </w:rPr>
            </w:pPr>
            <w:r>
              <w:rPr>
                <w:rFonts w:ascii="Arial" w:cs="Arial" w:eastAsia="Arial" w:hAnsi="Arial"/>
                <w:sz w:val="14"/>
                <w:szCs w:val="14"/>
                <w:b w:val="1"/>
                <w:bCs w:val="1"/>
                <w:color w:val="0E93D8"/>
              </w:rPr>
              <w:t>Maximum</w:t>
            </w:r>
          </w:p>
        </w:tc>
      </w:tr>
      <w:tr>
        <w:trPr>
          <w:trHeight w:val="61"/>
        </w:trPr>
        <w:tc>
          <w:tcPr>
            <w:tcW w:w="7640" w:type="dxa"/>
            <w:vAlign w:val="bottom"/>
            <w:shd w:val="clear" w:color="auto" w:fill="DAE9F7"/>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r>
      <w:tr>
        <w:trPr>
          <w:trHeight w:val="202"/>
        </w:trPr>
        <w:tc>
          <w:tcPr>
            <w:tcW w:w="7740" w:type="dxa"/>
            <w:vAlign w:val="bottom"/>
            <w:gridSpan w:val="2"/>
          </w:tcPr>
          <w:p>
            <w:pPr>
              <w:ind w:left="80"/>
              <w:spacing w:after="0"/>
              <w:rPr>
                <w:sz w:val="20"/>
                <w:szCs w:val="20"/>
                <w:color w:val="auto"/>
              </w:rPr>
            </w:pPr>
            <w:r>
              <w:rPr>
                <w:rFonts w:ascii="Arial" w:cs="Arial" w:eastAsia="Arial" w:hAnsi="Arial"/>
                <w:sz w:val="14"/>
                <w:szCs w:val="14"/>
                <w:color w:val="auto"/>
              </w:rPr>
              <w:t>Free Cash Flow</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$3.8 billion</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$5.0 billion</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$6.3 billion</w:t>
            </w:r>
          </w:p>
        </w:tc>
      </w:tr>
      <w:tr>
        <w:trPr>
          <w:trHeight w:val="41"/>
        </w:trPr>
        <w:tc>
          <w:tcPr>
            <w:tcW w:w="76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196"/>
        </w:trPr>
        <w:tc>
          <w:tcPr>
            <w:tcW w:w="7740" w:type="dxa"/>
            <w:vAlign w:val="bottom"/>
            <w:gridSpan w:val="2"/>
          </w:tcPr>
          <w:p>
            <w:pPr>
              <w:ind w:left="80"/>
              <w:spacing w:after="0"/>
              <w:rPr>
                <w:sz w:val="20"/>
                <w:szCs w:val="20"/>
                <w:color w:val="auto"/>
              </w:rPr>
            </w:pPr>
            <w:r>
              <w:rPr>
                <w:rFonts w:ascii="Arial" w:cs="Arial" w:eastAsia="Arial" w:hAnsi="Arial"/>
                <w:sz w:val="14"/>
                <w:szCs w:val="14"/>
                <w:color w:val="auto"/>
              </w:rPr>
              <w:t>Payout Factor (as a % of target)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200%</w:t>
            </w:r>
          </w:p>
        </w:tc>
      </w:tr>
      <w:tr>
        <w:trPr>
          <w:trHeight w:val="41"/>
        </w:trPr>
        <w:tc>
          <w:tcPr>
            <w:tcW w:w="76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bl>
    <w:p>
      <w:pPr>
        <w:spacing w:after="0" w:line="242" w:lineRule="exact"/>
        <w:rPr>
          <w:sz w:val="20"/>
          <w:szCs w:val="20"/>
          <w:color w:val="auto"/>
        </w:rPr>
      </w:pPr>
    </w:p>
    <w:p>
      <w:pPr>
        <w:ind w:left="120" w:hanging="112"/>
        <w:spacing w:after="0"/>
        <w:tabs>
          <w:tab w:leader="none" w:pos="1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Reflects the goals set for the UTC financial performance factor. Earnings and FCF goals for our business units vary.</w:t>
      </w:r>
    </w:p>
    <w:p>
      <w:pPr>
        <w:spacing w:after="0" w:line="226"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8"/>
          <w:szCs w:val="18"/>
          <w:b w:val="1"/>
          <w:bCs w:val="1"/>
          <w:color w:val="FFFFFF"/>
        </w:rPr>
        <w:t>42</w:t>
      </w:r>
      <w:r>
        <w:rPr>
          <w:rFonts w:ascii="Arial" w:cs="Arial" w:eastAsia="Arial" w:hAnsi="Arial"/>
          <w:sz w:val="12"/>
          <w:szCs w:val="12"/>
          <w:color w:val="0F94D8"/>
        </w:rPr>
        <w:t xml:space="preserve">United Technologies </w:t>
      </w:r>
      <w:r>
        <w:rPr>
          <w:rFonts w:ascii="Arial" w:cs="Arial" w:eastAsia="Arial" w:hAnsi="Arial"/>
          <w:sz w:val="12"/>
          <w:szCs w:val="12"/>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HOW 2018 FINANCIAL PERFORMANCE RESULTS LED TO THE FINANCIAL PERFORMANCE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-90805</wp:posOffset>
            </wp:positionV>
            <wp:extent cx="3027045" cy="946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027045" cy="9461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80"/>
        <w:spacing w:after="0" w:line="293" w:lineRule="auto"/>
        <w:rPr>
          <w:sz w:val="20"/>
          <w:szCs w:val="20"/>
          <w:color w:val="auto"/>
        </w:rPr>
      </w:pPr>
      <w:r>
        <w:rPr>
          <w:rFonts w:ascii="Arial" w:cs="Arial" w:eastAsia="Arial" w:hAnsi="Arial"/>
          <w:sz w:val="12"/>
          <w:szCs w:val="12"/>
          <w:b w:val="1"/>
          <w:bCs w:val="1"/>
          <w:color w:val="0E93D8"/>
        </w:rPr>
        <w:t>What 2018 financial results were used to determine the financial performance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138938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8938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UTC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2540</wp:posOffset>
            </wp:positionV>
            <wp:extent cx="138938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89380" cy="34290"/>
                    </a:xfrm>
                    <a:prstGeom prst="rect">
                      <a:avLst/>
                    </a:prstGeom>
                    <a:noFill/>
                  </pic:spPr>
                </pic:pic>
              </a:graphicData>
            </a:graphic>
          </wp:anchor>
        </w:drawing>
      </w:r>
    </w:p>
    <w:p>
      <w:pPr>
        <w:spacing w:after="0" w:line="105"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UTC’s adjusted 2018 net income was $6.2 billion. The Committee subsequently adjusted out the benefit of the Rockwell Collins acquisition, which was completed in the last quarter of the performance period, and neutralized the effect of the Tax Reform and Jobs Act. The resulting net income used for annual bonus purposes was $5.9 billion.</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180" w:type="dxa"/>
            <w:vAlign w:val="bottom"/>
            <w:tcBorders>
              <w:bottom w:val="single" w:sz="8" w:color="0F94D8"/>
            </w:tcBorders>
          </w:tcPr>
          <w:p>
            <w:pPr>
              <w:ind w:left="80"/>
              <w:spacing w:after="0"/>
              <w:rPr>
                <w:sz w:val="20"/>
                <w:szCs w:val="20"/>
                <w:color w:val="auto"/>
              </w:rPr>
            </w:pPr>
            <w:r>
              <w:rPr>
                <w:rFonts w:ascii="Arial" w:cs="Arial" w:eastAsia="Arial" w:hAnsi="Arial"/>
                <w:sz w:val="14"/>
                <w:szCs w:val="14"/>
                <w:b w:val="1"/>
                <w:bCs w:val="1"/>
                <w:color w:val="0E93D8"/>
              </w:rPr>
              <w:t>UTC FCF</w:t>
            </w:r>
          </w:p>
        </w:tc>
        <w:tc>
          <w:tcPr>
            <w:tcW w:w="120" w:type="dxa"/>
            <w:vAlign w:val="bottom"/>
          </w:tcPr>
          <w:p>
            <w:pPr>
              <w:spacing w:after="0"/>
              <w:rPr>
                <w:sz w:val="17"/>
                <w:szCs w:val="17"/>
                <w:color w:val="auto"/>
              </w:rPr>
            </w:pPr>
          </w:p>
        </w:tc>
        <w:tc>
          <w:tcPr>
            <w:tcW w:w="2200" w:type="dxa"/>
            <w:vAlign w:val="bottom"/>
            <w:tcBorders>
              <w:bottom w:val="single" w:sz="8" w:color="0F94D8"/>
            </w:tcBorders>
          </w:tcPr>
          <w:p>
            <w:pPr>
              <w:ind w:left="60"/>
              <w:spacing w:after="0"/>
              <w:rPr>
                <w:sz w:val="20"/>
                <w:szCs w:val="20"/>
                <w:color w:val="auto"/>
              </w:rPr>
            </w:pPr>
            <w:r>
              <w:rPr>
                <w:rFonts w:ascii="Arial" w:cs="Arial" w:eastAsia="Arial" w:hAnsi="Arial"/>
                <w:sz w:val="14"/>
                <w:szCs w:val="14"/>
                <w:b w:val="1"/>
                <w:bCs w:val="1"/>
                <w:color w:val="0E93D8"/>
              </w:rPr>
              <w:t>Business Unit Earnings</w:t>
            </w:r>
          </w:p>
        </w:tc>
        <w:tc>
          <w:tcPr>
            <w:tcW w:w="100" w:type="dxa"/>
            <w:vAlign w:val="bottom"/>
          </w:tcPr>
          <w:p>
            <w:pPr>
              <w:spacing w:after="0"/>
              <w:rPr>
                <w:sz w:val="17"/>
                <w:szCs w:val="17"/>
                <w:color w:val="auto"/>
              </w:rPr>
            </w:pPr>
          </w:p>
        </w:tc>
        <w:tc>
          <w:tcPr>
            <w:tcW w:w="2220" w:type="dxa"/>
            <w:vAlign w:val="bottom"/>
            <w:tcBorders>
              <w:bottom w:val="single" w:sz="8" w:color="0F94D8"/>
            </w:tcBorders>
          </w:tcPr>
          <w:p>
            <w:pPr>
              <w:ind w:left="80"/>
              <w:spacing w:after="0"/>
              <w:rPr>
                <w:sz w:val="20"/>
                <w:szCs w:val="20"/>
                <w:color w:val="auto"/>
              </w:rPr>
            </w:pPr>
            <w:r>
              <w:rPr>
                <w:rFonts w:ascii="Arial" w:cs="Arial" w:eastAsia="Arial" w:hAnsi="Arial"/>
                <w:sz w:val="14"/>
                <w:szCs w:val="14"/>
                <w:b w:val="1"/>
                <w:bCs w:val="1"/>
                <w:color w:val="0E93D8"/>
              </w:rPr>
              <w:t>Business Units FCF</w:t>
            </w:r>
          </w:p>
        </w:tc>
      </w:tr>
      <w:tr>
        <w:trPr>
          <w:trHeight w:val="215"/>
        </w:trPr>
        <w:tc>
          <w:tcPr>
            <w:tcW w:w="2300" w:type="dxa"/>
            <w:vAlign w:val="bottom"/>
            <w:gridSpan w:val="2"/>
          </w:tcPr>
          <w:p>
            <w:pPr>
              <w:ind w:left="80"/>
              <w:spacing w:after="0"/>
              <w:rPr>
                <w:sz w:val="20"/>
                <w:szCs w:val="20"/>
                <w:color w:val="auto"/>
              </w:rPr>
            </w:pPr>
            <w:r>
              <w:rPr>
                <w:rFonts w:ascii="Arial" w:cs="Arial" w:eastAsia="Arial" w:hAnsi="Arial"/>
                <w:sz w:val="14"/>
                <w:szCs w:val="14"/>
                <w:color w:val="auto"/>
              </w:rPr>
              <w:t>UTC’s free cash flow was $4.4</w:t>
            </w:r>
          </w:p>
        </w:tc>
        <w:tc>
          <w:tcPr>
            <w:tcW w:w="2300" w:type="dxa"/>
            <w:vAlign w:val="bottom"/>
            <w:gridSpan w:val="2"/>
          </w:tcPr>
          <w:p>
            <w:pPr>
              <w:ind w:left="60"/>
              <w:spacing w:after="0"/>
              <w:rPr>
                <w:sz w:val="20"/>
                <w:szCs w:val="20"/>
                <w:color w:val="auto"/>
              </w:rPr>
            </w:pPr>
            <w:r>
              <w:rPr>
                <w:rFonts w:ascii="Arial" w:cs="Arial" w:eastAsia="Arial" w:hAnsi="Arial"/>
                <w:sz w:val="14"/>
                <w:szCs w:val="14"/>
                <w:color w:val="auto"/>
              </w:rPr>
              <w:t>Adjusted business unit EBIT</w:t>
            </w:r>
          </w:p>
        </w:tc>
        <w:tc>
          <w:tcPr>
            <w:tcW w:w="2220" w:type="dxa"/>
            <w:vAlign w:val="bottom"/>
          </w:tcPr>
          <w:p>
            <w:pPr>
              <w:ind w:left="80"/>
              <w:spacing w:after="0"/>
              <w:rPr>
                <w:sz w:val="20"/>
                <w:szCs w:val="20"/>
                <w:color w:val="auto"/>
              </w:rPr>
            </w:pPr>
            <w:r>
              <w:rPr>
                <w:rFonts w:ascii="Arial" w:cs="Arial" w:eastAsia="Arial" w:hAnsi="Arial"/>
                <w:sz w:val="14"/>
                <w:szCs w:val="14"/>
                <w:color w:val="auto"/>
              </w:rPr>
              <w:t>Free cash flow results for the</w:t>
            </w: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billion, which was adjusted to $4.9</w:t>
            </w:r>
          </w:p>
        </w:tc>
        <w:tc>
          <w:tcPr>
            <w:tcW w:w="2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ranged from $1.6 to $3.1 billion.</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business units ranged from $1.2</w:t>
            </w: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billion for annual bonus purposes</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to $2.0 billion.</w:t>
            </w: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to exclude restructuring, non-</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recurring and other significant,</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non-operational items, including</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the benefit of the Rockwell Collins</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acquisition that occurred in the</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2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last quarter of the performance</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2"/>
        </w:trPr>
        <w:tc>
          <w:tcPr>
            <w:tcW w:w="2300" w:type="dxa"/>
            <w:vAlign w:val="bottom"/>
            <w:gridSpan w:val="2"/>
          </w:tcPr>
          <w:p>
            <w:pPr>
              <w:ind w:left="80"/>
              <w:spacing w:after="0"/>
              <w:rPr>
                <w:sz w:val="20"/>
                <w:szCs w:val="20"/>
                <w:color w:val="auto"/>
              </w:rPr>
            </w:pPr>
            <w:r>
              <w:rPr>
                <w:rFonts w:ascii="Arial" w:cs="Arial" w:eastAsia="Arial" w:hAnsi="Arial"/>
                <w:sz w:val="14"/>
                <w:szCs w:val="14"/>
                <w:color w:val="auto"/>
              </w:rPr>
              <w:t>period.</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223520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3" w:lineRule="exact"/>
        <w:rPr>
          <w:sz w:val="20"/>
          <w:szCs w:val="20"/>
          <w:color w:val="auto"/>
        </w:rPr>
      </w:pPr>
    </w:p>
    <w:p>
      <w:pPr>
        <w:sectPr>
          <w:pgSz w:w="11900" w:h="16838" w:orient="portrait"/>
          <w:cols w:equalWidth="0" w:num="3">
            <w:col w:w="2060" w:space="320"/>
            <w:col w:w="2000" w:space="220"/>
            <w:col w:w="6840"/>
          </w:cols>
          <w:pgMar w:left="240" w:top="121" w:right="2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220" w:type="dxa"/>
            <w:vAlign w:val="bottom"/>
          </w:tcPr>
          <w:p>
            <w:pPr>
              <w:ind w:left="80"/>
              <w:spacing w:after="0"/>
              <w:rPr>
                <w:sz w:val="20"/>
                <w:szCs w:val="20"/>
                <w:color w:val="auto"/>
              </w:rPr>
            </w:pPr>
            <w:r>
              <w:rPr>
                <w:rFonts w:ascii="Arial" w:cs="Arial" w:eastAsia="Arial" w:hAnsi="Arial"/>
                <w:sz w:val="14"/>
                <w:szCs w:val="14"/>
                <w:b w:val="1"/>
                <w:bCs w:val="1"/>
                <w:color w:val="0E93D8"/>
              </w:rPr>
              <w:t>What were the payout factors</w:t>
            </w:r>
          </w:p>
        </w:tc>
        <w:tc>
          <w:tcPr>
            <w:tcW w:w="1760" w:type="dxa"/>
            <w:vAlign w:val="bottom"/>
          </w:tcPr>
          <w:p>
            <w:pPr>
              <w:ind w:left="160"/>
              <w:spacing w:after="0"/>
              <w:rPr>
                <w:sz w:val="20"/>
                <w:szCs w:val="20"/>
                <w:color w:val="auto"/>
              </w:rPr>
            </w:pPr>
            <w:r>
              <w:rPr>
                <w:rFonts w:ascii="Arial" w:cs="Arial" w:eastAsia="Arial" w:hAnsi="Arial"/>
                <w:sz w:val="14"/>
                <w:szCs w:val="14"/>
                <w:color w:val="auto"/>
              </w:rPr>
              <w:t>152% of target.</w:t>
            </w:r>
          </w:p>
        </w:tc>
        <w:tc>
          <w:tcPr>
            <w:tcW w:w="2840" w:type="dxa"/>
            <w:vAlign w:val="bottom"/>
          </w:tcPr>
          <w:p>
            <w:pPr>
              <w:ind w:left="700"/>
              <w:spacing w:after="0"/>
              <w:rPr>
                <w:sz w:val="20"/>
                <w:szCs w:val="20"/>
                <w:color w:val="auto"/>
              </w:rPr>
            </w:pPr>
            <w:r>
              <w:rPr>
                <w:rFonts w:ascii="Arial" w:cs="Arial" w:eastAsia="Arial" w:hAnsi="Arial"/>
                <w:sz w:val="14"/>
                <w:szCs w:val="14"/>
                <w:color w:val="auto"/>
              </w:rPr>
              <w:t>95% of target.</w:t>
            </w:r>
          </w:p>
        </w:tc>
        <w:tc>
          <w:tcPr>
            <w:tcW w:w="2180" w:type="dxa"/>
            <w:vAlign w:val="bottom"/>
          </w:tcPr>
          <w:p>
            <w:pPr>
              <w:ind w:left="140"/>
              <w:spacing w:after="0"/>
              <w:rPr>
                <w:sz w:val="20"/>
                <w:szCs w:val="20"/>
                <w:color w:val="auto"/>
              </w:rPr>
            </w:pPr>
            <w:r>
              <w:rPr>
                <w:rFonts w:ascii="Arial" w:cs="Arial" w:eastAsia="Arial" w:hAnsi="Arial"/>
                <w:sz w:val="14"/>
                <w:szCs w:val="14"/>
                <w:color w:val="auto"/>
              </w:rPr>
              <w:t>Ranged from 77% to 114% of</w:t>
            </w:r>
          </w:p>
        </w:tc>
        <w:tc>
          <w:tcPr>
            <w:tcW w:w="2420" w:type="dxa"/>
            <w:vAlign w:val="bottom"/>
          </w:tcPr>
          <w:p>
            <w:pPr>
              <w:ind w:left="280"/>
              <w:spacing w:after="0"/>
              <w:rPr>
                <w:sz w:val="20"/>
                <w:szCs w:val="20"/>
                <w:color w:val="auto"/>
              </w:rPr>
            </w:pPr>
            <w:r>
              <w:rPr>
                <w:rFonts w:ascii="Arial" w:cs="Arial" w:eastAsia="Arial" w:hAnsi="Arial"/>
                <w:sz w:val="14"/>
                <w:szCs w:val="14"/>
                <w:color w:val="auto"/>
              </w:rPr>
              <w:t>Ranged from 80% to 200% of</w:t>
            </w:r>
          </w:p>
        </w:tc>
      </w:tr>
      <w:tr>
        <w:trPr>
          <w:trHeight w:val="178"/>
        </w:trPr>
        <w:tc>
          <w:tcPr>
            <w:tcW w:w="2220" w:type="dxa"/>
            <w:vAlign w:val="bottom"/>
          </w:tcPr>
          <w:p>
            <w:pPr>
              <w:ind w:left="80"/>
              <w:spacing w:after="0"/>
              <w:rPr>
                <w:sz w:val="20"/>
                <w:szCs w:val="20"/>
                <w:color w:val="auto"/>
              </w:rPr>
            </w:pPr>
            <w:r>
              <w:rPr>
                <w:rFonts w:ascii="Arial" w:cs="Arial" w:eastAsia="Arial" w:hAnsi="Arial"/>
                <w:sz w:val="14"/>
                <w:szCs w:val="14"/>
                <w:b w:val="1"/>
                <w:bCs w:val="1"/>
                <w:color w:val="0E93D8"/>
              </w:rPr>
              <w:t>for each metric?</w:t>
            </w:r>
          </w:p>
        </w:tc>
        <w:tc>
          <w:tcPr>
            <w:tcW w:w="17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180" w:type="dxa"/>
            <w:vAlign w:val="bottom"/>
          </w:tcPr>
          <w:p>
            <w:pPr>
              <w:ind w:left="140"/>
              <w:spacing w:after="0"/>
              <w:rPr>
                <w:sz w:val="20"/>
                <w:szCs w:val="20"/>
                <w:color w:val="auto"/>
              </w:rPr>
            </w:pPr>
            <w:r>
              <w:rPr>
                <w:rFonts w:ascii="Arial" w:cs="Arial" w:eastAsia="Arial" w:hAnsi="Arial"/>
                <w:sz w:val="14"/>
                <w:szCs w:val="14"/>
                <w:color w:val="auto"/>
              </w:rPr>
              <w:t>target.</w:t>
            </w:r>
          </w:p>
        </w:tc>
        <w:tc>
          <w:tcPr>
            <w:tcW w:w="2420" w:type="dxa"/>
            <w:vAlign w:val="bottom"/>
          </w:tcPr>
          <w:p>
            <w:pPr>
              <w:ind w:left="280"/>
              <w:spacing w:after="0"/>
              <w:rPr>
                <w:sz w:val="20"/>
                <w:szCs w:val="20"/>
                <w:color w:val="auto"/>
              </w:rPr>
            </w:pPr>
            <w:r>
              <w:rPr>
                <w:rFonts w:ascii="Arial" w:cs="Arial" w:eastAsia="Arial" w:hAnsi="Arial"/>
                <w:sz w:val="14"/>
                <w:szCs w:val="14"/>
                <w:color w:val="auto"/>
              </w:rPr>
              <w:t>target.</w:t>
            </w:r>
          </w:p>
        </w:tc>
      </w:tr>
      <w:tr>
        <w:trPr>
          <w:trHeight w:val="55"/>
        </w:trPr>
        <w:tc>
          <w:tcPr>
            <w:tcW w:w="2220" w:type="dxa"/>
            <w:vAlign w:val="bottom"/>
            <w:tcBorders>
              <w:bottom w:val="single" w:sz="8" w:color="7C7C7C"/>
            </w:tcBorders>
          </w:tcPr>
          <w:p>
            <w:pPr>
              <w:spacing w:after="0"/>
              <w:rPr>
                <w:sz w:val="4"/>
                <w:szCs w:val="4"/>
                <w:color w:val="auto"/>
              </w:rPr>
            </w:pPr>
          </w:p>
        </w:tc>
        <w:tc>
          <w:tcPr>
            <w:tcW w:w="4600" w:type="dxa"/>
            <w:vAlign w:val="bottom"/>
            <w:tcBorders>
              <w:bottom w:val="single" w:sz="8" w:color="7C7C7C"/>
            </w:tcBorders>
            <w:gridSpan w:val="2"/>
          </w:tcPr>
          <w:p>
            <w:pPr>
              <w:spacing w:after="0"/>
              <w:rPr>
                <w:sz w:val="4"/>
                <w:szCs w:val="4"/>
                <w:color w:val="auto"/>
              </w:rPr>
            </w:pPr>
          </w:p>
        </w:tc>
        <w:tc>
          <w:tcPr>
            <w:tcW w:w="4600" w:type="dxa"/>
            <w:vAlign w:val="bottom"/>
            <w:tcBorders>
              <w:bottom w:val="single" w:sz="8" w:color="7C7C7C"/>
            </w:tcBorders>
            <w:gridSpan w:val="2"/>
          </w:tcPr>
          <w:p>
            <w:pPr>
              <w:spacing w:after="0"/>
              <w:rPr>
                <w:sz w:val="4"/>
                <w:szCs w:val="4"/>
                <w:color w:val="auto"/>
              </w:rPr>
            </w:pPr>
          </w:p>
        </w:tc>
      </w:tr>
      <w:tr>
        <w:trPr>
          <w:trHeight w:val="193"/>
        </w:trPr>
        <w:tc>
          <w:tcPr>
            <w:tcW w:w="2220" w:type="dxa"/>
            <w:vAlign w:val="bottom"/>
          </w:tcPr>
          <w:p>
            <w:pPr>
              <w:ind w:left="80"/>
              <w:spacing w:after="0"/>
              <w:rPr>
                <w:sz w:val="20"/>
                <w:szCs w:val="20"/>
                <w:color w:val="auto"/>
              </w:rPr>
            </w:pPr>
            <w:r>
              <w:rPr>
                <w:rFonts w:ascii="Arial" w:cs="Arial" w:eastAsia="Arial" w:hAnsi="Arial"/>
                <w:sz w:val="14"/>
                <w:szCs w:val="14"/>
                <w:b w:val="1"/>
                <w:bCs w:val="1"/>
                <w:color w:val="0E93D8"/>
              </w:rPr>
              <w:t>What were the calculated</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rPr>
              <w:t>The weighted earnings and free cash flow payout factors resulted in a</w:t>
            </w:r>
          </w:p>
        </w:tc>
        <w:tc>
          <w:tcPr>
            <w:tcW w:w="4600" w:type="dxa"/>
            <w:vAlign w:val="bottom"/>
            <w:gridSpan w:val="2"/>
          </w:tcPr>
          <w:p>
            <w:pPr>
              <w:ind w:left="140"/>
              <w:spacing w:after="0"/>
              <w:rPr>
                <w:sz w:val="20"/>
                <w:szCs w:val="20"/>
                <w:color w:val="auto"/>
              </w:rPr>
            </w:pPr>
            <w:r>
              <w:rPr>
                <w:rFonts w:ascii="Arial" w:cs="Arial" w:eastAsia="Arial" w:hAnsi="Arial"/>
                <w:sz w:val="14"/>
                <w:szCs w:val="14"/>
                <w:color w:val="auto"/>
              </w:rPr>
              <w:t>After incorporating the UTC factor, the weighted earnings and free cash</w:t>
            </w:r>
          </w:p>
        </w:tc>
      </w:tr>
      <w:tr>
        <w:trPr>
          <w:trHeight w:val="165"/>
        </w:trPr>
        <w:tc>
          <w:tcPr>
            <w:tcW w:w="2220" w:type="dxa"/>
            <w:vAlign w:val="bottom"/>
          </w:tcPr>
          <w:p>
            <w:pPr>
              <w:ind w:left="80"/>
              <w:spacing w:after="0"/>
              <w:rPr>
                <w:sz w:val="20"/>
                <w:szCs w:val="20"/>
                <w:color w:val="auto"/>
              </w:rPr>
            </w:pPr>
            <w:r>
              <w:rPr>
                <w:rFonts w:ascii="Arial" w:cs="Arial" w:eastAsia="Arial" w:hAnsi="Arial"/>
                <w:sz w:val="14"/>
                <w:szCs w:val="14"/>
                <w:b w:val="1"/>
                <w:bCs w:val="1"/>
                <w:color w:val="0E93D8"/>
              </w:rPr>
              <w:t>financial performance factors?</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rPr>
              <w:t>blended UTC financial performance factor of 129% of target.</w:t>
            </w:r>
          </w:p>
        </w:tc>
        <w:tc>
          <w:tcPr>
            <w:tcW w:w="4600" w:type="dxa"/>
            <w:vAlign w:val="bottom"/>
            <w:gridSpan w:val="2"/>
          </w:tcPr>
          <w:p>
            <w:pPr>
              <w:ind w:left="140"/>
              <w:spacing w:after="0"/>
              <w:rPr>
                <w:sz w:val="20"/>
                <w:szCs w:val="20"/>
                <w:color w:val="auto"/>
              </w:rPr>
            </w:pPr>
            <w:r>
              <w:rPr>
                <w:rFonts w:ascii="Arial" w:cs="Arial" w:eastAsia="Arial" w:hAnsi="Arial"/>
                <w:sz w:val="14"/>
                <w:szCs w:val="14"/>
                <w:color w:val="auto"/>
              </w:rPr>
              <w:t>flow payout factors resulted in blended financial performance factors for</w:t>
            </w:r>
          </w:p>
        </w:tc>
      </w:tr>
      <w:tr>
        <w:trPr>
          <w:trHeight w:val="162"/>
        </w:trPr>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600" w:type="dxa"/>
            <w:vAlign w:val="bottom"/>
            <w:gridSpan w:val="2"/>
          </w:tcPr>
          <w:p>
            <w:pPr>
              <w:ind w:left="140"/>
              <w:spacing w:after="0"/>
              <w:rPr>
                <w:sz w:val="20"/>
                <w:szCs w:val="20"/>
                <w:color w:val="auto"/>
              </w:rPr>
            </w:pPr>
            <w:r>
              <w:rPr>
                <w:rFonts w:ascii="Arial" w:cs="Arial" w:eastAsia="Arial" w:hAnsi="Arial"/>
                <w:sz w:val="14"/>
                <w:szCs w:val="14"/>
                <w:color w:val="auto"/>
              </w:rPr>
              <w:t>the business units ranging from 99% to 141% of target.</w:t>
            </w:r>
          </w:p>
        </w:tc>
      </w:tr>
      <w:tr>
        <w:trPr>
          <w:trHeight w:val="55"/>
        </w:trPr>
        <w:tc>
          <w:tcPr>
            <w:tcW w:w="2220" w:type="dxa"/>
            <w:vAlign w:val="bottom"/>
            <w:tcBorders>
              <w:bottom w:val="single" w:sz="8" w:color="7C7C7C"/>
            </w:tcBorders>
          </w:tcPr>
          <w:p>
            <w:pPr>
              <w:spacing w:after="0"/>
              <w:rPr>
                <w:sz w:val="4"/>
                <w:szCs w:val="4"/>
                <w:color w:val="auto"/>
              </w:rPr>
            </w:pPr>
          </w:p>
        </w:tc>
        <w:tc>
          <w:tcPr>
            <w:tcW w:w="4600" w:type="dxa"/>
            <w:vAlign w:val="bottom"/>
            <w:tcBorders>
              <w:bottom w:val="single" w:sz="8" w:color="7C7C7C"/>
            </w:tcBorders>
            <w:gridSpan w:val="2"/>
          </w:tcPr>
          <w:p>
            <w:pPr>
              <w:spacing w:after="0"/>
              <w:rPr>
                <w:sz w:val="4"/>
                <w:szCs w:val="4"/>
                <w:color w:val="auto"/>
              </w:rPr>
            </w:pPr>
          </w:p>
        </w:tc>
        <w:tc>
          <w:tcPr>
            <w:tcW w:w="4600" w:type="dxa"/>
            <w:vAlign w:val="bottom"/>
            <w:tcBorders>
              <w:bottom w:val="single" w:sz="8" w:color="7C7C7C"/>
            </w:tcBorders>
            <w:gridSpan w:val="2"/>
          </w:tcPr>
          <w:p>
            <w:pPr>
              <w:spacing w:after="0"/>
              <w:rPr>
                <w:sz w:val="4"/>
                <w:szCs w:val="4"/>
                <w:color w:val="auto"/>
              </w:rPr>
            </w:pPr>
          </w:p>
        </w:tc>
      </w:tr>
      <w:tr>
        <w:trPr>
          <w:trHeight w:val="193"/>
        </w:trPr>
        <w:tc>
          <w:tcPr>
            <w:tcW w:w="2220" w:type="dxa"/>
            <w:vAlign w:val="bottom"/>
          </w:tcPr>
          <w:p>
            <w:pPr>
              <w:ind w:left="80"/>
              <w:spacing w:after="0"/>
              <w:rPr>
                <w:sz w:val="20"/>
                <w:szCs w:val="20"/>
                <w:color w:val="auto"/>
              </w:rPr>
            </w:pPr>
            <w:r>
              <w:rPr>
                <w:rFonts w:ascii="Arial" w:cs="Arial" w:eastAsia="Arial" w:hAnsi="Arial"/>
                <w:sz w:val="14"/>
                <w:szCs w:val="14"/>
                <w:b w:val="1"/>
                <w:bCs w:val="1"/>
                <w:color w:val="0E93D8"/>
              </w:rPr>
              <w:t>Did the Committee make any</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rPr>
              <w:t>The Committee used its discretion and reduced the calculated UTC</w:t>
            </w:r>
          </w:p>
        </w:tc>
        <w:tc>
          <w:tcPr>
            <w:tcW w:w="4600" w:type="dxa"/>
            <w:vAlign w:val="bottom"/>
            <w:gridSpan w:val="2"/>
          </w:tcPr>
          <w:p>
            <w:pPr>
              <w:ind w:left="140"/>
              <w:spacing w:after="0"/>
              <w:rPr>
                <w:sz w:val="20"/>
                <w:szCs w:val="20"/>
                <w:color w:val="auto"/>
              </w:rPr>
            </w:pPr>
            <w:r>
              <w:rPr>
                <w:rFonts w:ascii="Arial" w:cs="Arial" w:eastAsia="Arial" w:hAnsi="Arial"/>
                <w:sz w:val="14"/>
                <w:szCs w:val="14"/>
                <w:color w:val="auto"/>
              </w:rPr>
              <w:t>The Committee used its discretion and adjusted some of the business</w:t>
            </w:r>
          </w:p>
        </w:tc>
      </w:tr>
      <w:tr>
        <w:trPr>
          <w:trHeight w:val="149"/>
        </w:trPr>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0E93D8"/>
              </w:rPr>
              <w:t>adjustments to the calculated</w:t>
            </w:r>
          </w:p>
        </w:tc>
        <w:tc>
          <w:tcPr>
            <w:tcW w:w="46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9"/>
              </w:rPr>
              <w:t>financial performance factor from 129% to 125% of target to account for</w:t>
            </w:r>
          </w:p>
        </w:tc>
        <w:tc>
          <w:tcPr>
            <w:tcW w:w="4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units’ calculated financial performance factors upward and others</w:t>
            </w:r>
          </w:p>
        </w:tc>
      </w:tr>
      <w:tr>
        <w:trPr>
          <w:trHeight w:val="165"/>
        </w:trPr>
        <w:tc>
          <w:tcPr>
            <w:tcW w:w="2220" w:type="dxa"/>
            <w:vAlign w:val="bottom"/>
          </w:tcPr>
          <w:p>
            <w:pPr>
              <w:ind w:left="80"/>
              <w:spacing w:after="0"/>
              <w:rPr>
                <w:sz w:val="20"/>
                <w:szCs w:val="20"/>
                <w:color w:val="auto"/>
              </w:rPr>
            </w:pPr>
            <w:r>
              <w:rPr>
                <w:rFonts w:ascii="Arial" w:cs="Arial" w:eastAsia="Arial" w:hAnsi="Arial"/>
                <w:sz w:val="14"/>
                <w:szCs w:val="14"/>
                <w:b w:val="1"/>
                <w:bCs w:val="1"/>
                <w:color w:val="0E93D8"/>
              </w:rPr>
              <w:t>financial performance factors?</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w w:val="99"/>
              </w:rPr>
              <w:t>certain issues with a Pratt &amp; Whitney supplier program, which it deemed</w:t>
            </w:r>
          </w:p>
        </w:tc>
        <w:tc>
          <w:tcPr>
            <w:tcW w:w="4600" w:type="dxa"/>
            <w:vAlign w:val="bottom"/>
            <w:gridSpan w:val="2"/>
          </w:tcPr>
          <w:p>
            <w:pPr>
              <w:ind w:left="140"/>
              <w:spacing w:after="0"/>
              <w:rPr>
                <w:sz w:val="20"/>
                <w:szCs w:val="20"/>
                <w:color w:val="auto"/>
              </w:rPr>
            </w:pPr>
            <w:r>
              <w:rPr>
                <w:rFonts w:ascii="Arial" w:cs="Arial" w:eastAsia="Arial" w:hAnsi="Arial"/>
                <w:sz w:val="14"/>
                <w:szCs w:val="14"/>
                <w:color w:val="auto"/>
              </w:rPr>
              <w:t>downward to account for various items it deemed relevant to assessing</w:t>
            </w:r>
          </w:p>
        </w:tc>
      </w:tr>
      <w:tr>
        <w:trPr>
          <w:trHeight w:val="149"/>
        </w:trPr>
        <w:tc>
          <w:tcPr>
            <w:tcW w:w="2220" w:type="dxa"/>
            <w:vAlign w:val="bottom"/>
          </w:tcPr>
          <w:p>
            <w:pPr>
              <w:spacing w:after="0"/>
              <w:rPr>
                <w:sz w:val="12"/>
                <w:szCs w:val="12"/>
                <w:color w:val="auto"/>
              </w:rPr>
            </w:pPr>
          </w:p>
        </w:tc>
        <w:tc>
          <w:tcPr>
            <w:tcW w:w="4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relevant to assessing the overall performance of the Company. See</w:t>
            </w:r>
          </w:p>
        </w:tc>
        <w:tc>
          <w:tcPr>
            <w:tcW w:w="4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overall performance. After these adjustments, the business unit factors</w:t>
            </w:r>
          </w:p>
        </w:tc>
      </w:tr>
      <w:tr>
        <w:trPr>
          <w:trHeight w:val="149"/>
        </w:trPr>
        <w:tc>
          <w:tcPr>
            <w:tcW w:w="2220" w:type="dxa"/>
            <w:vAlign w:val="bottom"/>
          </w:tcPr>
          <w:p>
            <w:pPr>
              <w:spacing w:after="0"/>
              <w:rPr>
                <w:sz w:val="12"/>
                <w:szCs w:val="12"/>
                <w:color w:val="auto"/>
              </w:rPr>
            </w:pPr>
          </w:p>
        </w:tc>
        <w:tc>
          <w:tcPr>
            <w:tcW w:w="4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“Committee’s Use of Discretion in Annual Bonus Awards” below for</w:t>
            </w:r>
          </w:p>
        </w:tc>
        <w:tc>
          <w:tcPr>
            <w:tcW w:w="46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ranged from 95% to 130% of target. See “Committee’s Use of Discretion</w:t>
            </w:r>
          </w:p>
        </w:tc>
      </w:tr>
      <w:tr>
        <w:trPr>
          <w:trHeight w:val="162"/>
        </w:trPr>
        <w:tc>
          <w:tcPr>
            <w:tcW w:w="222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more details.</w:t>
            </w:r>
          </w:p>
        </w:tc>
        <w:tc>
          <w:tcPr>
            <w:tcW w:w="2840" w:type="dxa"/>
            <w:vAlign w:val="bottom"/>
          </w:tcPr>
          <w:p>
            <w:pPr>
              <w:spacing w:after="0"/>
              <w:rPr>
                <w:sz w:val="14"/>
                <w:szCs w:val="14"/>
                <w:color w:val="auto"/>
              </w:rPr>
            </w:pPr>
          </w:p>
        </w:tc>
        <w:tc>
          <w:tcPr>
            <w:tcW w:w="4600" w:type="dxa"/>
            <w:vAlign w:val="bottom"/>
            <w:gridSpan w:val="2"/>
          </w:tcPr>
          <w:p>
            <w:pPr>
              <w:ind w:left="140"/>
              <w:spacing w:after="0"/>
              <w:rPr>
                <w:sz w:val="20"/>
                <w:szCs w:val="20"/>
                <w:color w:val="auto"/>
              </w:rPr>
            </w:pPr>
            <w:r>
              <w:rPr>
                <w:rFonts w:ascii="Arial" w:cs="Arial" w:eastAsia="Arial" w:hAnsi="Arial"/>
                <w:sz w:val="14"/>
                <w:szCs w:val="14"/>
                <w:color w:val="auto"/>
              </w:rPr>
              <w:t>in Annual Bonus Awards” below for more details.</w:t>
            </w:r>
          </w:p>
        </w:tc>
      </w:tr>
      <w:tr>
        <w:trPr>
          <w:trHeight w:val="55"/>
        </w:trPr>
        <w:tc>
          <w:tcPr>
            <w:tcW w:w="2220" w:type="dxa"/>
            <w:vAlign w:val="bottom"/>
            <w:tcBorders>
              <w:bottom w:val="single" w:sz="8" w:color="7C7C7C"/>
            </w:tcBorders>
          </w:tcPr>
          <w:p>
            <w:pPr>
              <w:spacing w:after="0"/>
              <w:rPr>
                <w:sz w:val="4"/>
                <w:szCs w:val="4"/>
                <w:color w:val="auto"/>
              </w:rPr>
            </w:pPr>
          </w:p>
        </w:tc>
        <w:tc>
          <w:tcPr>
            <w:tcW w:w="1760" w:type="dxa"/>
            <w:vAlign w:val="bottom"/>
            <w:tcBorders>
              <w:bottom w:val="single" w:sz="8" w:color="7C7C7C"/>
            </w:tcBorders>
          </w:tcPr>
          <w:p>
            <w:pPr>
              <w:spacing w:after="0"/>
              <w:rPr>
                <w:sz w:val="4"/>
                <w:szCs w:val="4"/>
                <w:color w:val="auto"/>
              </w:rPr>
            </w:pPr>
          </w:p>
        </w:tc>
        <w:tc>
          <w:tcPr>
            <w:tcW w:w="2840" w:type="dxa"/>
            <w:vAlign w:val="bottom"/>
            <w:tcBorders>
              <w:bottom w:val="single" w:sz="8" w:color="7C7C7C"/>
            </w:tcBorders>
          </w:tcPr>
          <w:p>
            <w:pPr>
              <w:spacing w:after="0"/>
              <w:rPr>
                <w:sz w:val="4"/>
                <w:szCs w:val="4"/>
                <w:color w:val="auto"/>
              </w:rPr>
            </w:pPr>
          </w:p>
        </w:tc>
        <w:tc>
          <w:tcPr>
            <w:tcW w:w="2180" w:type="dxa"/>
            <w:vAlign w:val="bottom"/>
            <w:tcBorders>
              <w:bottom w:val="single" w:sz="8" w:color="7C7C7C"/>
            </w:tcBorders>
          </w:tcPr>
          <w:p>
            <w:pPr>
              <w:spacing w:after="0"/>
              <w:rPr>
                <w:sz w:val="4"/>
                <w:szCs w:val="4"/>
                <w:color w:val="auto"/>
              </w:rPr>
            </w:pPr>
          </w:p>
        </w:tc>
        <w:tc>
          <w:tcPr>
            <w:tcW w:w="2420" w:type="dxa"/>
            <w:vAlign w:val="bottom"/>
            <w:tcBorders>
              <w:bottom w:val="single" w:sz="8" w:color="7C7C7C"/>
            </w:tcBorders>
          </w:tcPr>
          <w:p>
            <w:pPr>
              <w:spacing w:after="0"/>
              <w:rPr>
                <w:sz w:val="4"/>
                <w:szCs w:val="4"/>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POOL DETERMINATION</w:t>
      </w:r>
    </w:p>
    <w:p>
      <w:pPr>
        <w:spacing w:after="0" w:line="2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Annual bonus funding pools are calculated by first multiplying each executive’s annual bonus target value (base salary x target bonus percentage) by the applicable UTC or business unit financial performance factor approved by the Committee. These amounts are then aggregated to determine award pools for Corporate executives and each business unit, and are subsequently allocated among eligible executives based on individual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INDIVIDUAL PERFORMANCE</w:t>
      </w:r>
    </w:p>
    <w:p>
      <w:pPr>
        <w:spacing w:after="0" w:line="2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NEOs begin the year with individual financial, strategic and operational objectives. Based on the CEO’s assessment of each NEO’s performance, he may recommend that the Committee make a discretionary adjustment to increase or decrease the annual bonus calculated using the applicable financial performance factor. The Committee considers these recommendations and makes adjustments as it deems appropriate. Mr. Hayes has no role in the Committee’s determination of his own annual bonus.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USE OF DISCRETION IN ANNUAL BONUS AWARDS</w:t>
      </w:r>
    </w:p>
    <w:p>
      <w:pPr>
        <w:spacing w:after="0" w:line="2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previously discussed, the annual bonus program is designed to closely align individual payouts with performance relative to pre-established goals. However, the Committee retains the authority to make upward or downward adjustments if it determines that Company, business unit and/or individual performance measured by the metrics does not accurately reflect the overall quality of performance for the year. Although the achievement of financial performance goals remains the primary basis for determining actual annual bonus amounts, the Committee has previously made positive and negative discretionary adjustments to financial performance factors and as a result of individual performance. Examples of situations that could result in discretionary adjustment include:</w:t>
      </w:r>
    </w:p>
    <w:p>
      <w:pPr>
        <w:spacing w:after="0" w:line="206" w:lineRule="exact"/>
        <w:rPr>
          <w:sz w:val="20"/>
          <w:szCs w:val="20"/>
          <w:color w:val="auto"/>
        </w:rPr>
      </w:pPr>
    </w:p>
    <w:p>
      <w:pPr>
        <w:ind w:left="260" w:right="400" w:hanging="252"/>
        <w:spacing w:after="0" w:line="246" w:lineRule="auto"/>
        <w:tabs>
          <w:tab w:leader="none" w:pos="260" w:val="left"/>
        </w:tabs>
        <w:numPr>
          <w:ilvl w:val="0"/>
          <w:numId w:val="117"/>
        </w:numPr>
        <w:rPr>
          <w:rFonts w:ascii="Arial" w:cs="Arial" w:eastAsia="Arial" w:hAnsi="Arial"/>
          <w:sz w:val="17"/>
          <w:szCs w:val="17"/>
          <w:color w:val="FDB03F"/>
        </w:rPr>
      </w:pPr>
      <w:r>
        <w:rPr>
          <w:rFonts w:ascii="Arial" w:cs="Arial" w:eastAsia="Arial" w:hAnsi="Arial"/>
          <w:sz w:val="18"/>
          <w:szCs w:val="18"/>
          <w:color w:val="0E93D8"/>
        </w:rPr>
        <w:t>Material, unforeseen circumstances beyond Management’s control that affected financial performance results relative to the established goals or certain non-recurring charges or credits unrelated to operating performance;</w:t>
      </w:r>
    </w:p>
    <w:p>
      <w:pPr>
        <w:spacing w:after="0" w:line="183" w:lineRule="exact"/>
        <w:rPr>
          <w:rFonts w:ascii="Arial" w:cs="Arial" w:eastAsia="Arial" w:hAnsi="Arial"/>
          <w:sz w:val="17"/>
          <w:szCs w:val="17"/>
          <w:color w:val="FDB03F"/>
        </w:rPr>
      </w:pPr>
    </w:p>
    <w:p>
      <w:pPr>
        <w:ind w:left="260" w:hanging="252"/>
        <w:spacing w:after="0"/>
        <w:tabs>
          <w:tab w:leader="none" w:pos="260" w:val="left"/>
        </w:tabs>
        <w:numPr>
          <w:ilvl w:val="0"/>
          <w:numId w:val="117"/>
        </w:numPr>
        <w:rPr>
          <w:rFonts w:ascii="Arial" w:cs="Arial" w:eastAsia="Arial" w:hAnsi="Arial"/>
          <w:sz w:val="17"/>
          <w:szCs w:val="17"/>
          <w:color w:val="FDB03F"/>
        </w:rPr>
      </w:pPr>
      <w:r>
        <w:rPr>
          <w:rFonts w:ascii="Arial" w:cs="Arial" w:eastAsia="Arial" w:hAnsi="Arial"/>
          <w:sz w:val="18"/>
          <w:szCs w:val="18"/>
          <w:color w:val="0E93D8"/>
        </w:rPr>
        <w:t>Tax or accounting rule adjustments that positively or negatively impact performance;</w:t>
      </w:r>
    </w:p>
    <w:p>
      <w:pPr>
        <w:spacing w:after="0" w:line="198" w:lineRule="exact"/>
        <w:rPr>
          <w:rFonts w:ascii="Arial" w:cs="Arial" w:eastAsia="Arial" w:hAnsi="Arial"/>
          <w:sz w:val="17"/>
          <w:szCs w:val="17"/>
          <w:color w:val="FDB03F"/>
        </w:rPr>
      </w:pPr>
    </w:p>
    <w:p>
      <w:pPr>
        <w:ind w:left="260" w:hanging="252"/>
        <w:spacing w:after="0"/>
        <w:tabs>
          <w:tab w:leader="none" w:pos="260" w:val="left"/>
        </w:tabs>
        <w:numPr>
          <w:ilvl w:val="0"/>
          <w:numId w:val="117"/>
        </w:numPr>
        <w:rPr>
          <w:rFonts w:ascii="Arial" w:cs="Arial" w:eastAsia="Arial" w:hAnsi="Arial"/>
          <w:sz w:val="17"/>
          <w:szCs w:val="17"/>
          <w:color w:val="FDB03F"/>
        </w:rPr>
      </w:pPr>
      <w:r>
        <w:rPr>
          <w:rFonts w:ascii="Arial" w:cs="Arial" w:eastAsia="Arial" w:hAnsi="Arial"/>
          <w:sz w:val="18"/>
          <w:szCs w:val="18"/>
          <w:color w:val="0E93D8"/>
        </w:rPr>
        <w:t>Changes to the Company’s capital structure;</w:t>
      </w:r>
    </w:p>
    <w:p>
      <w:pPr>
        <w:spacing w:after="0" w:line="198" w:lineRule="exact"/>
        <w:rPr>
          <w:rFonts w:ascii="Arial" w:cs="Arial" w:eastAsia="Arial" w:hAnsi="Arial"/>
          <w:sz w:val="17"/>
          <w:szCs w:val="17"/>
          <w:color w:val="FDB03F"/>
        </w:rPr>
      </w:pPr>
    </w:p>
    <w:p>
      <w:pPr>
        <w:ind w:left="260" w:hanging="252"/>
        <w:spacing w:after="0"/>
        <w:tabs>
          <w:tab w:leader="none" w:pos="260" w:val="left"/>
        </w:tabs>
        <w:numPr>
          <w:ilvl w:val="0"/>
          <w:numId w:val="117"/>
        </w:numPr>
        <w:rPr>
          <w:rFonts w:ascii="Arial" w:cs="Arial" w:eastAsia="Arial" w:hAnsi="Arial"/>
          <w:sz w:val="17"/>
          <w:szCs w:val="17"/>
          <w:color w:val="FDB03F"/>
        </w:rPr>
      </w:pPr>
      <w:r>
        <w:rPr>
          <w:rFonts w:ascii="Arial" w:cs="Arial" w:eastAsia="Arial" w:hAnsi="Arial"/>
          <w:sz w:val="18"/>
          <w:szCs w:val="18"/>
          <w:color w:val="0E93D8"/>
        </w:rPr>
        <w:t>An executive’s performance relative to specific individual annual objectives; or</w:t>
      </w:r>
    </w:p>
    <w:p>
      <w:pPr>
        <w:spacing w:after="0" w:line="198" w:lineRule="exact"/>
        <w:rPr>
          <w:rFonts w:ascii="Arial" w:cs="Arial" w:eastAsia="Arial" w:hAnsi="Arial"/>
          <w:sz w:val="17"/>
          <w:szCs w:val="17"/>
          <w:color w:val="FDB03F"/>
        </w:rPr>
      </w:pPr>
    </w:p>
    <w:p>
      <w:pPr>
        <w:ind w:left="260" w:hanging="252"/>
        <w:spacing w:after="0"/>
        <w:tabs>
          <w:tab w:leader="none" w:pos="260" w:val="left"/>
        </w:tabs>
        <w:numPr>
          <w:ilvl w:val="0"/>
          <w:numId w:val="117"/>
        </w:numPr>
        <w:rPr>
          <w:rFonts w:ascii="Arial" w:cs="Arial" w:eastAsia="Arial" w:hAnsi="Arial"/>
          <w:sz w:val="17"/>
          <w:szCs w:val="17"/>
          <w:color w:val="FDB03F"/>
        </w:rPr>
      </w:pPr>
      <w:r>
        <w:rPr>
          <w:rFonts w:ascii="Arial" w:cs="Arial" w:eastAsia="Arial" w:hAnsi="Arial"/>
          <w:sz w:val="18"/>
          <w:szCs w:val="18"/>
          <w:color w:val="0E93D8"/>
        </w:rPr>
        <w:t>An executive’s failure to adhere to UTC’s Code of Ethics, Enterprise Risk Management program or other Company policies.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43</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Each year the Committee reviews the design of our LTI awards to ensure consistency with our program’s fundamental objective of aligning the interests of executives and shareowners while attracting and retaining talented senior leaders. Our annual LTI awards are subject to three-year, service-based (and in the case of PSUs, performance-based) vesting requirements, with limited exceptions for death, disability, retirement, change-in-control and certain qualifying involuntary terminations.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LTI VEHICLES</w:t>
      </w:r>
    </w:p>
    <w:p>
      <w:pPr>
        <w:spacing w:after="0" w:line="2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Committee approves a total LTI award value for each NEO at its meeting prior to the grant date. For the January 2, 2018 grant, our NEOs received their annual award weighted in the LTI vehicles shown in the chart to the right. The number of PSUs, SARs and RSUs awarded is determined based on the 30-day average of UTC’s closing stock price prior to the grant date. This method has been adopted as a mechanism to stabilize the impact of potential volatility of UTC’s stock price on the date of grant. However, because the award value is ultimately determined based on the closing price of UTC Common Stock on the grant date and other accounting valuation assumptions, the value approved by the Committee differs from the grant date fair value shown in the Summary Compensation Table on page 58.</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2018 NEO LTI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-90805</wp:posOffset>
            </wp:positionV>
            <wp:extent cx="2701290" cy="946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0129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1852295" cy="10204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5229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SHARE UNITS</w:t>
      </w:r>
    </w:p>
    <w:p>
      <w:pPr>
        <w:spacing w:after="0" w:line="2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PSUs vest at the end of a three-year performance period if, and to the extent that, the Company achieves performance goals established by the Committee. When a PSU vests, it converts into one share of UTC Common Stock. Unvested PSUs do not earn dividend equivalents. PSUs are designed to deliver market median compensation at target levels of performance. Performance below or above target levels will result in payouts that differ from the market median.</w:t>
      </w:r>
    </w:p>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0E93D8"/>
        </w:rPr>
        <w:t xml:space="preserve">Performance Metrics and Goals for the 2018-2020 PSUs. </w:t>
      </w:r>
      <w:r>
        <w:rPr>
          <w:rFonts w:ascii="Arial" w:cs="Arial" w:eastAsia="Arial" w:hAnsi="Arial"/>
          <w:sz w:val="18"/>
          <w:szCs w:val="18"/>
          <w:color w:val="000000"/>
        </w:rPr>
        <w:t>On January 2, 2018, the Committee granted PSU awards subject to pre-established</w:t>
      </w:r>
      <w:r>
        <w:rPr>
          <w:rFonts w:ascii="Arial" w:cs="Arial" w:eastAsia="Arial" w:hAnsi="Arial"/>
          <w:sz w:val="18"/>
          <w:szCs w:val="18"/>
          <w:i w:val="1"/>
          <w:iCs w:val="1"/>
          <w:color w:val="0E93D8"/>
        </w:rPr>
        <w:t xml:space="preserve"> </w:t>
      </w:r>
      <w:r>
        <w:rPr>
          <w:rFonts w:ascii="Arial" w:cs="Arial" w:eastAsia="Arial" w:hAnsi="Arial"/>
          <w:sz w:val="18"/>
          <w:szCs w:val="18"/>
          <w:color w:val="000000"/>
        </w:rPr>
        <w:t>three-year performance goals. On November 26, 2018, UTC completed the $30+ billion (including debt) acquisition of Rockwell Collins. Given the significant change to the Company’s capital structure and the financial impact of this transaction, the Committee adjusted the performance goals for the 2018 and 2017 PSUs to neutralize the impact of the transaction. This adjustment was necessary to maintain the same level of challenge as the originally established performance goals and is in accordance with plan provisions designed to maintain the integrity of the performance goals in such scenarios. The adjusted goals for 2018 PSUs are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EARNINGS PER SHARE GROWTH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-90805</wp:posOffset>
            </wp:positionV>
            <wp:extent cx="5462905" cy="946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6290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1620520" cy="11233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620520" cy="1123315"/>
                    </a:xfrm>
                    <a:prstGeom prst="rect">
                      <a:avLst/>
                    </a:prstGeom>
                    <a:noFill/>
                  </pic:spPr>
                </pic:pic>
              </a:graphicData>
            </a:graphic>
          </wp:anchor>
        </w:drawing>
      </w:r>
    </w:p>
    <w:p>
      <w:pPr>
        <w:spacing w:after="0" w:line="231" w:lineRule="exact"/>
        <w:rPr>
          <w:sz w:val="20"/>
          <w:szCs w:val="20"/>
          <w:color w:val="auto"/>
        </w:rPr>
      </w:pPr>
    </w:p>
    <w:p>
      <w:pPr>
        <w:ind w:left="2840"/>
        <w:spacing w:after="0"/>
        <w:rPr>
          <w:sz w:val="20"/>
          <w:szCs w:val="20"/>
          <w:color w:val="auto"/>
        </w:rPr>
      </w:pPr>
      <w:r>
        <w:rPr>
          <w:rFonts w:ascii="Arial" w:cs="Arial" w:eastAsia="Arial" w:hAnsi="Arial"/>
          <w:sz w:val="18"/>
          <w:szCs w:val="18"/>
          <w:color w:val="0E93D8"/>
        </w:rPr>
        <w:t>EPS Growth (weighted 35%)</w:t>
      </w:r>
    </w:p>
    <w:p>
      <w:pPr>
        <w:spacing w:after="0" w:line="212" w:lineRule="exact"/>
        <w:rPr>
          <w:sz w:val="20"/>
          <w:szCs w:val="20"/>
          <w:color w:val="auto"/>
        </w:rPr>
      </w:pPr>
    </w:p>
    <w:p>
      <w:pPr>
        <w:ind w:left="3080" w:hanging="240"/>
        <w:spacing w:after="0"/>
        <w:tabs>
          <w:tab w:leader="none" w:pos="3080" w:val="left"/>
        </w:tabs>
        <w:numPr>
          <w:ilvl w:val="0"/>
          <w:numId w:val="118"/>
        </w:numPr>
        <w:rPr>
          <w:rFonts w:ascii="Arial" w:cs="Arial" w:eastAsia="Arial" w:hAnsi="Arial"/>
          <w:sz w:val="17"/>
          <w:szCs w:val="17"/>
          <w:color w:val="FDB03F"/>
        </w:rPr>
      </w:pPr>
      <w:r>
        <w:rPr>
          <w:rFonts w:ascii="Arial" w:cs="Arial" w:eastAsia="Arial" w:hAnsi="Arial"/>
          <w:sz w:val="18"/>
          <w:szCs w:val="18"/>
          <w:color w:val="auto"/>
        </w:rPr>
        <w:t>Three-year EPS compound annual growth rate goal was set at 9.5%.</w:t>
      </w:r>
    </w:p>
    <w:p>
      <w:pPr>
        <w:spacing w:after="0" w:line="211" w:lineRule="exact"/>
        <w:rPr>
          <w:rFonts w:ascii="Arial" w:cs="Arial" w:eastAsia="Arial" w:hAnsi="Arial"/>
          <w:sz w:val="17"/>
          <w:szCs w:val="17"/>
          <w:color w:val="FDB03F"/>
        </w:rPr>
      </w:pPr>
    </w:p>
    <w:p>
      <w:pPr>
        <w:ind w:left="3080" w:hanging="240"/>
        <w:spacing w:after="0"/>
        <w:tabs>
          <w:tab w:leader="none" w:pos="3080" w:val="left"/>
        </w:tabs>
        <w:numPr>
          <w:ilvl w:val="0"/>
          <w:numId w:val="118"/>
        </w:numPr>
        <w:rPr>
          <w:rFonts w:ascii="Arial" w:cs="Arial" w:eastAsia="Arial" w:hAnsi="Arial"/>
          <w:sz w:val="17"/>
          <w:szCs w:val="17"/>
          <w:color w:val="FDB03F"/>
        </w:rPr>
      </w:pPr>
      <w:r>
        <w:rPr>
          <w:rFonts w:ascii="Arial" w:cs="Arial" w:eastAsia="Arial" w:hAnsi="Arial"/>
          <w:sz w:val="18"/>
          <w:szCs w:val="18"/>
          <w:color w:val="auto"/>
        </w:rPr>
        <w:t>Aligned with our mid-range strategic business plan.</w:t>
      </w:r>
    </w:p>
    <w:p>
      <w:pPr>
        <w:spacing w:after="0" w:line="211" w:lineRule="exact"/>
        <w:rPr>
          <w:rFonts w:ascii="Arial" w:cs="Arial" w:eastAsia="Arial" w:hAnsi="Arial"/>
          <w:sz w:val="17"/>
          <w:szCs w:val="17"/>
          <w:color w:val="FDB03F"/>
        </w:rPr>
      </w:pPr>
    </w:p>
    <w:p>
      <w:pPr>
        <w:ind w:left="3080" w:hanging="240"/>
        <w:spacing w:after="0"/>
        <w:tabs>
          <w:tab w:leader="none" w:pos="3080" w:val="left"/>
        </w:tabs>
        <w:numPr>
          <w:ilvl w:val="0"/>
          <w:numId w:val="118"/>
        </w:numPr>
        <w:rPr>
          <w:rFonts w:ascii="Arial" w:cs="Arial" w:eastAsia="Arial" w:hAnsi="Arial"/>
          <w:sz w:val="17"/>
          <w:szCs w:val="17"/>
          <w:color w:val="FDB03F"/>
        </w:rPr>
      </w:pPr>
      <w:r>
        <w:rPr>
          <w:rFonts w:ascii="Arial" w:cs="Arial" w:eastAsia="Arial" w:hAnsi="Arial"/>
          <w:sz w:val="18"/>
          <w:szCs w:val="18"/>
          <w:color w:val="auto"/>
        </w:rPr>
        <w:t>Reflects what the Committee determined to be a challenging yet attainable target.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RETURN ON INVESTED CAPITAL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-90805</wp:posOffset>
            </wp:positionV>
            <wp:extent cx="5462905" cy="946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6290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1629410" cy="11233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29410" cy="1123315"/>
                    </a:xfrm>
                    <a:prstGeom prst="rect">
                      <a:avLst/>
                    </a:prstGeom>
                    <a:noFill/>
                  </pic:spPr>
                </pic:pic>
              </a:graphicData>
            </a:graphic>
          </wp:anchor>
        </w:drawing>
      </w:r>
    </w:p>
    <w:p>
      <w:pPr>
        <w:spacing w:after="0" w:line="231" w:lineRule="exact"/>
        <w:rPr>
          <w:sz w:val="20"/>
          <w:szCs w:val="20"/>
          <w:color w:val="auto"/>
        </w:rPr>
      </w:pPr>
    </w:p>
    <w:p>
      <w:pPr>
        <w:ind w:left="2840"/>
        <w:spacing w:after="0"/>
        <w:rPr>
          <w:sz w:val="20"/>
          <w:szCs w:val="20"/>
          <w:color w:val="auto"/>
        </w:rPr>
      </w:pPr>
      <w:r>
        <w:rPr>
          <w:rFonts w:ascii="Arial" w:cs="Arial" w:eastAsia="Arial" w:hAnsi="Arial"/>
          <w:sz w:val="18"/>
          <w:szCs w:val="18"/>
          <w:color w:val="0E93D8"/>
        </w:rPr>
        <w:t>Return on Invested Capital (weighted 35%)</w:t>
      </w:r>
    </w:p>
    <w:p>
      <w:pPr>
        <w:spacing w:after="0" w:line="212" w:lineRule="exact"/>
        <w:rPr>
          <w:sz w:val="20"/>
          <w:szCs w:val="20"/>
          <w:color w:val="auto"/>
        </w:rPr>
      </w:pPr>
    </w:p>
    <w:p>
      <w:pPr>
        <w:ind w:left="3100" w:hanging="247"/>
        <w:spacing w:after="0"/>
        <w:tabs>
          <w:tab w:leader="none" w:pos="3100" w:val="left"/>
        </w:tabs>
        <w:numPr>
          <w:ilvl w:val="0"/>
          <w:numId w:val="119"/>
        </w:numPr>
        <w:rPr>
          <w:rFonts w:ascii="Arial" w:cs="Arial" w:eastAsia="Arial" w:hAnsi="Arial"/>
          <w:sz w:val="17"/>
          <w:szCs w:val="17"/>
          <w:color w:val="FDB03F"/>
        </w:rPr>
      </w:pPr>
      <w:r>
        <w:rPr>
          <w:rFonts w:ascii="Arial" w:cs="Arial" w:eastAsia="Arial" w:hAnsi="Arial"/>
          <w:sz w:val="18"/>
          <w:szCs w:val="18"/>
          <w:color w:val="auto"/>
        </w:rPr>
        <w:t>ROIC goal was set at 8.6%.</w:t>
      </w:r>
    </w:p>
    <w:p>
      <w:pPr>
        <w:spacing w:after="0" w:line="211" w:lineRule="exact"/>
        <w:rPr>
          <w:rFonts w:ascii="Arial" w:cs="Arial" w:eastAsia="Arial" w:hAnsi="Arial"/>
          <w:sz w:val="17"/>
          <w:szCs w:val="17"/>
          <w:color w:val="FDB03F"/>
        </w:rPr>
      </w:pPr>
    </w:p>
    <w:p>
      <w:pPr>
        <w:ind w:left="3100" w:hanging="247"/>
        <w:spacing w:after="0"/>
        <w:tabs>
          <w:tab w:leader="none" w:pos="3100" w:val="left"/>
        </w:tabs>
        <w:numPr>
          <w:ilvl w:val="0"/>
          <w:numId w:val="119"/>
        </w:numPr>
        <w:rPr>
          <w:rFonts w:ascii="Arial" w:cs="Arial" w:eastAsia="Arial" w:hAnsi="Arial"/>
          <w:sz w:val="17"/>
          <w:szCs w:val="17"/>
          <w:color w:val="FDB03F"/>
        </w:rPr>
      </w:pPr>
      <w:r>
        <w:rPr>
          <w:rFonts w:ascii="Arial" w:cs="Arial" w:eastAsia="Arial" w:hAnsi="Arial"/>
          <w:sz w:val="18"/>
          <w:szCs w:val="18"/>
          <w:color w:val="auto"/>
        </w:rPr>
        <w:t>ROIC is calculated using a quarterly average over the three-year performance period.</w:t>
      </w:r>
    </w:p>
    <w:p>
      <w:pPr>
        <w:spacing w:after="0" w:line="211" w:lineRule="exact"/>
        <w:rPr>
          <w:rFonts w:ascii="Arial" w:cs="Arial" w:eastAsia="Arial" w:hAnsi="Arial"/>
          <w:sz w:val="17"/>
          <w:szCs w:val="17"/>
          <w:color w:val="FDB03F"/>
        </w:rPr>
      </w:pPr>
    </w:p>
    <w:p>
      <w:pPr>
        <w:ind w:left="3100" w:hanging="247"/>
        <w:spacing w:after="0"/>
        <w:tabs>
          <w:tab w:leader="none" w:pos="3100" w:val="left"/>
        </w:tabs>
        <w:numPr>
          <w:ilvl w:val="0"/>
          <w:numId w:val="119"/>
        </w:numPr>
        <w:rPr>
          <w:rFonts w:ascii="Arial" w:cs="Arial" w:eastAsia="Arial" w:hAnsi="Arial"/>
          <w:sz w:val="17"/>
          <w:szCs w:val="17"/>
          <w:color w:val="FDB03F"/>
        </w:rPr>
      </w:pPr>
      <w:r>
        <w:rPr>
          <w:rFonts w:ascii="Arial" w:cs="Arial" w:eastAsia="Arial" w:hAnsi="Arial"/>
          <w:sz w:val="18"/>
          <w:szCs w:val="18"/>
          <w:color w:val="auto"/>
        </w:rPr>
        <w:t>Incentivizes our executives to make disciplined capital allocation decisions.</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880" w:hanging="628"/>
        <w:spacing w:after="0"/>
        <w:tabs>
          <w:tab w:leader="none" w:pos="880" w:val="left"/>
        </w:tabs>
        <w:numPr>
          <w:ilvl w:val="0"/>
          <w:numId w:val="120"/>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TOTAL SHAREOWNER RETURN (“TSR”) VS.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-90805</wp:posOffset>
            </wp:positionV>
            <wp:extent cx="5017135" cy="946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0171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1732280" cy="11322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32280" cy="1132205"/>
                    </a:xfrm>
                    <a:prstGeom prst="rect">
                      <a:avLst/>
                    </a:prstGeom>
                    <a:noFill/>
                  </pic:spPr>
                </pic:pic>
              </a:graphicData>
            </a:graphic>
          </wp:anchor>
        </w:drawing>
      </w:r>
    </w:p>
    <w:p>
      <w:pPr>
        <w:spacing w:after="0" w:line="231" w:lineRule="exact"/>
        <w:rPr>
          <w:sz w:val="20"/>
          <w:szCs w:val="20"/>
          <w:color w:val="auto"/>
        </w:rPr>
      </w:pPr>
    </w:p>
    <w:p>
      <w:pPr>
        <w:ind w:left="3000"/>
        <w:spacing w:after="0"/>
        <w:rPr>
          <w:sz w:val="20"/>
          <w:szCs w:val="20"/>
          <w:color w:val="auto"/>
        </w:rPr>
      </w:pPr>
      <w:r>
        <w:rPr>
          <w:rFonts w:ascii="Arial" w:cs="Arial" w:eastAsia="Arial" w:hAnsi="Arial"/>
          <w:sz w:val="18"/>
          <w:szCs w:val="18"/>
          <w:color w:val="0E93D8"/>
        </w:rPr>
        <w:t>Relative TSR (weighted 30%)</w:t>
      </w:r>
    </w:p>
    <w:p>
      <w:pPr>
        <w:spacing w:after="0" w:line="212" w:lineRule="exact"/>
        <w:rPr>
          <w:sz w:val="20"/>
          <w:szCs w:val="20"/>
          <w:color w:val="auto"/>
        </w:rPr>
      </w:pPr>
    </w:p>
    <w:p>
      <w:pPr>
        <w:ind w:left="3280" w:right="160" w:hanging="265"/>
        <w:spacing w:after="0" w:line="255" w:lineRule="auto"/>
        <w:tabs>
          <w:tab w:leader="none" w:pos="3257" w:val="left"/>
        </w:tabs>
        <w:numPr>
          <w:ilvl w:val="0"/>
          <w:numId w:val="121"/>
        </w:numPr>
        <w:rPr>
          <w:rFonts w:ascii="Arial" w:cs="Arial" w:eastAsia="Arial" w:hAnsi="Arial"/>
          <w:sz w:val="17"/>
          <w:szCs w:val="17"/>
          <w:color w:val="FDB03F"/>
        </w:rPr>
      </w:pPr>
      <w:r>
        <w:rPr>
          <w:rFonts w:ascii="Arial" w:cs="Arial" w:eastAsia="Arial" w:hAnsi="Arial"/>
          <w:sz w:val="18"/>
          <w:szCs w:val="18"/>
          <w:color w:val="auto"/>
        </w:rPr>
        <w:t>Cumulative three-year TSR goal was set at the 50th percentile relative to the companies within the S&amp;P 500 Index at the beginning of the performance period.</w:t>
      </w:r>
    </w:p>
    <w:p>
      <w:pPr>
        <w:spacing w:after="0" w:line="86" w:lineRule="exact"/>
        <w:rPr>
          <w:rFonts w:ascii="Arial" w:cs="Arial" w:eastAsia="Arial" w:hAnsi="Arial"/>
          <w:sz w:val="17"/>
          <w:szCs w:val="17"/>
          <w:color w:val="FDB03F"/>
        </w:rPr>
      </w:pPr>
    </w:p>
    <w:p>
      <w:pPr>
        <w:ind w:left="3280" w:right="200" w:hanging="265"/>
        <w:spacing w:after="0" w:line="255" w:lineRule="auto"/>
        <w:tabs>
          <w:tab w:leader="none" w:pos="3257" w:val="left"/>
        </w:tabs>
        <w:numPr>
          <w:ilvl w:val="0"/>
          <w:numId w:val="121"/>
        </w:numPr>
        <w:rPr>
          <w:rFonts w:ascii="Arial" w:cs="Arial" w:eastAsia="Arial" w:hAnsi="Arial"/>
          <w:sz w:val="17"/>
          <w:szCs w:val="17"/>
          <w:color w:val="FDB03F"/>
        </w:rPr>
      </w:pPr>
      <w:r>
        <w:rPr>
          <w:rFonts w:ascii="Arial" w:cs="Arial" w:eastAsia="Arial" w:hAnsi="Arial"/>
          <w:sz w:val="18"/>
          <w:szCs w:val="18"/>
          <w:color w:val="auto"/>
        </w:rPr>
        <w:t>Vesting does not occur if UTC’s TSR ranks below the 25th percentile and is capped at 200% of target if TSR reaches the 75th percentile.</w:t>
      </w:r>
    </w:p>
    <w:p>
      <w:pPr>
        <w:spacing w:after="0" w:line="86" w:lineRule="exact"/>
        <w:rPr>
          <w:rFonts w:ascii="Arial" w:cs="Arial" w:eastAsia="Arial" w:hAnsi="Arial"/>
          <w:sz w:val="17"/>
          <w:szCs w:val="17"/>
          <w:color w:val="FDB03F"/>
        </w:rPr>
      </w:pPr>
    </w:p>
    <w:p>
      <w:pPr>
        <w:ind w:left="3280" w:right="140" w:hanging="265"/>
        <w:spacing w:after="0" w:line="255" w:lineRule="auto"/>
        <w:tabs>
          <w:tab w:leader="none" w:pos="3257" w:val="left"/>
        </w:tabs>
        <w:numPr>
          <w:ilvl w:val="0"/>
          <w:numId w:val="121"/>
        </w:numPr>
        <w:rPr>
          <w:rFonts w:ascii="Arial" w:cs="Arial" w:eastAsia="Arial" w:hAnsi="Arial"/>
          <w:sz w:val="17"/>
          <w:szCs w:val="17"/>
          <w:color w:val="FDB03F"/>
        </w:rPr>
      </w:pPr>
      <w:r>
        <w:rPr>
          <w:rFonts w:ascii="Arial" w:cs="Arial" w:eastAsia="Arial" w:hAnsi="Arial"/>
          <w:sz w:val="18"/>
          <w:szCs w:val="18"/>
          <w:color w:val="auto"/>
        </w:rPr>
        <w:t>If UTC’s three-year TSR is negative, the payout for this portion of the award is capped at 100% of target regardless of UTC’s relative performance vs. the S&amp;P 500 companies.</w:t>
      </w:r>
    </w:p>
    <w:p>
      <w:pPr>
        <w:spacing w:after="0" w:line="86" w:lineRule="exact"/>
        <w:rPr>
          <w:rFonts w:ascii="Arial" w:cs="Arial" w:eastAsia="Arial" w:hAnsi="Arial"/>
          <w:sz w:val="17"/>
          <w:szCs w:val="17"/>
          <w:color w:val="FDB03F"/>
        </w:rPr>
      </w:pPr>
    </w:p>
    <w:p>
      <w:pPr>
        <w:ind w:left="3260" w:hanging="245"/>
        <w:spacing w:after="0"/>
        <w:tabs>
          <w:tab w:leader="none" w:pos="3260" w:val="left"/>
        </w:tabs>
        <w:numPr>
          <w:ilvl w:val="0"/>
          <w:numId w:val="121"/>
        </w:numPr>
        <w:rPr>
          <w:rFonts w:ascii="Arial" w:cs="Arial" w:eastAsia="Arial" w:hAnsi="Arial"/>
          <w:sz w:val="17"/>
          <w:szCs w:val="17"/>
          <w:color w:val="FDB03F"/>
        </w:rPr>
      </w:pPr>
      <w:r>
        <w:rPr>
          <w:rFonts w:ascii="Arial" w:cs="Arial" w:eastAsia="Arial" w:hAnsi="Arial"/>
          <w:sz w:val="18"/>
          <w:szCs w:val="18"/>
          <w:color w:val="auto"/>
        </w:rPr>
        <w:t>Beginning and end periods measured using a 60-day average.</w:t>
      </w:r>
    </w:p>
    <w:p>
      <w:pPr>
        <w:spacing w:after="0" w:line="200" w:lineRule="exact"/>
        <w:rPr>
          <w:sz w:val="20"/>
          <w:szCs w:val="20"/>
          <w:color w:val="auto"/>
        </w:rPr>
      </w:pPr>
    </w:p>
    <w:p>
      <w:pPr>
        <w:spacing w:after="0" w:line="25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0E93D8"/>
        </w:rPr>
        <w:t>Why We Compare UTC’s TSR to the TSR of the Companies within the S&amp;P 500 Index</w:t>
      </w:r>
      <w:r>
        <w:rPr>
          <w:rFonts w:ascii="Arial" w:cs="Arial" w:eastAsia="Arial" w:hAnsi="Arial"/>
          <w:sz w:val="18"/>
          <w:szCs w:val="18"/>
          <w:color w:val="0E93D8"/>
        </w:rPr>
        <w:t>.</w:t>
      </w:r>
      <w:r>
        <w:rPr>
          <w:rFonts w:ascii="Arial" w:cs="Arial" w:eastAsia="Arial" w:hAnsi="Arial"/>
          <w:sz w:val="18"/>
          <w:szCs w:val="18"/>
          <w:i w:val="1"/>
          <w:iCs w:val="1"/>
          <w:color w:val="0E93D8"/>
        </w:rPr>
        <w:t xml:space="preserve"> </w:t>
      </w:r>
      <w:r>
        <w:rPr>
          <w:rFonts w:ascii="Arial" w:cs="Arial" w:eastAsia="Arial" w:hAnsi="Arial"/>
          <w:sz w:val="18"/>
          <w:szCs w:val="18"/>
          <w:color w:val="000000"/>
        </w:rPr>
        <w:t>The Committee believes that comparing UTC’s TSR to the</w:t>
      </w:r>
      <w:r>
        <w:rPr>
          <w:rFonts w:ascii="Arial" w:cs="Arial" w:eastAsia="Arial" w:hAnsi="Arial"/>
          <w:sz w:val="18"/>
          <w:szCs w:val="18"/>
          <w:i w:val="1"/>
          <w:iCs w:val="1"/>
          <w:color w:val="0E93D8"/>
        </w:rPr>
        <w:t xml:space="preserve"> </w:t>
      </w:r>
      <w:r>
        <w:rPr>
          <w:rFonts w:ascii="Arial" w:cs="Arial" w:eastAsia="Arial" w:hAnsi="Arial"/>
          <w:sz w:val="18"/>
          <w:szCs w:val="18"/>
          <w:color w:val="000000"/>
        </w:rPr>
        <w:t>companies within the S&amp;P 500 provides an appropriate benchmark for measuring our share price performance as a large capitalization company. The Committee does not set TSR goals relative to the performance of the CPG (see pages 39-40 for more details on our peer group) because the CPG is used solely to measure the competitiveness of our executive compensation program. The Committee believes the S&amp;P 500 provides a more comprehensive and relevant comparison for our share price performance and, unlike the CPG, is not a self-selected, customized benchmark based on a limited number of companies.</w:t>
      </w:r>
    </w:p>
    <w:p>
      <w:pPr>
        <w:spacing w:after="0" w:line="195"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0E93D8"/>
        </w:rPr>
        <w:t>What the Committee Considers when Setting Performance Goals</w:t>
      </w:r>
      <w:r>
        <w:rPr>
          <w:rFonts w:ascii="Arial" w:cs="Arial" w:eastAsia="Arial" w:hAnsi="Arial"/>
          <w:sz w:val="18"/>
          <w:szCs w:val="18"/>
          <w:color w:val="0E93D8"/>
        </w:rPr>
        <w:t>.</w:t>
      </w:r>
      <w:r>
        <w:rPr>
          <w:rFonts w:ascii="Arial" w:cs="Arial" w:eastAsia="Arial" w:hAnsi="Arial"/>
          <w:sz w:val="18"/>
          <w:szCs w:val="18"/>
          <w:i w:val="1"/>
          <w:iCs w:val="1"/>
          <w:color w:val="0E93D8"/>
        </w:rPr>
        <w:t xml:space="preserve"> </w:t>
      </w:r>
      <w:r>
        <w:rPr>
          <w:rFonts w:ascii="Arial" w:cs="Arial" w:eastAsia="Arial" w:hAnsi="Arial"/>
          <w:sz w:val="18"/>
          <w:szCs w:val="18"/>
          <w:color w:val="000000"/>
        </w:rPr>
        <w:t>When setting financial performance goals for our PSU awards, the Committee</w:t>
      </w:r>
      <w:r>
        <w:rPr>
          <w:rFonts w:ascii="Arial" w:cs="Arial" w:eastAsia="Arial" w:hAnsi="Arial"/>
          <w:sz w:val="18"/>
          <w:szCs w:val="18"/>
          <w:i w:val="1"/>
          <w:iCs w:val="1"/>
          <w:color w:val="0E93D8"/>
        </w:rPr>
        <w:t xml:space="preserve"> </w:t>
      </w:r>
      <w:r>
        <w:rPr>
          <w:rFonts w:ascii="Arial" w:cs="Arial" w:eastAsia="Arial" w:hAnsi="Arial"/>
          <w:sz w:val="18"/>
          <w:szCs w:val="18"/>
          <w:color w:val="000000"/>
        </w:rPr>
        <w:t>considers various long-term business factors, including, but not limited to, planned share buybacks, macroeconomic market trends, pension headwinds/tailwinds and cost reduction plans. Certain items such as unplanned share buybacks, restructuring charges, and non-recurring and non-operational items may be excluded from performance results, as appropriate, to maintain the validity of the targets as originally formulated. See Appendix B on page 88 for a definition of how we calculate these metrics.</w:t>
      </w:r>
    </w:p>
    <w:p>
      <w:pPr>
        <w:spacing w:after="0" w:line="190"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i w:val="1"/>
          <w:iCs w:val="1"/>
          <w:color w:val="0E93D8"/>
        </w:rPr>
        <w:t>PSU Vesting (2016-2018 Performance Period)</w:t>
      </w:r>
      <w:r>
        <w:rPr>
          <w:rFonts w:ascii="Arial" w:cs="Arial" w:eastAsia="Arial" w:hAnsi="Arial"/>
          <w:sz w:val="18"/>
          <w:szCs w:val="18"/>
          <w:color w:val="0E93D8"/>
        </w:rPr>
        <w:t>.</w:t>
      </w:r>
      <w:r>
        <w:rPr>
          <w:rFonts w:ascii="Arial" w:cs="Arial" w:eastAsia="Arial" w:hAnsi="Arial"/>
          <w:sz w:val="18"/>
          <w:szCs w:val="18"/>
          <w:i w:val="1"/>
          <w:iCs w:val="1"/>
          <w:color w:val="0E93D8"/>
        </w:rPr>
        <w:t xml:space="preserve"> </w:t>
      </w:r>
      <w:r>
        <w:rPr>
          <w:rFonts w:ascii="Arial" w:cs="Arial" w:eastAsia="Arial" w:hAnsi="Arial"/>
          <w:sz w:val="18"/>
          <w:szCs w:val="18"/>
          <w:color w:val="000000"/>
        </w:rPr>
        <w:t>PSU awards granted on January 4, 2016, were subject to vesting based on UTC’s three-year</w:t>
      </w:r>
      <w:r>
        <w:rPr>
          <w:rFonts w:ascii="Arial" w:cs="Arial" w:eastAsia="Arial" w:hAnsi="Arial"/>
          <w:sz w:val="18"/>
          <w:szCs w:val="18"/>
          <w:i w:val="1"/>
          <w:iCs w:val="1"/>
          <w:color w:val="0E93D8"/>
        </w:rPr>
        <w:t xml:space="preserve"> </w:t>
      </w:r>
      <w:r>
        <w:rPr>
          <w:rFonts w:ascii="Arial" w:cs="Arial" w:eastAsia="Arial" w:hAnsi="Arial"/>
          <w:sz w:val="18"/>
          <w:szCs w:val="18"/>
          <w:color w:val="000000"/>
        </w:rPr>
        <w:t>performance relative to pre-established EPS growth, ROIC and relative TSR goals. The performance results used to determine the final payout factor for the 2016-2018 performance period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60" w:type="dxa"/>
            <w:vAlign w:val="bottom"/>
            <w:gridSpan w:val="2"/>
          </w:tcPr>
          <w:p>
            <w:pPr>
              <w:spacing w:after="0"/>
              <w:rPr>
                <w:sz w:val="20"/>
                <w:szCs w:val="20"/>
                <w:color w:val="auto"/>
              </w:rPr>
            </w:pPr>
            <w:r>
              <w:rPr>
                <w:rFonts w:ascii="Arial" w:cs="Arial" w:eastAsia="Arial" w:hAnsi="Arial"/>
                <w:sz w:val="14"/>
                <w:szCs w:val="14"/>
                <w:b w:val="1"/>
                <w:bCs w:val="1"/>
                <w:color w:val="0E93D8"/>
              </w:rPr>
              <w:t>Metric</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0E93D8"/>
                <w:w w:val="94"/>
              </w:rPr>
              <w:t>Weight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0E93D8"/>
                <w:w w:val="94"/>
              </w:rPr>
              <w:t>Threshold</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E93D8"/>
                <w:w w:val="98"/>
              </w:rPr>
              <w:t>Target</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E93D8"/>
                <w:w w:val="95"/>
              </w:rPr>
              <w:t>Maximum</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0E93D8"/>
              </w:rPr>
              <w:t>Actual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0E93D8"/>
                <w:w w:val="94"/>
              </w:rPr>
              <w:t>Payout Factor</w:t>
            </w:r>
          </w:p>
        </w:tc>
      </w:tr>
      <w:tr>
        <w:trPr>
          <w:trHeight w:val="48"/>
        </w:trPr>
        <w:tc>
          <w:tcPr>
            <w:tcW w:w="5900" w:type="dxa"/>
            <w:vAlign w:val="bottom"/>
            <w:tcBorders>
              <w:bottom w:val="single" w:sz="8" w:color="DAE9F7"/>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bottom w:val="single" w:sz="8" w:color="0F94D8"/>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bottom w:val="single" w:sz="8" w:color="0F94D8"/>
            </w:tcBorders>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bottom w:val="single" w:sz="8" w:color="0F94D8"/>
            </w:tcBorders>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Borders>
              <w:bottom w:val="single" w:sz="8" w:color="0F94D8"/>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bottom w:val="single" w:sz="8" w:color="0F94D8"/>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0F94D8"/>
            </w:tcBorders>
          </w:tcPr>
          <w:p>
            <w:pPr>
              <w:spacing w:after="0"/>
              <w:rPr>
                <w:sz w:val="4"/>
                <w:szCs w:val="4"/>
                <w:color w:val="auto"/>
              </w:rPr>
            </w:pPr>
          </w:p>
        </w:tc>
      </w:tr>
      <w:tr>
        <w:trPr>
          <w:trHeight w:val="202"/>
        </w:trPr>
        <w:tc>
          <w:tcPr>
            <w:tcW w:w="6160" w:type="dxa"/>
            <w:vAlign w:val="bottom"/>
            <w:gridSpan w:val="2"/>
          </w:tcPr>
          <w:p>
            <w:pPr>
              <w:spacing w:after="0"/>
              <w:rPr>
                <w:sz w:val="20"/>
                <w:szCs w:val="20"/>
                <w:color w:val="auto"/>
              </w:rPr>
            </w:pPr>
            <w:r>
              <w:rPr>
                <w:rFonts w:ascii="Arial" w:cs="Arial" w:eastAsia="Arial" w:hAnsi="Arial"/>
                <w:sz w:val="14"/>
                <w:szCs w:val="14"/>
                <w:color w:val="auto"/>
              </w:rPr>
              <w:t>3-Year EPS Growth</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35%</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4.5%</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7.5%</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4.4%</w:t>
            </w:r>
          </w:p>
        </w:tc>
        <w:tc>
          <w:tcPr>
            <w:tcW w:w="9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41"/>
        </w:trPr>
        <w:tc>
          <w:tcPr>
            <w:tcW w:w="59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460" w:type="dxa"/>
            <w:vAlign w:val="bottom"/>
            <w:tcBorders>
              <w:bottom w:val="single" w:sz="8" w:color="7C7C7C"/>
            </w:tcBorders>
          </w:tcPr>
          <w:p>
            <w:pPr>
              <w:spacing w:after="0"/>
              <w:rPr>
                <w:sz w:val="3"/>
                <w:szCs w:val="3"/>
                <w:color w:val="auto"/>
              </w:rPr>
            </w:pPr>
          </w:p>
        </w:tc>
        <w:tc>
          <w:tcPr>
            <w:tcW w:w="280" w:type="dxa"/>
            <w:vAlign w:val="bottom"/>
            <w:tcBorders>
              <w:bottom w:val="single" w:sz="8" w:color="7C7C7C"/>
            </w:tcBorders>
          </w:tcPr>
          <w:p>
            <w:pPr>
              <w:spacing w:after="0"/>
              <w:rPr>
                <w:sz w:val="3"/>
                <w:szCs w:val="3"/>
                <w:color w:val="auto"/>
              </w:rPr>
            </w:pPr>
          </w:p>
        </w:tc>
        <w:tc>
          <w:tcPr>
            <w:tcW w:w="66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58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64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680" w:type="dxa"/>
            <w:vAlign w:val="bottom"/>
            <w:tcBorders>
              <w:bottom w:val="single" w:sz="8" w:color="7C7C7C"/>
            </w:tcBorders>
          </w:tcPr>
          <w:p>
            <w:pPr>
              <w:spacing w:after="0"/>
              <w:rPr>
                <w:sz w:val="3"/>
                <w:szCs w:val="3"/>
                <w:color w:val="auto"/>
              </w:rPr>
            </w:pPr>
          </w:p>
        </w:tc>
        <w:tc>
          <w:tcPr>
            <w:tcW w:w="280" w:type="dxa"/>
            <w:vAlign w:val="bottom"/>
            <w:tcBorders>
              <w:bottom w:val="single" w:sz="8" w:color="7C7C7C"/>
            </w:tcBorders>
          </w:tcPr>
          <w:p>
            <w:pPr>
              <w:spacing w:after="0"/>
              <w:rPr>
                <w:sz w:val="3"/>
                <w:szCs w:val="3"/>
                <w:color w:val="auto"/>
              </w:rPr>
            </w:pPr>
          </w:p>
        </w:tc>
        <w:tc>
          <w:tcPr>
            <w:tcW w:w="900" w:type="dxa"/>
            <w:vAlign w:val="bottom"/>
            <w:tcBorders>
              <w:bottom w:val="single" w:sz="8" w:color="7C7C7C"/>
            </w:tcBorders>
          </w:tcPr>
          <w:p>
            <w:pPr>
              <w:spacing w:after="0"/>
              <w:rPr>
                <w:sz w:val="3"/>
                <w:szCs w:val="3"/>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4"/>
                <w:szCs w:val="14"/>
                <w:color w:val="auto"/>
              </w:rPr>
              <w:t>12-Quarter Average ROIC</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35%</w:t>
            </w: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10.5%</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12.5%</w:t>
            </w:r>
          </w:p>
        </w:tc>
        <w:tc>
          <w:tcPr>
            <w:tcW w:w="680" w:type="dxa"/>
            <w:vAlign w:val="bottom"/>
          </w:tcPr>
          <w:p>
            <w:pPr>
              <w:jc w:val="right"/>
              <w:spacing w:after="0"/>
              <w:rPr>
                <w:sz w:val="20"/>
                <w:szCs w:val="20"/>
                <w:color w:val="auto"/>
              </w:rPr>
            </w:pPr>
            <w:r>
              <w:rPr>
                <w:rFonts w:ascii="Arial" w:cs="Arial" w:eastAsia="Arial" w:hAnsi="Arial"/>
                <w:sz w:val="14"/>
                <w:szCs w:val="14"/>
                <w:color w:val="auto"/>
              </w:rPr>
              <w:t>11.1%</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41"/>
        </w:trPr>
        <w:tc>
          <w:tcPr>
            <w:tcW w:w="59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460" w:type="dxa"/>
            <w:vAlign w:val="bottom"/>
            <w:tcBorders>
              <w:bottom w:val="single" w:sz="8" w:color="7C7C7C"/>
            </w:tcBorders>
          </w:tcPr>
          <w:p>
            <w:pPr>
              <w:spacing w:after="0"/>
              <w:rPr>
                <w:sz w:val="3"/>
                <w:szCs w:val="3"/>
                <w:color w:val="auto"/>
              </w:rPr>
            </w:pPr>
          </w:p>
        </w:tc>
        <w:tc>
          <w:tcPr>
            <w:tcW w:w="280" w:type="dxa"/>
            <w:vAlign w:val="bottom"/>
            <w:tcBorders>
              <w:bottom w:val="single" w:sz="8" w:color="7C7C7C"/>
            </w:tcBorders>
          </w:tcPr>
          <w:p>
            <w:pPr>
              <w:spacing w:after="0"/>
              <w:rPr>
                <w:sz w:val="3"/>
                <w:szCs w:val="3"/>
                <w:color w:val="auto"/>
              </w:rPr>
            </w:pPr>
          </w:p>
        </w:tc>
        <w:tc>
          <w:tcPr>
            <w:tcW w:w="66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58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64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680" w:type="dxa"/>
            <w:vAlign w:val="bottom"/>
            <w:tcBorders>
              <w:bottom w:val="single" w:sz="8" w:color="7C7C7C"/>
            </w:tcBorders>
          </w:tcPr>
          <w:p>
            <w:pPr>
              <w:spacing w:after="0"/>
              <w:rPr>
                <w:sz w:val="3"/>
                <w:szCs w:val="3"/>
                <w:color w:val="auto"/>
              </w:rPr>
            </w:pPr>
          </w:p>
        </w:tc>
        <w:tc>
          <w:tcPr>
            <w:tcW w:w="280" w:type="dxa"/>
            <w:vAlign w:val="bottom"/>
            <w:tcBorders>
              <w:bottom w:val="single" w:sz="8" w:color="7C7C7C"/>
            </w:tcBorders>
          </w:tcPr>
          <w:p>
            <w:pPr>
              <w:spacing w:after="0"/>
              <w:rPr>
                <w:sz w:val="3"/>
                <w:szCs w:val="3"/>
                <w:color w:val="auto"/>
              </w:rPr>
            </w:pPr>
          </w:p>
        </w:tc>
        <w:tc>
          <w:tcPr>
            <w:tcW w:w="900" w:type="dxa"/>
            <w:vAlign w:val="bottom"/>
            <w:tcBorders>
              <w:bottom w:val="single" w:sz="8" w:color="7C7C7C"/>
            </w:tcBorders>
          </w:tcPr>
          <w:p>
            <w:pPr>
              <w:spacing w:after="0"/>
              <w:rPr>
                <w:sz w:val="3"/>
                <w:szCs w:val="3"/>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4"/>
                <w:szCs w:val="14"/>
                <w:color w:val="auto"/>
              </w:rPr>
              <w:t>3-Year TSR vs. the S&amp;P 500</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30%</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25th %ile</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50th %ile</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75th %ile</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54.9th %ile</w:t>
            </w:r>
          </w:p>
        </w:tc>
        <w:tc>
          <w:tcPr>
            <w:tcW w:w="90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41"/>
        </w:trPr>
        <w:tc>
          <w:tcPr>
            <w:tcW w:w="59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460" w:type="dxa"/>
            <w:vAlign w:val="bottom"/>
            <w:tcBorders>
              <w:bottom w:val="single" w:sz="8" w:color="7C7C7C"/>
            </w:tcBorders>
          </w:tcPr>
          <w:p>
            <w:pPr>
              <w:spacing w:after="0"/>
              <w:rPr>
                <w:sz w:val="3"/>
                <w:szCs w:val="3"/>
                <w:color w:val="auto"/>
              </w:rPr>
            </w:pPr>
          </w:p>
        </w:tc>
        <w:tc>
          <w:tcPr>
            <w:tcW w:w="280" w:type="dxa"/>
            <w:vAlign w:val="bottom"/>
            <w:tcBorders>
              <w:bottom w:val="single" w:sz="8" w:color="7C7C7C"/>
            </w:tcBorders>
          </w:tcPr>
          <w:p>
            <w:pPr>
              <w:spacing w:after="0"/>
              <w:rPr>
                <w:sz w:val="3"/>
                <w:szCs w:val="3"/>
                <w:color w:val="auto"/>
              </w:rPr>
            </w:pPr>
          </w:p>
        </w:tc>
        <w:tc>
          <w:tcPr>
            <w:tcW w:w="66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58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640" w:type="dxa"/>
            <w:vAlign w:val="bottom"/>
            <w:tcBorders>
              <w:bottom w:val="single" w:sz="8" w:color="7C7C7C"/>
            </w:tcBorders>
          </w:tcPr>
          <w:p>
            <w:pPr>
              <w:spacing w:after="0"/>
              <w:rPr>
                <w:sz w:val="3"/>
                <w:szCs w:val="3"/>
                <w:color w:val="auto"/>
              </w:rPr>
            </w:pPr>
          </w:p>
        </w:tc>
        <w:tc>
          <w:tcPr>
            <w:tcW w:w="940" w:type="dxa"/>
            <w:vAlign w:val="bottom"/>
            <w:tcBorders>
              <w:bottom w:val="single" w:sz="8" w:color="7C7C7C"/>
            </w:tcBorders>
            <w:gridSpan w:val="2"/>
          </w:tcPr>
          <w:p>
            <w:pPr>
              <w:spacing w:after="0"/>
              <w:rPr>
                <w:sz w:val="3"/>
                <w:szCs w:val="3"/>
                <w:color w:val="auto"/>
              </w:rPr>
            </w:pPr>
          </w:p>
        </w:tc>
        <w:tc>
          <w:tcPr>
            <w:tcW w:w="280" w:type="dxa"/>
            <w:vAlign w:val="bottom"/>
            <w:tcBorders>
              <w:bottom w:val="single" w:sz="8" w:color="7C7C7C"/>
            </w:tcBorders>
          </w:tcPr>
          <w:p>
            <w:pPr>
              <w:spacing w:after="0"/>
              <w:rPr>
                <w:sz w:val="3"/>
                <w:szCs w:val="3"/>
                <w:color w:val="auto"/>
              </w:rPr>
            </w:pPr>
          </w:p>
        </w:tc>
        <w:tc>
          <w:tcPr>
            <w:tcW w:w="900" w:type="dxa"/>
            <w:vAlign w:val="bottom"/>
            <w:tcBorders>
              <w:bottom w:val="single" w:sz="8" w:color="7C7C7C"/>
            </w:tcBorders>
          </w:tcPr>
          <w:p>
            <w:pPr>
              <w:spacing w:after="0"/>
              <w:rPr>
                <w:sz w:val="3"/>
                <w:szCs w:val="3"/>
                <w:color w:val="auto"/>
              </w:rPr>
            </w:pPr>
          </w:p>
        </w:tc>
      </w:tr>
      <w:tr>
        <w:trPr>
          <w:trHeight w:val="217"/>
        </w:trPr>
        <w:tc>
          <w:tcPr>
            <w:tcW w:w="5900" w:type="dxa"/>
            <w:vAlign w:val="bottom"/>
            <w:tcBorders>
              <w:bottom w:val="single" w:sz="8" w:color="DAE9F7"/>
            </w:tcBorders>
            <w:shd w:val="clear" w:color="auto" w:fill="DAE9F7"/>
          </w:tcPr>
          <w:p>
            <w:pPr>
              <w:spacing w:after="0"/>
              <w:rPr>
                <w:sz w:val="18"/>
                <w:szCs w:val="18"/>
                <w:color w:val="auto"/>
              </w:rPr>
            </w:pPr>
          </w:p>
        </w:tc>
        <w:tc>
          <w:tcPr>
            <w:tcW w:w="260" w:type="dxa"/>
            <w:vAlign w:val="bottom"/>
            <w:tcBorders>
              <w:bottom w:val="single" w:sz="8" w:color="DAE9F7"/>
            </w:tcBorders>
            <w:shd w:val="clear" w:color="auto" w:fill="DAE9F7"/>
          </w:tcPr>
          <w:p>
            <w:pPr>
              <w:spacing w:after="0"/>
              <w:rPr>
                <w:sz w:val="18"/>
                <w:szCs w:val="18"/>
                <w:color w:val="auto"/>
              </w:rPr>
            </w:pPr>
          </w:p>
        </w:tc>
        <w:tc>
          <w:tcPr>
            <w:tcW w:w="460" w:type="dxa"/>
            <w:vAlign w:val="bottom"/>
            <w:tcBorders>
              <w:bottom w:val="single" w:sz="8" w:color="DAE9F7"/>
            </w:tcBorders>
            <w:shd w:val="clear" w:color="auto" w:fill="DAE9F7"/>
          </w:tcPr>
          <w:p>
            <w:pPr>
              <w:spacing w:after="0"/>
              <w:rPr>
                <w:sz w:val="18"/>
                <w:szCs w:val="18"/>
                <w:color w:val="auto"/>
              </w:rPr>
            </w:pPr>
          </w:p>
        </w:tc>
        <w:tc>
          <w:tcPr>
            <w:tcW w:w="280" w:type="dxa"/>
            <w:vAlign w:val="bottom"/>
            <w:tcBorders>
              <w:bottom w:val="single" w:sz="8" w:color="DAE9F7"/>
            </w:tcBorders>
            <w:shd w:val="clear" w:color="auto" w:fill="DAE9F7"/>
          </w:tcPr>
          <w:p>
            <w:pPr>
              <w:spacing w:after="0"/>
              <w:rPr>
                <w:sz w:val="18"/>
                <w:szCs w:val="18"/>
                <w:color w:val="auto"/>
              </w:rPr>
            </w:pPr>
          </w:p>
        </w:tc>
        <w:tc>
          <w:tcPr>
            <w:tcW w:w="660" w:type="dxa"/>
            <w:vAlign w:val="bottom"/>
            <w:tcBorders>
              <w:bottom w:val="single" w:sz="8" w:color="DAE9F7"/>
            </w:tcBorders>
            <w:shd w:val="clear" w:color="auto" w:fill="DAE9F7"/>
          </w:tcPr>
          <w:p>
            <w:pPr>
              <w:spacing w:after="0"/>
              <w:rPr>
                <w:sz w:val="18"/>
                <w:szCs w:val="18"/>
                <w:color w:val="auto"/>
              </w:rPr>
            </w:pPr>
          </w:p>
        </w:tc>
        <w:tc>
          <w:tcPr>
            <w:tcW w:w="260" w:type="dxa"/>
            <w:vAlign w:val="bottom"/>
            <w:tcBorders>
              <w:bottom w:val="single" w:sz="8" w:color="DAE9F7"/>
            </w:tcBorders>
            <w:shd w:val="clear" w:color="auto" w:fill="DAE9F7"/>
          </w:tcPr>
          <w:p>
            <w:pPr>
              <w:spacing w:after="0"/>
              <w:rPr>
                <w:sz w:val="18"/>
                <w:szCs w:val="18"/>
                <w:color w:val="auto"/>
              </w:rPr>
            </w:pPr>
          </w:p>
        </w:tc>
        <w:tc>
          <w:tcPr>
            <w:tcW w:w="580" w:type="dxa"/>
            <w:vAlign w:val="bottom"/>
            <w:tcBorders>
              <w:bottom w:val="single" w:sz="8" w:color="DAE9F7"/>
            </w:tcBorders>
            <w:shd w:val="clear" w:color="auto" w:fill="DAE9F7"/>
          </w:tcPr>
          <w:p>
            <w:pPr>
              <w:spacing w:after="0"/>
              <w:rPr>
                <w:sz w:val="18"/>
                <w:szCs w:val="18"/>
                <w:color w:val="auto"/>
              </w:rPr>
            </w:pPr>
          </w:p>
        </w:tc>
        <w:tc>
          <w:tcPr>
            <w:tcW w:w="260" w:type="dxa"/>
            <w:vAlign w:val="bottom"/>
            <w:tcBorders>
              <w:bottom w:val="single" w:sz="8" w:color="DAE9F7"/>
            </w:tcBorders>
            <w:shd w:val="clear" w:color="auto" w:fill="DAE9F7"/>
          </w:tcPr>
          <w:p>
            <w:pPr>
              <w:spacing w:after="0"/>
              <w:rPr>
                <w:sz w:val="18"/>
                <w:szCs w:val="18"/>
                <w:color w:val="auto"/>
              </w:rPr>
            </w:pPr>
          </w:p>
        </w:tc>
        <w:tc>
          <w:tcPr>
            <w:tcW w:w="1860" w:type="dxa"/>
            <w:vAlign w:val="bottom"/>
            <w:tcBorders>
              <w:bottom w:val="single" w:sz="8" w:color="DAE9F7"/>
            </w:tcBorders>
            <w:gridSpan w:val="4"/>
            <w:shd w:val="clear" w:color="auto" w:fill="DAE9F7"/>
          </w:tcPr>
          <w:p>
            <w:pPr>
              <w:jc w:val="right"/>
              <w:ind w:right="280"/>
              <w:spacing w:after="0"/>
              <w:rPr>
                <w:sz w:val="20"/>
                <w:szCs w:val="20"/>
                <w:color w:val="auto"/>
              </w:rPr>
            </w:pPr>
            <w:r>
              <w:rPr>
                <w:rFonts w:ascii="Arial" w:cs="Arial" w:eastAsia="Arial" w:hAnsi="Arial"/>
                <w:sz w:val="14"/>
                <w:szCs w:val="14"/>
                <w:b w:val="1"/>
                <w:bCs w:val="1"/>
                <w:color w:val="0E93D8"/>
              </w:rPr>
              <w:t>Final Payout Factor</w:t>
            </w:r>
          </w:p>
        </w:tc>
        <w:tc>
          <w:tcPr>
            <w:tcW w:w="900" w:type="dxa"/>
            <w:vAlign w:val="bottom"/>
            <w:tcBorders>
              <w:bottom w:val="single" w:sz="8" w:color="DAE9F7"/>
            </w:tcBorders>
            <w:shd w:val="clear" w:color="auto" w:fill="DAE9F7"/>
          </w:tcPr>
          <w:p>
            <w:pPr>
              <w:jc w:val="right"/>
              <w:spacing w:after="0"/>
              <w:rPr>
                <w:sz w:val="20"/>
                <w:szCs w:val="20"/>
                <w:color w:val="auto"/>
              </w:rPr>
            </w:pPr>
            <w:r>
              <w:rPr>
                <w:rFonts w:ascii="Arial" w:cs="Arial" w:eastAsia="Arial" w:hAnsi="Arial"/>
                <w:sz w:val="14"/>
                <w:szCs w:val="14"/>
                <w:b w:val="1"/>
                <w:bCs w:val="1"/>
                <w:color w:val="0E93D8"/>
              </w:rPr>
              <w:t>116%</w:t>
            </w:r>
          </w:p>
        </w:tc>
      </w:tr>
      <w:tr>
        <w:trPr>
          <w:trHeight w:val="20"/>
        </w:trPr>
        <w:tc>
          <w:tcPr>
            <w:tcW w:w="5900" w:type="dxa"/>
            <w:vAlign w:val="bottom"/>
            <w:shd w:val="clear" w:color="auto" w:fill="7C7C7C"/>
          </w:tcPr>
          <w:p>
            <w:pPr>
              <w:spacing w:after="0" w:line="20" w:lineRule="exact"/>
              <w:rPr>
                <w:sz w:val="1"/>
                <w:szCs w:val="1"/>
                <w:color w:val="auto"/>
              </w:rPr>
            </w:pPr>
          </w:p>
        </w:tc>
        <w:tc>
          <w:tcPr>
            <w:tcW w:w="260" w:type="dxa"/>
            <w:vAlign w:val="bottom"/>
            <w:shd w:val="clear" w:color="auto" w:fill="7C7C7C"/>
          </w:tcPr>
          <w:p>
            <w:pPr>
              <w:spacing w:after="0" w:line="20" w:lineRule="exact"/>
              <w:rPr>
                <w:sz w:val="1"/>
                <w:szCs w:val="1"/>
                <w:color w:val="auto"/>
              </w:rPr>
            </w:pPr>
          </w:p>
        </w:tc>
        <w:tc>
          <w:tcPr>
            <w:tcW w:w="460" w:type="dxa"/>
            <w:vAlign w:val="bottom"/>
            <w:shd w:val="clear" w:color="auto" w:fill="7C7C7C"/>
          </w:tcPr>
          <w:p>
            <w:pPr>
              <w:spacing w:after="0" w:line="20" w:lineRule="exact"/>
              <w:rPr>
                <w:sz w:val="1"/>
                <w:szCs w:val="1"/>
                <w:color w:val="auto"/>
              </w:rPr>
            </w:pPr>
          </w:p>
        </w:tc>
        <w:tc>
          <w:tcPr>
            <w:tcW w:w="280" w:type="dxa"/>
            <w:vAlign w:val="bottom"/>
            <w:shd w:val="clear" w:color="auto" w:fill="7C7C7C"/>
          </w:tcPr>
          <w:p>
            <w:pPr>
              <w:spacing w:after="0" w:line="20" w:lineRule="exact"/>
              <w:rPr>
                <w:sz w:val="1"/>
                <w:szCs w:val="1"/>
                <w:color w:val="auto"/>
              </w:rPr>
            </w:pPr>
          </w:p>
        </w:tc>
        <w:tc>
          <w:tcPr>
            <w:tcW w:w="660" w:type="dxa"/>
            <w:vAlign w:val="bottom"/>
            <w:shd w:val="clear" w:color="auto" w:fill="7C7C7C"/>
          </w:tcPr>
          <w:p>
            <w:pPr>
              <w:spacing w:after="0" w:line="20" w:lineRule="exact"/>
              <w:rPr>
                <w:sz w:val="1"/>
                <w:szCs w:val="1"/>
                <w:color w:val="auto"/>
              </w:rPr>
            </w:pPr>
          </w:p>
        </w:tc>
        <w:tc>
          <w:tcPr>
            <w:tcW w:w="260" w:type="dxa"/>
            <w:vAlign w:val="bottom"/>
            <w:shd w:val="clear" w:color="auto" w:fill="7C7C7C"/>
          </w:tcPr>
          <w:p>
            <w:pPr>
              <w:spacing w:after="0" w:line="20" w:lineRule="exact"/>
              <w:rPr>
                <w:sz w:val="1"/>
                <w:szCs w:val="1"/>
                <w:color w:val="auto"/>
              </w:rPr>
            </w:pPr>
          </w:p>
        </w:tc>
        <w:tc>
          <w:tcPr>
            <w:tcW w:w="580" w:type="dxa"/>
            <w:vAlign w:val="bottom"/>
            <w:shd w:val="clear" w:color="auto" w:fill="7C7C7C"/>
          </w:tcPr>
          <w:p>
            <w:pPr>
              <w:spacing w:after="0" w:line="20" w:lineRule="exact"/>
              <w:rPr>
                <w:sz w:val="1"/>
                <w:szCs w:val="1"/>
                <w:color w:val="auto"/>
              </w:rPr>
            </w:pPr>
          </w:p>
        </w:tc>
        <w:tc>
          <w:tcPr>
            <w:tcW w:w="260" w:type="dxa"/>
            <w:vAlign w:val="bottom"/>
            <w:shd w:val="clear" w:color="auto" w:fill="7C7C7C"/>
          </w:tcPr>
          <w:p>
            <w:pPr>
              <w:spacing w:after="0" w:line="20" w:lineRule="exact"/>
              <w:rPr>
                <w:sz w:val="1"/>
                <w:szCs w:val="1"/>
                <w:color w:val="auto"/>
              </w:rPr>
            </w:pPr>
          </w:p>
        </w:tc>
        <w:tc>
          <w:tcPr>
            <w:tcW w:w="640" w:type="dxa"/>
            <w:vAlign w:val="bottom"/>
            <w:shd w:val="clear" w:color="auto" w:fill="7C7C7C"/>
          </w:tcPr>
          <w:p>
            <w:pPr>
              <w:spacing w:after="0" w:line="20" w:lineRule="exact"/>
              <w:rPr>
                <w:sz w:val="1"/>
                <w:szCs w:val="1"/>
                <w:color w:val="auto"/>
              </w:rPr>
            </w:pPr>
          </w:p>
        </w:tc>
        <w:tc>
          <w:tcPr>
            <w:tcW w:w="260" w:type="dxa"/>
            <w:vAlign w:val="bottom"/>
            <w:shd w:val="clear" w:color="auto" w:fill="7C7C7C"/>
          </w:tcPr>
          <w:p>
            <w:pPr>
              <w:spacing w:after="0" w:line="20" w:lineRule="exact"/>
              <w:rPr>
                <w:sz w:val="1"/>
                <w:szCs w:val="1"/>
                <w:color w:val="auto"/>
              </w:rPr>
            </w:pPr>
          </w:p>
        </w:tc>
        <w:tc>
          <w:tcPr>
            <w:tcW w:w="680" w:type="dxa"/>
            <w:vAlign w:val="bottom"/>
            <w:shd w:val="clear" w:color="auto" w:fill="7C7C7C"/>
          </w:tcPr>
          <w:p>
            <w:pPr>
              <w:spacing w:after="0" w:line="20" w:lineRule="exact"/>
              <w:rPr>
                <w:sz w:val="1"/>
                <w:szCs w:val="1"/>
                <w:color w:val="auto"/>
              </w:rPr>
            </w:pPr>
          </w:p>
        </w:tc>
        <w:tc>
          <w:tcPr>
            <w:tcW w:w="280" w:type="dxa"/>
            <w:vAlign w:val="bottom"/>
            <w:shd w:val="clear" w:color="auto" w:fill="7C7C7C"/>
          </w:tcPr>
          <w:p>
            <w:pPr>
              <w:spacing w:after="0" w:line="20" w:lineRule="exact"/>
              <w:rPr>
                <w:sz w:val="1"/>
                <w:szCs w:val="1"/>
                <w:color w:val="auto"/>
              </w:rPr>
            </w:pPr>
          </w:p>
        </w:tc>
        <w:tc>
          <w:tcPr>
            <w:tcW w:w="900" w:type="dxa"/>
            <w:vAlign w:val="bottom"/>
            <w:shd w:val="clear" w:color="auto" w:fill="7C7C7C"/>
          </w:tcPr>
          <w:p>
            <w:pPr>
              <w:spacing w:after="0" w:line="20" w:lineRule="exact"/>
              <w:rPr>
                <w:sz w:val="1"/>
                <w:szCs w:val="1"/>
                <w:color w:val="auto"/>
              </w:rPr>
            </w:pPr>
          </w:p>
        </w:tc>
      </w:tr>
    </w:tbl>
    <w:p>
      <w:pPr>
        <w:spacing w:after="0" w:line="2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2018 GAAP diluted EPS of $6.50 was adjusted to $7.61 to account for the impact of restructuring, non-recurring and other significant items unrelated to operational performance (see Appendix A on pages 86-87 for details on GAAP and non-GAAP financial measures). For PSU vesting purposes, the Committee neutralized the impact of the Rockwell Collins acquisition (completed in the last quarter of the performance period) and the effects of the Tax Reform and Jobs Act (passed into law in the middle of the performance period), resulting in diluted EPS of $7.17. These adjustments are in accordance with plan provisions and were made to maintain the integrity of the original goals, which did not anticipate these significant events.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APPRECIATION RIGHTS</w:t>
      </w:r>
    </w:p>
    <w:p>
      <w:pPr>
        <w:spacing w:after="0" w:line="2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SARs entitle the award recipient to receive at the time of exercise shares of UTC Common Stock with a market value equal to the difference between the market price of UTC Common Stock on the date the SARs are exercised and the exercise price that was set at the grant date (i.e., the closing price of UTC Common Stock on the date of grant). SARs vest and become exercisable after three years and expire 10 years from the grant date.</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To align shareowner and executive interests, SAR awards directly link NEO compensation to share price appreciation. The Committee believes the 10-year term of these awards incentivizes long-term shareowner value creation.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45</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UNITS</w:t>
      </w:r>
    </w:p>
    <w:p>
      <w:pPr>
        <w:spacing w:after="0" w:line="2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Since 2017, ELG members (including each of our NEOs) have received 20% of their annual total LTI award in the form of RSUs. RSUs vest three years from the grant date and earn dividend equivalents during the vesting period that are reinvested as additional RSUs each time UTC pays a dividend to shareowners. The reinvested RSUs vest on the same date as the underlying RSUs. The Committee believes this time-based vesting vehicle has enhanced senior executive retention during a period of significant business investment and market volatility. RSUs have less upside potential than SARs, but have a stabilizing effect on the value of LTIP grants.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EQUITY-BASED AWARDS</w:t>
      </w:r>
    </w:p>
    <w:p>
      <w:pPr>
        <w:spacing w:after="0" w:line="22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Committee also may, from time to time, approve special equity grants for purposes such as recruitment, retention and recognition, or to drive the achievement of specific strategic performance goals. These special grants may be in the form of PSUs, SARs, RSUs, restricted stock or performance-based SARs. Since these grants are awarded for special purposes, we do not include them in total direct compensation which is intended to show the Committee’s annual pay decisions as it relates to its evaluation of executive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CEO Pay Overview</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CEO PAY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-90805</wp:posOffset>
            </wp:positionV>
            <wp:extent cx="6405880" cy="946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05880" cy="9461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840" w:type="dxa"/>
            <w:vAlign w:val="bottom"/>
            <w:vMerge w:val="restart"/>
          </w:tcPr>
          <w:p>
            <w:pPr>
              <w:ind w:left="140"/>
              <w:spacing w:after="0"/>
              <w:rPr>
                <w:sz w:val="20"/>
                <w:szCs w:val="20"/>
                <w:color w:val="auto"/>
              </w:rPr>
            </w:pPr>
            <w:r>
              <w:rPr>
                <w:rFonts w:ascii="Arial" w:cs="Arial" w:eastAsia="Arial" w:hAnsi="Arial"/>
                <w:sz w:val="29"/>
                <w:szCs w:val="29"/>
                <w:b w:val="1"/>
                <w:bCs w:val="1"/>
                <w:color w:val="FDB03F"/>
              </w:rPr>
              <w:t>$1.6M</w:t>
            </w:r>
          </w:p>
        </w:tc>
        <w:tc>
          <w:tcPr>
            <w:tcW w:w="20" w:type="dxa"/>
            <w:vAlign w:val="bottom"/>
          </w:tcPr>
          <w:p>
            <w:pPr>
              <w:spacing w:after="0"/>
              <w:rPr>
                <w:sz w:val="3"/>
                <w:szCs w:val="3"/>
                <w:color w:val="auto"/>
              </w:rPr>
            </w:pPr>
          </w:p>
        </w:tc>
        <w:tc>
          <w:tcPr>
            <w:tcW w:w="2820" w:type="dxa"/>
            <w:vAlign w:val="bottom"/>
            <w:vMerge w:val="restart"/>
          </w:tcPr>
          <w:p>
            <w:pPr>
              <w:ind w:left="140"/>
              <w:spacing w:after="0"/>
              <w:rPr>
                <w:sz w:val="20"/>
                <w:szCs w:val="20"/>
                <w:color w:val="auto"/>
              </w:rPr>
            </w:pPr>
            <w:r>
              <w:rPr>
                <w:rFonts w:ascii="Arial" w:cs="Arial" w:eastAsia="Arial" w:hAnsi="Arial"/>
                <w:sz w:val="29"/>
                <w:szCs w:val="29"/>
                <w:b w:val="1"/>
                <w:bCs w:val="1"/>
                <w:color w:val="FDB03F"/>
              </w:rPr>
              <w:t>$3.5M</w:t>
            </w:r>
          </w:p>
        </w:tc>
        <w:tc>
          <w:tcPr>
            <w:tcW w:w="20" w:type="dxa"/>
            <w:vAlign w:val="bottom"/>
          </w:tcPr>
          <w:p>
            <w:pPr>
              <w:spacing w:after="0"/>
              <w:rPr>
                <w:sz w:val="3"/>
                <w:szCs w:val="3"/>
                <w:color w:val="auto"/>
              </w:rPr>
            </w:pPr>
          </w:p>
        </w:tc>
        <w:tc>
          <w:tcPr>
            <w:tcW w:w="2840" w:type="dxa"/>
            <w:vAlign w:val="bottom"/>
            <w:vMerge w:val="restart"/>
          </w:tcPr>
          <w:p>
            <w:pPr>
              <w:ind w:left="160"/>
              <w:spacing w:after="0"/>
              <w:rPr>
                <w:sz w:val="20"/>
                <w:szCs w:val="20"/>
                <w:color w:val="auto"/>
              </w:rPr>
            </w:pPr>
            <w:r>
              <w:rPr>
                <w:rFonts w:ascii="Arial" w:cs="Arial" w:eastAsia="Arial" w:hAnsi="Arial"/>
                <w:sz w:val="29"/>
                <w:szCs w:val="29"/>
                <w:b w:val="1"/>
                <w:bCs w:val="1"/>
                <w:color w:val="FDB03F"/>
              </w:rPr>
              <w:t>175% target</w:t>
            </w:r>
          </w:p>
        </w:tc>
        <w:tc>
          <w:tcPr>
            <w:tcW w:w="20" w:type="dxa"/>
            <w:vAlign w:val="bottom"/>
          </w:tcPr>
          <w:p>
            <w:pPr>
              <w:spacing w:after="0"/>
              <w:rPr>
                <w:sz w:val="3"/>
                <w:szCs w:val="3"/>
                <w:color w:val="auto"/>
              </w:rPr>
            </w:pPr>
          </w:p>
        </w:tc>
        <w:tc>
          <w:tcPr>
            <w:tcW w:w="2820" w:type="dxa"/>
            <w:vAlign w:val="bottom"/>
            <w:vMerge w:val="restart"/>
          </w:tcPr>
          <w:p>
            <w:pPr>
              <w:ind w:left="140"/>
              <w:spacing w:after="0"/>
              <w:rPr>
                <w:sz w:val="20"/>
                <w:szCs w:val="20"/>
                <w:color w:val="auto"/>
              </w:rPr>
            </w:pPr>
            <w:r>
              <w:rPr>
                <w:rFonts w:ascii="Arial" w:cs="Arial" w:eastAsia="Arial" w:hAnsi="Arial"/>
                <w:sz w:val="29"/>
                <w:szCs w:val="29"/>
                <w:b w:val="1"/>
                <w:bCs w:val="1"/>
                <w:color w:val="FDB03F"/>
              </w:rPr>
              <w:t>$13.0M</w:t>
            </w:r>
          </w:p>
        </w:tc>
        <w:tc>
          <w:tcPr>
            <w:tcW w:w="0" w:type="dxa"/>
            <w:vAlign w:val="bottom"/>
          </w:tcPr>
          <w:p>
            <w:pPr>
              <w:spacing w:after="0"/>
              <w:rPr>
                <w:sz w:val="1"/>
                <w:szCs w:val="1"/>
                <w:color w:val="auto"/>
              </w:rPr>
            </w:pPr>
          </w:p>
        </w:tc>
      </w:tr>
      <w:tr>
        <w:trPr>
          <w:trHeight w:val="298"/>
        </w:trPr>
        <w:tc>
          <w:tcPr>
            <w:tcW w:w="2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4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2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40" w:type="dxa"/>
            <w:vAlign w:val="bottom"/>
            <w:vMerge w:val="continue"/>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20" w:type="dxa"/>
            <w:vAlign w:val="bottom"/>
            <w:shd w:val="clear" w:color="auto" w:fill="FDB03F"/>
          </w:tcPr>
          <w:p>
            <w:pPr>
              <w:spacing w:after="0"/>
              <w:rPr>
                <w:sz w:val="24"/>
                <w:szCs w:val="24"/>
                <w:color w:val="auto"/>
              </w:rPr>
            </w:pPr>
          </w:p>
        </w:tc>
        <w:tc>
          <w:tcPr>
            <w:tcW w:w="2840" w:type="dxa"/>
            <w:vAlign w:val="bottom"/>
          </w:tcPr>
          <w:p>
            <w:pPr>
              <w:ind w:left="140"/>
              <w:spacing w:after="0"/>
              <w:rPr>
                <w:sz w:val="20"/>
                <w:szCs w:val="20"/>
                <w:color w:val="auto"/>
              </w:rPr>
            </w:pPr>
            <w:r>
              <w:rPr>
                <w:rFonts w:ascii="Arial" w:cs="Arial" w:eastAsia="Arial" w:hAnsi="Arial"/>
                <w:sz w:val="29"/>
                <w:szCs w:val="29"/>
                <w:b w:val="1"/>
                <w:bCs w:val="1"/>
                <w:color w:val="0E93D8"/>
              </w:rPr>
              <w:t>base salary</w:t>
            </w:r>
          </w:p>
        </w:tc>
        <w:tc>
          <w:tcPr>
            <w:tcW w:w="20" w:type="dxa"/>
            <w:vAlign w:val="bottom"/>
            <w:shd w:val="clear" w:color="auto" w:fill="FDB03F"/>
          </w:tcPr>
          <w:p>
            <w:pPr>
              <w:spacing w:after="0"/>
              <w:rPr>
                <w:sz w:val="24"/>
                <w:szCs w:val="24"/>
                <w:color w:val="auto"/>
              </w:rPr>
            </w:pPr>
          </w:p>
        </w:tc>
        <w:tc>
          <w:tcPr>
            <w:tcW w:w="2820" w:type="dxa"/>
            <w:vAlign w:val="bottom"/>
          </w:tcPr>
          <w:p>
            <w:pPr>
              <w:ind w:left="140"/>
              <w:spacing w:after="0"/>
              <w:rPr>
                <w:sz w:val="20"/>
                <w:szCs w:val="20"/>
                <w:color w:val="auto"/>
              </w:rPr>
            </w:pPr>
            <w:r>
              <w:rPr>
                <w:rFonts w:ascii="Arial" w:cs="Arial" w:eastAsia="Arial" w:hAnsi="Arial"/>
                <w:sz w:val="29"/>
                <w:szCs w:val="29"/>
                <w:b w:val="1"/>
                <w:bCs w:val="1"/>
                <w:color w:val="0E93D8"/>
              </w:rPr>
              <w:t>annual bonus</w:t>
            </w:r>
          </w:p>
        </w:tc>
        <w:tc>
          <w:tcPr>
            <w:tcW w:w="20" w:type="dxa"/>
            <w:vAlign w:val="bottom"/>
            <w:shd w:val="clear" w:color="auto" w:fill="FDB03F"/>
          </w:tcPr>
          <w:p>
            <w:pPr>
              <w:spacing w:after="0"/>
              <w:rPr>
                <w:sz w:val="24"/>
                <w:szCs w:val="24"/>
                <w:color w:val="auto"/>
              </w:rPr>
            </w:pPr>
          </w:p>
        </w:tc>
        <w:tc>
          <w:tcPr>
            <w:tcW w:w="2840" w:type="dxa"/>
            <w:vAlign w:val="bottom"/>
          </w:tcPr>
          <w:p>
            <w:pPr>
              <w:ind w:left="160"/>
              <w:spacing w:after="0"/>
              <w:rPr>
                <w:sz w:val="20"/>
                <w:szCs w:val="20"/>
                <w:color w:val="auto"/>
              </w:rPr>
            </w:pPr>
            <w:r>
              <w:rPr>
                <w:rFonts w:ascii="Arial" w:cs="Arial" w:eastAsia="Arial" w:hAnsi="Arial"/>
                <w:sz w:val="29"/>
                <w:szCs w:val="29"/>
                <w:b w:val="1"/>
                <w:bCs w:val="1"/>
                <w:color w:val="0E93D8"/>
              </w:rPr>
              <w:t>annual bonus</w:t>
            </w:r>
          </w:p>
        </w:tc>
        <w:tc>
          <w:tcPr>
            <w:tcW w:w="20" w:type="dxa"/>
            <w:vAlign w:val="bottom"/>
            <w:shd w:val="clear" w:color="auto" w:fill="FDB03F"/>
          </w:tcPr>
          <w:p>
            <w:pPr>
              <w:spacing w:after="0"/>
              <w:rPr>
                <w:sz w:val="24"/>
                <w:szCs w:val="24"/>
                <w:color w:val="auto"/>
              </w:rPr>
            </w:pPr>
          </w:p>
        </w:tc>
        <w:tc>
          <w:tcPr>
            <w:tcW w:w="2820" w:type="dxa"/>
            <w:vAlign w:val="bottom"/>
          </w:tcPr>
          <w:p>
            <w:pPr>
              <w:ind w:left="140"/>
              <w:spacing w:after="0"/>
              <w:rPr>
                <w:sz w:val="20"/>
                <w:szCs w:val="20"/>
                <w:color w:val="auto"/>
              </w:rPr>
            </w:pPr>
            <w:r>
              <w:rPr>
                <w:rFonts w:ascii="Arial" w:cs="Arial" w:eastAsia="Arial" w:hAnsi="Arial"/>
                <w:sz w:val="29"/>
                <w:szCs w:val="29"/>
                <w:b w:val="1"/>
                <w:bCs w:val="1"/>
                <w:color w:val="0E93D8"/>
              </w:rPr>
              <w:t>LTI award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40" w:type="dxa"/>
            <w:vAlign w:val="bottom"/>
          </w:tcPr>
          <w:p>
            <w:pPr>
              <w:ind w:left="140"/>
              <w:spacing w:after="0" w:line="202" w:lineRule="exact"/>
              <w:rPr>
                <w:sz w:val="20"/>
                <w:szCs w:val="20"/>
                <w:color w:val="auto"/>
              </w:rPr>
            </w:pPr>
            <w:r>
              <w:rPr>
                <w:rFonts w:ascii="Arial" w:cs="Arial" w:eastAsia="Arial" w:hAnsi="Arial"/>
                <w:sz w:val="18"/>
                <w:szCs w:val="18"/>
                <w:color w:val="auto"/>
              </w:rPr>
              <w:t>6.7% increase in 2018</w:t>
            </w:r>
          </w:p>
        </w:tc>
        <w:tc>
          <w:tcPr>
            <w:tcW w:w="20" w:type="dxa"/>
            <w:vAlign w:val="bottom"/>
            <w:shd w:val="clear" w:color="auto" w:fill="FDB03F"/>
          </w:tcPr>
          <w:p>
            <w:pPr>
              <w:spacing w:after="0"/>
              <w:rPr>
                <w:sz w:val="17"/>
                <w:szCs w:val="17"/>
                <w:color w:val="auto"/>
              </w:rPr>
            </w:pPr>
          </w:p>
        </w:tc>
        <w:tc>
          <w:tcPr>
            <w:tcW w:w="2820" w:type="dxa"/>
            <w:vAlign w:val="bottom"/>
          </w:tcPr>
          <w:p>
            <w:pPr>
              <w:ind w:left="140"/>
              <w:spacing w:after="0" w:line="202" w:lineRule="exact"/>
              <w:rPr>
                <w:sz w:val="20"/>
                <w:szCs w:val="20"/>
                <w:color w:val="auto"/>
              </w:rPr>
            </w:pPr>
            <w:r>
              <w:rPr>
                <w:rFonts w:ascii="Arial" w:cs="Arial" w:eastAsia="Arial" w:hAnsi="Arial"/>
                <w:sz w:val="18"/>
                <w:szCs w:val="18"/>
                <w:color w:val="auto"/>
              </w:rPr>
              <w:t>aligned with the UTC</w:t>
            </w:r>
          </w:p>
        </w:tc>
        <w:tc>
          <w:tcPr>
            <w:tcW w:w="20" w:type="dxa"/>
            <w:vAlign w:val="bottom"/>
            <w:shd w:val="clear" w:color="auto" w:fill="FDB03F"/>
          </w:tcPr>
          <w:p>
            <w:pPr>
              <w:spacing w:after="0"/>
              <w:rPr>
                <w:sz w:val="17"/>
                <w:szCs w:val="17"/>
                <w:color w:val="auto"/>
              </w:rPr>
            </w:pP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No change from prior year</w:t>
            </w:r>
          </w:p>
        </w:tc>
        <w:tc>
          <w:tcPr>
            <w:tcW w:w="20" w:type="dxa"/>
            <w:vAlign w:val="bottom"/>
            <w:shd w:val="clear" w:color="auto" w:fill="FDB03F"/>
          </w:tcPr>
          <w:p>
            <w:pPr>
              <w:spacing w:after="0"/>
              <w:rPr>
                <w:sz w:val="17"/>
                <w:szCs w:val="17"/>
                <w:color w:val="auto"/>
              </w:rPr>
            </w:pPr>
          </w:p>
        </w:tc>
        <w:tc>
          <w:tcPr>
            <w:tcW w:w="2820" w:type="dxa"/>
            <w:vAlign w:val="bottom"/>
          </w:tcPr>
          <w:p>
            <w:pPr>
              <w:ind w:left="140"/>
              <w:spacing w:after="0" w:line="202" w:lineRule="exact"/>
              <w:rPr>
                <w:sz w:val="20"/>
                <w:szCs w:val="20"/>
                <w:color w:val="auto"/>
              </w:rPr>
            </w:pPr>
            <w:r>
              <w:rPr>
                <w:rFonts w:ascii="Arial" w:cs="Arial" w:eastAsia="Arial" w:hAnsi="Arial"/>
                <w:sz w:val="18"/>
                <w:szCs w:val="18"/>
                <w:color w:val="auto"/>
              </w:rPr>
              <w:t>approved by the Committee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20" w:type="dxa"/>
            <w:vAlign w:val="bottom"/>
          </w:tcPr>
          <w:p>
            <w:pPr>
              <w:ind w:left="140"/>
              <w:spacing w:after="0" w:line="202" w:lineRule="exact"/>
              <w:rPr>
                <w:sz w:val="20"/>
                <w:szCs w:val="20"/>
                <w:color w:val="auto"/>
              </w:rPr>
            </w:pPr>
            <w:r>
              <w:rPr>
                <w:rFonts w:ascii="Arial" w:cs="Arial" w:eastAsia="Arial" w:hAnsi="Arial"/>
                <w:sz w:val="18"/>
                <w:szCs w:val="18"/>
                <w:color w:val="auto"/>
              </w:rPr>
              <w:t>performance factor of 125%</w:t>
            </w:r>
          </w:p>
        </w:tc>
        <w:tc>
          <w:tcPr>
            <w:tcW w:w="20" w:type="dxa"/>
            <w:vAlign w:val="bottom"/>
            <w:shd w:val="clear" w:color="auto" w:fill="FDB03F"/>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20" w:type="dxa"/>
            <w:vAlign w:val="bottom"/>
          </w:tcPr>
          <w:p>
            <w:pPr>
              <w:ind w:left="140"/>
              <w:spacing w:after="0" w:line="202" w:lineRule="exact"/>
              <w:rPr>
                <w:sz w:val="20"/>
                <w:szCs w:val="20"/>
                <w:color w:val="auto"/>
              </w:rPr>
            </w:pPr>
            <w:r>
              <w:rPr>
                <w:rFonts w:ascii="Arial" w:cs="Arial" w:eastAsia="Arial" w:hAnsi="Arial"/>
                <w:sz w:val="18"/>
                <w:szCs w:val="18"/>
                <w:color w:val="auto"/>
              </w:rPr>
              <w:t>February 2019 and aligned with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shd w:val="clear" w:color="auto" w:fill="FDB03F"/>
          </w:tcPr>
          <w:p>
            <w:pPr>
              <w:spacing w:after="0"/>
              <w:rPr>
                <w:sz w:val="17"/>
                <w:szCs w:val="17"/>
                <w:color w:val="auto"/>
              </w:rPr>
            </w:pPr>
          </w:p>
        </w:tc>
        <w:tc>
          <w:tcPr>
            <w:tcW w:w="2820" w:type="dxa"/>
            <w:vAlign w:val="bottom"/>
          </w:tcPr>
          <w:p>
            <w:pPr>
              <w:ind w:left="140"/>
              <w:spacing w:after="0" w:line="200" w:lineRule="exact"/>
              <w:rPr>
                <w:sz w:val="20"/>
                <w:szCs w:val="20"/>
                <w:color w:val="auto"/>
              </w:rPr>
            </w:pPr>
            <w:r>
              <w:rPr>
                <w:rFonts w:ascii="Arial" w:cs="Arial" w:eastAsia="Arial" w:hAnsi="Arial"/>
                <w:sz w:val="18"/>
                <w:szCs w:val="18"/>
                <w:color w:val="auto"/>
              </w:rPr>
              <w:t>the market median</w:t>
            </w:r>
          </w:p>
        </w:tc>
        <w:tc>
          <w:tcPr>
            <w:tcW w:w="0" w:type="dxa"/>
            <w:vAlign w:val="bottom"/>
          </w:tcPr>
          <w:p>
            <w:pPr>
              <w:spacing w:after="0"/>
              <w:rPr>
                <w:sz w:val="1"/>
                <w:szCs w:val="1"/>
                <w:color w:val="auto"/>
              </w:rPr>
            </w:pPr>
          </w:p>
        </w:tc>
      </w:tr>
      <w:tr>
        <w:trPr>
          <w:trHeight w:val="439"/>
        </w:trPr>
        <w:tc>
          <w:tcPr>
            <w:tcW w:w="2880" w:type="dxa"/>
            <w:vAlign w:val="bottom"/>
            <w:tcBorders>
              <w:bottom w:val="single" w:sz="8" w:color="7C7C7C"/>
            </w:tcBorders>
            <w:gridSpan w:val="3"/>
          </w:tcPr>
          <w:p>
            <w:pPr>
              <w:spacing w:after="0"/>
              <w:rPr>
                <w:sz w:val="20"/>
                <w:szCs w:val="20"/>
                <w:color w:val="auto"/>
              </w:rPr>
            </w:pPr>
            <w:r>
              <w:rPr>
                <w:rFonts w:ascii="Arial" w:cs="Arial" w:eastAsia="Arial" w:hAnsi="Arial"/>
                <w:sz w:val="18"/>
                <w:szCs w:val="18"/>
                <w:b w:val="1"/>
                <w:bCs w:val="1"/>
                <w:color w:val="0E93D8"/>
              </w:rPr>
              <w:t>Total Direct Compensation</w:t>
            </w:r>
          </w:p>
        </w:tc>
        <w:tc>
          <w:tcPr>
            <w:tcW w:w="20" w:type="dxa"/>
            <w:vAlign w:val="bottom"/>
            <w:tcBorders>
              <w:bottom w:val="single" w:sz="8" w:color="7C7C7C"/>
            </w:tcBorders>
          </w:tcPr>
          <w:p>
            <w:pPr>
              <w:spacing w:after="0"/>
              <w:rPr>
                <w:sz w:val="24"/>
                <w:szCs w:val="24"/>
                <w:color w:val="auto"/>
              </w:rPr>
            </w:pPr>
          </w:p>
        </w:tc>
        <w:tc>
          <w:tcPr>
            <w:tcW w:w="2820" w:type="dxa"/>
            <w:vAlign w:val="bottom"/>
            <w:tcBorders>
              <w:bottom w:val="single" w:sz="8" w:color="7C7C7C"/>
            </w:tcBorders>
          </w:tcPr>
          <w:p>
            <w:pPr>
              <w:spacing w:after="0"/>
              <w:rPr>
                <w:sz w:val="24"/>
                <w:szCs w:val="24"/>
                <w:color w:val="auto"/>
              </w:rPr>
            </w:pPr>
          </w:p>
        </w:tc>
        <w:tc>
          <w:tcPr>
            <w:tcW w:w="20" w:type="dxa"/>
            <w:vAlign w:val="bottom"/>
            <w:tcBorders>
              <w:bottom w:val="single" w:sz="8" w:color="7C7C7C"/>
            </w:tcBorders>
          </w:tcPr>
          <w:p>
            <w:pPr>
              <w:spacing w:after="0"/>
              <w:rPr>
                <w:sz w:val="24"/>
                <w:szCs w:val="24"/>
                <w:color w:val="auto"/>
              </w:rPr>
            </w:pPr>
          </w:p>
        </w:tc>
        <w:tc>
          <w:tcPr>
            <w:tcW w:w="2840" w:type="dxa"/>
            <w:vAlign w:val="bottom"/>
            <w:tcBorders>
              <w:bottom w:val="single" w:sz="8" w:color="7C7C7C"/>
            </w:tcBorders>
          </w:tcPr>
          <w:p>
            <w:pPr>
              <w:spacing w:after="0"/>
              <w:rPr>
                <w:sz w:val="24"/>
                <w:szCs w:val="24"/>
                <w:color w:val="auto"/>
              </w:rPr>
            </w:pPr>
          </w:p>
        </w:tc>
        <w:tc>
          <w:tcPr>
            <w:tcW w:w="20" w:type="dxa"/>
            <w:vAlign w:val="bottom"/>
            <w:tcBorders>
              <w:bottom w:val="single" w:sz="8" w:color="7C7C7C"/>
            </w:tcBorders>
          </w:tcPr>
          <w:p>
            <w:pPr>
              <w:spacing w:after="0"/>
              <w:rPr>
                <w:sz w:val="24"/>
                <w:szCs w:val="24"/>
                <w:color w:val="auto"/>
              </w:rPr>
            </w:pPr>
          </w:p>
        </w:tc>
        <w:tc>
          <w:tcPr>
            <w:tcW w:w="2820" w:type="dxa"/>
            <w:vAlign w:val="bottom"/>
            <w:tcBorders>
              <w:bottom w:val="single" w:sz="8" w:color="7C7C7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Unlike the amounts reported in the Summary Compensation Table, total direct compensation, shown in the chart below for each year, represents the annual pay decisions by the Committee that specifically reflect its assessment of Company, business unit and individual performance. For example, 2018 total direct compensation includes the LTI values approved by the Committee for awards made in early February 2019 because these awards reflect its assessment of 2018 performance. The Summary Compensation Table, by contrast, shows the grant date fair value of the January 2018 LTI awards, which reflects the Committee’s assessment of 2017 performance. Further, due to the valuation methodology used to determine the number of shares granted (see page 44), the LTI award values approved by the Committee, and included in total direct compensation, differ from the accounting grant date fair value ultimately reported in the Summary Compensation Table in the following year. Other elements included in the Summary Compensation Table, such as changes in pension values and other formulaic compensation components are excluded from total direct compensation because they do not relate to performance and are outside the scope of the Committee’s annual pay decisions. The Committee therefore believes that total direct compensation renders a more accurate and up-to-date reflection of its assessment of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CEO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-90805</wp:posOffset>
            </wp:positionV>
            <wp:extent cx="5642610" cy="946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642610" cy="9461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156845</wp:posOffset>
            </wp:positionV>
            <wp:extent cx="3481705" cy="2317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81705" cy="23177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2016</w:t>
      </w:r>
    </w:p>
    <w:p>
      <w:pPr>
        <w:spacing w:after="0"/>
        <w:rPr>
          <w:sz w:val="20"/>
          <w:szCs w:val="20"/>
          <w:color w:val="auto"/>
        </w:rPr>
      </w:pPr>
      <w:r>
        <w:rPr>
          <w:rFonts w:ascii="Arial" w:cs="Arial" w:eastAsia="Arial" w:hAnsi="Arial"/>
          <w:sz w:val="14"/>
          <w:szCs w:val="14"/>
          <w:color w:val="auto"/>
        </w:rPr>
        <w:t>Reflects January 2017 LTI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172720</wp:posOffset>
            </wp:positionV>
            <wp:extent cx="3858895" cy="2317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58895" cy="23177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2017</w:t>
      </w:r>
    </w:p>
    <w:p>
      <w:pPr>
        <w:spacing w:after="0"/>
        <w:rPr>
          <w:sz w:val="20"/>
          <w:szCs w:val="20"/>
          <w:color w:val="auto"/>
        </w:rPr>
      </w:pPr>
      <w:r>
        <w:rPr>
          <w:rFonts w:ascii="Arial" w:cs="Arial" w:eastAsia="Arial" w:hAnsi="Arial"/>
          <w:sz w:val="14"/>
          <w:szCs w:val="14"/>
          <w:color w:val="auto"/>
        </w:rPr>
        <w:t>Reflects January 2018 LTI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189865</wp:posOffset>
            </wp:positionV>
            <wp:extent cx="4107815" cy="2228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107815" cy="22288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2018</w:t>
      </w:r>
    </w:p>
    <w:p>
      <w:pPr>
        <w:spacing w:after="0"/>
        <w:rPr>
          <w:sz w:val="20"/>
          <w:szCs w:val="20"/>
          <w:color w:val="auto"/>
        </w:rPr>
      </w:pPr>
      <w:r>
        <w:rPr>
          <w:rFonts w:ascii="Arial" w:cs="Arial" w:eastAsia="Arial" w:hAnsi="Arial"/>
          <w:sz w:val="14"/>
          <w:szCs w:val="14"/>
          <w:color w:val="auto"/>
        </w:rPr>
        <w:t>Reflects February 2019 LTI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104140</wp:posOffset>
            </wp:positionV>
            <wp:extent cx="221234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21234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hanging="628"/>
        <w:spacing w:after="0"/>
        <w:tabs>
          <w:tab w:leader="none" w:pos="880" w:val="left"/>
        </w:tabs>
        <w:numPr>
          <w:ilvl w:val="0"/>
          <w:numId w:val="122"/>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jc w:val="right"/>
        <w:ind w:right="14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Pay Decisions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59258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59258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E93D8"/>
        </w:rPr>
        <w:t>TOTAL DIRECT COMPENSATION</w:t>
      </w:r>
    </w:p>
    <w:p>
      <w:pPr>
        <w:spacing w:after="0"/>
        <w:rPr>
          <w:sz w:val="20"/>
          <w:szCs w:val="20"/>
          <w:color w:val="auto"/>
        </w:rPr>
      </w:pPr>
      <w:r>
        <w:rPr>
          <w:rFonts w:ascii="Arial" w:cs="Arial" w:eastAsia="Arial" w:hAnsi="Arial"/>
          <w:sz w:val="18"/>
          <w:szCs w:val="18"/>
          <w:color w:val="FDB03F"/>
        </w:rPr>
        <w:t>$18.10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727325" cy="14147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clrChange>
                        <a:clrFrom>
                          <a:srgbClr val="000000"/>
                        </a:clrFrom>
                        <a:clrTo>
                          <a:srgbClr val="000000">
                            <a:alpha val="0"/>
                          </a:srgbClr>
                        </a:clrTo>
                      </a:clrChange>
                      <a:extLst>
                        <a:ext uri="{28A0092B-C50C-407E-A947-70E740481C1C}"/>
                      </a:extLst>
                    </a:blip>
                    <a:srcRect/>
                    <a:stretch>
                      <a:fillRect/>
                    </a:stretch>
                  </pic:blipFill>
                  <pic:spPr bwMode="auto">
                    <a:xfrm>
                      <a:off x="0" y="0"/>
                      <a:ext cx="2727325" cy="141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2727325" cy="14147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272732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assessed Mr. Hayes’ 2018 performance favorably. Under his leadership, UTC successfully executed its 2018 financial, strategic and operational objectives in tandem with closing the Rockwell Collins acquisition and conducting an in-depth analysis of the Company’s business portfolio. The Committee’s compensation decisions below reflect his ability to deliver near-term performance while focusing on long-term strategic initiatives.</w:t>
      </w:r>
    </w:p>
    <w:p>
      <w:pPr>
        <w:spacing w:after="0" w:line="209"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0E93D8"/>
        </w:rPr>
        <w:t xml:space="preserve">Base Salary. </w:t>
      </w:r>
      <w:r>
        <w:rPr>
          <w:rFonts w:ascii="Arial" w:cs="Arial" w:eastAsia="Arial" w:hAnsi="Arial"/>
          <w:sz w:val="18"/>
          <w:szCs w:val="18"/>
          <w:color w:val="000000"/>
        </w:rPr>
        <w:t>The Committee increased Mr. Hayes’ base salary from</w:t>
      </w:r>
      <w:r>
        <w:rPr>
          <w:rFonts w:ascii="Arial" w:cs="Arial" w:eastAsia="Arial" w:hAnsi="Arial"/>
          <w:sz w:val="18"/>
          <w:szCs w:val="18"/>
          <w:color w:val="0E93D8"/>
        </w:rPr>
        <w:t xml:space="preserve"> </w:t>
      </w:r>
      <w:r>
        <w:rPr>
          <w:rFonts w:ascii="Arial" w:cs="Arial" w:eastAsia="Arial" w:hAnsi="Arial"/>
          <w:sz w:val="18"/>
          <w:szCs w:val="18"/>
          <w:color w:val="000000"/>
        </w:rPr>
        <w:t>$1.5 to $1.6 million, effective April 2018, consistent with the market median for our Compensation Peer Group (“CPG”).</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0E93D8"/>
        </w:rPr>
        <w:t xml:space="preserve">Annual Bonus. </w:t>
      </w:r>
      <w:r>
        <w:rPr>
          <w:rFonts w:ascii="Arial" w:cs="Arial" w:eastAsia="Arial" w:hAnsi="Arial"/>
          <w:sz w:val="16"/>
          <w:szCs w:val="16"/>
          <w:color w:val="000000"/>
        </w:rPr>
        <w:t>UTC’s 2018 annual bonus factor is determined based</w:t>
      </w:r>
      <w:r>
        <w:rPr>
          <w:rFonts w:ascii="Arial" w:cs="Arial" w:eastAsia="Arial" w:hAnsi="Arial"/>
          <w:sz w:val="16"/>
          <w:szCs w:val="16"/>
          <w:color w:val="0E93D8"/>
        </w:rPr>
        <w:t xml:space="preserve"> </w:t>
      </w:r>
      <w:r>
        <w:rPr>
          <w:rFonts w:ascii="Arial" w:cs="Arial" w:eastAsia="Arial" w:hAnsi="Arial"/>
          <w:sz w:val="16"/>
          <w:szCs w:val="16"/>
          <w:color w:val="000000"/>
        </w:rPr>
        <w:t>on adjusted net income and free cash flow performance against pre-established goals. 2018 adjusted net income of $5.9 billion used for annual bonus purposes exceeded the $5.6 billion goal, resulting in a payout factor of 152% for the earnings metric. Free cash flow used for annual bonus purposes equaled $4.9 billion, compared to the</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$5.0 billion goal. This resulted in a 95% payout factor for the UTC cash flow metric. In combination, these results generated a UTC financial performance factor of 129%. The Committee subsequently adjusted the calculated factor to 125%, as discussed in detail on page 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used this adjusted factor and awarded Mr. Hayes a</w:t>
      </w:r>
    </w:p>
    <w:p>
      <w:pPr>
        <w:ind w:right="80"/>
        <w:spacing w:after="0" w:line="239" w:lineRule="auto"/>
        <w:rPr>
          <w:sz w:val="20"/>
          <w:szCs w:val="20"/>
          <w:color w:val="auto"/>
        </w:rPr>
      </w:pPr>
      <w:r>
        <w:rPr>
          <w:rFonts w:ascii="Arial" w:cs="Arial" w:eastAsia="Arial" w:hAnsi="Arial"/>
          <w:sz w:val="18"/>
          <w:szCs w:val="18"/>
          <w:color w:val="auto"/>
        </w:rPr>
        <w:t>$3.5 million annual bonus, an amount that aligned with the Company’s adjusted performance factor of 125%.</w:t>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0E93D8"/>
        </w:rPr>
        <w:t xml:space="preserve">LTI. </w:t>
      </w:r>
      <w:r>
        <w:rPr>
          <w:rFonts w:ascii="Arial" w:cs="Arial" w:eastAsia="Arial" w:hAnsi="Arial"/>
          <w:sz w:val="16"/>
          <w:szCs w:val="16"/>
          <w:color w:val="000000"/>
        </w:rPr>
        <w:t>The Committee approved a 2019 long-term incentive award of $13</w:t>
      </w:r>
      <w:r>
        <w:rPr>
          <w:rFonts w:ascii="Arial" w:cs="Arial" w:eastAsia="Arial" w:hAnsi="Arial"/>
          <w:sz w:val="16"/>
          <w:szCs w:val="16"/>
          <w:color w:val="0E93D8"/>
        </w:rPr>
        <w:t xml:space="preserve"> </w:t>
      </w:r>
      <w:r>
        <w:rPr>
          <w:rFonts w:ascii="Arial" w:cs="Arial" w:eastAsia="Arial" w:hAnsi="Arial"/>
          <w:sz w:val="16"/>
          <w:szCs w:val="16"/>
          <w:color w:val="000000"/>
        </w:rPr>
        <w:t>million, an amount that exceeds the value of Mr. Hayes’ 2018 grant and aligns with the CPG market median for his role. As previously noted, due to differences in valuation methodologies (see page 44 for details), the grant date fair value of this award will be reported as $13.4 million in next year’s Summary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E93D8"/>
        </w:rPr>
        <w:t>INDIVIDUAL PERFORMANCE HIGHLIGHTS</w:t>
      </w:r>
    </w:p>
    <w:p>
      <w:pPr>
        <w:spacing w:after="0" w:line="212" w:lineRule="exact"/>
        <w:rPr>
          <w:sz w:val="20"/>
          <w:szCs w:val="20"/>
          <w:color w:val="auto"/>
        </w:rPr>
      </w:pPr>
    </w:p>
    <w:p>
      <w:pPr>
        <w:ind w:left="280" w:right="20" w:hanging="261"/>
        <w:spacing w:after="0" w:line="281" w:lineRule="auto"/>
        <w:tabs>
          <w:tab w:leader="none" w:pos="257" w:val="left"/>
        </w:tabs>
        <w:numPr>
          <w:ilvl w:val="0"/>
          <w:numId w:val="123"/>
        </w:numPr>
        <w:rPr>
          <w:rFonts w:ascii="Arial" w:cs="Arial" w:eastAsia="Arial" w:hAnsi="Arial"/>
          <w:sz w:val="16"/>
          <w:szCs w:val="16"/>
          <w:color w:val="FDB03F"/>
        </w:rPr>
      </w:pPr>
      <w:r>
        <w:rPr>
          <w:rFonts w:ascii="Arial" w:cs="Arial" w:eastAsia="Arial" w:hAnsi="Arial"/>
          <w:sz w:val="16"/>
          <w:szCs w:val="16"/>
          <w:color w:val="auto"/>
        </w:rPr>
        <w:t>Delivery of strong financial performance in 2018, including diluted EPS growth of 14% (GAAP and non-GAAP) and net income growth of 16% (GAAP and non-GAAP). In addition, net sales growth was 11% (GAAP), which included organic growth of 8% (non-GAAP).</w:t>
      </w:r>
    </w:p>
    <w:p>
      <w:pPr>
        <w:spacing w:after="0" w:line="70" w:lineRule="exact"/>
        <w:rPr>
          <w:rFonts w:ascii="Arial" w:cs="Arial" w:eastAsia="Arial" w:hAnsi="Arial"/>
          <w:sz w:val="16"/>
          <w:szCs w:val="16"/>
          <w:color w:val="FDB03F"/>
        </w:rPr>
      </w:pPr>
    </w:p>
    <w:p>
      <w:pPr>
        <w:ind w:left="280" w:right="100" w:hanging="261"/>
        <w:spacing w:after="0" w:line="244" w:lineRule="auto"/>
        <w:tabs>
          <w:tab w:leader="none" w:pos="257" w:val="left"/>
        </w:tabs>
        <w:numPr>
          <w:ilvl w:val="0"/>
          <w:numId w:val="123"/>
        </w:numPr>
        <w:rPr>
          <w:rFonts w:ascii="Arial" w:cs="Arial" w:eastAsia="Arial" w:hAnsi="Arial"/>
          <w:sz w:val="17"/>
          <w:szCs w:val="17"/>
          <w:color w:val="FDB03F"/>
        </w:rPr>
      </w:pPr>
      <w:r>
        <w:rPr>
          <w:rFonts w:ascii="Arial" w:cs="Arial" w:eastAsia="Arial" w:hAnsi="Arial"/>
          <w:sz w:val="18"/>
          <w:szCs w:val="18"/>
          <w:color w:val="auto"/>
        </w:rPr>
        <w:t>Successful completion of the $30+ billion (including debt) Rockwell Collins acquisition, one of the largest aerospace acquisitions in history.</w:t>
      </w:r>
    </w:p>
    <w:p>
      <w:pPr>
        <w:spacing w:after="0" w:line="97" w:lineRule="exact"/>
        <w:rPr>
          <w:rFonts w:ascii="Arial" w:cs="Arial" w:eastAsia="Arial" w:hAnsi="Arial"/>
          <w:sz w:val="17"/>
          <w:szCs w:val="17"/>
          <w:color w:val="FDB03F"/>
        </w:rPr>
      </w:pPr>
    </w:p>
    <w:p>
      <w:pPr>
        <w:ind w:left="280" w:right="100" w:hanging="261"/>
        <w:spacing w:after="0" w:line="241" w:lineRule="auto"/>
        <w:tabs>
          <w:tab w:leader="none" w:pos="257" w:val="left"/>
        </w:tabs>
        <w:numPr>
          <w:ilvl w:val="0"/>
          <w:numId w:val="123"/>
        </w:numPr>
        <w:rPr>
          <w:rFonts w:ascii="Arial" w:cs="Arial" w:eastAsia="Arial" w:hAnsi="Arial"/>
          <w:sz w:val="17"/>
          <w:szCs w:val="17"/>
          <w:color w:val="FDB03F"/>
        </w:rPr>
      </w:pPr>
      <w:r>
        <w:rPr>
          <w:rFonts w:ascii="Arial" w:cs="Arial" w:eastAsia="Arial" w:hAnsi="Arial"/>
          <w:sz w:val="18"/>
          <w:szCs w:val="18"/>
          <w:color w:val="auto"/>
        </w:rPr>
        <w:t>Completion of the Company’s portfolio review which resulted in our plan to separate UTC, Carrier and Otis into three standalone companies, allowing these businesses to focus on their core competencies and unique competitive challenges.</w:t>
      </w:r>
    </w:p>
    <w:p>
      <w:pPr>
        <w:spacing w:after="0" w:line="100" w:lineRule="exact"/>
        <w:rPr>
          <w:rFonts w:ascii="Arial" w:cs="Arial" w:eastAsia="Arial" w:hAnsi="Arial"/>
          <w:sz w:val="17"/>
          <w:szCs w:val="17"/>
          <w:color w:val="FDB03F"/>
        </w:rPr>
      </w:pPr>
    </w:p>
    <w:p>
      <w:pPr>
        <w:ind w:left="280" w:right="540" w:hanging="261"/>
        <w:spacing w:after="0" w:line="281" w:lineRule="auto"/>
        <w:tabs>
          <w:tab w:leader="none" w:pos="257" w:val="left"/>
        </w:tabs>
        <w:numPr>
          <w:ilvl w:val="0"/>
          <w:numId w:val="123"/>
        </w:numPr>
        <w:rPr>
          <w:rFonts w:ascii="Arial" w:cs="Arial" w:eastAsia="Arial" w:hAnsi="Arial"/>
          <w:sz w:val="16"/>
          <w:szCs w:val="16"/>
          <w:color w:val="FDB03F"/>
        </w:rPr>
      </w:pPr>
      <w:r>
        <w:rPr>
          <w:rFonts w:ascii="Arial" w:cs="Arial" w:eastAsia="Arial" w:hAnsi="Arial"/>
          <w:sz w:val="16"/>
          <w:szCs w:val="16"/>
          <w:color w:val="auto"/>
        </w:rPr>
        <w:t>Continued commitment to innovation, as evidenced by UTC’s strategic purchase of Predikto, Inc., a cloud-based analytics software company, with expertise that enables customers to predict, prevent and control equipment failures.</w:t>
      </w:r>
    </w:p>
    <w:p>
      <w:pPr>
        <w:spacing w:after="0" w:line="70" w:lineRule="exact"/>
        <w:rPr>
          <w:rFonts w:ascii="Arial" w:cs="Arial" w:eastAsia="Arial" w:hAnsi="Arial"/>
          <w:sz w:val="16"/>
          <w:szCs w:val="16"/>
          <w:color w:val="FDB03F"/>
        </w:rPr>
      </w:pPr>
    </w:p>
    <w:p>
      <w:pPr>
        <w:ind w:left="280" w:right="300" w:hanging="261"/>
        <w:spacing w:after="0" w:line="316" w:lineRule="auto"/>
        <w:tabs>
          <w:tab w:leader="none" w:pos="257" w:val="left"/>
        </w:tabs>
        <w:numPr>
          <w:ilvl w:val="0"/>
          <w:numId w:val="123"/>
        </w:numPr>
        <w:rPr>
          <w:rFonts w:ascii="Arial" w:cs="Arial" w:eastAsia="Arial" w:hAnsi="Arial"/>
          <w:sz w:val="16"/>
          <w:szCs w:val="16"/>
          <w:color w:val="FDB03F"/>
        </w:rPr>
      </w:pPr>
      <w:r>
        <w:rPr>
          <w:rFonts w:ascii="Arial" w:cs="Arial" w:eastAsia="Arial" w:hAnsi="Arial"/>
          <w:sz w:val="16"/>
          <w:szCs w:val="16"/>
          <w:color w:val="auto"/>
        </w:rPr>
        <w:t>Effectively driving a high-performance culture while emphasizing ethical standards, transparency and corporate responsibility.</w:t>
      </w:r>
    </w:p>
    <w:p>
      <w:pPr>
        <w:spacing w:after="0" w:line="1098" w:lineRule="exact"/>
        <w:rPr>
          <w:sz w:val="20"/>
          <w:szCs w:val="20"/>
          <w:color w:val="auto"/>
        </w:rPr>
      </w:pPr>
    </w:p>
    <w:p>
      <w:pPr>
        <w:sectPr>
          <w:pgSz w:w="11900" w:h="16838" w:orient="portrait"/>
          <w:cols w:equalWidth="0" w:num="2">
            <w:col w:w="5500" w:space="400"/>
            <w:col w:w="5540"/>
          </w:cols>
          <w:pgMar w:left="240" w:top="121" w:right="21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47</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35"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How We Assess Pay-for-Performance</w:t>
      </w:r>
    </w:p>
    <w:p>
      <w:pPr>
        <w:spacing w:after="0" w:line="25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Summary Compensation Table on page 58 provides annual compensation data presented in accordance with the Securities and Exchange Commission’s (“SEC”) requirements. While helpful for cross-company comparisons, this SEC-mandated format uses accounting conventions to estimate values of long-term incentive awards at the time of grant. As might be expected, these estimated values can differ significantly from the actual value that is ultimately earned from these awards. Because the Committee believes this format does not adequately measure CEO compensation for the purpose of assessing pay-for-performance alignment, it also considers realizable and realized compensation as supplemental measures in its evaluation of CEO pay-for-performance. These measures are described in detail below.</w:t>
      </w:r>
    </w:p>
    <w:p>
      <w:pPr>
        <w:spacing w:after="0" w:line="246" w:lineRule="exact"/>
        <w:rPr>
          <w:sz w:val="20"/>
          <w:szCs w:val="20"/>
          <w:color w:val="auto"/>
        </w:rPr>
      </w:pPr>
    </w:p>
    <w:p>
      <w:pPr>
        <w:ind w:left="80"/>
        <w:spacing w:after="0"/>
        <w:tabs>
          <w:tab w:leader="none" w:pos="3840" w:val="left"/>
          <w:tab w:leader="none" w:pos="7720" w:val="left"/>
        </w:tabs>
        <w:rPr>
          <w:sz w:val="20"/>
          <w:szCs w:val="20"/>
          <w:color w:val="auto"/>
        </w:rPr>
      </w:pPr>
      <w:r>
        <w:rPr>
          <w:rFonts w:ascii="Arial" w:cs="Arial" w:eastAsia="Arial" w:hAnsi="Arial"/>
          <w:sz w:val="14"/>
          <w:szCs w:val="14"/>
          <w:b w:val="1"/>
          <w:bCs w:val="1"/>
          <w:color w:val="0E93D8"/>
        </w:rPr>
        <w:t>Summary Compensation Table</w:t>
      </w:r>
      <w:r>
        <w:rPr>
          <w:sz w:val="20"/>
          <w:szCs w:val="20"/>
          <w:color w:val="auto"/>
        </w:rPr>
        <w:tab/>
      </w:r>
      <w:r>
        <w:rPr>
          <w:rFonts w:ascii="Arial" w:cs="Arial" w:eastAsia="Arial" w:hAnsi="Arial"/>
          <w:sz w:val="14"/>
          <w:szCs w:val="14"/>
          <w:b w:val="1"/>
          <w:bCs w:val="1"/>
          <w:color w:val="0E93D8"/>
        </w:rPr>
        <w:t>Realizable Compensation</w:t>
      </w:r>
      <w:r>
        <w:rPr>
          <w:sz w:val="20"/>
          <w:szCs w:val="20"/>
          <w:color w:val="auto"/>
        </w:rPr>
        <w:tab/>
      </w:r>
      <w:r>
        <w:rPr>
          <w:rFonts w:ascii="Arial" w:cs="Arial" w:eastAsia="Arial" w:hAnsi="Arial"/>
          <w:sz w:val="12"/>
          <w:szCs w:val="12"/>
          <w:b w:val="1"/>
          <w:bCs w:val="1"/>
          <w:color w:val="0E93D8"/>
        </w:rPr>
        <w:t>Realized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E93D8"/>
        </w:rPr>
        <w:t>Basic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71" w:lineRule="exact"/>
        <w:rPr>
          <w:sz w:val="20"/>
          <w:szCs w:val="20"/>
          <w:color w:val="auto"/>
        </w:rPr>
      </w:pPr>
    </w:p>
    <w:p>
      <w:pPr>
        <w:ind w:left="80"/>
        <w:spacing w:after="0" w:line="228" w:lineRule="auto"/>
        <w:rPr>
          <w:sz w:val="20"/>
          <w:szCs w:val="20"/>
          <w:color w:val="auto"/>
        </w:rPr>
      </w:pPr>
      <w:r>
        <w:rPr>
          <w:rFonts w:ascii="Arial" w:cs="Arial" w:eastAsia="Arial" w:hAnsi="Arial"/>
          <w:sz w:val="14"/>
          <w:szCs w:val="14"/>
          <w:color w:val="auto"/>
        </w:rPr>
        <w:t>Uses SEC methodology, which includes a mix of both compensation actually earned during the year and future contingent pay opportunities.</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E93D8"/>
        </w:rPr>
        <w:t>Purpose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Three-year average compensation measure that captures how UTC’s year-end stock price affects the in-the-money</w:t>
      </w:r>
    </w:p>
    <w:p>
      <w:pPr>
        <w:spacing w:after="0"/>
        <w:rPr>
          <w:sz w:val="20"/>
          <w:szCs w:val="20"/>
          <w:color w:val="auto"/>
        </w:rPr>
      </w:pPr>
      <w:r>
        <w:rPr>
          <w:rFonts w:ascii="Arial" w:cs="Arial" w:eastAsia="Arial" w:hAnsi="Arial"/>
          <w:sz w:val="14"/>
          <w:szCs w:val="14"/>
          <w:color w:val="auto"/>
        </w:rPr>
        <w:t>value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of previously granted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100965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Includes only pay actually earned during the year, including any gains realized on equity awards that were granted in prior years.</w:t>
      </w:r>
    </w:p>
    <w:p>
      <w:pPr>
        <w:spacing w:after="0" w:line="297" w:lineRule="exact"/>
        <w:rPr>
          <w:sz w:val="20"/>
          <w:szCs w:val="20"/>
          <w:color w:val="auto"/>
        </w:rPr>
      </w:pPr>
    </w:p>
    <w:p>
      <w:pPr>
        <w:sectPr>
          <w:pgSz w:w="11900" w:h="16838" w:orient="portrait"/>
          <w:cols w:equalWidth="0" w:num="3">
            <w:col w:w="3460" w:space="400"/>
            <w:col w:w="3440" w:space="440"/>
            <w:col w:w="3680"/>
          </w:cols>
          <w:pgMar w:left="240" w:top="121" w:right="239" w:bottom="1440" w:gutter="0" w:footer="0" w:header="0"/>
          <w:type w:val="continuous"/>
        </w:sectPr>
      </w:pPr>
    </w:p>
    <w:p>
      <w:pPr>
        <w:ind w:left="80"/>
        <w:spacing w:after="0"/>
        <w:rPr>
          <w:sz w:val="20"/>
          <w:szCs w:val="20"/>
          <w:color w:val="auto"/>
        </w:rPr>
      </w:pPr>
      <w:r>
        <w:rPr>
          <w:rFonts w:ascii="Arial" w:cs="Arial" w:eastAsia="Arial" w:hAnsi="Arial"/>
          <w:sz w:val="12"/>
          <w:szCs w:val="12"/>
          <w:color w:val="auto"/>
        </w:rPr>
        <w:t>SEC-mandated compensation disclosure.</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2"/>
          <w:szCs w:val="12"/>
          <w:color w:val="auto"/>
        </w:rPr>
        <w:t>Used to evaluate pay-for-performance alignment by correlating the value of an executive’s long-term incentive awards with the returns our shareowners receive from investing in UTC stock over the same period.</w:t>
      </w:r>
    </w:p>
    <w:p>
      <w:pPr>
        <w:spacing w:after="0" w:line="20" w:lineRule="exact"/>
        <w:rPr>
          <w:sz w:val="20"/>
          <w:szCs w:val="20"/>
          <w:color w:val="auto"/>
        </w:rPr>
      </w:pPr>
      <w:r>
        <w:rPr>
          <w:sz w:val="20"/>
          <w:szCs w:val="20"/>
          <w:color w:val="auto"/>
        </w:rPr>
        <w:br w:type="column"/>
      </w:r>
    </w:p>
    <w:p>
      <w:pPr>
        <w:ind w:right="200"/>
        <w:spacing w:after="0" w:line="226" w:lineRule="auto"/>
        <w:rPr>
          <w:sz w:val="20"/>
          <w:szCs w:val="20"/>
          <w:color w:val="auto"/>
        </w:rPr>
      </w:pPr>
      <w:r>
        <w:rPr>
          <w:rFonts w:ascii="Arial" w:cs="Arial" w:eastAsia="Arial" w:hAnsi="Arial"/>
          <w:sz w:val="14"/>
          <w:szCs w:val="14"/>
          <w:color w:val="auto"/>
        </w:rPr>
        <w:t>Used to evaluate pay-for-performance alignment by focusing on the strength of the correlation between UTC’s stock performance and the actual cash and equity payouts earned by our CEO during the year.</w:t>
      </w:r>
    </w:p>
    <w:p>
      <w:pPr>
        <w:spacing w:after="0" w:line="26" w:lineRule="exact"/>
        <w:rPr>
          <w:sz w:val="20"/>
          <w:szCs w:val="20"/>
          <w:color w:val="auto"/>
        </w:rPr>
      </w:pPr>
    </w:p>
    <w:p>
      <w:pPr>
        <w:sectPr>
          <w:pgSz w:w="11900" w:h="16838" w:orient="portrait"/>
          <w:cols w:equalWidth="0" w:num="3">
            <w:col w:w="3140" w:space="720"/>
            <w:col w:w="3440" w:space="440"/>
            <w:col w:w="3680"/>
          </w:cols>
          <w:pgMar w:left="240" w:top="121" w:right="239" w:bottom="1440" w:gutter="0" w:footer="0" w:header="0"/>
          <w:type w:val="continuous"/>
        </w:sectPr>
      </w:pPr>
    </w:p>
    <w:p>
      <w:pPr>
        <w:ind w:left="80"/>
        <w:spacing w:after="0"/>
        <w:rPr>
          <w:sz w:val="20"/>
          <w:szCs w:val="20"/>
          <w:color w:val="auto"/>
        </w:rPr>
      </w:pPr>
      <w:r>
        <w:rPr>
          <w:rFonts w:ascii="Arial" w:cs="Arial" w:eastAsia="Arial" w:hAnsi="Arial"/>
          <w:sz w:val="14"/>
          <w:szCs w:val="14"/>
          <w:b w:val="1"/>
          <w:bCs w:val="1"/>
          <w:color w:val="0E93D8"/>
        </w:rPr>
        <w:t>How it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ind w:left="80"/>
              <w:spacing w:after="0"/>
              <w:rPr>
                <w:sz w:val="20"/>
                <w:szCs w:val="20"/>
                <w:color w:val="auto"/>
              </w:rPr>
            </w:pPr>
            <w:r>
              <w:rPr>
                <w:rFonts w:ascii="Arial" w:cs="Arial" w:eastAsia="Arial" w:hAnsi="Arial"/>
                <w:sz w:val="14"/>
                <w:szCs w:val="14"/>
                <w:b w:val="1"/>
                <w:bCs w:val="1"/>
                <w:color w:val="auto"/>
              </w:rPr>
              <w:t>Sum of:</w:t>
            </w:r>
          </w:p>
        </w:tc>
        <w:tc>
          <w:tcPr>
            <w:tcW w:w="120" w:type="dxa"/>
            <w:vAlign w:val="bottom"/>
          </w:tcPr>
          <w:p>
            <w:pPr>
              <w:spacing w:after="0"/>
              <w:rPr>
                <w:sz w:val="16"/>
                <w:szCs w:val="16"/>
                <w:color w:val="auto"/>
              </w:rPr>
            </w:pPr>
          </w:p>
        </w:tc>
        <w:tc>
          <w:tcPr>
            <w:tcW w:w="3780" w:type="dxa"/>
            <w:vAlign w:val="bottom"/>
          </w:tcPr>
          <w:p>
            <w:pPr>
              <w:ind w:left="80"/>
              <w:spacing w:after="0"/>
              <w:rPr>
                <w:sz w:val="20"/>
                <w:szCs w:val="20"/>
                <w:color w:val="auto"/>
              </w:rPr>
            </w:pPr>
            <w:r>
              <w:rPr>
                <w:rFonts w:ascii="Arial" w:cs="Arial" w:eastAsia="Arial" w:hAnsi="Arial"/>
                <w:sz w:val="14"/>
                <w:szCs w:val="14"/>
                <w:b w:val="1"/>
                <w:bCs w:val="1"/>
                <w:color w:val="auto"/>
              </w:rPr>
              <w:t>Three-Year Average of:</w:t>
            </w:r>
          </w:p>
        </w:tc>
        <w:tc>
          <w:tcPr>
            <w:tcW w:w="100" w:type="dxa"/>
            <w:vAlign w:val="bottom"/>
          </w:tcPr>
          <w:p>
            <w:pPr>
              <w:spacing w:after="0"/>
              <w:rPr>
                <w:sz w:val="16"/>
                <w:szCs w:val="16"/>
                <w:color w:val="auto"/>
              </w:rPr>
            </w:pPr>
          </w:p>
        </w:tc>
        <w:tc>
          <w:tcPr>
            <w:tcW w:w="3760" w:type="dxa"/>
            <w:vAlign w:val="bottom"/>
          </w:tcPr>
          <w:p>
            <w:pPr>
              <w:ind w:left="80"/>
              <w:spacing w:after="0"/>
              <w:rPr>
                <w:sz w:val="20"/>
                <w:szCs w:val="20"/>
                <w:color w:val="auto"/>
              </w:rPr>
            </w:pPr>
            <w:r>
              <w:rPr>
                <w:rFonts w:ascii="Arial" w:cs="Arial" w:eastAsia="Arial" w:hAnsi="Arial"/>
                <w:sz w:val="14"/>
                <w:szCs w:val="14"/>
                <w:b w:val="1"/>
                <w:bCs w:val="1"/>
                <w:color w:val="auto"/>
              </w:rPr>
              <w:t>Sum of:</w:t>
            </w:r>
          </w:p>
        </w:tc>
      </w:tr>
      <w:tr>
        <w:trPr>
          <w:trHeight w:val="277"/>
        </w:trPr>
        <w:tc>
          <w:tcPr>
            <w:tcW w:w="366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paid during the year</w:t>
            </w:r>
          </w:p>
        </w:tc>
        <w:tc>
          <w:tcPr>
            <w:tcW w:w="120" w:type="dxa"/>
            <w:vAlign w:val="bottom"/>
          </w:tcPr>
          <w:p>
            <w:pPr>
              <w:spacing w:after="0"/>
              <w:rPr>
                <w:sz w:val="24"/>
                <w:szCs w:val="24"/>
                <w:color w:val="auto"/>
              </w:rPr>
            </w:pPr>
          </w:p>
        </w:tc>
        <w:tc>
          <w:tcPr>
            <w:tcW w:w="378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paid</w:t>
            </w:r>
          </w:p>
        </w:tc>
        <w:tc>
          <w:tcPr>
            <w:tcW w:w="100" w:type="dxa"/>
            <w:vAlign w:val="bottom"/>
          </w:tcPr>
          <w:p>
            <w:pPr>
              <w:spacing w:after="0"/>
              <w:rPr>
                <w:sz w:val="24"/>
                <w:szCs w:val="24"/>
                <w:color w:val="auto"/>
              </w:rPr>
            </w:pPr>
          </w:p>
        </w:tc>
        <w:tc>
          <w:tcPr>
            <w:tcW w:w="376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paid during the year</w:t>
            </w:r>
          </w:p>
        </w:tc>
      </w:tr>
      <w:tr>
        <w:trPr>
          <w:trHeight w:val="95"/>
        </w:trPr>
        <w:tc>
          <w:tcPr>
            <w:tcW w:w="3660" w:type="dxa"/>
            <w:vAlign w:val="bottom"/>
            <w:shd w:val="clear" w:color="auto" w:fill="DAE9F7"/>
          </w:tcPr>
          <w:p>
            <w:pPr>
              <w:spacing w:after="0"/>
              <w:rPr>
                <w:sz w:val="8"/>
                <w:szCs w:val="8"/>
                <w:color w:val="auto"/>
              </w:rPr>
            </w:pPr>
          </w:p>
        </w:tc>
        <w:tc>
          <w:tcPr>
            <w:tcW w:w="120" w:type="dxa"/>
            <w:vAlign w:val="bottom"/>
          </w:tcPr>
          <w:p>
            <w:pPr>
              <w:spacing w:after="0"/>
              <w:rPr>
                <w:sz w:val="8"/>
                <w:szCs w:val="8"/>
                <w:color w:val="auto"/>
              </w:rPr>
            </w:pPr>
          </w:p>
        </w:tc>
        <w:tc>
          <w:tcPr>
            <w:tcW w:w="3780" w:type="dxa"/>
            <w:vAlign w:val="bottom"/>
            <w:shd w:val="clear" w:color="auto" w:fill="DAE9F7"/>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shd w:val="clear" w:color="auto" w:fill="DAE9F7"/>
          </w:tcPr>
          <w:p>
            <w:pPr>
              <w:spacing w:after="0"/>
              <w:rPr>
                <w:sz w:val="8"/>
                <w:szCs w:val="8"/>
                <w:color w:val="auto"/>
              </w:rPr>
            </w:pPr>
          </w:p>
        </w:tc>
      </w:tr>
      <w:tr>
        <w:trPr>
          <w:trHeight w:val="41"/>
        </w:trPr>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56"/>
        </w:trPr>
        <w:tc>
          <w:tcPr>
            <w:tcW w:w="366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 xml:space="preserve">Annual bonus </w:t>
            </w:r>
            <w:r>
              <w:rPr>
                <w:rFonts w:ascii="Arial" w:cs="Arial" w:eastAsia="Arial" w:hAnsi="Arial"/>
                <w:sz w:val="14"/>
                <w:szCs w:val="14"/>
                <w:color w:val="auto"/>
              </w:rPr>
              <w:t>earned for the applicable year’s</w:t>
            </w:r>
          </w:p>
        </w:tc>
        <w:tc>
          <w:tcPr>
            <w:tcW w:w="120" w:type="dxa"/>
            <w:vAlign w:val="bottom"/>
          </w:tcPr>
          <w:p>
            <w:pPr>
              <w:spacing w:after="0"/>
              <w:rPr>
                <w:sz w:val="22"/>
                <w:szCs w:val="22"/>
                <w:color w:val="auto"/>
              </w:rPr>
            </w:pPr>
          </w:p>
        </w:tc>
        <w:tc>
          <w:tcPr>
            <w:tcW w:w="378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 xml:space="preserve">Annual bonus </w:t>
            </w:r>
            <w:r>
              <w:rPr>
                <w:rFonts w:ascii="Arial" w:cs="Arial" w:eastAsia="Arial" w:hAnsi="Arial"/>
                <w:sz w:val="14"/>
                <w:szCs w:val="14"/>
                <w:color w:val="auto"/>
              </w:rPr>
              <w:t>earned</w:t>
            </w:r>
          </w:p>
        </w:tc>
        <w:tc>
          <w:tcPr>
            <w:tcW w:w="100" w:type="dxa"/>
            <w:vAlign w:val="bottom"/>
          </w:tcPr>
          <w:p>
            <w:pPr>
              <w:spacing w:after="0"/>
              <w:rPr>
                <w:sz w:val="22"/>
                <w:szCs w:val="22"/>
                <w:color w:val="auto"/>
              </w:rPr>
            </w:pPr>
          </w:p>
        </w:tc>
        <w:tc>
          <w:tcPr>
            <w:tcW w:w="376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 xml:space="preserve">Annual bonus </w:t>
            </w:r>
            <w:r>
              <w:rPr>
                <w:rFonts w:ascii="Arial" w:cs="Arial" w:eastAsia="Arial" w:hAnsi="Arial"/>
                <w:sz w:val="14"/>
                <w:szCs w:val="14"/>
                <w:color w:val="auto"/>
              </w:rPr>
              <w:t>earned for the applicable year’s</w:t>
            </w:r>
          </w:p>
        </w:tc>
      </w:tr>
      <w:tr>
        <w:trPr>
          <w:trHeight w:val="162"/>
        </w:trPr>
        <w:tc>
          <w:tcPr>
            <w:tcW w:w="3660" w:type="dxa"/>
            <w:vAlign w:val="bottom"/>
            <w:shd w:val="clear" w:color="auto" w:fill="DAE9F7"/>
          </w:tcPr>
          <w:p>
            <w:pPr>
              <w:ind w:left="80"/>
              <w:spacing w:after="0"/>
              <w:rPr>
                <w:sz w:val="20"/>
                <w:szCs w:val="20"/>
                <w:color w:val="auto"/>
              </w:rPr>
            </w:pPr>
            <w:r>
              <w:rPr>
                <w:rFonts w:ascii="Arial" w:cs="Arial" w:eastAsia="Arial" w:hAnsi="Arial"/>
                <w:sz w:val="14"/>
                <w:szCs w:val="14"/>
                <w:color w:val="auto"/>
              </w:rPr>
              <w:t>performance</w:t>
            </w:r>
          </w:p>
        </w:tc>
        <w:tc>
          <w:tcPr>
            <w:tcW w:w="120" w:type="dxa"/>
            <w:vAlign w:val="bottom"/>
          </w:tcPr>
          <w:p>
            <w:pPr>
              <w:spacing w:after="0"/>
              <w:rPr>
                <w:sz w:val="14"/>
                <w:szCs w:val="14"/>
                <w:color w:val="auto"/>
              </w:rPr>
            </w:pPr>
          </w:p>
        </w:tc>
        <w:tc>
          <w:tcPr>
            <w:tcW w:w="3780" w:type="dxa"/>
            <w:vAlign w:val="bottom"/>
            <w:shd w:val="clear" w:color="auto" w:fill="DAE9F7"/>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shd w:val="clear" w:color="auto" w:fill="DAE9F7"/>
          </w:tcPr>
          <w:p>
            <w:pPr>
              <w:ind w:left="80"/>
              <w:spacing w:after="0"/>
              <w:rPr>
                <w:sz w:val="20"/>
                <w:szCs w:val="20"/>
                <w:color w:val="auto"/>
              </w:rPr>
            </w:pPr>
            <w:r>
              <w:rPr>
                <w:rFonts w:ascii="Arial" w:cs="Arial" w:eastAsia="Arial" w:hAnsi="Arial"/>
                <w:sz w:val="14"/>
                <w:szCs w:val="14"/>
                <w:color w:val="auto"/>
              </w:rPr>
              <w:t>performance</w:t>
            </w:r>
          </w:p>
        </w:tc>
      </w:tr>
      <w:tr>
        <w:trPr>
          <w:trHeight w:val="95"/>
        </w:trPr>
        <w:tc>
          <w:tcPr>
            <w:tcW w:w="3660" w:type="dxa"/>
            <w:vAlign w:val="bottom"/>
            <w:shd w:val="clear" w:color="auto" w:fill="DAE9F7"/>
          </w:tcPr>
          <w:p>
            <w:pPr>
              <w:spacing w:after="0"/>
              <w:rPr>
                <w:sz w:val="8"/>
                <w:szCs w:val="8"/>
                <w:color w:val="auto"/>
              </w:rPr>
            </w:pPr>
          </w:p>
        </w:tc>
        <w:tc>
          <w:tcPr>
            <w:tcW w:w="120" w:type="dxa"/>
            <w:vAlign w:val="bottom"/>
          </w:tcPr>
          <w:p>
            <w:pPr>
              <w:spacing w:after="0"/>
              <w:rPr>
                <w:sz w:val="8"/>
                <w:szCs w:val="8"/>
                <w:color w:val="auto"/>
              </w:rPr>
            </w:pPr>
          </w:p>
        </w:tc>
        <w:tc>
          <w:tcPr>
            <w:tcW w:w="3780" w:type="dxa"/>
            <w:vAlign w:val="bottom"/>
            <w:shd w:val="clear" w:color="auto" w:fill="DAE9F7"/>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shd w:val="clear" w:color="auto" w:fill="DAE9F7"/>
          </w:tcPr>
          <w:p>
            <w:pPr>
              <w:spacing w:after="0"/>
              <w:rPr>
                <w:sz w:val="8"/>
                <w:szCs w:val="8"/>
                <w:color w:val="auto"/>
              </w:rPr>
            </w:pPr>
          </w:p>
        </w:tc>
      </w:tr>
      <w:tr>
        <w:trPr>
          <w:trHeight w:val="81"/>
        </w:trPr>
        <w:tc>
          <w:tcPr>
            <w:tcW w:w="3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tcPr>
          <w:p>
            <w:pPr>
              <w:spacing w:after="0"/>
              <w:rPr>
                <w:sz w:val="7"/>
                <w:szCs w:val="7"/>
                <w:color w:val="auto"/>
              </w:rPr>
            </w:pPr>
          </w:p>
        </w:tc>
      </w:tr>
      <w:tr>
        <w:trPr>
          <w:trHeight w:val="270"/>
        </w:trPr>
        <w:tc>
          <w:tcPr>
            <w:tcW w:w="3660" w:type="dxa"/>
            <w:vAlign w:val="bottom"/>
            <w:shd w:val="clear" w:color="auto" w:fill="F2F8FA"/>
          </w:tcPr>
          <w:p>
            <w:pPr>
              <w:ind w:left="80"/>
              <w:spacing w:after="0"/>
              <w:rPr>
                <w:sz w:val="20"/>
                <w:szCs w:val="20"/>
                <w:color w:val="auto"/>
              </w:rPr>
            </w:pPr>
            <w:r>
              <w:rPr>
                <w:rFonts w:ascii="Arial" w:cs="Arial" w:eastAsia="Arial" w:hAnsi="Arial"/>
                <w:sz w:val="14"/>
                <w:szCs w:val="14"/>
                <w:color w:val="auto"/>
                <w:w w:val="98"/>
              </w:rPr>
              <w:t xml:space="preserve">Accounting grant date fair value of </w:t>
            </w:r>
            <w:r>
              <w:rPr>
                <w:rFonts w:ascii="Arial" w:cs="Arial" w:eastAsia="Arial" w:hAnsi="Arial"/>
                <w:sz w:val="14"/>
                <w:szCs w:val="14"/>
                <w:b w:val="1"/>
                <w:bCs w:val="1"/>
                <w:color w:val="auto"/>
                <w:w w:val="98"/>
              </w:rPr>
              <w:t>equity awards</w:t>
            </w:r>
            <w:r>
              <w:rPr>
                <w:rFonts w:ascii="Arial" w:cs="Arial" w:eastAsia="Arial" w:hAnsi="Arial"/>
                <w:sz w:val="14"/>
                <w:szCs w:val="14"/>
                <w:color w:val="auto"/>
                <w:w w:val="98"/>
              </w:rPr>
              <w:t xml:space="preserve"> granted</w:t>
            </w:r>
          </w:p>
        </w:tc>
        <w:tc>
          <w:tcPr>
            <w:tcW w:w="120" w:type="dxa"/>
            <w:vAlign w:val="bottom"/>
          </w:tcPr>
          <w:p>
            <w:pPr>
              <w:spacing w:after="0"/>
              <w:rPr>
                <w:sz w:val="23"/>
                <w:szCs w:val="23"/>
                <w:color w:val="auto"/>
              </w:rPr>
            </w:pPr>
          </w:p>
        </w:tc>
        <w:tc>
          <w:tcPr>
            <w:tcW w:w="3780" w:type="dxa"/>
            <w:vAlign w:val="bottom"/>
            <w:shd w:val="clear" w:color="auto" w:fill="F2F8FA"/>
          </w:tcPr>
          <w:p>
            <w:pPr>
              <w:ind w:left="80"/>
              <w:spacing w:after="0"/>
              <w:rPr>
                <w:sz w:val="20"/>
                <w:szCs w:val="20"/>
                <w:color w:val="auto"/>
              </w:rPr>
            </w:pPr>
            <w:r>
              <w:rPr>
                <w:rFonts w:ascii="Arial" w:cs="Arial" w:eastAsia="Arial" w:hAnsi="Arial"/>
                <w:sz w:val="14"/>
                <w:szCs w:val="14"/>
                <w:color w:val="auto"/>
                <w:w w:val="99"/>
              </w:rPr>
              <w:t>In-the-money value</w:t>
            </w:r>
            <w:r>
              <w:rPr>
                <w:rFonts w:ascii="Arial" w:cs="Arial" w:eastAsia="Arial" w:hAnsi="Arial"/>
                <w:sz w:val="22"/>
                <w:szCs w:val="22"/>
                <w:color w:val="auto"/>
                <w:w w:val="99"/>
                <w:vertAlign w:val="superscript"/>
              </w:rPr>
              <w:t>(1)</w:t>
            </w:r>
            <w:r>
              <w:rPr>
                <w:rFonts w:ascii="Arial" w:cs="Arial" w:eastAsia="Arial" w:hAnsi="Arial"/>
                <w:sz w:val="14"/>
                <w:szCs w:val="14"/>
                <w:color w:val="auto"/>
                <w:w w:val="99"/>
              </w:rPr>
              <w:t xml:space="preserve"> of </w:t>
            </w:r>
            <w:r>
              <w:rPr>
                <w:rFonts w:ascii="Arial" w:cs="Arial" w:eastAsia="Arial" w:hAnsi="Arial"/>
                <w:sz w:val="14"/>
                <w:szCs w:val="14"/>
                <w:b w:val="1"/>
                <w:bCs w:val="1"/>
                <w:color w:val="auto"/>
                <w:w w:val="99"/>
              </w:rPr>
              <w:t>equity awards</w:t>
            </w:r>
            <w:r>
              <w:rPr>
                <w:rFonts w:ascii="Arial" w:cs="Arial" w:eastAsia="Arial" w:hAnsi="Arial"/>
                <w:sz w:val="14"/>
                <w:szCs w:val="14"/>
                <w:color w:val="auto"/>
                <w:w w:val="99"/>
              </w:rPr>
              <w:t xml:space="preserve"> granted during the</w:t>
            </w:r>
          </w:p>
        </w:tc>
        <w:tc>
          <w:tcPr>
            <w:tcW w:w="100" w:type="dxa"/>
            <w:vAlign w:val="bottom"/>
          </w:tcPr>
          <w:p>
            <w:pPr>
              <w:spacing w:after="0"/>
              <w:rPr>
                <w:sz w:val="23"/>
                <w:szCs w:val="23"/>
                <w:color w:val="auto"/>
              </w:rPr>
            </w:pPr>
          </w:p>
        </w:tc>
        <w:tc>
          <w:tcPr>
            <w:tcW w:w="3760" w:type="dxa"/>
            <w:vAlign w:val="bottom"/>
            <w:shd w:val="clear" w:color="auto" w:fill="DAE9F7"/>
          </w:tcPr>
          <w:p>
            <w:pPr>
              <w:ind w:left="80"/>
              <w:spacing w:after="0"/>
              <w:rPr>
                <w:sz w:val="20"/>
                <w:szCs w:val="20"/>
                <w:color w:val="auto"/>
              </w:rPr>
            </w:pPr>
            <w:r>
              <w:rPr>
                <w:rFonts w:ascii="Arial" w:cs="Arial" w:eastAsia="Arial" w:hAnsi="Arial"/>
                <w:sz w:val="14"/>
                <w:szCs w:val="14"/>
                <w:color w:val="auto"/>
              </w:rPr>
              <w:t xml:space="preserve">Gains realized on </w:t>
            </w:r>
            <w:r>
              <w:rPr>
                <w:rFonts w:ascii="Arial" w:cs="Arial" w:eastAsia="Arial" w:hAnsi="Arial"/>
                <w:sz w:val="14"/>
                <w:szCs w:val="14"/>
                <w:b w:val="1"/>
                <w:bCs w:val="1"/>
                <w:color w:val="auto"/>
              </w:rPr>
              <w:t>equity awards</w:t>
            </w:r>
            <w:r>
              <w:rPr>
                <w:rFonts w:ascii="Arial" w:cs="Arial" w:eastAsia="Arial" w:hAnsi="Arial"/>
                <w:sz w:val="14"/>
                <w:szCs w:val="14"/>
                <w:color w:val="auto"/>
              </w:rPr>
              <w:t xml:space="preserve"> exercised and vested</w:t>
            </w:r>
          </w:p>
        </w:tc>
      </w:tr>
      <w:tr>
        <w:trPr>
          <w:trHeight w:val="175"/>
        </w:trPr>
        <w:tc>
          <w:tcPr>
            <w:tcW w:w="3660" w:type="dxa"/>
            <w:vAlign w:val="bottom"/>
            <w:shd w:val="clear" w:color="auto" w:fill="F2F8FA"/>
          </w:tcPr>
          <w:p>
            <w:pPr>
              <w:ind w:left="80"/>
              <w:spacing w:after="0"/>
              <w:rPr>
                <w:sz w:val="20"/>
                <w:szCs w:val="20"/>
                <w:color w:val="auto"/>
              </w:rPr>
            </w:pPr>
            <w:r>
              <w:rPr>
                <w:rFonts w:ascii="Arial" w:cs="Arial" w:eastAsia="Arial" w:hAnsi="Arial"/>
                <w:sz w:val="14"/>
                <w:szCs w:val="14"/>
                <w:color w:val="auto"/>
              </w:rPr>
              <w:t>during the year reflecting prior year’s performance</w:t>
            </w:r>
          </w:p>
        </w:tc>
        <w:tc>
          <w:tcPr>
            <w:tcW w:w="120" w:type="dxa"/>
            <w:vAlign w:val="bottom"/>
          </w:tcPr>
          <w:p>
            <w:pPr>
              <w:spacing w:after="0"/>
              <w:rPr>
                <w:sz w:val="15"/>
                <w:szCs w:val="15"/>
                <w:color w:val="auto"/>
              </w:rPr>
            </w:pPr>
          </w:p>
        </w:tc>
        <w:tc>
          <w:tcPr>
            <w:tcW w:w="3780" w:type="dxa"/>
            <w:vAlign w:val="bottom"/>
            <w:shd w:val="clear" w:color="auto" w:fill="F2F8FA"/>
          </w:tcPr>
          <w:p>
            <w:pPr>
              <w:ind w:left="80"/>
              <w:spacing w:after="0"/>
              <w:rPr>
                <w:sz w:val="20"/>
                <w:szCs w:val="20"/>
                <w:color w:val="auto"/>
              </w:rPr>
            </w:pPr>
            <w:r>
              <w:rPr>
                <w:rFonts w:ascii="Arial" w:cs="Arial" w:eastAsia="Arial" w:hAnsi="Arial"/>
                <w:sz w:val="14"/>
                <w:szCs w:val="14"/>
                <w:color w:val="auto"/>
              </w:rPr>
              <w:t>prior three fiscal years, calculated using the stock price at</w:t>
            </w:r>
          </w:p>
        </w:tc>
        <w:tc>
          <w:tcPr>
            <w:tcW w:w="100" w:type="dxa"/>
            <w:vAlign w:val="bottom"/>
          </w:tcPr>
          <w:p>
            <w:pPr>
              <w:spacing w:after="0"/>
              <w:rPr>
                <w:sz w:val="15"/>
                <w:szCs w:val="15"/>
                <w:color w:val="auto"/>
              </w:rPr>
            </w:pPr>
          </w:p>
        </w:tc>
        <w:tc>
          <w:tcPr>
            <w:tcW w:w="3760" w:type="dxa"/>
            <w:vAlign w:val="bottom"/>
            <w:shd w:val="clear" w:color="auto" w:fill="DAE9F7"/>
          </w:tcPr>
          <w:p>
            <w:pPr>
              <w:ind w:left="80"/>
              <w:spacing w:after="0"/>
              <w:rPr>
                <w:sz w:val="20"/>
                <w:szCs w:val="20"/>
                <w:color w:val="auto"/>
              </w:rPr>
            </w:pPr>
            <w:r>
              <w:rPr>
                <w:rFonts w:ascii="Arial" w:cs="Arial" w:eastAsia="Arial" w:hAnsi="Arial"/>
                <w:sz w:val="14"/>
                <w:szCs w:val="14"/>
                <w:color w:val="auto"/>
              </w:rPr>
              <w:t>during the year</w:t>
            </w:r>
          </w:p>
        </w:tc>
      </w:tr>
      <w:tr>
        <w:trPr>
          <w:trHeight w:val="162"/>
        </w:trPr>
        <w:tc>
          <w:tcPr>
            <w:tcW w:w="3660" w:type="dxa"/>
            <w:vAlign w:val="bottom"/>
            <w:shd w:val="clear" w:color="auto" w:fill="F2F8FA"/>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shd w:val="clear" w:color="auto" w:fill="F2F8FA"/>
          </w:tcPr>
          <w:p>
            <w:pPr>
              <w:ind w:left="80"/>
              <w:spacing w:after="0"/>
              <w:rPr>
                <w:sz w:val="20"/>
                <w:szCs w:val="20"/>
                <w:color w:val="auto"/>
              </w:rPr>
            </w:pPr>
            <w:r>
              <w:rPr>
                <w:rFonts w:ascii="Arial" w:cs="Arial" w:eastAsia="Arial" w:hAnsi="Arial"/>
                <w:sz w:val="14"/>
                <w:szCs w:val="14"/>
                <w:color w:val="auto"/>
              </w:rPr>
              <w:t>the end of the third year</w:t>
            </w:r>
          </w:p>
        </w:tc>
        <w:tc>
          <w:tcPr>
            <w:tcW w:w="100" w:type="dxa"/>
            <w:vAlign w:val="bottom"/>
          </w:tcPr>
          <w:p>
            <w:pPr>
              <w:spacing w:after="0"/>
              <w:rPr>
                <w:sz w:val="14"/>
                <w:szCs w:val="14"/>
                <w:color w:val="auto"/>
              </w:rPr>
            </w:pPr>
          </w:p>
        </w:tc>
        <w:tc>
          <w:tcPr>
            <w:tcW w:w="3760" w:type="dxa"/>
            <w:vAlign w:val="bottom"/>
            <w:shd w:val="clear" w:color="auto" w:fill="DAE9F7"/>
          </w:tcPr>
          <w:p>
            <w:pPr>
              <w:spacing w:after="0"/>
              <w:rPr>
                <w:sz w:val="14"/>
                <w:szCs w:val="14"/>
                <w:color w:val="auto"/>
              </w:rPr>
            </w:pPr>
          </w:p>
        </w:tc>
      </w:tr>
      <w:tr>
        <w:trPr>
          <w:trHeight w:val="95"/>
        </w:trPr>
        <w:tc>
          <w:tcPr>
            <w:tcW w:w="3660" w:type="dxa"/>
            <w:vAlign w:val="bottom"/>
            <w:shd w:val="clear" w:color="auto" w:fill="F2F8FA"/>
          </w:tcPr>
          <w:p>
            <w:pPr>
              <w:spacing w:after="0"/>
              <w:rPr>
                <w:sz w:val="8"/>
                <w:szCs w:val="8"/>
                <w:color w:val="auto"/>
              </w:rPr>
            </w:pPr>
          </w:p>
        </w:tc>
        <w:tc>
          <w:tcPr>
            <w:tcW w:w="120" w:type="dxa"/>
            <w:vAlign w:val="bottom"/>
          </w:tcPr>
          <w:p>
            <w:pPr>
              <w:spacing w:after="0"/>
              <w:rPr>
                <w:sz w:val="8"/>
                <w:szCs w:val="8"/>
                <w:color w:val="auto"/>
              </w:rPr>
            </w:pPr>
          </w:p>
        </w:tc>
        <w:tc>
          <w:tcPr>
            <w:tcW w:w="3780" w:type="dxa"/>
            <w:vAlign w:val="bottom"/>
            <w:shd w:val="clear" w:color="auto" w:fill="F2F8FA"/>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shd w:val="clear" w:color="auto" w:fill="DAE9F7"/>
          </w:tcPr>
          <w:p>
            <w:pPr>
              <w:spacing w:after="0"/>
              <w:rPr>
                <w:sz w:val="8"/>
                <w:szCs w:val="8"/>
                <w:color w:val="auto"/>
              </w:rPr>
            </w:pPr>
          </w:p>
        </w:tc>
      </w:tr>
      <w:tr>
        <w:trPr>
          <w:trHeight w:val="81"/>
        </w:trPr>
        <w:tc>
          <w:tcPr>
            <w:tcW w:w="3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tcPr>
          <w:p>
            <w:pPr>
              <w:spacing w:after="0"/>
              <w:rPr>
                <w:sz w:val="7"/>
                <w:szCs w:val="7"/>
                <w:color w:val="auto"/>
              </w:rPr>
            </w:pPr>
          </w:p>
        </w:tc>
      </w:tr>
      <w:tr>
        <w:trPr>
          <w:trHeight w:val="405"/>
        </w:trPr>
        <w:tc>
          <w:tcPr>
            <w:tcW w:w="366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All other compensation</w:t>
            </w:r>
          </w:p>
        </w:tc>
        <w:tc>
          <w:tcPr>
            <w:tcW w:w="120" w:type="dxa"/>
            <w:vAlign w:val="bottom"/>
          </w:tcPr>
          <w:p>
            <w:pPr>
              <w:spacing w:after="0"/>
              <w:rPr>
                <w:sz w:val="24"/>
                <w:szCs w:val="24"/>
                <w:color w:val="auto"/>
              </w:rPr>
            </w:pPr>
          </w:p>
        </w:tc>
        <w:tc>
          <w:tcPr>
            <w:tcW w:w="378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Other direct</w:t>
            </w:r>
            <w:r>
              <w:rPr>
                <w:rFonts w:ascii="Arial" w:cs="Arial" w:eastAsia="Arial" w:hAnsi="Arial"/>
                <w:sz w:val="22"/>
                <w:szCs w:val="22"/>
                <w:b w:val="1"/>
                <w:bCs w:val="1"/>
                <w:color w:val="auto"/>
                <w:vertAlign w:val="superscript"/>
              </w:rPr>
              <w:t>(2)</w:t>
            </w:r>
            <w:r>
              <w:rPr>
                <w:rFonts w:ascii="Arial" w:cs="Arial" w:eastAsia="Arial" w:hAnsi="Arial"/>
                <w:sz w:val="14"/>
                <w:szCs w:val="14"/>
                <w:b w:val="1"/>
                <w:bCs w:val="1"/>
                <w:color w:val="auto"/>
              </w:rPr>
              <w:t xml:space="preserve"> compensation</w:t>
            </w:r>
          </w:p>
        </w:tc>
        <w:tc>
          <w:tcPr>
            <w:tcW w:w="100" w:type="dxa"/>
            <w:vAlign w:val="bottom"/>
          </w:tcPr>
          <w:p>
            <w:pPr>
              <w:spacing w:after="0"/>
              <w:rPr>
                <w:sz w:val="24"/>
                <w:szCs w:val="24"/>
                <w:color w:val="auto"/>
              </w:rPr>
            </w:pPr>
          </w:p>
        </w:tc>
        <w:tc>
          <w:tcPr>
            <w:tcW w:w="3760" w:type="dxa"/>
            <w:vAlign w:val="bottom"/>
            <w:shd w:val="clear" w:color="auto" w:fill="DAE9F7"/>
          </w:tcPr>
          <w:p>
            <w:pPr>
              <w:ind w:left="80"/>
              <w:spacing w:after="0"/>
              <w:rPr>
                <w:sz w:val="20"/>
                <w:szCs w:val="20"/>
                <w:color w:val="auto"/>
              </w:rPr>
            </w:pPr>
            <w:r>
              <w:rPr>
                <w:rFonts w:ascii="Arial" w:cs="Arial" w:eastAsia="Arial" w:hAnsi="Arial"/>
                <w:sz w:val="14"/>
                <w:szCs w:val="14"/>
                <w:b w:val="1"/>
                <w:bCs w:val="1"/>
                <w:color w:val="auto"/>
              </w:rPr>
              <w:t>Other direct</w:t>
            </w:r>
            <w:r>
              <w:rPr>
                <w:rFonts w:ascii="Arial" w:cs="Arial" w:eastAsia="Arial" w:hAnsi="Arial"/>
                <w:sz w:val="22"/>
                <w:szCs w:val="22"/>
                <w:b w:val="1"/>
                <w:bCs w:val="1"/>
                <w:color w:val="auto"/>
                <w:vertAlign w:val="superscript"/>
              </w:rPr>
              <w:t>(2)</w:t>
            </w:r>
            <w:r>
              <w:rPr>
                <w:rFonts w:ascii="Arial" w:cs="Arial" w:eastAsia="Arial" w:hAnsi="Arial"/>
                <w:sz w:val="14"/>
                <w:szCs w:val="14"/>
                <w:b w:val="1"/>
                <w:bCs w:val="1"/>
                <w:color w:val="auto"/>
              </w:rPr>
              <w:t xml:space="preserve"> compensation</w:t>
            </w:r>
          </w:p>
        </w:tc>
      </w:tr>
      <w:tr>
        <w:trPr>
          <w:trHeight w:val="81"/>
        </w:trPr>
        <w:tc>
          <w:tcPr>
            <w:tcW w:w="3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tcPr>
          <w:p>
            <w:pPr>
              <w:spacing w:after="0"/>
              <w:rPr>
                <w:sz w:val="7"/>
                <w:szCs w:val="7"/>
                <w:color w:val="auto"/>
              </w:rPr>
            </w:pPr>
          </w:p>
        </w:tc>
      </w:tr>
      <w:tr>
        <w:trPr>
          <w:trHeight w:val="270"/>
        </w:trPr>
        <w:tc>
          <w:tcPr>
            <w:tcW w:w="3660" w:type="dxa"/>
            <w:vAlign w:val="bottom"/>
            <w:shd w:val="clear" w:color="auto" w:fill="F2F8FA"/>
          </w:tcPr>
          <w:p>
            <w:pPr>
              <w:ind w:left="80"/>
              <w:spacing w:after="0"/>
              <w:rPr>
                <w:sz w:val="20"/>
                <w:szCs w:val="20"/>
                <w:color w:val="auto"/>
              </w:rPr>
            </w:pPr>
            <w:r>
              <w:rPr>
                <w:rFonts w:ascii="Arial" w:cs="Arial" w:eastAsia="Arial" w:hAnsi="Arial"/>
                <w:sz w:val="14"/>
                <w:szCs w:val="14"/>
                <w:color w:val="auto"/>
              </w:rPr>
              <w:t xml:space="preserve">Change in the actuarial value of </w:t>
            </w:r>
            <w:r>
              <w:rPr>
                <w:rFonts w:ascii="Arial" w:cs="Arial" w:eastAsia="Arial" w:hAnsi="Arial"/>
                <w:sz w:val="14"/>
                <w:szCs w:val="14"/>
                <w:b w:val="1"/>
                <w:bCs w:val="1"/>
                <w:color w:val="auto"/>
              </w:rPr>
              <w:t>pension benefits</w:t>
            </w:r>
          </w:p>
        </w:tc>
        <w:tc>
          <w:tcPr>
            <w:tcW w:w="120" w:type="dxa"/>
            <w:vAlign w:val="bottom"/>
          </w:tcPr>
          <w:p>
            <w:pPr>
              <w:spacing w:after="0"/>
              <w:rPr>
                <w:sz w:val="23"/>
                <w:szCs w:val="23"/>
                <w:color w:val="auto"/>
              </w:rPr>
            </w:pPr>
          </w:p>
        </w:tc>
        <w:tc>
          <w:tcPr>
            <w:tcW w:w="3780" w:type="dxa"/>
            <w:vAlign w:val="bottom"/>
          </w:tcPr>
          <w:p>
            <w:pPr>
              <w:ind w:left="80"/>
              <w:spacing w:after="0"/>
              <w:rPr>
                <w:sz w:val="20"/>
                <w:szCs w:val="20"/>
                <w:color w:val="auto"/>
              </w:rPr>
            </w:pPr>
            <w:r>
              <w:rPr>
                <w:rFonts w:ascii="Arial" w:cs="Arial" w:eastAsia="Arial" w:hAnsi="Arial"/>
                <w:sz w:val="14"/>
                <w:szCs w:val="14"/>
                <w:b w:val="1"/>
                <w:bCs w:val="1"/>
                <w:color w:val="auto"/>
              </w:rPr>
              <w:t>Excludes:</w:t>
            </w:r>
          </w:p>
        </w:tc>
        <w:tc>
          <w:tcPr>
            <w:tcW w:w="10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14"/>
                <w:szCs w:val="14"/>
                <w:b w:val="1"/>
                <w:bCs w:val="1"/>
                <w:color w:val="auto"/>
              </w:rPr>
              <w:t>Excludes:</w:t>
            </w:r>
          </w:p>
        </w:tc>
      </w:tr>
      <w:tr>
        <w:trPr>
          <w:trHeight w:val="95"/>
        </w:trPr>
        <w:tc>
          <w:tcPr>
            <w:tcW w:w="3660" w:type="dxa"/>
            <w:vAlign w:val="bottom"/>
            <w:shd w:val="clear" w:color="auto" w:fill="F2F8FA"/>
          </w:tcPr>
          <w:p>
            <w:pPr>
              <w:spacing w:after="0"/>
              <w:rPr>
                <w:sz w:val="8"/>
                <w:szCs w:val="8"/>
                <w:color w:val="auto"/>
              </w:rPr>
            </w:pPr>
          </w:p>
        </w:tc>
        <w:tc>
          <w:tcPr>
            <w:tcW w:w="1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21951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21951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172" w:lineRule="exact"/>
        <w:rPr>
          <w:sz w:val="20"/>
          <w:szCs w:val="20"/>
          <w:color w:val="auto"/>
        </w:rPr>
      </w:pPr>
    </w:p>
    <w:p>
      <w:pPr>
        <w:ind w:left="80" w:right="600"/>
        <w:spacing w:after="0" w:line="247" w:lineRule="auto"/>
        <w:rPr>
          <w:sz w:val="20"/>
          <w:szCs w:val="20"/>
          <w:color w:val="auto"/>
        </w:rPr>
      </w:pPr>
      <w:r>
        <w:rPr>
          <w:rFonts w:ascii="Arial" w:cs="Arial" w:eastAsia="Arial" w:hAnsi="Arial"/>
          <w:sz w:val="14"/>
          <w:szCs w:val="14"/>
          <w:color w:val="auto"/>
        </w:rPr>
        <w:t xml:space="preserve">Above-market earnings of </w:t>
      </w:r>
      <w:r>
        <w:rPr>
          <w:rFonts w:ascii="Arial" w:cs="Arial" w:eastAsia="Arial" w:hAnsi="Arial"/>
          <w:sz w:val="14"/>
          <w:szCs w:val="14"/>
          <w:b w:val="1"/>
          <w:bCs w:val="1"/>
          <w:color w:val="auto"/>
        </w:rPr>
        <w:t>nonqualified deferred</w:t>
      </w:r>
      <w:r>
        <w:rPr>
          <w:rFonts w:ascii="Arial" w:cs="Arial" w:eastAsia="Arial" w:hAnsi="Arial"/>
          <w:sz w:val="14"/>
          <w:szCs w:val="14"/>
          <w:color w:val="auto"/>
        </w:rPr>
        <w:t xml:space="preserve"> </w:t>
      </w:r>
      <w:r>
        <w:rPr>
          <w:rFonts w:ascii="Arial" w:cs="Arial" w:eastAsia="Arial" w:hAnsi="Arial"/>
          <w:sz w:val="14"/>
          <w:szCs w:val="14"/>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Future pay opportunities that may or may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68580" cy="603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42" w:right="54" w:hanging="242"/>
        <w:spacing w:after="0" w:line="221" w:lineRule="auto"/>
        <w:tabs>
          <w:tab w:leader="none" w:pos="219" w:val="left"/>
        </w:tabs>
        <w:numPr>
          <w:ilvl w:val="0"/>
          <w:numId w:val="124"/>
        </w:numPr>
        <w:rPr>
          <w:rFonts w:ascii="Arial" w:cs="Arial" w:eastAsia="Arial" w:hAnsi="Arial"/>
          <w:sz w:val="13"/>
          <w:szCs w:val="13"/>
          <w:color w:val="FDB03F"/>
        </w:rPr>
      </w:pPr>
      <w:r>
        <w:rPr>
          <w:rFonts w:ascii="Arial" w:cs="Arial" w:eastAsia="Arial" w:hAnsi="Arial"/>
          <w:sz w:val="14"/>
          <w:szCs w:val="14"/>
          <w:color w:val="auto"/>
        </w:rPr>
        <w:t>Change in the actuarial present value of pension benefits</w:t>
      </w:r>
    </w:p>
    <w:p>
      <w:pPr>
        <w:ind w:left="242" w:right="94" w:hanging="242"/>
        <w:spacing w:after="0" w:line="231" w:lineRule="auto"/>
        <w:tabs>
          <w:tab w:leader="none" w:pos="219" w:val="left"/>
        </w:tabs>
        <w:numPr>
          <w:ilvl w:val="0"/>
          <w:numId w:val="124"/>
        </w:numPr>
        <w:rPr>
          <w:rFonts w:ascii="Arial" w:cs="Arial" w:eastAsia="Arial" w:hAnsi="Arial"/>
          <w:sz w:val="13"/>
          <w:szCs w:val="13"/>
          <w:color w:val="FDB03F"/>
        </w:rPr>
      </w:pPr>
      <w:r>
        <w:rPr>
          <w:rFonts w:ascii="Arial" w:cs="Arial" w:eastAsia="Arial" w:hAnsi="Arial"/>
          <w:sz w:val="14"/>
          <w:szCs w:val="14"/>
          <w:color w:val="auto"/>
        </w:rPr>
        <w:t>Above-market earnings of nonqualified deferred compensation</w:t>
      </w:r>
    </w:p>
    <w:p>
      <w:pPr>
        <w:ind w:left="202" w:hanging="202"/>
        <w:spacing w:after="0"/>
        <w:tabs>
          <w:tab w:leader="none" w:pos="202" w:val="left"/>
        </w:tabs>
        <w:numPr>
          <w:ilvl w:val="0"/>
          <w:numId w:val="124"/>
        </w:numPr>
        <w:rPr>
          <w:rFonts w:ascii="Arial" w:cs="Arial" w:eastAsia="Arial" w:hAnsi="Arial"/>
          <w:sz w:val="13"/>
          <w:szCs w:val="13"/>
          <w:color w:val="FDB03F"/>
        </w:rPr>
      </w:pPr>
      <w:r>
        <w:rPr>
          <w:rFonts w:ascii="Arial" w:cs="Arial" w:eastAsia="Arial" w:hAnsi="Arial"/>
          <w:sz w:val="14"/>
          <w:szCs w:val="14"/>
          <w:color w:val="auto"/>
        </w:rPr>
        <w:t>Other indirect</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compensation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26" w:right="540" w:hanging="226"/>
        <w:spacing w:after="0" w:line="221" w:lineRule="auto"/>
        <w:tabs>
          <w:tab w:leader="none" w:pos="203" w:val="left"/>
        </w:tabs>
        <w:numPr>
          <w:ilvl w:val="0"/>
          <w:numId w:val="125"/>
        </w:numPr>
        <w:rPr>
          <w:rFonts w:ascii="Arial" w:cs="Arial" w:eastAsia="Arial" w:hAnsi="Arial"/>
          <w:sz w:val="13"/>
          <w:szCs w:val="13"/>
          <w:color w:val="FDB03F"/>
        </w:rPr>
      </w:pPr>
      <w:r>
        <w:rPr>
          <w:rFonts w:ascii="Arial" w:cs="Arial" w:eastAsia="Arial" w:hAnsi="Arial"/>
          <w:sz w:val="14"/>
          <w:szCs w:val="14"/>
          <w:color w:val="auto"/>
        </w:rPr>
        <w:t>Change in the actuarial present value of pension benefits</w:t>
      </w:r>
    </w:p>
    <w:p>
      <w:pPr>
        <w:ind w:left="226" w:right="580" w:hanging="226"/>
        <w:spacing w:after="0" w:line="231" w:lineRule="auto"/>
        <w:tabs>
          <w:tab w:leader="none" w:pos="203" w:val="left"/>
        </w:tabs>
        <w:numPr>
          <w:ilvl w:val="0"/>
          <w:numId w:val="125"/>
        </w:numPr>
        <w:rPr>
          <w:rFonts w:ascii="Arial" w:cs="Arial" w:eastAsia="Arial" w:hAnsi="Arial"/>
          <w:sz w:val="13"/>
          <w:szCs w:val="13"/>
          <w:color w:val="FDB03F"/>
        </w:rPr>
      </w:pPr>
      <w:r>
        <w:rPr>
          <w:rFonts w:ascii="Arial" w:cs="Arial" w:eastAsia="Arial" w:hAnsi="Arial"/>
          <w:sz w:val="14"/>
          <w:szCs w:val="14"/>
          <w:color w:val="auto"/>
        </w:rPr>
        <w:t>Above-market earnings of nonqualified deferred compensation</w:t>
      </w:r>
    </w:p>
    <w:p>
      <w:pPr>
        <w:ind w:left="206" w:hanging="206"/>
        <w:spacing w:after="0"/>
        <w:tabs>
          <w:tab w:leader="none" w:pos="206" w:val="left"/>
        </w:tabs>
        <w:numPr>
          <w:ilvl w:val="0"/>
          <w:numId w:val="125"/>
        </w:numPr>
        <w:rPr>
          <w:rFonts w:ascii="Arial" w:cs="Arial" w:eastAsia="Arial" w:hAnsi="Arial"/>
          <w:sz w:val="13"/>
          <w:szCs w:val="13"/>
          <w:color w:val="FDB03F"/>
        </w:rPr>
      </w:pPr>
      <w:r>
        <w:rPr>
          <w:rFonts w:ascii="Arial" w:cs="Arial" w:eastAsia="Arial" w:hAnsi="Arial"/>
          <w:sz w:val="14"/>
          <w:szCs w:val="14"/>
          <w:color w:val="auto"/>
        </w:rPr>
        <w:t>Other indirect</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compensation</w:t>
      </w:r>
    </w:p>
    <w:p>
      <w:pPr>
        <w:spacing w:after="0" w:line="489" w:lineRule="exact"/>
        <w:rPr>
          <w:sz w:val="20"/>
          <w:szCs w:val="20"/>
          <w:color w:val="auto"/>
        </w:rPr>
      </w:pPr>
    </w:p>
    <w:p>
      <w:pPr>
        <w:sectPr>
          <w:pgSz w:w="11900" w:h="16838" w:orient="portrait"/>
          <w:cols w:equalWidth="0" w:num="3">
            <w:col w:w="3640" w:space="258"/>
            <w:col w:w="3156" w:space="720"/>
            <w:col w:w="3646"/>
          </w:cols>
          <w:pgMar w:left="240" w:top="121" w:right="239" w:bottom="1440" w:gutter="0" w:footer="0" w:header="0"/>
          <w:type w:val="continuous"/>
        </w:sectPr>
      </w:pPr>
    </w:p>
    <w:p>
      <w:pPr>
        <w:ind w:left="220" w:right="20" w:hanging="212"/>
        <w:spacing w:after="0" w:line="231" w:lineRule="auto"/>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Defined as the difference between the closing stock price of UTC Common Stock at the end of the fiscal year and the exercise price of the award (if any) multiplied by the number of shares underlying equity awards. For PSU awards for which the vesting factor is not yet known, the target number of shares is used.</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Includes personal use of the Corporate aircraft, leased vehicle expenses, financial planning, security benefits, healthcare benefits and other miscellaneous items.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Includes insurance premiums and Company contributions to nonqualified deferred compensation plans and defined contribution retirement plans.</w:t>
      </w:r>
    </w:p>
    <w:p>
      <w:pPr>
        <w:spacing w:after="0" w:line="226" w:lineRule="exact"/>
        <w:rPr>
          <w:sz w:val="20"/>
          <w:szCs w:val="20"/>
          <w:color w:val="auto"/>
        </w:rPr>
      </w:pPr>
    </w:p>
    <w:p>
      <w:pPr>
        <w:ind w:left="880" w:hanging="628"/>
        <w:spacing w:after="0"/>
        <w:tabs>
          <w:tab w:leader="none" w:pos="880" w:val="left"/>
        </w:tabs>
        <w:numPr>
          <w:ilvl w:val="0"/>
          <w:numId w:val="127"/>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following charts compare the Summary Compensation Table values reported for Mr. Hayes for the past three years to his realizable and realized compensation for the same period. These supplemental methodologies provide the Committee with relevant measures to assess the pay-for-performance relationship by focusing on the strength of the correlation between UTC’s stock price performance and compensation realizable and realized during these time periods. The Committee believes that the design of our executive compensation program, with its significant focus on “at-risk” pay, reinforces its key objectives of driving long-term shareowner value, aligning executive and shareowner interests, and rewarding pay-for-performance.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CEO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4530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245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 Refer to the table on page 48 to see how we calculate realizable and realized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95C3EB"/>
        </w:rPr>
        <w:t>Our program’s fundamental objective is to drive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95C3EB"/>
        </w:rPr>
        <w:t xml:space="preserve">long-term shareowner value, </w:t>
      </w:r>
      <w:r>
        <w:rPr>
          <w:rFonts w:ascii="Arial" w:cs="Arial" w:eastAsia="Arial" w:hAnsi="Arial"/>
          <w:sz w:val="22"/>
          <w:szCs w:val="22"/>
          <w:b w:val="1"/>
          <w:bCs w:val="1"/>
          <w:color w:val="0E93D8"/>
        </w:rPr>
        <w:t>align executive</w:t>
      </w:r>
    </w:p>
    <w:p>
      <w:pPr>
        <w:spacing w:after="0" w:line="230" w:lineRule="auto"/>
        <w:rPr>
          <w:sz w:val="20"/>
          <w:szCs w:val="20"/>
          <w:color w:val="auto"/>
        </w:rPr>
      </w:pPr>
      <w:r>
        <w:rPr>
          <w:rFonts w:ascii="Arial" w:cs="Arial" w:eastAsia="Arial" w:hAnsi="Arial"/>
          <w:sz w:val="22"/>
          <w:szCs w:val="22"/>
          <w:b w:val="1"/>
          <w:bCs w:val="1"/>
          <w:color w:val="0E93D8"/>
        </w:rPr>
        <w:t>and shareowner interests, and reward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E93D8"/>
        </w:rPr>
        <w:t>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1216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49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35"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Pay Decisions for the Other NEOs</w:t>
      </w: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makes annual compensation decisions for our NEOs based on their individual performance and the overall performance of the Company (and the business unit and/or function, where applicable). The following pages show each NEO’s 2018 total direct compensation values. As discussed on page 46, total direct compensation includes only those pay elements that relate to the Committee’s assessment of 2018 performance (i.e., it includes 2019 LTI grants that reflected 2018 performance, rather than 2018 LTI grants that reflected 2017 performance). We also provide individual performance highlights that contributed to the Committee’s pay decisions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089015" cy="59601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89015" cy="596011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780"/>
        <w:spacing w:after="0" w:line="299" w:lineRule="auto"/>
        <w:rPr>
          <w:sz w:val="20"/>
          <w:szCs w:val="20"/>
          <w:color w:val="auto"/>
        </w:rPr>
      </w:pPr>
      <w:r>
        <w:rPr>
          <w:rFonts w:ascii="Arial" w:cs="Arial" w:eastAsia="Arial" w:hAnsi="Arial"/>
          <w:sz w:val="16"/>
          <w:szCs w:val="16"/>
          <w:color w:val="0E93D8"/>
        </w:rPr>
        <w:t xml:space="preserve">TOTAL DIRECT COMPENSATION </w:t>
      </w:r>
      <w:r>
        <w:rPr>
          <w:rFonts w:ascii="Arial" w:cs="Arial" w:eastAsia="Arial" w:hAnsi="Arial"/>
          <w:sz w:val="16"/>
          <w:szCs w:val="16"/>
          <w:color w:val="FDB03F"/>
        </w:rPr>
        <w:t>$6.60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07310" cy="13462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000000"/>
                        </a:clrFrom>
                        <a:clrTo>
                          <a:srgbClr val="000000">
                            <a:alpha val="0"/>
                          </a:srgbClr>
                        </a:clrTo>
                      </a:clrChange>
                      <a:extLst>
                        <a:ext uri="{28A0092B-C50C-407E-A947-70E740481C1C}"/>
                      </a:extLst>
                    </a:blip>
                    <a:srcRect/>
                    <a:stretch>
                      <a:fillRect/>
                    </a:stretch>
                  </pic:blipFill>
                  <pic:spPr bwMode="auto">
                    <a:xfrm>
                      <a:off x="0" y="0"/>
                      <a:ext cx="2607310" cy="13462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2607310" cy="13462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26073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0E93D8"/>
        </w:rPr>
        <w:t xml:space="preserve">Base Salary. </w:t>
      </w:r>
      <w:r>
        <w:rPr>
          <w:rFonts w:ascii="Arial" w:cs="Arial" w:eastAsia="Arial" w:hAnsi="Arial"/>
          <w:sz w:val="18"/>
          <w:szCs w:val="18"/>
          <w:color w:val="000000"/>
        </w:rPr>
        <w:t>During 2018, Mr. Johri received a merit</w:t>
      </w:r>
      <w:r>
        <w:rPr>
          <w:rFonts w:ascii="Arial" w:cs="Arial" w:eastAsia="Arial" w:hAnsi="Arial"/>
          <w:sz w:val="18"/>
          <w:szCs w:val="18"/>
          <w:color w:val="0E93D8"/>
        </w:rPr>
        <w:t xml:space="preserve"> </w:t>
      </w:r>
      <w:r>
        <w:rPr>
          <w:rFonts w:ascii="Arial" w:cs="Arial" w:eastAsia="Arial" w:hAnsi="Arial"/>
          <w:sz w:val="18"/>
          <w:szCs w:val="18"/>
          <w:color w:val="000000"/>
        </w:rPr>
        <w:t>increase to his base salary from $860,000 to $900,000. This increase reflected the Committee’s favorable assessment of his performance, as well as its efforts to keep Mr. Johri’s base salary aligned with the CPG and Fortune 100 market medians for his role. Following this increase, Mr. Johri’s base salary closely aligns with the market median.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0E93D8"/>
        </w:rPr>
        <w:t xml:space="preserve">Annual Bonus. </w:t>
      </w:r>
      <w:r>
        <w:rPr>
          <w:rFonts w:ascii="Arial" w:cs="Arial" w:eastAsia="Arial" w:hAnsi="Arial"/>
          <w:sz w:val="18"/>
          <w:szCs w:val="18"/>
          <w:color w:val="000000"/>
        </w:rPr>
        <w:t>The Committee considered the UTC</w:t>
      </w:r>
      <w:r>
        <w:rPr>
          <w:rFonts w:ascii="Arial" w:cs="Arial" w:eastAsia="Arial" w:hAnsi="Arial"/>
          <w:sz w:val="18"/>
          <w:szCs w:val="18"/>
          <w:color w:val="0E93D8"/>
        </w:rPr>
        <w:t xml:space="preserve"> </w:t>
      </w:r>
      <w:r>
        <w:rPr>
          <w:rFonts w:ascii="Arial" w:cs="Arial" w:eastAsia="Arial" w:hAnsi="Arial"/>
          <w:sz w:val="18"/>
          <w:szCs w:val="18"/>
          <w:color w:val="000000"/>
        </w:rPr>
        <w:t>adjusted financial performance factor of 125% (as previously discussed on page 43), Mr. Johri’s effective leadership of UTC’s Finance function and the individual performance considerations noted here, and awarded him a $1.2 million annual bonus for 2018. This amount is closely aligned with the adjusted 125% UTC financial performance factor.</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0E93D8"/>
        </w:rPr>
        <w:t xml:space="preserve">LTI. </w:t>
      </w:r>
      <w:r>
        <w:rPr>
          <w:rFonts w:ascii="Arial" w:cs="Arial" w:eastAsia="Arial" w:hAnsi="Arial"/>
          <w:sz w:val="16"/>
          <w:szCs w:val="16"/>
          <w:color w:val="000000"/>
        </w:rPr>
        <w:t>In consideration of Mr. Johri’s strong 2018</w:t>
      </w:r>
      <w:r>
        <w:rPr>
          <w:rFonts w:ascii="Arial" w:cs="Arial" w:eastAsia="Arial" w:hAnsi="Arial"/>
          <w:sz w:val="16"/>
          <w:szCs w:val="16"/>
          <w:color w:val="0E93D8"/>
        </w:rPr>
        <w:t xml:space="preserve"> </w:t>
      </w:r>
      <w:r>
        <w:rPr>
          <w:rFonts w:ascii="Arial" w:cs="Arial" w:eastAsia="Arial" w:hAnsi="Arial"/>
          <w:sz w:val="16"/>
          <w:szCs w:val="16"/>
          <w:color w:val="000000"/>
        </w:rPr>
        <w:t>performance, the Committee approved a $4.5 million 2019 LTI award, an amount above the CPG and Fortune 100 market medians for his role. As previously noted, due to differences in valuation methodologies, the grant date fair value of this award will be reported as $4.6 million in next year’s 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0E93D8"/>
        </w:rPr>
        <w:t>INDIVIDUAL PERFORMANCE HIGHLIGHTS</w:t>
      </w:r>
    </w:p>
    <w:p>
      <w:pPr>
        <w:spacing w:after="0" w:line="239" w:lineRule="exact"/>
        <w:rPr>
          <w:sz w:val="20"/>
          <w:szCs w:val="20"/>
          <w:color w:val="auto"/>
        </w:rPr>
      </w:pPr>
    </w:p>
    <w:p>
      <w:pPr>
        <w:jc w:val="both"/>
        <w:ind w:left="260" w:right="2100" w:hanging="254"/>
        <w:spacing w:after="0" w:line="244" w:lineRule="auto"/>
        <w:tabs>
          <w:tab w:leader="none" w:pos="237" w:val="left"/>
        </w:tabs>
        <w:numPr>
          <w:ilvl w:val="0"/>
          <w:numId w:val="128"/>
        </w:numPr>
        <w:rPr>
          <w:rFonts w:ascii="Arial" w:cs="Arial" w:eastAsia="Arial" w:hAnsi="Arial"/>
          <w:sz w:val="17"/>
          <w:szCs w:val="17"/>
          <w:color w:val="FDB03F"/>
        </w:rPr>
      </w:pPr>
      <w:r>
        <w:rPr>
          <w:rFonts w:ascii="Arial" w:cs="Arial" w:eastAsia="Arial" w:hAnsi="Arial"/>
          <w:sz w:val="18"/>
          <w:szCs w:val="18"/>
          <w:color w:val="auto"/>
        </w:rPr>
        <w:t>Effective management of UTC’s Finance function, as evidenced by our strong 2018 financial performance, including:</w:t>
      </w:r>
    </w:p>
    <w:p>
      <w:pPr>
        <w:spacing w:after="0" w:line="97" w:lineRule="exact"/>
        <w:rPr>
          <w:rFonts w:ascii="Arial" w:cs="Arial" w:eastAsia="Arial" w:hAnsi="Arial"/>
          <w:sz w:val="17"/>
          <w:szCs w:val="17"/>
          <w:color w:val="FDB03F"/>
        </w:rPr>
      </w:pPr>
    </w:p>
    <w:p>
      <w:pPr>
        <w:ind w:left="540" w:right="1880" w:hanging="264"/>
        <w:spacing w:after="0"/>
        <w:tabs>
          <w:tab w:leader="none" w:pos="517" w:val="left"/>
        </w:tabs>
        <w:numPr>
          <w:ilvl w:val="1"/>
          <w:numId w:val="128"/>
        </w:numPr>
        <w:rPr>
          <w:rFonts w:ascii="Arial" w:cs="Arial" w:eastAsia="Arial" w:hAnsi="Arial"/>
          <w:sz w:val="17"/>
          <w:szCs w:val="17"/>
          <w:color w:val="FDB03F"/>
        </w:rPr>
      </w:pPr>
      <w:r>
        <w:rPr>
          <w:rFonts w:ascii="Arial" w:cs="Arial" w:eastAsia="Arial" w:hAnsi="Arial"/>
          <w:sz w:val="18"/>
          <w:szCs w:val="18"/>
          <w:color w:val="auto"/>
        </w:rPr>
        <w:t>14% diluted EPS growth (GAAP and non-GAAP), an amount that exceeded the expectations we communicated to investors at the beginning of</w:t>
      </w:r>
    </w:p>
    <w:p>
      <w:pPr>
        <w:ind w:left="540"/>
        <w:spacing w:after="0"/>
        <w:rPr>
          <w:rFonts w:ascii="Arial" w:cs="Arial" w:eastAsia="Arial" w:hAnsi="Arial"/>
          <w:sz w:val="17"/>
          <w:szCs w:val="17"/>
          <w:color w:val="FDB03F"/>
        </w:rPr>
      </w:pPr>
      <w:r>
        <w:rPr>
          <w:rFonts w:ascii="Arial" w:cs="Arial" w:eastAsia="Arial" w:hAnsi="Arial"/>
          <w:sz w:val="18"/>
          <w:szCs w:val="18"/>
          <w:color w:val="auto"/>
        </w:rPr>
        <w:t>the year;</w:t>
      </w:r>
    </w:p>
    <w:p>
      <w:pPr>
        <w:spacing w:after="0" w:line="103" w:lineRule="exact"/>
        <w:rPr>
          <w:rFonts w:ascii="Arial" w:cs="Arial" w:eastAsia="Arial" w:hAnsi="Arial"/>
          <w:sz w:val="17"/>
          <w:szCs w:val="17"/>
          <w:color w:val="FDB03F"/>
        </w:rPr>
      </w:pPr>
    </w:p>
    <w:p>
      <w:pPr>
        <w:ind w:left="540" w:right="2140" w:hanging="264"/>
        <w:spacing w:after="0" w:line="316" w:lineRule="auto"/>
        <w:tabs>
          <w:tab w:leader="none" w:pos="517" w:val="left"/>
        </w:tabs>
        <w:numPr>
          <w:ilvl w:val="1"/>
          <w:numId w:val="128"/>
        </w:numPr>
        <w:rPr>
          <w:rFonts w:ascii="Arial" w:cs="Arial" w:eastAsia="Arial" w:hAnsi="Arial"/>
          <w:sz w:val="16"/>
          <w:szCs w:val="16"/>
          <w:color w:val="FDB03F"/>
        </w:rPr>
      </w:pPr>
      <w:r>
        <w:rPr>
          <w:rFonts w:ascii="Arial" w:cs="Arial" w:eastAsia="Arial" w:hAnsi="Arial"/>
          <w:sz w:val="16"/>
          <w:szCs w:val="16"/>
          <w:color w:val="auto"/>
        </w:rPr>
        <w:t>Net sales growth of 11% (GAAP), which included organic growth of 8% (non-GAAP); and</w:t>
      </w:r>
    </w:p>
    <w:p>
      <w:pPr>
        <w:spacing w:after="0" w:line="42" w:lineRule="exact"/>
        <w:rPr>
          <w:rFonts w:ascii="Arial" w:cs="Arial" w:eastAsia="Arial" w:hAnsi="Arial"/>
          <w:sz w:val="16"/>
          <w:szCs w:val="16"/>
          <w:color w:val="FDB03F"/>
        </w:rPr>
      </w:pPr>
    </w:p>
    <w:p>
      <w:pPr>
        <w:ind w:left="540" w:right="1980" w:hanging="264"/>
        <w:spacing w:after="0" w:line="255" w:lineRule="auto"/>
        <w:tabs>
          <w:tab w:leader="none" w:pos="517" w:val="left"/>
        </w:tabs>
        <w:numPr>
          <w:ilvl w:val="1"/>
          <w:numId w:val="128"/>
        </w:numPr>
        <w:rPr>
          <w:rFonts w:ascii="Arial" w:cs="Arial" w:eastAsia="Arial" w:hAnsi="Arial"/>
          <w:sz w:val="17"/>
          <w:szCs w:val="17"/>
          <w:color w:val="FDB03F"/>
        </w:rPr>
      </w:pPr>
      <w:r>
        <w:rPr>
          <w:rFonts w:ascii="Arial" w:cs="Arial" w:eastAsia="Arial" w:hAnsi="Arial"/>
          <w:sz w:val="18"/>
          <w:szCs w:val="18"/>
          <w:color w:val="auto"/>
        </w:rPr>
        <w:t>Growth in net income from continuing operations of 16% (GAAP and non-GAAP).</w:t>
      </w:r>
    </w:p>
    <w:p>
      <w:pPr>
        <w:spacing w:after="0" w:line="86" w:lineRule="exact"/>
        <w:rPr>
          <w:rFonts w:ascii="Arial" w:cs="Arial" w:eastAsia="Arial" w:hAnsi="Arial"/>
          <w:sz w:val="17"/>
          <w:szCs w:val="17"/>
          <w:color w:val="FDB03F"/>
        </w:rPr>
      </w:pPr>
    </w:p>
    <w:p>
      <w:pPr>
        <w:ind w:left="260" w:right="1840" w:hanging="254"/>
        <w:spacing w:after="0" w:line="255" w:lineRule="auto"/>
        <w:tabs>
          <w:tab w:leader="none" w:pos="237" w:val="left"/>
        </w:tabs>
        <w:numPr>
          <w:ilvl w:val="0"/>
          <w:numId w:val="128"/>
        </w:numPr>
        <w:rPr>
          <w:rFonts w:ascii="Arial" w:cs="Arial" w:eastAsia="Arial" w:hAnsi="Arial"/>
          <w:sz w:val="17"/>
          <w:szCs w:val="17"/>
          <w:color w:val="FDB03F"/>
        </w:rPr>
      </w:pPr>
      <w:r>
        <w:rPr>
          <w:rFonts w:ascii="Arial" w:cs="Arial" w:eastAsia="Arial" w:hAnsi="Arial"/>
          <w:sz w:val="18"/>
          <w:szCs w:val="18"/>
          <w:color w:val="auto"/>
        </w:rPr>
        <w:t>Leadership in driving UTC’s disciplined capital allocation strategy, including:</w:t>
      </w:r>
    </w:p>
    <w:p>
      <w:pPr>
        <w:spacing w:after="0" w:line="86" w:lineRule="exact"/>
        <w:rPr>
          <w:rFonts w:ascii="Arial" w:cs="Arial" w:eastAsia="Arial" w:hAnsi="Arial"/>
          <w:sz w:val="17"/>
          <w:szCs w:val="17"/>
          <w:color w:val="FDB03F"/>
        </w:rPr>
      </w:pPr>
    </w:p>
    <w:p>
      <w:pPr>
        <w:ind w:left="540" w:right="1880" w:hanging="264"/>
        <w:spacing w:after="0" w:line="255" w:lineRule="auto"/>
        <w:tabs>
          <w:tab w:leader="none" w:pos="517" w:val="left"/>
        </w:tabs>
        <w:numPr>
          <w:ilvl w:val="1"/>
          <w:numId w:val="128"/>
        </w:numPr>
        <w:rPr>
          <w:rFonts w:ascii="Arial" w:cs="Arial" w:eastAsia="Arial" w:hAnsi="Arial"/>
          <w:sz w:val="17"/>
          <w:szCs w:val="17"/>
          <w:color w:val="FDB03F"/>
        </w:rPr>
      </w:pPr>
      <w:r>
        <w:rPr>
          <w:rFonts w:ascii="Arial" w:cs="Arial" w:eastAsia="Arial" w:hAnsi="Arial"/>
          <w:sz w:val="18"/>
          <w:szCs w:val="18"/>
          <w:color w:val="auto"/>
        </w:rPr>
        <w:t>$2.5 billion returned to shareowners in 2018 through dividends and share repurchases; and</w:t>
      </w:r>
    </w:p>
    <w:p>
      <w:pPr>
        <w:spacing w:after="0" w:line="86" w:lineRule="exact"/>
        <w:rPr>
          <w:rFonts w:ascii="Arial" w:cs="Arial" w:eastAsia="Arial" w:hAnsi="Arial"/>
          <w:sz w:val="17"/>
          <w:szCs w:val="17"/>
          <w:color w:val="FDB03F"/>
        </w:rPr>
      </w:pPr>
    </w:p>
    <w:p>
      <w:pPr>
        <w:ind w:left="540" w:right="2400" w:hanging="264"/>
        <w:spacing w:after="0" w:line="316" w:lineRule="auto"/>
        <w:tabs>
          <w:tab w:leader="none" w:pos="517" w:val="left"/>
        </w:tabs>
        <w:numPr>
          <w:ilvl w:val="1"/>
          <w:numId w:val="128"/>
        </w:numPr>
        <w:rPr>
          <w:rFonts w:ascii="Arial" w:cs="Arial" w:eastAsia="Arial" w:hAnsi="Arial"/>
          <w:sz w:val="16"/>
          <w:szCs w:val="16"/>
          <w:color w:val="FDB03F"/>
        </w:rPr>
      </w:pPr>
      <w:r>
        <w:rPr>
          <w:rFonts w:ascii="Arial" w:cs="Arial" w:eastAsia="Arial" w:hAnsi="Arial"/>
          <w:sz w:val="16"/>
          <w:szCs w:val="16"/>
          <w:color w:val="auto"/>
        </w:rPr>
        <w:t>$4.0 billion in company- and customer-funded investments in research and development.</w:t>
      </w:r>
    </w:p>
    <w:p>
      <w:pPr>
        <w:spacing w:after="0" w:line="42" w:lineRule="exact"/>
        <w:rPr>
          <w:rFonts w:ascii="Arial" w:cs="Arial" w:eastAsia="Arial" w:hAnsi="Arial"/>
          <w:sz w:val="16"/>
          <w:szCs w:val="16"/>
          <w:color w:val="FDB03F"/>
        </w:rPr>
      </w:pPr>
    </w:p>
    <w:p>
      <w:pPr>
        <w:ind w:left="260" w:right="1800" w:hanging="254"/>
        <w:spacing w:after="0" w:line="241" w:lineRule="auto"/>
        <w:tabs>
          <w:tab w:leader="none" w:pos="237" w:val="left"/>
        </w:tabs>
        <w:numPr>
          <w:ilvl w:val="0"/>
          <w:numId w:val="128"/>
        </w:numPr>
        <w:rPr>
          <w:rFonts w:ascii="Arial" w:cs="Arial" w:eastAsia="Arial" w:hAnsi="Arial"/>
          <w:sz w:val="17"/>
          <w:szCs w:val="17"/>
          <w:color w:val="FDB03F"/>
        </w:rPr>
      </w:pPr>
      <w:r>
        <w:rPr>
          <w:rFonts w:ascii="Arial" w:cs="Arial" w:eastAsia="Arial" w:hAnsi="Arial"/>
          <w:sz w:val="18"/>
          <w:szCs w:val="18"/>
          <w:color w:val="auto"/>
        </w:rPr>
        <w:t>Significant role in completing the Rockwell Collins acquisition and the business portfolio review that culminated in our plan to separate UTC, Carrier and Otis into three independent companies.</w:t>
      </w:r>
    </w:p>
    <w:p>
      <w:pPr>
        <w:spacing w:after="0" w:line="100" w:lineRule="exact"/>
        <w:rPr>
          <w:rFonts w:ascii="Arial" w:cs="Arial" w:eastAsia="Arial" w:hAnsi="Arial"/>
          <w:sz w:val="17"/>
          <w:szCs w:val="17"/>
          <w:color w:val="FDB03F"/>
        </w:rPr>
      </w:pPr>
    </w:p>
    <w:p>
      <w:pPr>
        <w:ind w:left="260" w:right="2160" w:hanging="254"/>
        <w:spacing w:after="0" w:line="290" w:lineRule="auto"/>
        <w:tabs>
          <w:tab w:leader="none" w:pos="237" w:val="left"/>
        </w:tabs>
        <w:numPr>
          <w:ilvl w:val="0"/>
          <w:numId w:val="128"/>
        </w:numPr>
        <w:rPr>
          <w:rFonts w:ascii="Arial" w:cs="Arial" w:eastAsia="Arial" w:hAnsi="Arial"/>
          <w:sz w:val="16"/>
          <w:szCs w:val="16"/>
          <w:color w:val="FDB03F"/>
        </w:rPr>
      </w:pPr>
      <w:r>
        <w:rPr>
          <w:rFonts w:ascii="Arial" w:cs="Arial" w:eastAsia="Arial" w:hAnsi="Arial"/>
          <w:sz w:val="16"/>
          <w:szCs w:val="16"/>
          <w:color w:val="auto"/>
        </w:rPr>
        <w:t xml:space="preserve">Ranked best CFO in the Aerospace and Defense Electronics sector by </w:t>
      </w:r>
      <w:r>
        <w:rPr>
          <w:rFonts w:ascii="Arial" w:cs="Arial" w:eastAsia="Arial" w:hAnsi="Arial"/>
          <w:sz w:val="16"/>
          <w:szCs w:val="16"/>
          <w:i w:val="1"/>
          <w:iCs w:val="1"/>
          <w:color w:val="auto"/>
        </w:rPr>
        <w:t>Institutional Investor</w:t>
      </w:r>
      <w:r>
        <w:rPr>
          <w:rFonts w:ascii="Arial" w:cs="Arial" w:eastAsia="Arial" w:hAnsi="Arial"/>
          <w:sz w:val="16"/>
          <w:szCs w:val="16"/>
          <w:color w:val="auto"/>
        </w:rPr>
        <w:t xml:space="preserve"> magazine based on a survey of analysts and shareowners.</w:t>
      </w:r>
    </w:p>
    <w:p>
      <w:pPr>
        <w:spacing w:after="0" w:line="1508" w:lineRule="exact"/>
        <w:rPr>
          <w:sz w:val="20"/>
          <w:szCs w:val="20"/>
          <w:color w:val="auto"/>
        </w:rPr>
      </w:pPr>
    </w:p>
    <w:p>
      <w:pPr>
        <w:sectPr>
          <w:pgSz w:w="11900" w:h="16838" w:orient="portrait"/>
          <w:cols w:equalWidth="0" w:num="2">
            <w:col w:w="4500" w:space="400"/>
            <w:col w:w="6460"/>
          </w:cols>
          <w:pgMar w:left="240" w:top="121" w:right="299" w:bottom="1440" w:gutter="0" w:footer="0" w:header="0"/>
          <w:type w:val="continuous"/>
        </w:sectPr>
      </w:pPr>
    </w:p>
    <w:p>
      <w:pPr>
        <w:spacing w:after="0" w:line="27" w:lineRule="exact"/>
        <w:rPr>
          <w:sz w:val="20"/>
          <w:szCs w:val="20"/>
          <w:color w:val="auto"/>
        </w:rPr>
      </w:pPr>
    </w:p>
    <w:p>
      <w:pPr>
        <w:ind w:left="880" w:hanging="628"/>
        <w:spacing w:after="0"/>
        <w:tabs>
          <w:tab w:leader="none" w:pos="880" w:val="left"/>
        </w:tabs>
        <w:numPr>
          <w:ilvl w:val="0"/>
          <w:numId w:val="129"/>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jc w:val="right"/>
        <w:ind w:righ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089015" cy="71348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89015" cy="713486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0"/>
        <w:spacing w:after="0" w:line="299" w:lineRule="auto"/>
        <w:rPr>
          <w:sz w:val="20"/>
          <w:szCs w:val="20"/>
          <w:color w:val="auto"/>
        </w:rPr>
      </w:pPr>
      <w:r>
        <w:rPr>
          <w:rFonts w:ascii="Arial" w:cs="Arial" w:eastAsia="Arial" w:hAnsi="Arial"/>
          <w:sz w:val="16"/>
          <w:szCs w:val="16"/>
          <w:color w:val="0E93D8"/>
        </w:rPr>
        <w:t xml:space="preserve">TOTAL DIRECT COMPENSATION </w:t>
      </w:r>
      <w:r>
        <w:rPr>
          <w:rFonts w:ascii="Arial" w:cs="Arial" w:eastAsia="Arial" w:hAnsi="Arial"/>
          <w:sz w:val="16"/>
          <w:szCs w:val="16"/>
          <w:color w:val="FDB03F"/>
        </w:rPr>
        <w:t>$6.25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52725" cy="14579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clrChange>
                        <a:clrFrom>
                          <a:srgbClr val="000000"/>
                        </a:clrFrom>
                        <a:clrTo>
                          <a:srgbClr val="000000">
                            <a:alpha val="0"/>
                          </a:srgbClr>
                        </a:clrTo>
                      </a:clrChange>
                      <a:extLst>
                        <a:ext uri="{28A0092B-C50C-407E-A947-70E740481C1C}"/>
                      </a:extLst>
                    </a:blip>
                    <a:srcRect/>
                    <a:stretch>
                      <a:fillRect/>
                    </a:stretch>
                  </pic:blipFill>
                  <pic:spPr bwMode="auto">
                    <a:xfrm>
                      <a:off x="0" y="0"/>
                      <a:ext cx="2752725" cy="1457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2752725" cy="14579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275272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Mr. Ortberg served in the role of Chairman, President and CEO of Rockwell Collins until UTC’s acquisition of the company on November 26, 2018. Upon the completion of the acquisition, Mr. Ortberg became CEO of the combined Collins Aerospace business, and UTC and Mr. Ortberg entered into an agreement that provided for the following:</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0E93D8"/>
        </w:rPr>
        <w:t xml:space="preserve">Base Salary. </w:t>
      </w:r>
      <w:r>
        <w:rPr>
          <w:rFonts w:ascii="Arial" w:cs="Arial" w:eastAsia="Arial" w:hAnsi="Arial"/>
          <w:sz w:val="18"/>
          <w:szCs w:val="18"/>
          <w:color w:val="000000"/>
        </w:rPr>
        <w:t>Mr. Ortberg’s full-year base salary remained</w:t>
      </w:r>
      <w:r>
        <w:rPr>
          <w:rFonts w:ascii="Arial" w:cs="Arial" w:eastAsia="Arial" w:hAnsi="Arial"/>
          <w:sz w:val="18"/>
          <w:szCs w:val="18"/>
          <w:color w:val="0E93D8"/>
        </w:rPr>
        <w:t xml:space="preserve"> </w:t>
      </w:r>
      <w:r>
        <w:rPr>
          <w:rFonts w:ascii="Arial" w:cs="Arial" w:eastAsia="Arial" w:hAnsi="Arial"/>
          <w:sz w:val="18"/>
          <w:szCs w:val="18"/>
          <w:color w:val="000000"/>
        </w:rPr>
        <w:t>at its pre-acquisition level of $1,170,500 following the closing.</w:t>
      </w:r>
    </w:p>
    <w:p>
      <w:pPr>
        <w:spacing w:after="0" w:line="1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0E93D8"/>
        </w:rPr>
        <w:t xml:space="preserve">Annual Bonus. </w:t>
      </w:r>
      <w:r>
        <w:rPr>
          <w:rFonts w:ascii="Arial" w:cs="Arial" w:eastAsia="Arial" w:hAnsi="Arial"/>
          <w:sz w:val="18"/>
          <w:szCs w:val="18"/>
          <w:color w:val="000000"/>
        </w:rPr>
        <w:t>Mr. Ortberg’s target annual bonus was</w:t>
      </w:r>
      <w:r>
        <w:rPr>
          <w:rFonts w:ascii="Arial" w:cs="Arial" w:eastAsia="Arial" w:hAnsi="Arial"/>
          <w:sz w:val="18"/>
          <w:szCs w:val="18"/>
          <w:color w:val="0E93D8"/>
        </w:rPr>
        <w:t xml:space="preserve"> </w:t>
      </w:r>
      <w:r>
        <w:rPr>
          <w:rFonts w:ascii="Arial" w:cs="Arial" w:eastAsia="Arial" w:hAnsi="Arial"/>
          <w:sz w:val="18"/>
          <w:szCs w:val="18"/>
          <w:color w:val="000000"/>
        </w:rPr>
        <w:t>reduced from 150% to 125% of base salary following the acquisition. Since the acquisition of Rockwell Collins did not close until November 26, 2018, UTC elected to pay Mr. Ortberg a pro-rata portion of his target annual bonus ($140,300) for the period between the closing and December 31, 2018.</w:t>
      </w:r>
    </w:p>
    <w:p>
      <w:pPr>
        <w:spacing w:after="0" w:line="19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0E93D8"/>
        </w:rPr>
        <w:t xml:space="preserve">LTI. </w:t>
      </w:r>
      <w:r>
        <w:rPr>
          <w:rFonts w:ascii="Arial" w:cs="Arial" w:eastAsia="Arial" w:hAnsi="Arial"/>
          <w:sz w:val="18"/>
          <w:szCs w:val="18"/>
          <w:color w:val="000000"/>
        </w:rPr>
        <w:t>The value of Mr. Ortberg’s 2019 annual LTI grant was</w:t>
      </w:r>
      <w:r>
        <w:rPr>
          <w:rFonts w:ascii="Arial" w:cs="Arial" w:eastAsia="Arial" w:hAnsi="Arial"/>
          <w:sz w:val="18"/>
          <w:szCs w:val="18"/>
          <w:color w:val="0E93D8"/>
        </w:rPr>
        <w:t xml:space="preserve"> </w:t>
      </w:r>
      <w:r>
        <w:rPr>
          <w:rFonts w:ascii="Arial" w:cs="Arial" w:eastAsia="Arial" w:hAnsi="Arial"/>
          <w:sz w:val="18"/>
          <w:szCs w:val="18"/>
          <w:color w:val="000000"/>
        </w:rPr>
        <w:t>reduced to $6.0 million from his last Rockwell Collins LTI award of $7.3 million. As previously noted, due to differences in valuation methodologies, the grant date fair value of this award will be reported as $6.2 million in next year’s Summary Compensation Table.</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0E93D8"/>
        </w:rPr>
        <w:t xml:space="preserve">Other Compensation Elements. </w:t>
      </w:r>
      <w:r>
        <w:rPr>
          <w:rFonts w:ascii="Arial" w:cs="Arial" w:eastAsia="Arial" w:hAnsi="Arial"/>
          <w:sz w:val="16"/>
          <w:szCs w:val="16"/>
          <w:color w:val="000000"/>
        </w:rPr>
        <w:t>Under the terms of Mr.</w:t>
      </w:r>
      <w:r>
        <w:rPr>
          <w:rFonts w:ascii="Arial" w:cs="Arial" w:eastAsia="Arial" w:hAnsi="Arial"/>
          <w:sz w:val="16"/>
          <w:szCs w:val="16"/>
          <w:color w:val="0E93D8"/>
        </w:rPr>
        <w:t xml:space="preserve"> </w:t>
      </w:r>
      <w:r>
        <w:rPr>
          <w:rFonts w:ascii="Arial" w:cs="Arial" w:eastAsia="Arial" w:hAnsi="Arial"/>
          <w:sz w:val="16"/>
          <w:szCs w:val="16"/>
          <w:color w:val="000000"/>
        </w:rPr>
        <w:t>Ortberg’s Rockwell Collins change-in-control agreement, he had the right to terminate his employment with UTC for “good reason” within two years following the acquisition, and receive severance and benefit continuation. The Company, however, wanted to retain Mr. Ortberg and eliminate his incentive to terminate,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 w:right="1840"/>
        <w:spacing w:after="0" w:line="235" w:lineRule="auto"/>
        <w:rPr>
          <w:sz w:val="20"/>
          <w:szCs w:val="20"/>
          <w:color w:val="auto"/>
        </w:rPr>
      </w:pPr>
      <w:r>
        <w:rPr>
          <w:rFonts w:ascii="Arial" w:cs="Arial" w:eastAsia="Arial" w:hAnsi="Arial"/>
          <w:sz w:val="18"/>
          <w:szCs w:val="18"/>
          <w:color w:val="auto"/>
        </w:rPr>
        <w:t>and Mr. Ortberg wished to continue his employment with the Company following the acquisition. Accordingly, we reached an agreement whereby Mr. Ortberg waived his rights and benefits under his change-in-control agreement. In exchange, the Company agreed to grant Mr. Ortberg an RSU award valued at $9.875 million following the closing. Importantly, Mr. Ortberg’s agreement with UTC provides for certain post-termination restrictive covenants that protect UTC’s interests, including non-competition, customer and employee non-solicitation, non-disclosure, and intellectual property protections. In replacing a contingent change-in-control severance benefit with a stock-based retention award with important restrictive covenants, this compensation strategy serves the best interest of the Company.</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8"/>
          <w:szCs w:val="18"/>
          <w:color w:val="0E93D8"/>
        </w:rPr>
        <w:t>INDIVIDUAL PERFORMANCE HIGHLIGHTS</w:t>
      </w:r>
    </w:p>
    <w:p>
      <w:pPr>
        <w:spacing w:after="0" w:line="212" w:lineRule="exact"/>
        <w:rPr>
          <w:sz w:val="20"/>
          <w:szCs w:val="20"/>
          <w:color w:val="auto"/>
        </w:rPr>
      </w:pPr>
    </w:p>
    <w:p>
      <w:pPr>
        <w:ind w:left="270" w:right="1880" w:hanging="260"/>
        <w:spacing w:after="0" w:line="316" w:lineRule="auto"/>
        <w:tabs>
          <w:tab w:leader="none" w:pos="247" w:val="left"/>
        </w:tabs>
        <w:numPr>
          <w:ilvl w:val="0"/>
          <w:numId w:val="130"/>
        </w:numPr>
        <w:rPr>
          <w:rFonts w:ascii="Arial" w:cs="Arial" w:eastAsia="Arial" w:hAnsi="Arial"/>
          <w:sz w:val="16"/>
          <w:szCs w:val="16"/>
          <w:color w:val="FDB03F"/>
        </w:rPr>
      </w:pPr>
      <w:r>
        <w:rPr>
          <w:rFonts w:ascii="Arial" w:cs="Arial" w:eastAsia="Arial" w:hAnsi="Arial"/>
          <w:sz w:val="16"/>
          <w:szCs w:val="16"/>
          <w:color w:val="auto"/>
        </w:rPr>
        <w:t>During 2018, Mr. Ortberg effectively led Rockwell Collins to the successful closing of its merger with UTC.</w:t>
      </w:r>
    </w:p>
    <w:p>
      <w:pPr>
        <w:spacing w:after="0" w:line="42" w:lineRule="exact"/>
        <w:rPr>
          <w:rFonts w:ascii="Arial" w:cs="Arial" w:eastAsia="Arial" w:hAnsi="Arial"/>
          <w:sz w:val="16"/>
          <w:szCs w:val="16"/>
          <w:color w:val="FDB03F"/>
        </w:rPr>
      </w:pPr>
    </w:p>
    <w:p>
      <w:pPr>
        <w:ind w:left="270" w:right="1900" w:hanging="260"/>
        <w:spacing w:after="0" w:line="239" w:lineRule="auto"/>
        <w:tabs>
          <w:tab w:leader="none" w:pos="247" w:val="left"/>
        </w:tabs>
        <w:numPr>
          <w:ilvl w:val="0"/>
          <w:numId w:val="130"/>
        </w:numPr>
        <w:rPr>
          <w:rFonts w:ascii="Arial" w:cs="Arial" w:eastAsia="Arial" w:hAnsi="Arial"/>
          <w:sz w:val="17"/>
          <w:szCs w:val="17"/>
          <w:color w:val="FDB03F"/>
        </w:rPr>
      </w:pPr>
      <w:r>
        <w:rPr>
          <w:rFonts w:ascii="Arial" w:cs="Arial" w:eastAsia="Arial" w:hAnsi="Arial"/>
          <w:sz w:val="18"/>
          <w:szCs w:val="18"/>
          <w:color w:val="auto"/>
        </w:rPr>
        <w:t>Notwithstanding the challenges of the merger process, under Mr. Ortberg’s leadership, Rockwell Collins delivered solid operational and strategic results in 2018, positioning the new Collins Aerospace business for the future. Examples include:</w:t>
      </w:r>
    </w:p>
    <w:p>
      <w:pPr>
        <w:spacing w:after="0" w:line="103" w:lineRule="exact"/>
        <w:rPr>
          <w:rFonts w:ascii="Arial" w:cs="Arial" w:eastAsia="Arial" w:hAnsi="Arial"/>
          <w:sz w:val="17"/>
          <w:szCs w:val="17"/>
          <w:color w:val="FDB03F"/>
        </w:rPr>
      </w:pPr>
    </w:p>
    <w:p>
      <w:pPr>
        <w:ind w:left="550" w:right="1960" w:hanging="270"/>
        <w:spacing w:after="0" w:line="244" w:lineRule="auto"/>
        <w:tabs>
          <w:tab w:leader="none" w:pos="527" w:val="left"/>
        </w:tabs>
        <w:numPr>
          <w:ilvl w:val="1"/>
          <w:numId w:val="130"/>
        </w:numPr>
        <w:rPr>
          <w:rFonts w:ascii="Arial" w:cs="Arial" w:eastAsia="Arial" w:hAnsi="Arial"/>
          <w:sz w:val="17"/>
          <w:szCs w:val="17"/>
          <w:color w:val="FDB03F"/>
        </w:rPr>
      </w:pPr>
      <w:r>
        <w:rPr>
          <w:rFonts w:ascii="Arial" w:cs="Arial" w:eastAsia="Arial" w:hAnsi="Arial"/>
          <w:sz w:val="18"/>
          <w:szCs w:val="18"/>
          <w:color w:val="auto"/>
        </w:rPr>
        <w:t>Successful delivery of the OLED F-35 advanced helmet display system for safety of flight evaluation, an outstanding technical achievement.</w:t>
      </w:r>
    </w:p>
    <w:p>
      <w:pPr>
        <w:spacing w:after="0" w:line="97" w:lineRule="exact"/>
        <w:rPr>
          <w:rFonts w:ascii="Arial" w:cs="Arial" w:eastAsia="Arial" w:hAnsi="Arial"/>
          <w:sz w:val="17"/>
          <w:szCs w:val="17"/>
          <w:color w:val="FDB03F"/>
        </w:rPr>
      </w:pPr>
    </w:p>
    <w:p>
      <w:pPr>
        <w:ind w:left="550" w:right="1860" w:hanging="270"/>
        <w:spacing w:after="0" w:line="277" w:lineRule="auto"/>
        <w:tabs>
          <w:tab w:leader="none" w:pos="527" w:val="left"/>
        </w:tabs>
        <w:numPr>
          <w:ilvl w:val="1"/>
          <w:numId w:val="130"/>
        </w:numPr>
        <w:rPr>
          <w:rFonts w:ascii="Arial" w:cs="Arial" w:eastAsia="Arial" w:hAnsi="Arial"/>
          <w:sz w:val="16"/>
          <w:szCs w:val="16"/>
          <w:color w:val="FDB03F"/>
        </w:rPr>
      </w:pPr>
      <w:r>
        <w:rPr>
          <w:rFonts w:ascii="Arial" w:cs="Arial" w:eastAsia="Arial" w:hAnsi="Arial"/>
          <w:sz w:val="16"/>
          <w:szCs w:val="16"/>
          <w:color w:val="auto"/>
        </w:rPr>
        <w:t>Entry into service of the Flight Operations and Maintenance Exchanger (FOMAX) program, which positions Collins Aerospace as a leader in connected aviation with real-time secure data gathering and transmissions during all phases of flight.</w:t>
      </w:r>
    </w:p>
    <w:p>
      <w:pPr>
        <w:spacing w:after="0" w:line="72" w:lineRule="exact"/>
        <w:rPr>
          <w:rFonts w:ascii="Arial" w:cs="Arial" w:eastAsia="Arial" w:hAnsi="Arial"/>
          <w:sz w:val="16"/>
          <w:szCs w:val="16"/>
          <w:color w:val="FDB03F"/>
        </w:rPr>
      </w:pPr>
    </w:p>
    <w:p>
      <w:pPr>
        <w:ind w:left="510" w:hanging="230"/>
        <w:spacing w:after="0"/>
        <w:tabs>
          <w:tab w:leader="none" w:pos="510" w:val="left"/>
        </w:tabs>
        <w:numPr>
          <w:ilvl w:val="1"/>
          <w:numId w:val="130"/>
        </w:numPr>
        <w:rPr>
          <w:rFonts w:ascii="Arial" w:cs="Arial" w:eastAsia="Arial" w:hAnsi="Arial"/>
          <w:sz w:val="17"/>
          <w:szCs w:val="17"/>
          <w:color w:val="FDB03F"/>
        </w:rPr>
      </w:pPr>
      <w:r>
        <w:rPr>
          <w:rFonts w:ascii="Arial" w:cs="Arial" w:eastAsia="Arial" w:hAnsi="Arial"/>
          <w:sz w:val="18"/>
          <w:szCs w:val="18"/>
          <w:color w:val="auto"/>
        </w:rPr>
        <w:t>Meeting key milestones for the Boeing 777X.</w:t>
      </w:r>
    </w:p>
    <w:p>
      <w:pPr>
        <w:spacing w:after="0" w:line="117" w:lineRule="exact"/>
        <w:rPr>
          <w:rFonts w:ascii="Arial" w:cs="Arial" w:eastAsia="Arial" w:hAnsi="Arial"/>
          <w:sz w:val="17"/>
          <w:szCs w:val="17"/>
          <w:color w:val="FDB03F"/>
        </w:rPr>
      </w:pPr>
    </w:p>
    <w:p>
      <w:pPr>
        <w:ind w:left="510" w:hanging="230"/>
        <w:spacing w:after="0"/>
        <w:tabs>
          <w:tab w:leader="none" w:pos="510" w:val="left"/>
        </w:tabs>
        <w:numPr>
          <w:ilvl w:val="1"/>
          <w:numId w:val="130"/>
        </w:numPr>
        <w:rPr>
          <w:rFonts w:ascii="Arial" w:cs="Arial" w:eastAsia="Arial" w:hAnsi="Arial"/>
          <w:sz w:val="17"/>
          <w:szCs w:val="17"/>
          <w:color w:val="FDB03F"/>
        </w:rPr>
      </w:pPr>
      <w:r>
        <w:rPr>
          <w:rFonts w:ascii="Arial" w:cs="Arial" w:eastAsia="Arial" w:hAnsi="Arial"/>
          <w:sz w:val="18"/>
          <w:szCs w:val="18"/>
          <w:color w:val="auto"/>
        </w:rPr>
        <w:t>Exceeding cost and sales synergy goals for the</w:t>
      </w:r>
    </w:p>
    <w:p>
      <w:pPr>
        <w:spacing w:after="0" w:line="9" w:lineRule="exact"/>
        <w:rPr>
          <w:sz w:val="20"/>
          <w:szCs w:val="20"/>
          <w:color w:val="auto"/>
        </w:rPr>
      </w:pPr>
    </w:p>
    <w:p>
      <w:pPr>
        <w:ind w:left="550"/>
        <w:spacing w:after="0"/>
        <w:rPr>
          <w:sz w:val="20"/>
          <w:szCs w:val="20"/>
          <w:color w:val="auto"/>
        </w:rPr>
      </w:pPr>
      <w:r>
        <w:rPr>
          <w:rFonts w:ascii="Arial" w:cs="Arial" w:eastAsia="Arial" w:hAnsi="Arial"/>
          <w:sz w:val="18"/>
          <w:szCs w:val="18"/>
          <w:color w:val="auto"/>
        </w:rPr>
        <w:t>B/E Aerospace acquisition.</w:t>
      </w:r>
    </w:p>
    <w:p>
      <w:pPr>
        <w:spacing w:after="0" w:line="104" w:lineRule="exact"/>
        <w:rPr>
          <w:sz w:val="20"/>
          <w:szCs w:val="20"/>
          <w:color w:val="auto"/>
        </w:rPr>
      </w:pPr>
    </w:p>
    <w:p>
      <w:pPr>
        <w:ind w:left="550" w:right="2000" w:hanging="270"/>
        <w:spacing w:after="0" w:line="316" w:lineRule="auto"/>
        <w:tabs>
          <w:tab w:leader="none" w:pos="527" w:val="left"/>
        </w:tabs>
        <w:numPr>
          <w:ilvl w:val="1"/>
          <w:numId w:val="131"/>
        </w:numPr>
        <w:rPr>
          <w:rFonts w:ascii="Arial" w:cs="Arial" w:eastAsia="Arial" w:hAnsi="Arial"/>
          <w:sz w:val="16"/>
          <w:szCs w:val="16"/>
          <w:color w:val="FDB03F"/>
        </w:rPr>
      </w:pPr>
      <w:r>
        <w:rPr>
          <w:rFonts w:ascii="Arial" w:cs="Arial" w:eastAsia="Arial" w:hAnsi="Arial"/>
          <w:sz w:val="16"/>
          <w:szCs w:val="16"/>
          <w:color w:val="auto"/>
        </w:rPr>
        <w:t>Maintained outstanding employee engagement throughout the 15-month merger approval process.</w:t>
      </w:r>
    </w:p>
    <w:p>
      <w:pPr>
        <w:ind w:left="310" w:hanging="310"/>
        <w:spacing w:after="0"/>
        <w:tabs>
          <w:tab w:leader="none" w:pos="310" w:val="left"/>
        </w:tabs>
        <w:numPr>
          <w:ilvl w:val="0"/>
          <w:numId w:val="131"/>
        </w:numPr>
        <w:rPr>
          <w:rFonts w:ascii="Arial" w:cs="Arial" w:eastAsia="Arial" w:hAnsi="Arial"/>
          <w:sz w:val="22"/>
          <w:szCs w:val="22"/>
          <w:color w:val="auto"/>
          <w:vertAlign w:val="superscript"/>
        </w:rPr>
      </w:pPr>
      <w:r>
        <w:rPr>
          <w:rFonts w:ascii="Arial" w:cs="Arial" w:eastAsia="Arial" w:hAnsi="Arial"/>
          <w:sz w:val="14"/>
          <w:szCs w:val="14"/>
          <w:color w:val="auto"/>
        </w:rPr>
        <w:t>Includes Rockwell Collins years of service.</w:t>
      </w:r>
    </w:p>
    <w:p>
      <w:pPr>
        <w:spacing w:after="0" w:line="161" w:lineRule="exact"/>
        <w:rPr>
          <w:rFonts w:ascii="Arial" w:cs="Arial" w:eastAsia="Arial" w:hAnsi="Arial"/>
          <w:sz w:val="22"/>
          <w:szCs w:val="22"/>
          <w:color w:val="auto"/>
          <w:vertAlign w:val="superscript"/>
        </w:rPr>
      </w:pPr>
    </w:p>
    <w:p>
      <w:pPr>
        <w:ind w:left="270" w:right="1960" w:hanging="270"/>
        <w:spacing w:after="0" w:line="195" w:lineRule="auto"/>
        <w:tabs>
          <w:tab w:leader="none" w:pos="303" w:val="left"/>
        </w:tabs>
        <w:numPr>
          <w:ilvl w:val="0"/>
          <w:numId w:val="131"/>
        </w:numPr>
        <w:rPr>
          <w:rFonts w:ascii="Arial" w:cs="Arial" w:eastAsia="Arial" w:hAnsi="Arial"/>
          <w:sz w:val="22"/>
          <w:szCs w:val="22"/>
          <w:color w:val="auto"/>
          <w:vertAlign w:val="superscript"/>
        </w:rPr>
      </w:pPr>
      <w:r>
        <w:rPr>
          <w:rFonts w:ascii="Arial" w:cs="Arial" w:eastAsia="Arial" w:hAnsi="Arial"/>
          <w:sz w:val="14"/>
          <w:szCs w:val="14"/>
          <w:color w:val="auto"/>
        </w:rPr>
        <w:t>Reflects a prorated portion of base salary and annual bonus paid to Mr. Ortberg for the portion of the year he was a UTC employee.</w:t>
      </w:r>
    </w:p>
    <w:p>
      <w:pPr>
        <w:spacing w:after="0" w:line="200" w:lineRule="exact"/>
        <w:rPr>
          <w:sz w:val="20"/>
          <w:szCs w:val="20"/>
          <w:color w:val="auto"/>
        </w:rPr>
      </w:pPr>
    </w:p>
    <w:p>
      <w:pPr>
        <w:spacing w:after="0" w:line="275" w:lineRule="exact"/>
        <w:rPr>
          <w:sz w:val="20"/>
          <w:szCs w:val="20"/>
          <w:color w:val="auto"/>
        </w:rPr>
      </w:pPr>
    </w:p>
    <w:tbl>
      <w:tblPr>
        <w:tblLayout w:type="fixed"/>
        <w:tblInd w:w="250"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220980</wp:posOffset>
            </wp:positionV>
            <wp:extent cx="726757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520" w:space="390"/>
            <w:col w:w="651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1226185</wp:posOffset>
            </wp:positionV>
            <wp:extent cx="8890" cy="5754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575437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760"/>
        <w:spacing w:after="0" w:line="316" w:lineRule="auto"/>
        <w:rPr>
          <w:sz w:val="20"/>
          <w:szCs w:val="20"/>
          <w:color w:val="auto"/>
        </w:rPr>
      </w:pPr>
      <w:r>
        <w:rPr>
          <w:rFonts w:ascii="Arial" w:cs="Arial" w:eastAsia="Arial" w:hAnsi="Arial"/>
          <w:sz w:val="16"/>
          <w:szCs w:val="16"/>
          <w:color w:val="0E93D8"/>
        </w:rPr>
        <w:t xml:space="preserve">TOTAL DIRECT COMPENSATION </w:t>
      </w:r>
      <w:r>
        <w:rPr>
          <w:rFonts w:ascii="Arial" w:cs="Arial" w:eastAsia="Arial" w:hAnsi="Arial"/>
          <w:sz w:val="16"/>
          <w:szCs w:val="16"/>
          <w:color w:val="FDB03F"/>
        </w:rPr>
        <w:t>$5.88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718435" cy="14065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1843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0E93D8"/>
        </w:rPr>
        <w:t xml:space="preserve">Base Salary. </w:t>
      </w:r>
      <w:r>
        <w:rPr>
          <w:rFonts w:ascii="Arial" w:cs="Arial" w:eastAsia="Arial" w:hAnsi="Arial"/>
          <w:sz w:val="18"/>
          <w:szCs w:val="18"/>
          <w:color w:val="000000"/>
        </w:rPr>
        <w:t>Ms. Marks received a base salary increase</w:t>
      </w:r>
      <w:r>
        <w:rPr>
          <w:rFonts w:ascii="Arial" w:cs="Arial" w:eastAsia="Arial" w:hAnsi="Arial"/>
          <w:sz w:val="18"/>
          <w:szCs w:val="18"/>
          <w:color w:val="0E93D8"/>
        </w:rPr>
        <w:t xml:space="preserve"> </w:t>
      </w:r>
      <w:r>
        <w:rPr>
          <w:rFonts w:ascii="Arial" w:cs="Arial" w:eastAsia="Arial" w:hAnsi="Arial"/>
          <w:sz w:val="18"/>
          <w:szCs w:val="18"/>
          <w:color w:val="000000"/>
        </w:rPr>
        <w:t>from $850,000 to $875,000 in 2018. This increase reflected the Committee’s favorable assessment of her performance in her short tenure as President of Otis. Ms. Marks’ base salary is now closely aligned with our CPG market median.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0E93D8"/>
        </w:rPr>
        <w:t xml:space="preserve">Annual Bonus. </w:t>
      </w:r>
      <w:r>
        <w:rPr>
          <w:rFonts w:ascii="Arial" w:cs="Arial" w:eastAsia="Arial" w:hAnsi="Arial"/>
          <w:sz w:val="18"/>
          <w:szCs w:val="18"/>
          <w:color w:val="000000"/>
        </w:rPr>
        <w:t>The unadjusted UTC financial</w:t>
      </w:r>
    </w:p>
    <w:p>
      <w:pPr>
        <w:spacing w:after="0"/>
        <w:rPr>
          <w:sz w:val="20"/>
          <w:szCs w:val="20"/>
          <w:color w:val="auto"/>
        </w:rPr>
      </w:pPr>
      <w:r>
        <w:rPr>
          <w:rFonts w:ascii="Arial" w:cs="Arial" w:eastAsia="Arial" w:hAnsi="Arial"/>
          <w:sz w:val="16"/>
          <w:szCs w:val="16"/>
          <w:color w:val="auto"/>
        </w:rPr>
        <w:t>performance factor (129%, as discussed on page 43)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Otis factor (78%), resulted in a blended financial</w:t>
      </w:r>
    </w:p>
    <w:p>
      <w:pPr>
        <w:spacing w:after="0" w:line="234" w:lineRule="auto"/>
        <w:rPr>
          <w:sz w:val="20"/>
          <w:szCs w:val="20"/>
          <w:color w:val="auto"/>
        </w:rPr>
      </w:pPr>
      <w:r>
        <w:rPr>
          <w:rFonts w:ascii="Arial" w:cs="Arial" w:eastAsia="Arial" w:hAnsi="Arial"/>
          <w:sz w:val="18"/>
          <w:szCs w:val="18"/>
          <w:color w:val="auto"/>
        </w:rPr>
        <w:t>performance factor of 99% of target. The Committee</w:t>
      </w:r>
    </w:p>
    <w:p>
      <w:pPr>
        <w:spacing w:after="0" w:line="235" w:lineRule="auto"/>
        <w:rPr>
          <w:sz w:val="20"/>
          <w:szCs w:val="20"/>
          <w:color w:val="auto"/>
        </w:rPr>
      </w:pPr>
      <w:r>
        <w:rPr>
          <w:rFonts w:ascii="Arial" w:cs="Arial" w:eastAsia="Arial" w:hAnsi="Arial"/>
          <w:sz w:val="18"/>
          <w:szCs w:val="18"/>
          <w:color w:val="auto"/>
        </w:rPr>
        <w:t>subsequently used its discretion and reduced the Otis</w:t>
      </w:r>
    </w:p>
    <w:p>
      <w:pPr>
        <w:spacing w:after="0" w:line="235" w:lineRule="auto"/>
        <w:rPr>
          <w:sz w:val="20"/>
          <w:szCs w:val="20"/>
          <w:color w:val="auto"/>
        </w:rPr>
      </w:pPr>
      <w:r>
        <w:rPr>
          <w:rFonts w:ascii="Arial" w:cs="Arial" w:eastAsia="Arial" w:hAnsi="Arial"/>
          <w:sz w:val="18"/>
          <w:szCs w:val="18"/>
          <w:color w:val="auto"/>
        </w:rPr>
        <w:t>factor to 95% of target. Based on this factor, along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performance considerations noted here,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Committee awarded Ms. Marks an annual bonus of</w:t>
      </w:r>
    </w:p>
    <w:p>
      <w:pPr>
        <w:spacing w:after="0" w:line="234" w:lineRule="auto"/>
        <w:rPr>
          <w:sz w:val="20"/>
          <w:szCs w:val="20"/>
          <w:color w:val="auto"/>
        </w:rPr>
      </w:pPr>
      <w:r>
        <w:rPr>
          <w:rFonts w:ascii="Arial" w:cs="Arial" w:eastAsia="Arial" w:hAnsi="Arial"/>
          <w:sz w:val="18"/>
          <w:szCs w:val="18"/>
          <w:color w:val="auto"/>
        </w:rPr>
        <w:t>$900,000, an amount that is slightly above Otis’ blended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performance factor.</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0E93D8"/>
        </w:rPr>
        <w:t xml:space="preserve">LTI. </w:t>
      </w:r>
      <w:r>
        <w:rPr>
          <w:rFonts w:ascii="Arial" w:cs="Arial" w:eastAsia="Arial" w:hAnsi="Arial"/>
          <w:sz w:val="18"/>
          <w:szCs w:val="18"/>
          <w:color w:val="000000"/>
        </w:rPr>
        <w:t>In consideration of Ms. Marks’ strong 2018</w:t>
      </w:r>
      <w:r>
        <w:rPr>
          <w:rFonts w:ascii="Arial" w:cs="Arial" w:eastAsia="Arial" w:hAnsi="Arial"/>
          <w:sz w:val="18"/>
          <w:szCs w:val="18"/>
          <w:color w:val="0E93D8"/>
        </w:rPr>
        <w:t xml:space="preserve"> </w:t>
      </w:r>
      <w:r>
        <w:rPr>
          <w:rFonts w:ascii="Arial" w:cs="Arial" w:eastAsia="Arial" w:hAnsi="Arial"/>
          <w:sz w:val="18"/>
          <w:szCs w:val="18"/>
          <w:color w:val="000000"/>
        </w:rPr>
        <w:t>performance, the Committee approved a $4.1 million 2019 LTI award, an amount above the CPG market median for her role. As previously noted, due to differences in valuation methodologies, the grant date fair value of this award will be reported as $4.2 million in next year’s Summary Compensation Table.</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0E93D8"/>
        </w:rPr>
        <w:t xml:space="preserve">Other Compensation Elements. </w:t>
      </w:r>
      <w:r>
        <w:rPr>
          <w:rFonts w:ascii="Arial" w:cs="Arial" w:eastAsia="Arial" w:hAnsi="Arial"/>
          <w:sz w:val="18"/>
          <w:szCs w:val="18"/>
          <w:color w:val="000000"/>
        </w:rPr>
        <w:t>Ms. Marks joined UTC in</w:t>
      </w:r>
      <w:r>
        <w:rPr>
          <w:rFonts w:ascii="Arial" w:cs="Arial" w:eastAsia="Arial" w:hAnsi="Arial"/>
          <w:sz w:val="18"/>
          <w:szCs w:val="18"/>
          <w:color w:val="0E93D8"/>
        </w:rPr>
        <w:t xml:space="preserve"> </w:t>
      </w:r>
      <w:r>
        <w:rPr>
          <w:rFonts w:ascii="Arial" w:cs="Arial" w:eastAsia="Arial" w:hAnsi="Arial"/>
          <w:sz w:val="18"/>
          <w:szCs w:val="18"/>
          <w:color w:val="000000"/>
        </w:rPr>
        <w:t>late 2017 as President of Otis. In early 2018, UTC paid Ms. Marks a one-time $500,000 cash sign-on bonus to offset compensation she forfeited with her former employer.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0E93D8"/>
        </w:rPr>
        <w:t>INDIVIDUAL PERFORMANCE HIGHLIGHTS</w:t>
      </w:r>
    </w:p>
    <w:p>
      <w:pPr>
        <w:spacing w:after="0" w:line="117" w:lineRule="exact"/>
        <w:rPr>
          <w:sz w:val="20"/>
          <w:szCs w:val="20"/>
          <w:color w:val="auto"/>
        </w:rPr>
      </w:pPr>
    </w:p>
    <w:p>
      <w:pPr>
        <w:ind w:left="260" w:right="779" w:hanging="254"/>
        <w:spacing w:after="0" w:line="281" w:lineRule="auto"/>
        <w:tabs>
          <w:tab w:leader="none" w:pos="237" w:val="left"/>
        </w:tabs>
        <w:numPr>
          <w:ilvl w:val="0"/>
          <w:numId w:val="132"/>
        </w:numPr>
        <w:rPr>
          <w:rFonts w:ascii="Arial" w:cs="Arial" w:eastAsia="Arial" w:hAnsi="Arial"/>
          <w:sz w:val="16"/>
          <w:szCs w:val="16"/>
          <w:color w:val="FDB03F"/>
        </w:rPr>
      </w:pPr>
      <w:r>
        <w:rPr>
          <w:rFonts w:ascii="Arial" w:cs="Arial" w:eastAsia="Arial" w:hAnsi="Arial"/>
          <w:sz w:val="16"/>
          <w:szCs w:val="16"/>
          <w:color w:val="auto"/>
        </w:rPr>
        <w:t>Leading Otis’ significant efforts to digitalize the entire business, including the 2018 launch of the Otis ONE digital platform, which collects real-time performance data to help predict and prevent equipment shutdowns.</w:t>
      </w:r>
    </w:p>
    <w:p>
      <w:pPr>
        <w:spacing w:after="0" w:line="70" w:lineRule="exact"/>
        <w:rPr>
          <w:rFonts w:ascii="Arial" w:cs="Arial" w:eastAsia="Arial" w:hAnsi="Arial"/>
          <w:sz w:val="16"/>
          <w:szCs w:val="16"/>
          <w:color w:val="FDB03F"/>
        </w:rPr>
      </w:pPr>
    </w:p>
    <w:p>
      <w:pPr>
        <w:ind w:left="260" w:right="839" w:hanging="254"/>
        <w:spacing w:after="0" w:line="255" w:lineRule="auto"/>
        <w:tabs>
          <w:tab w:leader="none" w:pos="237" w:val="left"/>
        </w:tabs>
        <w:numPr>
          <w:ilvl w:val="0"/>
          <w:numId w:val="132"/>
        </w:numPr>
        <w:rPr>
          <w:rFonts w:ascii="Arial" w:cs="Arial" w:eastAsia="Arial" w:hAnsi="Arial"/>
          <w:sz w:val="17"/>
          <w:szCs w:val="17"/>
          <w:color w:val="FDB03F"/>
        </w:rPr>
      </w:pPr>
      <w:r>
        <w:rPr>
          <w:rFonts w:ascii="Arial" w:cs="Arial" w:eastAsia="Arial" w:hAnsi="Arial"/>
          <w:sz w:val="18"/>
          <w:szCs w:val="18"/>
          <w:color w:val="auto"/>
        </w:rPr>
        <w:t>Major contract wins for some of the world’s largest and most complex projects, including:</w:t>
      </w:r>
    </w:p>
    <w:p>
      <w:pPr>
        <w:spacing w:after="0" w:line="86" w:lineRule="exact"/>
        <w:rPr>
          <w:rFonts w:ascii="Arial" w:cs="Arial" w:eastAsia="Arial" w:hAnsi="Arial"/>
          <w:sz w:val="17"/>
          <w:szCs w:val="17"/>
          <w:color w:val="FDB03F"/>
        </w:rPr>
      </w:pPr>
    </w:p>
    <w:p>
      <w:pPr>
        <w:ind w:left="540" w:right="819" w:hanging="264"/>
        <w:spacing w:after="0" w:line="290" w:lineRule="auto"/>
        <w:tabs>
          <w:tab w:leader="none" w:pos="517" w:val="left"/>
        </w:tabs>
        <w:numPr>
          <w:ilvl w:val="1"/>
          <w:numId w:val="132"/>
        </w:numPr>
        <w:rPr>
          <w:rFonts w:ascii="Arial" w:cs="Arial" w:eastAsia="Arial" w:hAnsi="Arial"/>
          <w:sz w:val="16"/>
          <w:szCs w:val="16"/>
          <w:color w:val="FDB03F"/>
        </w:rPr>
      </w:pPr>
      <w:r>
        <w:rPr>
          <w:rFonts w:ascii="Arial" w:cs="Arial" w:eastAsia="Arial" w:hAnsi="Arial"/>
          <w:sz w:val="16"/>
          <w:szCs w:val="16"/>
          <w:color w:val="auto"/>
        </w:rPr>
        <w:t>Installation of 171 escalators and moving walkways for SNCF French Rail, which includes a 15-year maintenance contract and “mid-life” renovations.</w:t>
      </w:r>
    </w:p>
    <w:p>
      <w:pPr>
        <w:spacing w:after="0" w:line="62" w:lineRule="exact"/>
        <w:rPr>
          <w:rFonts w:ascii="Arial" w:cs="Arial" w:eastAsia="Arial" w:hAnsi="Arial"/>
          <w:sz w:val="16"/>
          <w:szCs w:val="16"/>
          <w:color w:val="FDB03F"/>
        </w:rPr>
      </w:pPr>
    </w:p>
    <w:p>
      <w:pPr>
        <w:ind w:left="540" w:right="939" w:hanging="264"/>
        <w:spacing w:after="0" w:line="316" w:lineRule="auto"/>
        <w:tabs>
          <w:tab w:leader="none" w:pos="517" w:val="left"/>
        </w:tabs>
        <w:numPr>
          <w:ilvl w:val="1"/>
          <w:numId w:val="132"/>
        </w:numPr>
        <w:rPr>
          <w:rFonts w:ascii="Arial" w:cs="Arial" w:eastAsia="Arial" w:hAnsi="Arial"/>
          <w:sz w:val="16"/>
          <w:szCs w:val="16"/>
          <w:color w:val="FDB03F"/>
        </w:rPr>
      </w:pPr>
      <w:r>
        <w:rPr>
          <w:rFonts w:ascii="Arial" w:cs="Arial" w:eastAsia="Arial" w:hAnsi="Arial"/>
          <w:sz w:val="16"/>
          <w:szCs w:val="16"/>
          <w:color w:val="auto"/>
        </w:rPr>
        <w:t>More than 200 units to be installed in the new Resorts World Las Vegas entertainment complex.</w:t>
      </w:r>
    </w:p>
    <w:p>
      <w:pPr>
        <w:spacing w:after="0" w:line="42" w:lineRule="exact"/>
        <w:rPr>
          <w:rFonts w:ascii="Arial" w:cs="Arial" w:eastAsia="Arial" w:hAnsi="Arial"/>
          <w:sz w:val="16"/>
          <w:szCs w:val="16"/>
          <w:color w:val="FDB03F"/>
        </w:rPr>
      </w:pPr>
    </w:p>
    <w:p>
      <w:pPr>
        <w:ind w:left="540" w:right="1139" w:hanging="264"/>
        <w:spacing w:after="0" w:line="255" w:lineRule="auto"/>
        <w:tabs>
          <w:tab w:leader="none" w:pos="517" w:val="left"/>
        </w:tabs>
        <w:numPr>
          <w:ilvl w:val="1"/>
          <w:numId w:val="132"/>
        </w:numPr>
        <w:rPr>
          <w:rFonts w:ascii="Arial" w:cs="Arial" w:eastAsia="Arial" w:hAnsi="Arial"/>
          <w:sz w:val="17"/>
          <w:szCs w:val="17"/>
          <w:color w:val="FDB03F"/>
        </w:rPr>
      </w:pPr>
      <w:r>
        <w:rPr>
          <w:rFonts w:ascii="Arial" w:cs="Arial" w:eastAsia="Arial" w:hAnsi="Arial"/>
          <w:sz w:val="18"/>
          <w:szCs w:val="18"/>
          <w:color w:val="auto"/>
        </w:rPr>
        <w:t>More than 2,500 units for metro, rail and airport projects in 11 cities across China.</w:t>
      </w:r>
    </w:p>
    <w:p>
      <w:pPr>
        <w:spacing w:after="0" w:line="86" w:lineRule="exact"/>
        <w:rPr>
          <w:rFonts w:ascii="Arial" w:cs="Arial" w:eastAsia="Arial" w:hAnsi="Arial"/>
          <w:sz w:val="17"/>
          <w:szCs w:val="17"/>
          <w:color w:val="FDB03F"/>
        </w:rPr>
      </w:pPr>
    </w:p>
    <w:p>
      <w:pPr>
        <w:ind w:left="540" w:right="659" w:hanging="264"/>
        <w:spacing w:after="0" w:line="244" w:lineRule="auto"/>
        <w:tabs>
          <w:tab w:leader="none" w:pos="517" w:val="left"/>
        </w:tabs>
        <w:numPr>
          <w:ilvl w:val="1"/>
          <w:numId w:val="132"/>
        </w:numPr>
        <w:rPr>
          <w:rFonts w:ascii="Arial" w:cs="Arial" w:eastAsia="Arial" w:hAnsi="Arial"/>
          <w:sz w:val="17"/>
          <w:szCs w:val="17"/>
          <w:color w:val="FDB03F"/>
        </w:rPr>
      </w:pPr>
      <w:r>
        <w:rPr>
          <w:rFonts w:ascii="Arial" w:cs="Arial" w:eastAsia="Arial" w:hAnsi="Arial"/>
          <w:sz w:val="18"/>
          <w:szCs w:val="18"/>
          <w:color w:val="auto"/>
        </w:rPr>
        <w:t>Selected to provide nine super double-deck elevators for the iconic Haikou Twin Towers project on Hainan Island off the coast of southern China.</w:t>
      </w:r>
    </w:p>
    <w:p>
      <w:pPr>
        <w:spacing w:after="0" w:line="97" w:lineRule="exact"/>
        <w:rPr>
          <w:rFonts w:ascii="Arial" w:cs="Arial" w:eastAsia="Arial" w:hAnsi="Arial"/>
          <w:sz w:val="17"/>
          <w:szCs w:val="17"/>
          <w:color w:val="FDB03F"/>
        </w:rPr>
      </w:pPr>
    </w:p>
    <w:p>
      <w:pPr>
        <w:ind w:left="260" w:right="859" w:hanging="254"/>
        <w:spacing w:after="0" w:line="255" w:lineRule="auto"/>
        <w:tabs>
          <w:tab w:leader="none" w:pos="237" w:val="left"/>
        </w:tabs>
        <w:numPr>
          <w:ilvl w:val="0"/>
          <w:numId w:val="132"/>
        </w:numPr>
        <w:rPr>
          <w:rFonts w:ascii="Arial" w:cs="Arial" w:eastAsia="Arial" w:hAnsi="Arial"/>
          <w:sz w:val="17"/>
          <w:szCs w:val="17"/>
          <w:color w:val="FDB03F"/>
        </w:rPr>
      </w:pPr>
      <w:r>
        <w:rPr>
          <w:rFonts w:ascii="Arial" w:cs="Arial" w:eastAsia="Arial" w:hAnsi="Arial"/>
          <w:sz w:val="18"/>
          <w:szCs w:val="18"/>
          <w:color w:val="auto"/>
        </w:rPr>
        <w:t>Exceeded 2 million units under maintenance contracts for the first time in Otis’ history.</w:t>
      </w:r>
    </w:p>
    <w:p>
      <w:pPr>
        <w:spacing w:after="0" w:line="4532" w:lineRule="exact"/>
        <w:rPr>
          <w:sz w:val="20"/>
          <w:szCs w:val="20"/>
          <w:color w:val="auto"/>
        </w:rPr>
      </w:pPr>
    </w:p>
    <w:p>
      <w:pPr>
        <w:sectPr>
          <w:pgSz w:w="11900" w:h="16838" w:orient="portrait"/>
          <w:cols w:equalWidth="0" w:num="2">
            <w:col w:w="4480" w:space="420"/>
            <w:col w:w="5319"/>
          </w:cols>
          <w:pgMar w:left="240" w:top="121" w:right="1440" w:bottom="1440" w:gutter="0" w:footer="0" w:header="0"/>
          <w:type w:val="continuous"/>
        </w:sectPr>
      </w:pPr>
    </w:p>
    <w:p>
      <w:pPr>
        <w:spacing w:after="0" w:line="53" w:lineRule="exact"/>
        <w:rPr>
          <w:sz w:val="20"/>
          <w:szCs w:val="20"/>
          <w:color w:val="auto"/>
        </w:rPr>
      </w:pPr>
    </w:p>
    <w:p>
      <w:pPr>
        <w:ind w:left="880" w:hanging="628"/>
        <w:spacing w:after="0"/>
        <w:tabs>
          <w:tab w:leader="none" w:pos="880" w:val="left"/>
        </w:tabs>
        <w:numPr>
          <w:ilvl w:val="0"/>
          <w:numId w:val="133"/>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jc w:val="right"/>
        <w:ind w:righ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089015" cy="71862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89015" cy="71862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920"/>
        <w:spacing w:after="0" w:line="299" w:lineRule="auto"/>
        <w:rPr>
          <w:sz w:val="20"/>
          <w:szCs w:val="20"/>
          <w:color w:val="auto"/>
        </w:rPr>
      </w:pPr>
      <w:r>
        <w:rPr>
          <w:rFonts w:ascii="Arial" w:cs="Arial" w:eastAsia="Arial" w:hAnsi="Arial"/>
          <w:sz w:val="16"/>
          <w:szCs w:val="16"/>
          <w:color w:val="0E93D8"/>
        </w:rPr>
        <w:t xml:space="preserve">TOTAL DIRECT COMPENSATION </w:t>
      </w:r>
      <w:r>
        <w:rPr>
          <w:rFonts w:ascii="Arial" w:cs="Arial" w:eastAsia="Arial" w:hAnsi="Arial"/>
          <w:sz w:val="16"/>
          <w:szCs w:val="16"/>
          <w:color w:val="FDB03F"/>
        </w:rPr>
        <w:t>$6.30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41600" cy="13550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000000"/>
                        </a:clrFrom>
                        <a:clrTo>
                          <a:srgbClr val="000000">
                            <a:alpha val="0"/>
                          </a:srgbClr>
                        </a:clrTo>
                      </a:clrChange>
                      <a:extLst>
                        <a:ext uri="{28A0092B-C50C-407E-A947-70E740481C1C}"/>
                      </a:extLst>
                    </a:blip>
                    <a:srcRect/>
                    <a:stretch>
                      <a:fillRect/>
                    </a:stretch>
                  </pic:blipFill>
                  <pic:spPr bwMode="auto">
                    <a:xfrm>
                      <a:off x="0" y="0"/>
                      <a:ext cx="2641600" cy="1355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2641600" cy="13550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264160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Mr. Gitlin served in the role of President, UTC Aerospace Systems (“UTAS”), until the completion of the Rockwell Collins acquisition on November 26, 2018, at which point he transitioned to the role of President &amp; Chief Operating Officer of the combined Collins Aerospace business. Since Mr. Gitlin led the UTAS business for most of the year, the Committee evaluated his performance relative to the performance of the pre-merger UTAS organization.</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0E93D8"/>
        </w:rPr>
        <w:t xml:space="preserve">Base Salary. </w:t>
      </w:r>
      <w:r>
        <w:rPr>
          <w:rFonts w:ascii="Arial" w:cs="Arial" w:eastAsia="Arial" w:hAnsi="Arial"/>
          <w:sz w:val="18"/>
          <w:szCs w:val="18"/>
          <w:color w:val="000000"/>
        </w:rPr>
        <w:t>Mr. Gitlin’s base salary remained at $900,000</w:t>
      </w:r>
      <w:r>
        <w:rPr>
          <w:rFonts w:ascii="Arial" w:cs="Arial" w:eastAsia="Arial" w:hAnsi="Arial"/>
          <w:sz w:val="18"/>
          <w:szCs w:val="18"/>
          <w:color w:val="0E93D8"/>
        </w:rPr>
        <w:t xml:space="preserve"> </w:t>
      </w:r>
      <w:r>
        <w:rPr>
          <w:rFonts w:ascii="Arial" w:cs="Arial" w:eastAsia="Arial" w:hAnsi="Arial"/>
          <w:sz w:val="18"/>
          <w:szCs w:val="18"/>
          <w:color w:val="000000"/>
        </w:rPr>
        <w:t>for 2018, an amount that is closely aligned with the CPG market median for his role.</w:t>
      </w:r>
    </w:p>
    <w:p>
      <w:pPr>
        <w:spacing w:after="0" w:line="20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0E93D8"/>
        </w:rPr>
        <w:t xml:space="preserve">Annual Bonus. </w:t>
      </w:r>
      <w:r>
        <w:rPr>
          <w:rFonts w:ascii="Arial" w:cs="Arial" w:eastAsia="Arial" w:hAnsi="Arial"/>
          <w:sz w:val="16"/>
          <w:szCs w:val="16"/>
          <w:color w:val="000000"/>
        </w:rPr>
        <w:t>The unadjusted UTC financial performance</w:t>
      </w:r>
      <w:r>
        <w:rPr>
          <w:rFonts w:ascii="Arial" w:cs="Arial" w:eastAsia="Arial" w:hAnsi="Arial"/>
          <w:sz w:val="16"/>
          <w:szCs w:val="16"/>
          <w:color w:val="0E93D8"/>
        </w:rPr>
        <w:t xml:space="preserve"> </w:t>
      </w:r>
      <w:r>
        <w:rPr>
          <w:rFonts w:ascii="Arial" w:cs="Arial" w:eastAsia="Arial" w:hAnsi="Arial"/>
          <w:sz w:val="16"/>
          <w:szCs w:val="16"/>
          <w:color w:val="000000"/>
        </w:rPr>
        <w:t>factor (129%, as discussed on page 43) and the UTAS factor (111%) resulted in a blended financial performance factor of 118% of target. The Committee subsequently adjusted the UTAS factor to 130% in recognition of the successful closing of the Rockwell Collins acquisition and the continued integration of the two businesses. Based on these results, along with the individual performance considerations noted here, the Committee awarded Mr. Gitlin an annual bonus of $1.3 million, an amount moderately above UTAS’ blended financial performance factor.</w:t>
      </w:r>
    </w:p>
    <w:p>
      <w:pPr>
        <w:spacing w:after="0" w:line="396" w:lineRule="exact"/>
        <w:rPr>
          <w:sz w:val="20"/>
          <w:szCs w:val="20"/>
          <w:color w:val="auto"/>
        </w:rPr>
      </w:pPr>
    </w:p>
    <w:p>
      <w:pPr>
        <w:spacing w:after="0" w:line="236" w:lineRule="auto"/>
        <w:rPr>
          <w:sz w:val="20"/>
          <w:szCs w:val="20"/>
          <w:color w:val="auto"/>
        </w:rPr>
      </w:pPr>
      <w:r>
        <w:rPr>
          <w:rFonts w:ascii="Arial" w:cs="Arial" w:eastAsia="Arial" w:hAnsi="Arial"/>
          <w:sz w:val="18"/>
          <w:szCs w:val="18"/>
          <w:color w:val="0E93D8"/>
        </w:rPr>
        <w:t xml:space="preserve">LTI. </w:t>
      </w:r>
      <w:r>
        <w:rPr>
          <w:rFonts w:ascii="Arial" w:cs="Arial" w:eastAsia="Arial" w:hAnsi="Arial"/>
          <w:sz w:val="18"/>
          <w:szCs w:val="18"/>
          <w:color w:val="000000"/>
        </w:rPr>
        <w:t>In consideration of Mr. Gitlin’s strong 2018</w:t>
      </w:r>
      <w:r>
        <w:rPr>
          <w:rFonts w:ascii="Arial" w:cs="Arial" w:eastAsia="Arial" w:hAnsi="Arial"/>
          <w:sz w:val="18"/>
          <w:szCs w:val="18"/>
          <w:color w:val="0E93D8"/>
        </w:rPr>
        <w:t xml:space="preserve"> </w:t>
      </w:r>
      <w:r>
        <w:rPr>
          <w:rFonts w:ascii="Arial" w:cs="Arial" w:eastAsia="Arial" w:hAnsi="Arial"/>
          <w:sz w:val="18"/>
          <w:szCs w:val="18"/>
          <w:color w:val="000000"/>
        </w:rPr>
        <w:t>performance, the Committee approved a $4.1 million 2019 LTI award, an amount above the CPG market median for his role. As previously noted, due to differences in valuation methodologies, the grant date fair value of this award will be reported as $4.2 million in next year’s 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0E93D8"/>
        </w:rPr>
        <w:t>INDIVIDUAL PERFORMANCE HIGHLIGHTS</w:t>
      </w:r>
    </w:p>
    <w:p>
      <w:pPr>
        <w:spacing w:after="0" w:line="212" w:lineRule="exact"/>
        <w:rPr>
          <w:sz w:val="20"/>
          <w:szCs w:val="20"/>
          <w:color w:val="auto"/>
        </w:rPr>
      </w:pPr>
    </w:p>
    <w:p>
      <w:pPr>
        <w:ind w:left="280" w:right="1940" w:hanging="267"/>
        <w:spacing w:after="0" w:line="244" w:lineRule="auto"/>
        <w:tabs>
          <w:tab w:leader="none" w:pos="257" w:val="left"/>
        </w:tabs>
        <w:numPr>
          <w:ilvl w:val="0"/>
          <w:numId w:val="134"/>
        </w:numPr>
        <w:rPr>
          <w:rFonts w:ascii="Arial" w:cs="Arial" w:eastAsia="Arial" w:hAnsi="Arial"/>
          <w:sz w:val="17"/>
          <w:szCs w:val="17"/>
          <w:color w:val="FDB03F"/>
        </w:rPr>
      </w:pPr>
      <w:r>
        <w:rPr>
          <w:rFonts w:ascii="Arial" w:cs="Arial" w:eastAsia="Arial" w:hAnsi="Arial"/>
          <w:sz w:val="18"/>
          <w:szCs w:val="18"/>
          <w:color w:val="auto"/>
        </w:rPr>
        <w:t>Successful closing of the Rockwell Collins acquisition and his continued efforts in support of the integration of the merged Collins Aerospace business.</w:t>
      </w:r>
    </w:p>
    <w:p>
      <w:pPr>
        <w:spacing w:after="0" w:line="97" w:lineRule="exact"/>
        <w:rPr>
          <w:rFonts w:ascii="Arial" w:cs="Arial" w:eastAsia="Arial" w:hAnsi="Arial"/>
          <w:sz w:val="17"/>
          <w:szCs w:val="17"/>
          <w:color w:val="FDB03F"/>
        </w:rPr>
      </w:pPr>
    </w:p>
    <w:p>
      <w:pPr>
        <w:ind w:left="280" w:right="1980" w:hanging="267"/>
        <w:spacing w:after="0" w:line="239" w:lineRule="auto"/>
        <w:tabs>
          <w:tab w:leader="none" w:pos="257" w:val="left"/>
        </w:tabs>
        <w:numPr>
          <w:ilvl w:val="0"/>
          <w:numId w:val="134"/>
        </w:numPr>
        <w:rPr>
          <w:rFonts w:ascii="Arial" w:cs="Arial" w:eastAsia="Arial" w:hAnsi="Arial"/>
          <w:sz w:val="17"/>
          <w:szCs w:val="17"/>
          <w:color w:val="FDB03F"/>
        </w:rPr>
      </w:pPr>
      <w:r>
        <w:rPr>
          <w:rFonts w:ascii="Arial" w:cs="Arial" w:eastAsia="Arial" w:hAnsi="Arial"/>
          <w:sz w:val="18"/>
          <w:szCs w:val="18"/>
          <w:color w:val="auto"/>
        </w:rPr>
        <w:t>Met or exceeded all key financial and operational goals for the year, notwithstanding the significant additional challenges associated with the closing of the acquisition of Rockwell Collins and the ongoing integration process.</w:t>
      </w:r>
    </w:p>
    <w:p>
      <w:pPr>
        <w:spacing w:after="0" w:line="103" w:lineRule="exact"/>
        <w:rPr>
          <w:rFonts w:ascii="Arial" w:cs="Arial" w:eastAsia="Arial" w:hAnsi="Arial"/>
          <w:sz w:val="17"/>
          <w:szCs w:val="17"/>
          <w:color w:val="FDB03F"/>
        </w:rPr>
      </w:pPr>
    </w:p>
    <w:p>
      <w:pPr>
        <w:ind w:left="280" w:right="2280" w:hanging="267"/>
        <w:spacing w:after="0" w:line="255" w:lineRule="auto"/>
        <w:tabs>
          <w:tab w:leader="none" w:pos="257" w:val="left"/>
        </w:tabs>
        <w:numPr>
          <w:ilvl w:val="0"/>
          <w:numId w:val="134"/>
        </w:numPr>
        <w:rPr>
          <w:rFonts w:ascii="Arial" w:cs="Arial" w:eastAsia="Arial" w:hAnsi="Arial"/>
          <w:sz w:val="17"/>
          <w:szCs w:val="17"/>
          <w:color w:val="FDB03F"/>
        </w:rPr>
      </w:pPr>
      <w:r>
        <w:rPr>
          <w:rFonts w:ascii="Arial" w:cs="Arial" w:eastAsia="Arial" w:hAnsi="Arial"/>
          <w:sz w:val="18"/>
          <w:szCs w:val="18"/>
          <w:color w:val="auto"/>
        </w:rPr>
        <w:t>Leadership in driving substantial Collins Aerospace accomplishments, including:</w:t>
      </w:r>
    </w:p>
    <w:p>
      <w:pPr>
        <w:spacing w:after="0" w:line="86" w:lineRule="exact"/>
        <w:rPr>
          <w:rFonts w:ascii="Arial" w:cs="Arial" w:eastAsia="Arial" w:hAnsi="Arial"/>
          <w:sz w:val="17"/>
          <w:szCs w:val="17"/>
          <w:color w:val="FDB03F"/>
        </w:rPr>
      </w:pPr>
    </w:p>
    <w:p>
      <w:pPr>
        <w:ind w:left="540" w:right="1920" w:hanging="257"/>
        <w:spacing w:after="0" w:line="241" w:lineRule="auto"/>
        <w:tabs>
          <w:tab w:leader="none" w:pos="517" w:val="left"/>
        </w:tabs>
        <w:numPr>
          <w:ilvl w:val="1"/>
          <w:numId w:val="134"/>
        </w:numPr>
        <w:rPr>
          <w:rFonts w:ascii="Arial" w:cs="Arial" w:eastAsia="Arial" w:hAnsi="Arial"/>
          <w:sz w:val="17"/>
          <w:szCs w:val="17"/>
          <w:color w:val="FDB03F"/>
        </w:rPr>
      </w:pPr>
      <w:r>
        <w:rPr>
          <w:rFonts w:ascii="Arial" w:cs="Arial" w:eastAsia="Arial" w:hAnsi="Arial"/>
          <w:sz w:val="18"/>
          <w:szCs w:val="18"/>
          <w:color w:val="auto"/>
        </w:rPr>
        <w:t>Selection by Dassault Aviation to furnish an advanced nacelle system for its Falcon 6X business jet, providing for quieter and more fuel-efficient operations.</w:t>
      </w:r>
    </w:p>
    <w:p>
      <w:pPr>
        <w:spacing w:after="0" w:line="100" w:lineRule="exact"/>
        <w:rPr>
          <w:rFonts w:ascii="Arial" w:cs="Arial" w:eastAsia="Arial" w:hAnsi="Arial"/>
          <w:sz w:val="17"/>
          <w:szCs w:val="17"/>
          <w:color w:val="FDB03F"/>
        </w:rPr>
      </w:pPr>
    </w:p>
    <w:p>
      <w:pPr>
        <w:ind w:left="540" w:right="2220" w:hanging="257"/>
        <w:spacing w:after="0" w:line="239" w:lineRule="auto"/>
        <w:tabs>
          <w:tab w:leader="none" w:pos="517" w:val="left"/>
        </w:tabs>
        <w:numPr>
          <w:ilvl w:val="1"/>
          <w:numId w:val="134"/>
        </w:numPr>
        <w:rPr>
          <w:rFonts w:ascii="Arial" w:cs="Arial" w:eastAsia="Arial" w:hAnsi="Arial"/>
          <w:sz w:val="17"/>
          <w:szCs w:val="17"/>
          <w:color w:val="FDB03F"/>
        </w:rPr>
      </w:pPr>
      <w:r>
        <w:rPr>
          <w:rFonts w:ascii="Arial" w:cs="Arial" w:eastAsia="Arial" w:hAnsi="Arial"/>
          <w:sz w:val="18"/>
          <w:szCs w:val="18"/>
          <w:color w:val="auto"/>
        </w:rPr>
        <w:t>Achieved significant wins for wheel and brake systems in 2018, with more than 35 airlines selecting Collins Aerospace’s equipment, which represent commitments totaling more than $500 million.</w:t>
      </w:r>
    </w:p>
    <w:p>
      <w:pPr>
        <w:spacing w:after="0" w:line="103" w:lineRule="exact"/>
        <w:rPr>
          <w:rFonts w:ascii="Arial" w:cs="Arial" w:eastAsia="Arial" w:hAnsi="Arial"/>
          <w:sz w:val="17"/>
          <w:szCs w:val="17"/>
          <w:color w:val="FDB03F"/>
        </w:rPr>
      </w:pPr>
    </w:p>
    <w:p>
      <w:pPr>
        <w:jc w:val="both"/>
        <w:ind w:left="540" w:right="1920" w:hanging="257"/>
        <w:spacing w:after="0" w:line="244" w:lineRule="auto"/>
        <w:tabs>
          <w:tab w:leader="none" w:pos="517" w:val="left"/>
        </w:tabs>
        <w:numPr>
          <w:ilvl w:val="1"/>
          <w:numId w:val="134"/>
        </w:numPr>
        <w:rPr>
          <w:rFonts w:ascii="Arial" w:cs="Arial" w:eastAsia="Arial" w:hAnsi="Arial"/>
          <w:sz w:val="17"/>
          <w:szCs w:val="17"/>
          <w:color w:val="FDB03F"/>
        </w:rPr>
      </w:pPr>
      <w:r>
        <w:rPr>
          <w:rFonts w:ascii="Arial" w:cs="Arial" w:eastAsia="Arial" w:hAnsi="Arial"/>
          <w:sz w:val="18"/>
          <w:szCs w:val="18"/>
          <w:color w:val="auto"/>
        </w:rPr>
        <w:t>Selection by Boeing to provide the ACES 5 ejection seat and fully integrated landing gear system for the U.S. Air Force’s new T-X jet trainer.</w:t>
      </w:r>
    </w:p>
    <w:p>
      <w:pPr>
        <w:spacing w:after="0" w:line="97" w:lineRule="exact"/>
        <w:rPr>
          <w:rFonts w:ascii="Arial" w:cs="Arial" w:eastAsia="Arial" w:hAnsi="Arial"/>
          <w:sz w:val="17"/>
          <w:szCs w:val="17"/>
          <w:color w:val="FDB03F"/>
        </w:rPr>
      </w:pPr>
    </w:p>
    <w:p>
      <w:pPr>
        <w:ind w:left="540" w:right="1920" w:hanging="257"/>
        <w:spacing w:after="0" w:line="316" w:lineRule="auto"/>
        <w:tabs>
          <w:tab w:leader="none" w:pos="517" w:val="left"/>
        </w:tabs>
        <w:numPr>
          <w:ilvl w:val="1"/>
          <w:numId w:val="134"/>
        </w:numPr>
        <w:rPr>
          <w:rFonts w:ascii="Arial" w:cs="Arial" w:eastAsia="Arial" w:hAnsi="Arial"/>
          <w:sz w:val="16"/>
          <w:szCs w:val="16"/>
          <w:color w:val="FDB03F"/>
        </w:rPr>
      </w:pPr>
      <w:r>
        <w:rPr>
          <w:rFonts w:ascii="Arial" w:cs="Arial" w:eastAsia="Arial" w:hAnsi="Arial"/>
          <w:sz w:val="16"/>
          <w:szCs w:val="16"/>
          <w:color w:val="auto"/>
        </w:rPr>
        <w:t>Contracted to develop state-of-the-art electric power generation system for South Korea’s KF-X fighter.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220980</wp:posOffset>
            </wp:positionV>
            <wp:extent cx="726757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640" w:space="280"/>
            <w:col w:w="6500"/>
          </w:cols>
          <w:pgMar w:left="240" w:top="121"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35"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Other Compensation Elements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Retirement and Deferred 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Retirement and deferred compensation plans help UTC attract and retain talented executives. Over the years, the Committee has updated these programs to maintain a competitive position within an evolving market. We believe the overall design of our retirement and deferred compensation programs is currently consistent with compensation practices in the marketplace and provides participating executives with benefits that approximate the Compensation Peer Group market median.</w:t>
      </w:r>
    </w:p>
    <w:p>
      <w:pPr>
        <w:spacing w:after="0" w:line="20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Below are brief descriptions of each retirement and deferred compensation arrangement we offer. See the Pension Benefits and the Nonqualified Deferred Compensation sections on pages 63-66 for more details.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6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Plan</w:t>
            </w:r>
          </w:p>
        </w:tc>
        <w:tc>
          <w:tcPr>
            <w:tcW w:w="100" w:type="dxa"/>
            <w:vAlign w:val="bottom"/>
          </w:tcPr>
          <w:p>
            <w:pPr>
              <w:spacing w:after="0"/>
              <w:rPr>
                <w:sz w:val="17"/>
                <w:szCs w:val="17"/>
                <w:color w:val="auto"/>
              </w:rPr>
            </w:pPr>
          </w:p>
        </w:tc>
        <w:tc>
          <w:tcPr>
            <w:tcW w:w="9660" w:type="dxa"/>
            <w:vAlign w:val="bottom"/>
            <w:tcBorders>
              <w:bottom w:val="single" w:sz="8" w:color="0D92D8"/>
            </w:tcBorders>
          </w:tcPr>
          <w:p>
            <w:pPr>
              <w:spacing w:after="0"/>
              <w:rPr>
                <w:sz w:val="20"/>
                <w:szCs w:val="20"/>
                <w:color w:val="auto"/>
              </w:rPr>
            </w:pPr>
            <w:r>
              <w:rPr>
                <w:rFonts w:ascii="Arial" w:cs="Arial" w:eastAsia="Arial" w:hAnsi="Arial"/>
                <w:sz w:val="14"/>
                <w:szCs w:val="14"/>
                <w:b w:val="1"/>
                <w:bCs w:val="1"/>
                <w:color w:val="0E93D8"/>
              </w:rPr>
              <w:t>Description</w:t>
            </w:r>
          </w:p>
        </w:tc>
      </w:tr>
      <w:tr>
        <w:trPr>
          <w:trHeight w:val="159"/>
        </w:trPr>
        <w:tc>
          <w:tcPr>
            <w:tcW w:w="166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UTC Employee</w:t>
            </w:r>
          </w:p>
        </w:tc>
        <w:tc>
          <w:tcPr>
            <w:tcW w:w="100" w:type="dxa"/>
            <w:vAlign w:val="bottom"/>
          </w:tcPr>
          <w:p>
            <w:pPr>
              <w:spacing w:after="0"/>
              <w:rPr>
                <w:sz w:val="13"/>
                <w:szCs w:val="13"/>
                <w:color w:val="auto"/>
              </w:rPr>
            </w:pPr>
          </w:p>
        </w:tc>
        <w:tc>
          <w:tcPr>
            <w:tcW w:w="9660" w:type="dxa"/>
            <w:vAlign w:val="bottom"/>
          </w:tcPr>
          <w:p>
            <w:pPr>
              <w:spacing w:after="0" w:line="159" w:lineRule="exact"/>
              <w:rPr>
                <w:sz w:val="20"/>
                <w:szCs w:val="20"/>
                <w:color w:val="auto"/>
              </w:rPr>
            </w:pPr>
            <w:r>
              <w:rPr>
                <w:rFonts w:ascii="Arial" w:cs="Arial" w:eastAsia="Arial" w:hAnsi="Arial"/>
                <w:sz w:val="14"/>
                <w:szCs w:val="14"/>
                <w:color w:val="auto"/>
                <w:w w:val="98"/>
              </w:rPr>
              <w:t>Employees hired prior to January 1, 2010, are eligible to participate in this tax-qualified pension plan. Effective December 31, 2014, participants who had been</w:t>
            </w:r>
          </w:p>
        </w:tc>
      </w:tr>
      <w:tr>
        <w:trPr>
          <w:trHeight w:val="165"/>
        </w:trPr>
        <w:tc>
          <w:tcPr>
            <w:tcW w:w="1660" w:type="dxa"/>
            <w:vAlign w:val="bottom"/>
          </w:tcPr>
          <w:p>
            <w:pPr>
              <w:ind w:left="80"/>
              <w:spacing w:after="0"/>
              <w:rPr>
                <w:sz w:val="20"/>
                <w:szCs w:val="20"/>
                <w:color w:val="auto"/>
              </w:rPr>
            </w:pPr>
            <w:r>
              <w:rPr>
                <w:rFonts w:ascii="Arial" w:cs="Arial" w:eastAsia="Arial" w:hAnsi="Arial"/>
                <w:sz w:val="14"/>
                <w:szCs w:val="14"/>
                <w:b w:val="1"/>
                <w:bCs w:val="1"/>
                <w:color w:val="0E93D8"/>
              </w:rPr>
              <w:t>Retirement Plan</w:t>
            </w:r>
          </w:p>
        </w:tc>
        <w:tc>
          <w:tcPr>
            <w:tcW w:w="10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w w:val="98"/>
              </w:rPr>
              <w:t>covered by the original final average earnings (“FAE”) formula of this plan transitioned to a more modest cash balance formula, which was already in effect for</w:t>
            </w:r>
          </w:p>
        </w:tc>
      </w:tr>
      <w:tr>
        <w:trPr>
          <w:trHeight w:val="170"/>
        </w:trPr>
        <w:tc>
          <w:tcPr>
            <w:tcW w:w="1660" w:type="dxa"/>
            <w:vAlign w:val="bottom"/>
            <w:tcBorders>
              <w:bottom w:val="single" w:sz="8" w:color="7C7C7C"/>
            </w:tcBorders>
          </w:tcPr>
          <w:p>
            <w:pPr>
              <w:spacing w:after="0"/>
              <w:rPr>
                <w:sz w:val="14"/>
                <w:szCs w:val="14"/>
                <w:color w:val="auto"/>
              </w:rPr>
            </w:pPr>
          </w:p>
        </w:tc>
        <w:tc>
          <w:tcPr>
            <w:tcW w:w="100" w:type="dxa"/>
            <w:vAlign w:val="bottom"/>
            <w:tcBorders>
              <w:bottom w:val="single" w:sz="8" w:color="7C7C7C"/>
            </w:tcBorders>
          </w:tcPr>
          <w:p>
            <w:pPr>
              <w:spacing w:after="0"/>
              <w:rPr>
                <w:sz w:val="14"/>
                <w:szCs w:val="14"/>
                <w:color w:val="auto"/>
              </w:rPr>
            </w:pPr>
          </w:p>
        </w:tc>
        <w:tc>
          <w:tcPr>
            <w:tcW w:w="966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newer participants. See page 63 for details on these formulas.</w:t>
            </w:r>
          </w:p>
        </w:tc>
      </w:tr>
      <w:tr>
        <w:trPr>
          <w:trHeight w:val="159"/>
        </w:trPr>
        <w:tc>
          <w:tcPr>
            <w:tcW w:w="166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UTC Pension</w:t>
            </w:r>
          </w:p>
        </w:tc>
        <w:tc>
          <w:tcPr>
            <w:tcW w:w="100" w:type="dxa"/>
            <w:vAlign w:val="bottom"/>
          </w:tcPr>
          <w:p>
            <w:pPr>
              <w:spacing w:after="0"/>
              <w:rPr>
                <w:sz w:val="13"/>
                <w:szCs w:val="13"/>
                <w:color w:val="auto"/>
              </w:rPr>
            </w:pPr>
          </w:p>
        </w:tc>
        <w:tc>
          <w:tcPr>
            <w:tcW w:w="9660" w:type="dxa"/>
            <w:vAlign w:val="bottom"/>
          </w:tcPr>
          <w:p>
            <w:pPr>
              <w:spacing w:after="0" w:line="159" w:lineRule="exact"/>
              <w:rPr>
                <w:sz w:val="20"/>
                <w:szCs w:val="20"/>
                <w:color w:val="auto"/>
              </w:rPr>
            </w:pPr>
            <w:r>
              <w:rPr>
                <w:rFonts w:ascii="Arial" w:cs="Arial" w:eastAsia="Arial" w:hAnsi="Arial"/>
                <w:sz w:val="14"/>
                <w:szCs w:val="14"/>
                <w:color w:val="auto"/>
                <w:w w:val="98"/>
              </w:rPr>
              <w:t>An unfunded, nonqualified retirement plan utilizing the same benefit formula, compensation recognition, retirement eligibility and vesting provisions as the tax-</w:t>
            </w:r>
          </w:p>
        </w:tc>
      </w:tr>
      <w:tr>
        <w:trPr>
          <w:trHeight w:val="165"/>
        </w:trPr>
        <w:tc>
          <w:tcPr>
            <w:tcW w:w="1660" w:type="dxa"/>
            <w:vAlign w:val="bottom"/>
          </w:tcPr>
          <w:p>
            <w:pPr>
              <w:ind w:left="80"/>
              <w:spacing w:after="0"/>
              <w:rPr>
                <w:sz w:val="20"/>
                <w:szCs w:val="20"/>
                <w:color w:val="auto"/>
              </w:rPr>
            </w:pPr>
            <w:r>
              <w:rPr>
                <w:rFonts w:ascii="Arial" w:cs="Arial" w:eastAsia="Arial" w:hAnsi="Arial"/>
                <w:sz w:val="14"/>
                <w:szCs w:val="14"/>
                <w:b w:val="1"/>
                <w:bCs w:val="1"/>
                <w:color w:val="0E93D8"/>
              </w:rPr>
              <w:t>Preservation Plan</w:t>
            </w:r>
          </w:p>
        </w:tc>
        <w:tc>
          <w:tcPr>
            <w:tcW w:w="10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qualified UTC Employee Retirement Plan. For employees hired prior to January 1, 2010, it provides pension benefits not provided under the tax-qualified</w:t>
            </w:r>
          </w:p>
        </w:tc>
      </w:tr>
      <w:tr>
        <w:trPr>
          <w:trHeight w:val="170"/>
        </w:trPr>
        <w:tc>
          <w:tcPr>
            <w:tcW w:w="1660" w:type="dxa"/>
            <w:vAlign w:val="bottom"/>
            <w:tcBorders>
              <w:bottom w:val="single" w:sz="8" w:color="7C7C7C"/>
            </w:tcBorders>
          </w:tcPr>
          <w:p>
            <w:pPr>
              <w:spacing w:after="0"/>
              <w:rPr>
                <w:sz w:val="14"/>
                <w:szCs w:val="14"/>
                <w:color w:val="auto"/>
              </w:rPr>
            </w:pPr>
          </w:p>
        </w:tc>
        <w:tc>
          <w:tcPr>
            <w:tcW w:w="100" w:type="dxa"/>
            <w:vAlign w:val="bottom"/>
            <w:tcBorders>
              <w:bottom w:val="single" w:sz="8" w:color="7C7C7C"/>
            </w:tcBorders>
          </w:tcPr>
          <w:p>
            <w:pPr>
              <w:spacing w:after="0"/>
              <w:rPr>
                <w:sz w:val="14"/>
                <w:szCs w:val="14"/>
                <w:color w:val="auto"/>
              </w:rPr>
            </w:pPr>
          </w:p>
        </w:tc>
        <w:tc>
          <w:tcPr>
            <w:tcW w:w="966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pension plan because of Internal Revenue Code limits.</w:t>
            </w:r>
          </w:p>
        </w:tc>
      </w:tr>
      <w:tr>
        <w:trPr>
          <w:trHeight w:val="159"/>
        </w:trPr>
        <w:tc>
          <w:tcPr>
            <w:tcW w:w="166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UTC Employee</w:t>
            </w:r>
          </w:p>
        </w:tc>
        <w:tc>
          <w:tcPr>
            <w:tcW w:w="100" w:type="dxa"/>
            <w:vAlign w:val="bottom"/>
          </w:tcPr>
          <w:p>
            <w:pPr>
              <w:spacing w:after="0"/>
              <w:rPr>
                <w:sz w:val="13"/>
                <w:szCs w:val="13"/>
                <w:color w:val="auto"/>
              </w:rPr>
            </w:pPr>
          </w:p>
        </w:tc>
        <w:tc>
          <w:tcPr>
            <w:tcW w:w="9660" w:type="dxa"/>
            <w:vAlign w:val="bottom"/>
          </w:tcPr>
          <w:p>
            <w:pPr>
              <w:spacing w:after="0" w:line="159" w:lineRule="exact"/>
              <w:rPr>
                <w:sz w:val="20"/>
                <w:szCs w:val="20"/>
                <w:color w:val="auto"/>
              </w:rPr>
            </w:pPr>
            <w:r>
              <w:rPr>
                <w:rFonts w:ascii="Arial" w:cs="Arial" w:eastAsia="Arial" w:hAnsi="Arial"/>
                <w:sz w:val="14"/>
                <w:szCs w:val="14"/>
                <w:color w:val="auto"/>
                <w:w w:val="97"/>
              </w:rPr>
              <w:t>A tax-qualified plan where employees receive a matching contribution in the form of UTC stock units with a value equal to 60% of the first 6% of pay (consisting</w:t>
            </w:r>
          </w:p>
        </w:tc>
      </w:tr>
      <w:tr>
        <w:trPr>
          <w:trHeight w:val="165"/>
        </w:trPr>
        <w:tc>
          <w:tcPr>
            <w:tcW w:w="1660" w:type="dxa"/>
            <w:vAlign w:val="bottom"/>
          </w:tcPr>
          <w:p>
            <w:pPr>
              <w:ind w:left="80"/>
              <w:spacing w:after="0"/>
              <w:rPr>
                <w:sz w:val="20"/>
                <w:szCs w:val="20"/>
                <w:color w:val="auto"/>
              </w:rPr>
            </w:pPr>
            <w:r>
              <w:rPr>
                <w:rFonts w:ascii="Arial" w:cs="Arial" w:eastAsia="Arial" w:hAnsi="Arial"/>
                <w:sz w:val="14"/>
                <w:szCs w:val="14"/>
                <w:b w:val="1"/>
                <w:bCs w:val="1"/>
                <w:color w:val="0E93D8"/>
              </w:rPr>
              <w:t>Savings Plan</w:t>
            </w:r>
          </w:p>
        </w:tc>
        <w:tc>
          <w:tcPr>
            <w:tcW w:w="10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w w:val="98"/>
              </w:rPr>
              <w:t>of base salary plus annual bonus) contributed by the employee. Salaried employees hired on or after January 1, 2010, who are not eligible to participate in the</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w w:val="98"/>
              </w:rPr>
              <w:t>UTC Employee Retirement Plan receive an additional age-based Company contribution (ranging from 3% to 5.5% of earnings) to their UTC Employee Savings</w:t>
            </w:r>
          </w:p>
        </w:tc>
      </w:tr>
      <w:tr>
        <w:trPr>
          <w:trHeight w:val="170"/>
        </w:trPr>
        <w:tc>
          <w:tcPr>
            <w:tcW w:w="1660" w:type="dxa"/>
            <w:vAlign w:val="bottom"/>
            <w:tcBorders>
              <w:bottom w:val="single" w:sz="8" w:color="7C7C7C"/>
            </w:tcBorders>
          </w:tcPr>
          <w:p>
            <w:pPr>
              <w:spacing w:after="0"/>
              <w:rPr>
                <w:sz w:val="14"/>
                <w:szCs w:val="14"/>
                <w:color w:val="auto"/>
              </w:rPr>
            </w:pPr>
          </w:p>
        </w:tc>
        <w:tc>
          <w:tcPr>
            <w:tcW w:w="100" w:type="dxa"/>
            <w:vAlign w:val="bottom"/>
            <w:tcBorders>
              <w:bottom w:val="single" w:sz="8" w:color="7C7C7C"/>
            </w:tcBorders>
          </w:tcPr>
          <w:p>
            <w:pPr>
              <w:spacing w:after="0"/>
              <w:rPr>
                <w:sz w:val="14"/>
                <w:szCs w:val="14"/>
                <w:color w:val="auto"/>
              </w:rPr>
            </w:pPr>
          </w:p>
        </w:tc>
        <w:tc>
          <w:tcPr>
            <w:tcW w:w="966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Plan account.</w:t>
            </w:r>
          </w:p>
        </w:tc>
      </w:tr>
      <w:tr>
        <w:trPr>
          <w:trHeight w:val="159"/>
        </w:trPr>
        <w:tc>
          <w:tcPr>
            <w:tcW w:w="166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UTC Savings</w:t>
            </w:r>
          </w:p>
        </w:tc>
        <w:tc>
          <w:tcPr>
            <w:tcW w:w="100" w:type="dxa"/>
            <w:vAlign w:val="bottom"/>
          </w:tcPr>
          <w:p>
            <w:pPr>
              <w:spacing w:after="0"/>
              <w:rPr>
                <w:sz w:val="13"/>
                <w:szCs w:val="13"/>
                <w:color w:val="auto"/>
              </w:rPr>
            </w:pPr>
          </w:p>
        </w:tc>
        <w:tc>
          <w:tcPr>
            <w:tcW w:w="9660" w:type="dxa"/>
            <w:vAlign w:val="bottom"/>
          </w:tcPr>
          <w:p>
            <w:pPr>
              <w:spacing w:after="0" w:line="159" w:lineRule="exact"/>
              <w:rPr>
                <w:sz w:val="20"/>
                <w:szCs w:val="20"/>
                <w:color w:val="auto"/>
              </w:rPr>
            </w:pPr>
            <w:r>
              <w:rPr>
                <w:rFonts w:ascii="Arial" w:cs="Arial" w:eastAsia="Arial" w:hAnsi="Arial"/>
                <w:sz w:val="14"/>
                <w:szCs w:val="14"/>
                <w:color w:val="auto"/>
              </w:rPr>
              <w:t>An unfunded, nonqualified plan that matches the executive’s contributions with Company contributions in UTC stock units at the same rate as the UTC</w:t>
            </w:r>
          </w:p>
        </w:tc>
      </w:tr>
      <w:tr>
        <w:trPr>
          <w:trHeight w:val="186"/>
        </w:trPr>
        <w:tc>
          <w:tcPr>
            <w:tcW w:w="166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Restoration Plan</w:t>
            </w:r>
          </w:p>
        </w:tc>
        <w:tc>
          <w:tcPr>
            <w:tcW w:w="100" w:type="dxa"/>
            <w:vAlign w:val="bottom"/>
            <w:tcBorders>
              <w:bottom w:val="single" w:sz="8" w:color="7C7C7C"/>
            </w:tcBorders>
          </w:tcPr>
          <w:p>
            <w:pPr>
              <w:spacing w:after="0"/>
              <w:rPr>
                <w:sz w:val="16"/>
                <w:szCs w:val="16"/>
                <w:color w:val="auto"/>
              </w:rPr>
            </w:pPr>
          </w:p>
        </w:tc>
        <w:tc>
          <w:tcPr>
            <w:tcW w:w="966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Employee Savings Plan, to the extent such contributions exceed Internal Revenue Code limits.</w:t>
            </w:r>
          </w:p>
        </w:tc>
      </w:tr>
      <w:tr>
        <w:trPr>
          <w:trHeight w:val="159"/>
        </w:trPr>
        <w:tc>
          <w:tcPr>
            <w:tcW w:w="166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UTC Company</w:t>
            </w:r>
          </w:p>
        </w:tc>
        <w:tc>
          <w:tcPr>
            <w:tcW w:w="100" w:type="dxa"/>
            <w:vAlign w:val="bottom"/>
          </w:tcPr>
          <w:p>
            <w:pPr>
              <w:spacing w:after="0"/>
              <w:rPr>
                <w:sz w:val="13"/>
                <w:szCs w:val="13"/>
                <w:color w:val="auto"/>
              </w:rPr>
            </w:pPr>
          </w:p>
        </w:tc>
        <w:tc>
          <w:tcPr>
            <w:tcW w:w="9660" w:type="dxa"/>
            <w:vAlign w:val="bottom"/>
          </w:tcPr>
          <w:p>
            <w:pPr>
              <w:spacing w:after="0" w:line="159" w:lineRule="exact"/>
              <w:rPr>
                <w:sz w:val="20"/>
                <w:szCs w:val="20"/>
                <w:color w:val="auto"/>
              </w:rPr>
            </w:pPr>
            <w:r>
              <w:rPr>
                <w:rFonts w:ascii="Arial" w:cs="Arial" w:eastAsia="Arial" w:hAnsi="Arial"/>
                <w:sz w:val="14"/>
                <w:szCs w:val="14"/>
                <w:color w:val="auto"/>
              </w:rPr>
              <w:t>An unfunded, nonqualified plan for which salaried employees hired on or after January 1, 2010, may receive an additional age-based Company automatic</w:t>
            </w:r>
          </w:p>
        </w:tc>
      </w:tr>
      <w:tr>
        <w:trPr>
          <w:trHeight w:val="149"/>
        </w:trPr>
        <w:tc>
          <w:tcPr>
            <w:tcW w:w="1660" w:type="dxa"/>
            <w:vAlign w:val="bottom"/>
          </w:tcPr>
          <w:p>
            <w:pPr>
              <w:ind w:left="80"/>
              <w:spacing w:after="0" w:line="149" w:lineRule="exact"/>
              <w:rPr>
                <w:sz w:val="20"/>
                <w:szCs w:val="20"/>
                <w:color w:val="auto"/>
              </w:rPr>
            </w:pPr>
            <w:r>
              <w:rPr>
                <w:rFonts w:ascii="Arial" w:cs="Arial" w:eastAsia="Arial" w:hAnsi="Arial"/>
                <w:sz w:val="14"/>
                <w:szCs w:val="14"/>
                <w:b w:val="1"/>
                <w:bCs w:val="1"/>
                <w:color w:val="0E93D8"/>
                <w:w w:val="99"/>
              </w:rPr>
              <w:t>Automatic Contribution</w:t>
            </w:r>
          </w:p>
        </w:tc>
        <w:tc>
          <w:tcPr>
            <w:tcW w:w="10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w w:val="97"/>
              </w:rPr>
              <w:t>contribution (ranging from 3% to 5.5% of earnings) for amounts above the Internal Revenue Code limits applicable to the qualified UTC Employee Savings Plan.</w:t>
            </w:r>
          </w:p>
        </w:tc>
      </w:tr>
      <w:tr>
        <w:trPr>
          <w:trHeight w:val="186"/>
        </w:trPr>
        <w:tc>
          <w:tcPr>
            <w:tcW w:w="166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Excess Plan</w:t>
            </w:r>
          </w:p>
        </w:tc>
        <w:tc>
          <w:tcPr>
            <w:tcW w:w="100" w:type="dxa"/>
            <w:vAlign w:val="bottom"/>
            <w:tcBorders>
              <w:bottom w:val="single" w:sz="8" w:color="7C7C7C"/>
            </w:tcBorders>
          </w:tcPr>
          <w:p>
            <w:pPr>
              <w:spacing w:after="0"/>
              <w:rPr>
                <w:sz w:val="16"/>
                <w:szCs w:val="16"/>
                <w:color w:val="auto"/>
              </w:rPr>
            </w:pPr>
          </w:p>
        </w:tc>
        <w:tc>
          <w:tcPr>
            <w:tcW w:w="966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Participants receiving benefits under this plan are ineligible to accrue a benefit under the UTC Pension Preservation Plan described above.</w:t>
            </w:r>
          </w:p>
        </w:tc>
      </w:tr>
      <w:tr>
        <w:trPr>
          <w:trHeight w:val="159"/>
        </w:trPr>
        <w:tc>
          <w:tcPr>
            <w:tcW w:w="166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UTC Deferred</w:t>
            </w:r>
          </w:p>
        </w:tc>
        <w:tc>
          <w:tcPr>
            <w:tcW w:w="100" w:type="dxa"/>
            <w:vAlign w:val="bottom"/>
          </w:tcPr>
          <w:p>
            <w:pPr>
              <w:spacing w:after="0"/>
              <w:rPr>
                <w:sz w:val="13"/>
                <w:szCs w:val="13"/>
                <w:color w:val="auto"/>
              </w:rPr>
            </w:pPr>
          </w:p>
        </w:tc>
        <w:tc>
          <w:tcPr>
            <w:tcW w:w="9660" w:type="dxa"/>
            <w:vAlign w:val="bottom"/>
          </w:tcPr>
          <w:p>
            <w:pPr>
              <w:spacing w:after="0" w:line="159" w:lineRule="exact"/>
              <w:rPr>
                <w:sz w:val="20"/>
                <w:szCs w:val="20"/>
                <w:color w:val="auto"/>
              </w:rPr>
            </w:pPr>
            <w:r>
              <w:rPr>
                <w:rFonts w:ascii="Arial" w:cs="Arial" w:eastAsia="Arial" w:hAnsi="Arial"/>
                <w:sz w:val="14"/>
                <w:szCs w:val="14"/>
                <w:color w:val="auto"/>
                <w:w w:val="97"/>
              </w:rPr>
              <w:t>An unfunded, nonqualified, deferred compensation plan that offers executives the opportunity to defer up to 50% of base salary and up to 70% of annual bonus.</w:t>
            </w:r>
          </w:p>
        </w:tc>
      </w:tr>
      <w:tr>
        <w:trPr>
          <w:trHeight w:val="186"/>
        </w:trPr>
        <w:tc>
          <w:tcPr>
            <w:tcW w:w="166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Compensation Plan</w:t>
            </w:r>
          </w:p>
        </w:tc>
        <w:tc>
          <w:tcPr>
            <w:tcW w:w="100" w:type="dxa"/>
            <w:vAlign w:val="bottom"/>
            <w:tcBorders>
              <w:bottom w:val="single" w:sz="8" w:color="7C7C7C"/>
            </w:tcBorders>
          </w:tcPr>
          <w:p>
            <w:pPr>
              <w:spacing w:after="0"/>
              <w:rPr>
                <w:sz w:val="16"/>
                <w:szCs w:val="16"/>
                <w:color w:val="auto"/>
              </w:rPr>
            </w:pPr>
          </w:p>
        </w:tc>
        <w:tc>
          <w:tcPr>
            <w:tcW w:w="9660" w:type="dxa"/>
            <w:vAlign w:val="bottom"/>
            <w:tcBorders>
              <w:bottom w:val="single" w:sz="8" w:color="7C7C7C"/>
            </w:tcBorders>
          </w:tcPr>
          <w:p>
            <w:pPr>
              <w:spacing w:after="0"/>
              <w:rPr>
                <w:sz w:val="16"/>
                <w:szCs w:val="16"/>
                <w:color w:val="auto"/>
              </w:rPr>
            </w:pPr>
          </w:p>
        </w:tc>
      </w:tr>
      <w:tr>
        <w:trPr>
          <w:trHeight w:val="175"/>
        </w:trPr>
        <w:tc>
          <w:tcPr>
            <w:tcW w:w="1660" w:type="dxa"/>
            <w:vAlign w:val="bottom"/>
          </w:tcPr>
          <w:p>
            <w:pPr>
              <w:ind w:left="80"/>
              <w:spacing w:after="0"/>
              <w:rPr>
                <w:sz w:val="20"/>
                <w:szCs w:val="20"/>
                <w:color w:val="auto"/>
              </w:rPr>
            </w:pPr>
            <w:r>
              <w:rPr>
                <w:rFonts w:ascii="Arial" w:cs="Arial" w:eastAsia="Arial" w:hAnsi="Arial"/>
                <w:sz w:val="14"/>
                <w:szCs w:val="14"/>
                <w:b w:val="1"/>
                <w:bCs w:val="1"/>
                <w:color w:val="0E93D8"/>
              </w:rPr>
              <w:t>UTC PSU Deferral Plan</w:t>
            </w:r>
          </w:p>
        </w:tc>
        <w:tc>
          <w:tcPr>
            <w:tcW w:w="100" w:type="dxa"/>
            <w:vAlign w:val="bottom"/>
          </w:tcPr>
          <w:p>
            <w:pPr>
              <w:spacing w:after="0"/>
              <w:rPr>
                <w:sz w:val="15"/>
                <w:szCs w:val="15"/>
                <w:color w:val="auto"/>
              </w:rPr>
            </w:pPr>
          </w:p>
        </w:tc>
        <w:tc>
          <w:tcPr>
            <w:tcW w:w="9660" w:type="dxa"/>
            <w:vAlign w:val="bottom"/>
          </w:tcPr>
          <w:p>
            <w:pPr>
              <w:spacing w:after="0"/>
              <w:rPr>
                <w:sz w:val="20"/>
                <w:szCs w:val="20"/>
                <w:color w:val="auto"/>
              </w:rPr>
            </w:pPr>
            <w:r>
              <w:rPr>
                <w:rFonts w:ascii="Arial" w:cs="Arial" w:eastAsia="Arial" w:hAnsi="Arial"/>
                <w:sz w:val="14"/>
                <w:szCs w:val="14"/>
                <w:color w:val="auto"/>
                <w:w w:val="98"/>
              </w:rPr>
              <w:t>An unfunded, nonqualified, deferred compensation plan that allows executives to defer between 10% and 100% of their vested PSU awards. Upon vesting, the</w:t>
            </w:r>
          </w:p>
        </w:tc>
      </w:tr>
      <w:tr>
        <w:trPr>
          <w:trHeight w:val="170"/>
        </w:trPr>
        <w:tc>
          <w:tcPr>
            <w:tcW w:w="1660" w:type="dxa"/>
            <w:vAlign w:val="bottom"/>
            <w:tcBorders>
              <w:bottom w:val="single" w:sz="8" w:color="7C7C7C"/>
            </w:tcBorders>
          </w:tcPr>
          <w:p>
            <w:pPr>
              <w:spacing w:after="0"/>
              <w:rPr>
                <w:sz w:val="14"/>
                <w:szCs w:val="14"/>
                <w:color w:val="auto"/>
              </w:rPr>
            </w:pPr>
          </w:p>
        </w:tc>
        <w:tc>
          <w:tcPr>
            <w:tcW w:w="100" w:type="dxa"/>
            <w:vAlign w:val="bottom"/>
            <w:tcBorders>
              <w:bottom w:val="single" w:sz="8" w:color="7C7C7C"/>
            </w:tcBorders>
          </w:tcPr>
          <w:p>
            <w:pPr>
              <w:spacing w:after="0"/>
              <w:rPr>
                <w:sz w:val="14"/>
                <w:szCs w:val="14"/>
                <w:color w:val="auto"/>
              </w:rPr>
            </w:pPr>
          </w:p>
        </w:tc>
        <w:tc>
          <w:tcPr>
            <w:tcW w:w="966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deferred portion of each PSU award is converted into deferred stock units that accrue dividend equivalents.</w:t>
            </w:r>
          </w:p>
        </w:tc>
      </w:tr>
    </w:tbl>
    <w:p>
      <w:pPr>
        <w:spacing w:after="0" w:line="238" w:lineRule="exact"/>
        <w:rPr>
          <w:sz w:val="20"/>
          <w:szCs w:val="20"/>
          <w:color w:val="auto"/>
        </w:rPr>
      </w:pPr>
    </w:p>
    <w:p>
      <w:pPr>
        <w:ind w:left="880" w:hanging="628"/>
        <w:spacing w:after="0"/>
        <w:tabs>
          <w:tab w:leader="none" w:pos="880" w:val="left"/>
        </w:tabs>
        <w:numPr>
          <w:ilvl w:val="0"/>
          <w:numId w:val="135"/>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146685</wp:posOffset>
            </wp:positionV>
            <wp:extent cx="2049780" cy="1289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Perquisites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provide the following benefits to our senior executives, which the Committee believes are consistent with market practice and contributes to recruitment and retention.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40" w:type="dxa"/>
            <w:vAlign w:val="bottom"/>
          </w:tcPr>
          <w:p>
            <w:pPr>
              <w:ind w:left="80"/>
              <w:spacing w:after="0"/>
              <w:rPr>
                <w:sz w:val="20"/>
                <w:szCs w:val="20"/>
                <w:color w:val="auto"/>
              </w:rPr>
            </w:pPr>
            <w:r>
              <w:rPr>
                <w:rFonts w:ascii="Arial" w:cs="Arial" w:eastAsia="Arial" w:hAnsi="Arial"/>
                <w:sz w:val="14"/>
                <w:szCs w:val="14"/>
                <w:b w:val="1"/>
                <w:bCs w:val="1"/>
                <w:color w:val="0E93D8"/>
              </w:rPr>
              <w:t>Perquisite/Benefits*</w:t>
            </w:r>
          </w:p>
        </w:tc>
        <w:tc>
          <w:tcPr>
            <w:tcW w:w="100" w:type="dxa"/>
            <w:vAlign w:val="bottom"/>
          </w:tcPr>
          <w:p>
            <w:pPr>
              <w:spacing w:after="0"/>
              <w:rPr>
                <w:sz w:val="16"/>
                <w:szCs w:val="16"/>
                <w:color w:val="auto"/>
              </w:rPr>
            </w:pPr>
          </w:p>
        </w:tc>
        <w:tc>
          <w:tcPr>
            <w:tcW w:w="9680" w:type="dxa"/>
            <w:vAlign w:val="bottom"/>
          </w:tcPr>
          <w:p>
            <w:pPr>
              <w:spacing w:after="0"/>
              <w:rPr>
                <w:sz w:val="20"/>
                <w:szCs w:val="20"/>
                <w:color w:val="auto"/>
              </w:rPr>
            </w:pPr>
            <w:r>
              <w:rPr>
                <w:rFonts w:ascii="Arial" w:cs="Arial" w:eastAsia="Arial" w:hAnsi="Arial"/>
                <w:sz w:val="14"/>
                <w:szCs w:val="14"/>
                <w:b w:val="1"/>
                <w:bCs w:val="1"/>
                <w:color w:val="0E93D8"/>
              </w:rPr>
              <w:t>Description</w:t>
            </w:r>
          </w:p>
        </w:tc>
      </w:tr>
      <w:tr>
        <w:trPr>
          <w:trHeight w:val="61"/>
        </w:trPr>
        <w:tc>
          <w:tcPr>
            <w:tcW w:w="1640" w:type="dxa"/>
            <w:vAlign w:val="bottom"/>
            <w:shd w:val="clear" w:color="auto" w:fill="DAE9F7"/>
          </w:tcPr>
          <w:p>
            <w:pPr>
              <w:spacing w:after="0"/>
              <w:rPr>
                <w:sz w:val="5"/>
                <w:szCs w:val="5"/>
                <w:color w:val="auto"/>
              </w:rPr>
            </w:pPr>
          </w:p>
        </w:tc>
        <w:tc>
          <w:tcPr>
            <w:tcW w:w="100" w:type="dxa"/>
            <w:vAlign w:val="bottom"/>
          </w:tcPr>
          <w:p>
            <w:pPr>
              <w:spacing w:after="0"/>
              <w:rPr>
                <w:sz w:val="5"/>
                <w:szCs w:val="5"/>
                <w:color w:val="auto"/>
              </w:rPr>
            </w:pPr>
          </w:p>
        </w:tc>
        <w:tc>
          <w:tcPr>
            <w:tcW w:w="9680" w:type="dxa"/>
            <w:vAlign w:val="bottom"/>
            <w:shd w:val="clear" w:color="auto" w:fill="0D92D8"/>
          </w:tcPr>
          <w:p>
            <w:pPr>
              <w:spacing w:after="0"/>
              <w:rPr>
                <w:sz w:val="5"/>
                <w:szCs w:val="5"/>
                <w:color w:val="auto"/>
              </w:rPr>
            </w:pPr>
          </w:p>
        </w:tc>
      </w:tr>
      <w:tr>
        <w:trPr>
          <w:trHeight w:val="175"/>
        </w:trPr>
        <w:tc>
          <w:tcPr>
            <w:tcW w:w="1640" w:type="dxa"/>
            <w:vAlign w:val="bottom"/>
          </w:tcPr>
          <w:p>
            <w:pPr>
              <w:ind w:left="80"/>
              <w:spacing w:after="0"/>
              <w:rPr>
                <w:sz w:val="20"/>
                <w:szCs w:val="20"/>
                <w:color w:val="auto"/>
              </w:rPr>
            </w:pPr>
            <w:r>
              <w:rPr>
                <w:rFonts w:ascii="Arial" w:cs="Arial" w:eastAsia="Arial" w:hAnsi="Arial"/>
                <w:sz w:val="14"/>
                <w:szCs w:val="14"/>
                <w:b w:val="1"/>
                <w:bCs w:val="1"/>
                <w:color w:val="0E93D8"/>
              </w:rPr>
              <w:t>ELG Life Insurance</w:t>
            </w:r>
          </w:p>
        </w:tc>
        <w:tc>
          <w:tcPr>
            <w:tcW w:w="100" w:type="dxa"/>
            <w:vAlign w:val="bottom"/>
          </w:tcPr>
          <w:p>
            <w:pPr>
              <w:spacing w:after="0"/>
              <w:rPr>
                <w:sz w:val="15"/>
                <w:szCs w:val="15"/>
                <w:color w:val="auto"/>
              </w:rPr>
            </w:pPr>
          </w:p>
        </w:tc>
        <w:tc>
          <w:tcPr>
            <w:tcW w:w="9680" w:type="dxa"/>
            <w:vAlign w:val="bottom"/>
          </w:tcPr>
          <w:p>
            <w:pPr>
              <w:spacing w:after="0"/>
              <w:rPr>
                <w:sz w:val="20"/>
                <w:szCs w:val="20"/>
                <w:color w:val="auto"/>
              </w:rPr>
            </w:pPr>
            <w:r>
              <w:rPr>
                <w:rFonts w:ascii="Arial" w:cs="Arial" w:eastAsia="Arial" w:hAnsi="Arial"/>
                <w:sz w:val="14"/>
                <w:szCs w:val="14"/>
                <w:color w:val="auto"/>
              </w:rPr>
              <w:t>ELG members appointed prior to January 31, 2015, may receive company-funded life insurance coverage up to three times their base salary at age 62</w:t>
            </w:r>
          </w:p>
        </w:tc>
      </w:tr>
      <w:tr>
        <w:trPr>
          <w:trHeight w:val="170"/>
        </w:trPr>
        <w:tc>
          <w:tcPr>
            <w:tcW w:w="1640" w:type="dxa"/>
            <w:vAlign w:val="bottom"/>
            <w:tcBorders>
              <w:bottom w:val="single" w:sz="8" w:color="7C7C7C"/>
            </w:tcBorders>
          </w:tcPr>
          <w:p>
            <w:pPr>
              <w:spacing w:after="0"/>
              <w:rPr>
                <w:sz w:val="14"/>
                <w:szCs w:val="14"/>
                <w:color w:val="auto"/>
              </w:rPr>
            </w:pPr>
          </w:p>
        </w:tc>
        <w:tc>
          <w:tcPr>
            <w:tcW w:w="100" w:type="dxa"/>
            <w:vAlign w:val="bottom"/>
            <w:tcBorders>
              <w:bottom w:val="single" w:sz="8" w:color="7C7C7C"/>
            </w:tcBorders>
          </w:tcPr>
          <w:p>
            <w:pPr>
              <w:spacing w:after="0"/>
              <w:rPr>
                <w:sz w:val="14"/>
                <w:szCs w:val="14"/>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(projected or actual). This benefit is not available to Ms. Marks and Mr. Ortberg, who were appointed to the ELG after January 31, 2015.</w:t>
            </w:r>
          </w:p>
        </w:tc>
      </w:tr>
      <w:tr>
        <w:trPr>
          <w:trHeight w:val="159"/>
        </w:trPr>
        <w:tc>
          <w:tcPr>
            <w:tcW w:w="164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ELG Long-Term</w:t>
            </w:r>
          </w:p>
        </w:tc>
        <w:tc>
          <w:tcPr>
            <w:tcW w:w="100" w:type="dxa"/>
            <w:vAlign w:val="bottom"/>
          </w:tcPr>
          <w:p>
            <w:pPr>
              <w:spacing w:after="0"/>
              <w:rPr>
                <w:sz w:val="13"/>
                <w:szCs w:val="13"/>
                <w:color w:val="auto"/>
              </w:rPr>
            </w:pPr>
          </w:p>
        </w:tc>
        <w:tc>
          <w:tcPr>
            <w:tcW w:w="9680" w:type="dxa"/>
            <w:vAlign w:val="bottom"/>
          </w:tcPr>
          <w:p>
            <w:pPr>
              <w:spacing w:after="0" w:line="159" w:lineRule="exact"/>
              <w:rPr>
                <w:sz w:val="20"/>
                <w:szCs w:val="20"/>
                <w:color w:val="auto"/>
              </w:rPr>
            </w:pPr>
            <w:r>
              <w:rPr>
                <w:rFonts w:ascii="Arial" w:cs="Arial" w:eastAsia="Arial" w:hAnsi="Arial"/>
                <w:sz w:val="14"/>
                <w:szCs w:val="14"/>
                <w:color w:val="auto"/>
              </w:rPr>
              <w:t>The ELG long-term disability program provides an annual benefit upon disability that is equal to 80% of base salary plus target annual bonus.</w:t>
            </w:r>
          </w:p>
        </w:tc>
      </w:tr>
      <w:tr>
        <w:trPr>
          <w:trHeight w:val="186"/>
        </w:trPr>
        <w:tc>
          <w:tcPr>
            <w:tcW w:w="164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Disability</w:t>
            </w:r>
          </w:p>
        </w:tc>
        <w:tc>
          <w:tcPr>
            <w:tcW w:w="100" w:type="dxa"/>
            <w:vAlign w:val="bottom"/>
            <w:tcBorders>
              <w:bottom w:val="single" w:sz="8" w:color="7C7C7C"/>
            </w:tcBorders>
          </w:tcPr>
          <w:p>
            <w:pPr>
              <w:spacing w:after="0"/>
              <w:rPr>
                <w:sz w:val="16"/>
                <w:szCs w:val="16"/>
                <w:color w:val="auto"/>
              </w:rPr>
            </w:pPr>
          </w:p>
        </w:tc>
        <w:tc>
          <w:tcPr>
            <w:tcW w:w="9680" w:type="dxa"/>
            <w:vAlign w:val="bottom"/>
            <w:tcBorders>
              <w:bottom w:val="single" w:sz="8" w:color="7C7C7C"/>
            </w:tcBorders>
          </w:tcPr>
          <w:p>
            <w:pPr>
              <w:spacing w:after="0"/>
              <w:rPr>
                <w:sz w:val="16"/>
                <w:szCs w:val="16"/>
                <w:color w:val="auto"/>
              </w:rPr>
            </w:pPr>
          </w:p>
        </w:tc>
      </w:tr>
      <w:tr>
        <w:trPr>
          <w:trHeight w:val="196"/>
        </w:trPr>
        <w:tc>
          <w:tcPr>
            <w:tcW w:w="164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Healthcare</w:t>
            </w:r>
          </w:p>
        </w:tc>
        <w:tc>
          <w:tcPr>
            <w:tcW w:w="100" w:type="dxa"/>
            <w:vAlign w:val="bottom"/>
            <w:tcBorders>
              <w:bottom w:val="single" w:sz="8" w:color="7C7C7C"/>
            </w:tcBorders>
          </w:tcPr>
          <w:p>
            <w:pPr>
              <w:spacing w:after="0"/>
              <w:rPr>
                <w:sz w:val="17"/>
                <w:szCs w:val="17"/>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ELG members are eligible to participate in the same health benefit program we offer to our other employees.</w:t>
            </w:r>
          </w:p>
        </w:tc>
      </w:tr>
      <w:tr>
        <w:trPr>
          <w:trHeight w:val="196"/>
        </w:trPr>
        <w:tc>
          <w:tcPr>
            <w:tcW w:w="164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Executive Physical</w:t>
            </w:r>
          </w:p>
        </w:tc>
        <w:tc>
          <w:tcPr>
            <w:tcW w:w="100" w:type="dxa"/>
            <w:vAlign w:val="bottom"/>
            <w:tcBorders>
              <w:bottom w:val="single" w:sz="8" w:color="7C7C7C"/>
            </w:tcBorders>
          </w:tcPr>
          <w:p>
            <w:pPr>
              <w:spacing w:after="0"/>
              <w:rPr>
                <w:sz w:val="17"/>
                <w:szCs w:val="17"/>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ELG members are eligible for a comprehensive annual executive physical.</w:t>
            </w:r>
          </w:p>
        </w:tc>
      </w:tr>
      <w:tr>
        <w:trPr>
          <w:trHeight w:val="159"/>
        </w:trPr>
        <w:tc>
          <w:tcPr>
            <w:tcW w:w="164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Executive Leased</w:t>
            </w:r>
          </w:p>
        </w:tc>
        <w:tc>
          <w:tcPr>
            <w:tcW w:w="100" w:type="dxa"/>
            <w:vAlign w:val="bottom"/>
          </w:tcPr>
          <w:p>
            <w:pPr>
              <w:spacing w:after="0"/>
              <w:rPr>
                <w:sz w:val="13"/>
                <w:szCs w:val="13"/>
                <w:color w:val="auto"/>
              </w:rPr>
            </w:pPr>
          </w:p>
        </w:tc>
        <w:tc>
          <w:tcPr>
            <w:tcW w:w="9680" w:type="dxa"/>
            <w:vAlign w:val="bottom"/>
          </w:tcPr>
          <w:p>
            <w:pPr>
              <w:spacing w:after="0" w:line="159" w:lineRule="exact"/>
              <w:rPr>
                <w:sz w:val="20"/>
                <w:szCs w:val="20"/>
                <w:color w:val="auto"/>
              </w:rPr>
            </w:pPr>
            <w:r>
              <w:rPr>
                <w:rFonts w:ascii="Arial" w:cs="Arial" w:eastAsia="Arial" w:hAnsi="Arial"/>
                <w:sz w:val="14"/>
                <w:szCs w:val="14"/>
                <w:color w:val="auto"/>
                <w:w w:val="98"/>
              </w:rPr>
              <w:t>UTC provides ELG members with an annual allowance toward the costs of a leased vehicle. The value of the allowance varies by ELG appointment date. Any</w:t>
            </w:r>
          </w:p>
        </w:tc>
      </w:tr>
      <w:tr>
        <w:trPr>
          <w:trHeight w:val="186"/>
        </w:trPr>
        <w:tc>
          <w:tcPr>
            <w:tcW w:w="164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Vehicle</w:t>
            </w:r>
          </w:p>
        </w:tc>
        <w:tc>
          <w:tcPr>
            <w:tcW w:w="100" w:type="dxa"/>
            <w:vAlign w:val="bottom"/>
            <w:tcBorders>
              <w:bottom w:val="single" w:sz="8" w:color="7C7C7C"/>
            </w:tcBorders>
          </w:tcPr>
          <w:p>
            <w:pPr>
              <w:spacing w:after="0"/>
              <w:rPr>
                <w:sz w:val="16"/>
                <w:szCs w:val="16"/>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costs above the annual allowance are paid directly by the executive.</w:t>
            </w:r>
          </w:p>
        </w:tc>
      </w:tr>
      <w:tr>
        <w:trPr>
          <w:trHeight w:val="196"/>
        </w:trPr>
        <w:tc>
          <w:tcPr>
            <w:tcW w:w="164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rPr>
              <w:t>Financial Planning</w:t>
            </w:r>
          </w:p>
        </w:tc>
        <w:tc>
          <w:tcPr>
            <w:tcW w:w="100" w:type="dxa"/>
            <w:vAlign w:val="bottom"/>
            <w:tcBorders>
              <w:bottom w:val="single" w:sz="8" w:color="7C7C7C"/>
            </w:tcBorders>
          </w:tcPr>
          <w:p>
            <w:pPr>
              <w:spacing w:after="0"/>
              <w:rPr>
                <w:sz w:val="17"/>
                <w:szCs w:val="17"/>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ELG members are eligible to receive an annual financial planning benefit.</w:t>
            </w:r>
          </w:p>
        </w:tc>
      </w:tr>
      <w:tr>
        <w:trPr>
          <w:trHeight w:val="159"/>
        </w:trPr>
        <w:tc>
          <w:tcPr>
            <w:tcW w:w="1640" w:type="dxa"/>
            <w:vAlign w:val="bottom"/>
          </w:tcPr>
          <w:p>
            <w:pPr>
              <w:ind w:left="80"/>
              <w:spacing w:after="0" w:line="159" w:lineRule="exact"/>
              <w:rPr>
                <w:sz w:val="20"/>
                <w:szCs w:val="20"/>
                <w:color w:val="auto"/>
              </w:rPr>
            </w:pPr>
            <w:r>
              <w:rPr>
                <w:rFonts w:ascii="Arial" w:cs="Arial" w:eastAsia="Arial" w:hAnsi="Arial"/>
                <w:sz w:val="14"/>
                <w:szCs w:val="14"/>
                <w:b w:val="1"/>
                <w:bCs w:val="1"/>
                <w:color w:val="0E93D8"/>
              </w:rPr>
              <w:t>Personal Aircraft</w:t>
            </w:r>
          </w:p>
        </w:tc>
        <w:tc>
          <w:tcPr>
            <w:tcW w:w="100" w:type="dxa"/>
            <w:vAlign w:val="bottom"/>
          </w:tcPr>
          <w:p>
            <w:pPr>
              <w:spacing w:after="0"/>
              <w:rPr>
                <w:sz w:val="13"/>
                <w:szCs w:val="13"/>
                <w:color w:val="auto"/>
              </w:rPr>
            </w:pPr>
          </w:p>
        </w:tc>
        <w:tc>
          <w:tcPr>
            <w:tcW w:w="9680" w:type="dxa"/>
            <w:vAlign w:val="bottom"/>
          </w:tcPr>
          <w:p>
            <w:pPr>
              <w:spacing w:after="0" w:line="159" w:lineRule="exact"/>
              <w:rPr>
                <w:sz w:val="20"/>
                <w:szCs w:val="20"/>
                <w:color w:val="auto"/>
              </w:rPr>
            </w:pPr>
            <w:r>
              <w:rPr>
                <w:rFonts w:ascii="Arial" w:cs="Arial" w:eastAsia="Arial" w:hAnsi="Arial"/>
                <w:sz w:val="14"/>
                <w:szCs w:val="14"/>
                <w:color w:val="auto"/>
                <w:w w:val="96"/>
              </w:rPr>
              <w:t>Our CEO is allowed personal use of the Corporate aircraft for up to 50 hours per year. The Committee believes this optimizes the efficient use of Mr. Hayes’ time.</w:t>
            </w:r>
          </w:p>
        </w:tc>
      </w:tr>
      <w:tr>
        <w:trPr>
          <w:trHeight w:val="165"/>
        </w:trPr>
        <w:tc>
          <w:tcPr>
            <w:tcW w:w="1640" w:type="dxa"/>
            <w:vAlign w:val="bottom"/>
          </w:tcPr>
          <w:p>
            <w:pPr>
              <w:ind w:left="80"/>
              <w:spacing w:after="0"/>
              <w:rPr>
                <w:sz w:val="20"/>
                <w:szCs w:val="20"/>
                <w:color w:val="auto"/>
              </w:rPr>
            </w:pPr>
            <w:r>
              <w:rPr>
                <w:rFonts w:ascii="Arial" w:cs="Arial" w:eastAsia="Arial" w:hAnsi="Arial"/>
                <w:sz w:val="14"/>
                <w:szCs w:val="14"/>
                <w:b w:val="1"/>
                <w:bCs w:val="1"/>
                <w:color w:val="0E93D8"/>
              </w:rPr>
              <w:t>Usage</w:t>
            </w:r>
          </w:p>
        </w:tc>
        <w:tc>
          <w:tcPr>
            <w:tcW w:w="100" w:type="dxa"/>
            <w:vAlign w:val="bottom"/>
          </w:tcPr>
          <w:p>
            <w:pPr>
              <w:spacing w:after="0"/>
              <w:rPr>
                <w:sz w:val="14"/>
                <w:szCs w:val="14"/>
                <w:color w:val="auto"/>
              </w:rPr>
            </w:pPr>
          </w:p>
        </w:tc>
        <w:tc>
          <w:tcPr>
            <w:tcW w:w="9680" w:type="dxa"/>
            <w:vAlign w:val="bottom"/>
          </w:tcPr>
          <w:p>
            <w:pPr>
              <w:spacing w:after="0"/>
              <w:rPr>
                <w:sz w:val="20"/>
                <w:szCs w:val="20"/>
                <w:color w:val="auto"/>
              </w:rPr>
            </w:pPr>
            <w:r>
              <w:rPr>
                <w:rFonts w:ascii="Arial" w:cs="Arial" w:eastAsia="Arial" w:hAnsi="Arial"/>
                <w:sz w:val="14"/>
                <w:szCs w:val="14"/>
                <w:color w:val="auto"/>
              </w:rPr>
              <w:t>Under this policy, Mr. Hayes also may fly commercially, subject to review by UTC security personnel. No other UTC employees are permitted to use the</w:t>
            </w:r>
          </w:p>
        </w:tc>
      </w:tr>
      <w:tr>
        <w:trPr>
          <w:trHeight w:val="170"/>
        </w:trPr>
        <w:tc>
          <w:tcPr>
            <w:tcW w:w="1640" w:type="dxa"/>
            <w:vAlign w:val="bottom"/>
            <w:tcBorders>
              <w:bottom w:val="single" w:sz="8" w:color="7C7C7C"/>
            </w:tcBorders>
          </w:tcPr>
          <w:p>
            <w:pPr>
              <w:spacing w:after="0"/>
              <w:rPr>
                <w:sz w:val="14"/>
                <w:szCs w:val="14"/>
                <w:color w:val="auto"/>
              </w:rPr>
            </w:pPr>
          </w:p>
        </w:tc>
        <w:tc>
          <w:tcPr>
            <w:tcW w:w="100" w:type="dxa"/>
            <w:vAlign w:val="bottom"/>
            <w:tcBorders>
              <w:bottom w:val="single" w:sz="8" w:color="7C7C7C"/>
            </w:tcBorders>
          </w:tcPr>
          <w:p>
            <w:pPr>
              <w:spacing w:after="0"/>
              <w:rPr>
                <w:sz w:val="14"/>
                <w:szCs w:val="14"/>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Corporate aircraft for personal reasons.</w:t>
            </w:r>
          </w:p>
        </w:tc>
      </w:tr>
      <w:tr>
        <w:trPr>
          <w:trHeight w:val="196"/>
        </w:trPr>
        <w:tc>
          <w:tcPr>
            <w:tcW w:w="1640" w:type="dxa"/>
            <w:vAlign w:val="bottom"/>
            <w:tcBorders>
              <w:bottom w:val="single" w:sz="8" w:color="7C7C7C"/>
            </w:tcBorders>
          </w:tcPr>
          <w:p>
            <w:pPr>
              <w:ind w:left="80"/>
              <w:spacing w:after="0"/>
              <w:rPr>
                <w:sz w:val="20"/>
                <w:szCs w:val="20"/>
                <w:color w:val="auto"/>
              </w:rPr>
            </w:pPr>
            <w:r>
              <w:rPr>
                <w:rFonts w:ascii="Arial" w:cs="Arial" w:eastAsia="Arial" w:hAnsi="Arial"/>
                <w:sz w:val="14"/>
                <w:szCs w:val="14"/>
                <w:b w:val="1"/>
                <w:bCs w:val="1"/>
                <w:color w:val="0E93D8"/>
                <w:w w:val="99"/>
              </w:rPr>
              <w:t>Security Arrangements</w:t>
            </w:r>
          </w:p>
        </w:tc>
        <w:tc>
          <w:tcPr>
            <w:tcW w:w="100" w:type="dxa"/>
            <w:vAlign w:val="bottom"/>
            <w:tcBorders>
              <w:bottom w:val="single" w:sz="8" w:color="7C7C7C"/>
            </w:tcBorders>
          </w:tcPr>
          <w:p>
            <w:pPr>
              <w:spacing w:after="0"/>
              <w:rPr>
                <w:sz w:val="17"/>
                <w:szCs w:val="17"/>
                <w:color w:val="auto"/>
              </w:rPr>
            </w:pPr>
          </w:p>
        </w:tc>
        <w:tc>
          <w:tcPr>
            <w:tcW w:w="968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The Committee approved a security system benefit for Mr. Hayes’ personal residence after a third-party security assessment was performed in 2017.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 See footnote (5) to the Summary Compensation Table on page 59 for more details on these perquisites/benefits.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Severance and Change-in-Control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ELG members participate in severance and change-in-control arrangements similar to programs in effect at the majority of the companies within our Compensation Peer Group. The Committee believes such arrangements are part of a competitive executive compensation program. Our severance program incorporates post-employment restrictive covenants designed to protect UTC’s interests, including non-competition, non-solicitation and non-disclosure obligations.</w:t>
      </w:r>
    </w:p>
    <w:p>
      <w:pPr>
        <w:spacing w:after="0" w:line="209"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Severance and change-in-control benefits are contingent upon certain future events that may never occur. The Committee, therefore, does not consider these contingent benefits when setting other compensation elements or measuring total direct compensation.</w:t>
      </w:r>
    </w:p>
    <w:p>
      <w:pPr>
        <w:spacing w:after="0" w:line="209"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For specific details on our severance and change-in-control arrangements, and how these programs have evolved over time, see the Potential Payments on Termination or Change-in-Control section on pages 66-69.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55</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049780" cy="1289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04978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COMPENSATION DISCUSSION AND ANALYSIS</w:t>
      </w:r>
    </w:p>
    <w:p>
      <w:pPr>
        <w:spacing w:after="0" w:line="235"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Other Executive Compensation Policies and Practices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On an annual basis, the Chairman &amp; CEO and the Executive Vice President &amp; Chief Human Resources Officer provide the Board with information about the succession planning for key senior leadership roles, including the CEO. Succession plans include a readiness assessment, biographical information and future career development plans. The Board’s views are incorporated into succession plans which are updated annually based on this feedback.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Committee does not believe fixed-term executive employment contracts that guarantee minimum levels of compensation over multiple years enhance shareowner value. Accordingly, our U.S.-based executives do not have employment contracts, except for certain agreements with employees from acquired businesses (such as Mr. Ortberg’s agreement described on page 67). We also have agreements with non-U.S.-based executives where local regulations and practices require employment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Post-Employment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ELG members may not engage in activities after termination or retirement that are detrimental to UTC, such as disclosing proprietary information, soliciting UTC employees or engaging in competitive activities. Violations can result in a clawback of annual and long-term incentive awards.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UTC has a comprehensive policy on recoupment (“clawback”) of executive compensation, which applies to both our annual and long-term incentive compensation programs. In the event of a financial restatement or recalculation of a financial metric applicable to an award, the Company has the right to recover annual bonus payments and gains realized from vested long-term incentive awards from any executive (including NEOs) involved in activities that caused the restatement or recalculation. Clawbacks of bonuses, long-term incentive awards and compensation realized from prior awards also may be triggered by violations of our Code of Ethics, failure to meet employee health and safety standards, violations of post-employment restrictive covenants, or the exposure of UTC to excessive risk as determined under our Enterprise Risk Management program (for additional details on this program refer to page 21). In addition, the Company has the right to recover compensation when an executive’s negligence (including negligent supervision of a subordinate) causes significant harm to UTC. If required or otherwise appropriate, the Company may publicly disclose the circumstances surrounding the Committee’s decision to seek recoupment.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No Short Sales, Pledging or Hedging of UTC Securities and No Underwater Option Buyouts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UTC does not allow its directors, officers or executives to enter into short sales of UTC Common Stock. Similarly, directors and executive officers may not pledge or assign an interest in UTC Common Stock or other equity interests as collateral for a loan. Additionally, transactions in put options, call options or other derivative securities that have the effect of hedging the value of UTC securities are also prohibited, whether or not those securities were granted to or held, directly or indirectly, by the director, officer or employee. UTC’s LTIP prohibits buyouts of underwater stock options and stock appreciation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Tax Deductibility of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To the extent consistent with other compensation objectives, the Committee has sought to minimize UTC’s compensation-related tax burden. For 2018, Internal Revenue Code section 162(m) limited UTC’s deduction to $1 million for annual compensation paid to our NEOs, as defined in section 162(m).</w:t>
      </w:r>
    </w:p>
    <w:p>
      <w:pPr>
        <w:spacing w:after="0" w:line="200" w:lineRule="exact"/>
        <w:rPr>
          <w:sz w:val="20"/>
          <w:szCs w:val="20"/>
          <w:color w:val="auto"/>
        </w:rPr>
      </w:pPr>
    </w:p>
    <w:p>
      <w:pPr>
        <w:ind w:left="880" w:hanging="628"/>
        <w:spacing w:after="0"/>
        <w:tabs>
          <w:tab w:leader="none" w:pos="880" w:val="left"/>
        </w:tabs>
        <w:numPr>
          <w:ilvl w:val="0"/>
          <w:numId w:val="136"/>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REPORT OF THE</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50430" cy="7245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72453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 xml:space="preserve">The Compensation Committee establishes and oversees the design and function of UTC’s executive compensation program. We have reviewed and discussed the foregoing Compensation Discussion and Analysis with the Management of the Company, and have recommended to the Board of Directors that the </w:t>
      </w:r>
      <w:r>
        <w:rPr>
          <w:rFonts w:ascii="Arial" w:cs="Arial" w:eastAsia="Arial" w:hAnsi="Arial"/>
          <w:sz w:val="18"/>
          <w:szCs w:val="18"/>
          <w:b w:val="1"/>
          <w:bCs w:val="1"/>
          <w:color w:val="FDB03F"/>
        </w:rPr>
        <w:t>Compensation Discussion and Analysis be included in UTC’s Proxy Statement</w:t>
      </w:r>
      <w:r>
        <w:rPr>
          <w:rFonts w:ascii="Arial" w:cs="Arial" w:eastAsia="Arial" w:hAnsi="Arial"/>
          <w:sz w:val="18"/>
          <w:szCs w:val="18"/>
          <w:color w:val="auto"/>
        </w:rPr>
        <w:t xml:space="preserve"> for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1783715"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83715" cy="188595"/>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DB03F"/>
        </w:rPr>
        <w:t>COMPENSATION COMMITTEE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Borders>
              <w:right w:val="single" w:sz="8" w:color="FDB03F"/>
            </w:tcBorders>
          </w:tcPr>
          <w:p>
            <w:pPr>
              <w:spacing w:after="0"/>
              <w:rPr>
                <w:sz w:val="20"/>
                <w:szCs w:val="20"/>
                <w:color w:val="auto"/>
              </w:rPr>
            </w:pPr>
          </w:p>
        </w:tc>
        <w:tc>
          <w:tcPr>
            <w:tcW w:w="4140" w:type="dxa"/>
            <w:vAlign w:val="bottom"/>
            <w:tcBorders>
              <w:right w:val="single" w:sz="8" w:color="FDB03F"/>
            </w:tcBorders>
          </w:tcPr>
          <w:p>
            <w:pPr>
              <w:ind w:left="140"/>
              <w:spacing w:after="0"/>
              <w:rPr>
                <w:sz w:val="20"/>
                <w:szCs w:val="20"/>
                <w:color w:val="auto"/>
              </w:rPr>
            </w:pPr>
            <w:r>
              <w:rPr>
                <w:rFonts w:ascii="Arial" w:cs="Arial" w:eastAsia="Arial" w:hAnsi="Arial"/>
                <w:sz w:val="20"/>
                <w:szCs w:val="20"/>
                <w:color w:val="auto"/>
              </w:rPr>
              <w:t>Jean-Pierre Garnier, Chair</w:t>
            </w:r>
          </w:p>
        </w:tc>
        <w:tc>
          <w:tcPr>
            <w:tcW w:w="3380" w:type="dxa"/>
            <w:vAlign w:val="bottom"/>
            <w:tcBorders>
              <w:right w:val="single" w:sz="8" w:color="FDB03F"/>
            </w:tcBorders>
          </w:tcPr>
          <w:p>
            <w:pPr>
              <w:ind w:left="140"/>
              <w:spacing w:after="0"/>
              <w:rPr>
                <w:sz w:val="20"/>
                <w:szCs w:val="20"/>
                <w:color w:val="auto"/>
              </w:rPr>
            </w:pPr>
            <w:r>
              <w:rPr>
                <w:rFonts w:ascii="Arial" w:cs="Arial" w:eastAsia="Arial" w:hAnsi="Arial"/>
                <w:sz w:val="20"/>
                <w:szCs w:val="20"/>
                <w:color w:val="auto"/>
              </w:rPr>
              <w:t>Ellen J. Kullman</w:t>
            </w:r>
          </w:p>
        </w:tc>
        <w:tc>
          <w:tcPr>
            <w:tcW w:w="2600" w:type="dxa"/>
            <w:vAlign w:val="bottom"/>
          </w:tcPr>
          <w:p>
            <w:pPr>
              <w:ind w:left="120"/>
              <w:spacing w:after="0"/>
              <w:rPr>
                <w:sz w:val="20"/>
                <w:szCs w:val="20"/>
                <w:color w:val="auto"/>
              </w:rPr>
            </w:pPr>
            <w:r>
              <w:rPr>
                <w:rFonts w:ascii="Arial" w:cs="Arial" w:eastAsia="Arial" w:hAnsi="Arial"/>
                <w:sz w:val="20"/>
                <w:szCs w:val="20"/>
                <w:color w:val="auto"/>
              </w:rPr>
              <w:t>Denise L. Ramos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4"/>
        </w:trPr>
        <w:tc>
          <w:tcPr>
            <w:tcW w:w="620" w:type="dxa"/>
            <w:vAlign w:val="bottom"/>
            <w:tcBorders>
              <w:right w:val="single" w:sz="8" w:color="FDB03F"/>
            </w:tcBorders>
          </w:tcPr>
          <w:p>
            <w:pPr>
              <w:spacing w:after="0"/>
              <w:rPr>
                <w:sz w:val="24"/>
                <w:szCs w:val="24"/>
                <w:color w:val="auto"/>
              </w:rPr>
            </w:pPr>
          </w:p>
        </w:tc>
        <w:tc>
          <w:tcPr>
            <w:tcW w:w="4140" w:type="dxa"/>
            <w:vAlign w:val="bottom"/>
            <w:tcBorders>
              <w:right w:val="single" w:sz="8" w:color="FDB03F"/>
            </w:tcBorders>
          </w:tcPr>
          <w:p>
            <w:pPr>
              <w:ind w:left="140"/>
              <w:spacing w:after="0"/>
              <w:rPr>
                <w:sz w:val="20"/>
                <w:szCs w:val="20"/>
                <w:color w:val="auto"/>
              </w:rPr>
            </w:pPr>
            <w:r>
              <w:rPr>
                <w:rFonts w:ascii="Arial" w:cs="Arial" w:eastAsia="Arial" w:hAnsi="Arial"/>
                <w:sz w:val="20"/>
                <w:szCs w:val="20"/>
                <w:color w:val="auto"/>
              </w:rPr>
              <w:t>John V. Faraci</w:t>
            </w:r>
          </w:p>
        </w:tc>
        <w:tc>
          <w:tcPr>
            <w:tcW w:w="3380" w:type="dxa"/>
            <w:vAlign w:val="bottom"/>
            <w:tcBorders>
              <w:right w:val="single" w:sz="8" w:color="FDB03F"/>
            </w:tcBorders>
          </w:tcPr>
          <w:p>
            <w:pPr>
              <w:ind w:left="140"/>
              <w:spacing w:after="0"/>
              <w:rPr>
                <w:sz w:val="20"/>
                <w:szCs w:val="20"/>
                <w:color w:val="auto"/>
              </w:rPr>
            </w:pPr>
            <w:r>
              <w:rPr>
                <w:rFonts w:ascii="Arial" w:cs="Arial" w:eastAsia="Arial" w:hAnsi="Arial"/>
                <w:sz w:val="20"/>
                <w:szCs w:val="20"/>
                <w:color w:val="auto"/>
              </w:rPr>
              <w:t>Harold W. McGraw III</w:t>
            </w:r>
          </w:p>
        </w:tc>
        <w:tc>
          <w:tcPr>
            <w:tcW w:w="2600" w:type="dxa"/>
            <w:vAlign w:val="bottom"/>
          </w:tcPr>
          <w:p>
            <w:pPr>
              <w:ind w:left="120"/>
              <w:spacing w:after="0"/>
              <w:rPr>
                <w:sz w:val="20"/>
                <w:szCs w:val="20"/>
                <w:color w:val="auto"/>
              </w:rPr>
            </w:pPr>
            <w:r>
              <w:rPr>
                <w:rFonts w:ascii="Arial" w:cs="Arial" w:eastAsia="Arial" w:hAnsi="Arial"/>
                <w:sz w:val="20"/>
                <w:szCs w:val="20"/>
                <w:color w:val="auto"/>
              </w:rPr>
              <w:t>Brian C. Rogers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98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980" w:type="dxa"/>
            <w:vAlign w:val="bottom"/>
            <w:gridSpan w:val="2"/>
          </w:tcPr>
          <w:p>
            <w:pPr>
              <w:ind w:left="40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57</w:t>
            </w:r>
          </w:p>
        </w:tc>
        <w:tc>
          <w:tcPr>
            <w:tcW w:w="20" w:type="dxa"/>
            <w:vAlign w:val="bottom"/>
          </w:tcPr>
          <w:p>
            <w:pPr>
              <w:spacing w:after="0"/>
              <w:rPr>
                <w:sz w:val="21"/>
                <w:szCs w:val="21"/>
                <w:color w:val="auto"/>
              </w:rPr>
            </w:pPr>
          </w:p>
        </w:tc>
      </w:tr>
      <w:tr>
        <w:trPr>
          <w:trHeight w:val="361"/>
        </w:trPr>
        <w:tc>
          <w:tcPr>
            <w:tcW w:w="6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283210" cy="2660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3210" cy="26606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Tables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0E93D8"/>
                <w:w w:val="97"/>
              </w:rPr>
              <w:t>SUMMARY COMPENSATION TABLE</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54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82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960" w:type="dxa"/>
            <w:vAlign w:val="bottom"/>
            <w:shd w:val="clear" w:color="auto" w:fill="DAE9F7"/>
          </w:tcPr>
          <w:p>
            <w:pPr>
              <w:spacing w:after="0"/>
              <w:rPr>
                <w:sz w:val="9"/>
                <w:szCs w:val="9"/>
                <w:color w:val="auto"/>
              </w:rPr>
            </w:pPr>
          </w:p>
        </w:tc>
        <w:tc>
          <w:tcPr>
            <w:tcW w:w="40" w:type="dxa"/>
            <w:vAlign w:val="bottom"/>
            <w:shd w:val="clear" w:color="auto" w:fill="DAE9F7"/>
          </w:tcPr>
          <w:p>
            <w:pPr>
              <w:spacing w:after="0"/>
              <w:rPr>
                <w:sz w:val="9"/>
                <w:szCs w:val="9"/>
                <w:color w:val="auto"/>
              </w:rPr>
            </w:pPr>
          </w:p>
        </w:tc>
        <w:tc>
          <w:tcPr>
            <w:tcW w:w="98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96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110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142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900" w:type="dxa"/>
            <w:vAlign w:val="bottom"/>
            <w:shd w:val="clear" w:color="auto" w:fill="DAE9F7"/>
          </w:tcPr>
          <w:p>
            <w:pPr>
              <w:spacing w:after="0"/>
              <w:rPr>
                <w:sz w:val="9"/>
                <w:szCs w:val="9"/>
                <w:color w:val="auto"/>
              </w:rPr>
            </w:pPr>
          </w:p>
        </w:tc>
        <w:tc>
          <w:tcPr>
            <w:tcW w:w="60" w:type="dxa"/>
            <w:vAlign w:val="bottom"/>
            <w:shd w:val="clear" w:color="auto" w:fill="DAE9F7"/>
          </w:tcPr>
          <w:p>
            <w:pPr>
              <w:spacing w:after="0"/>
              <w:rPr>
                <w:sz w:val="9"/>
                <w:szCs w:val="9"/>
                <w:color w:val="auto"/>
              </w:rPr>
            </w:pPr>
          </w:p>
        </w:tc>
        <w:tc>
          <w:tcPr>
            <w:tcW w:w="900" w:type="dxa"/>
            <w:vAlign w:val="bottom"/>
            <w:shd w:val="clear" w:color="auto" w:fill="DAE9F7"/>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b w:val="1"/>
                <w:bCs w:val="1"/>
                <w:color w:val="0E93D8"/>
              </w:rPr>
              <w:t>Change</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in Pension</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b w:val="1"/>
                <w:bCs w:val="1"/>
                <w:color w:val="0E93D8"/>
              </w:rPr>
              <w:t>Value and</w:t>
            </w: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0E93D8"/>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Nonqualified</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Without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Deferred</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Change in</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0E93D8"/>
              </w:rPr>
              <w:t>Bonus ($)</w:t>
            </w:r>
            <w:r>
              <w:rPr>
                <w:rFonts w:ascii="Arial" w:cs="Arial" w:eastAsia="Arial" w:hAnsi="Arial"/>
                <w:sz w:val="22"/>
                <w:szCs w:val="22"/>
                <w:b w:val="1"/>
                <w:bCs w:val="1"/>
                <w:color w:val="0E93D8"/>
                <w:vertAlign w:val="superscript"/>
              </w:rPr>
              <w:t>(1)</w:t>
            </w:r>
          </w:p>
        </w:tc>
        <w:tc>
          <w:tcPr>
            <w:tcW w:w="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0E93D8"/>
              </w:rPr>
              <w:t>Stock</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0E93D8"/>
              </w:rPr>
              <w:t>Option</w:t>
            </w:r>
          </w:p>
        </w:tc>
        <w:tc>
          <w:tcPr>
            <w:tcW w:w="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Compensation</w:t>
            </w:r>
          </w:p>
        </w:tc>
        <w:tc>
          <w:tcPr>
            <w:tcW w:w="6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b w:val="1"/>
                <w:bCs w:val="1"/>
                <w:color w:val="0E93D8"/>
              </w:rPr>
              <w:t>All Other</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0E93D8"/>
              </w:rPr>
              <w:t>Pension</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Year</w:t>
            </w:r>
          </w:p>
        </w:tc>
        <w:tc>
          <w:tcPr>
            <w:tcW w:w="540" w:type="dxa"/>
            <w:vAlign w:val="bottom"/>
            <w:tcBorders>
              <w:bottom w:val="single" w:sz="8" w:color="DAE9F7"/>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DAE9F7"/>
            </w:tcBorders>
          </w:tcPr>
          <w:p>
            <w:pPr>
              <w:jc w:val="right"/>
              <w:spacing w:after="0"/>
              <w:rPr>
                <w:sz w:val="20"/>
                <w:szCs w:val="20"/>
                <w:color w:val="auto"/>
              </w:rPr>
            </w:pPr>
            <w:r>
              <w:rPr>
                <w:rFonts w:ascii="Arial" w:cs="Arial" w:eastAsia="Arial" w:hAnsi="Arial"/>
                <w:sz w:val="14"/>
                <w:szCs w:val="14"/>
                <w:b w:val="1"/>
                <w:bCs w:val="1"/>
                <w:color w:val="0E93D8"/>
              </w:rPr>
              <w:t>Salary ($)</w:t>
            </w:r>
          </w:p>
        </w:tc>
        <w:tc>
          <w:tcPr>
            <w:tcW w:w="60" w:type="dxa"/>
            <w:vAlign w:val="bottom"/>
          </w:tcPr>
          <w:p>
            <w:pPr>
              <w:spacing w:after="0"/>
              <w:rPr>
                <w:sz w:val="20"/>
                <w:szCs w:val="20"/>
                <w:color w:val="auto"/>
              </w:rPr>
            </w:pPr>
          </w:p>
        </w:tc>
        <w:tc>
          <w:tcPr>
            <w:tcW w:w="960" w:type="dxa"/>
            <w:vAlign w:val="bottom"/>
            <w:tcBorders>
              <w:bottom w:val="single" w:sz="8" w:color="DAE9F7"/>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bottom w:val="single" w:sz="8" w:color="DAE9F7"/>
            </w:tcBorders>
          </w:tcPr>
          <w:p>
            <w:pPr>
              <w:jc w:val="right"/>
              <w:spacing w:after="0" w:line="203" w:lineRule="exact"/>
              <w:rPr>
                <w:sz w:val="20"/>
                <w:szCs w:val="20"/>
                <w:color w:val="auto"/>
              </w:rPr>
            </w:pPr>
            <w:r>
              <w:rPr>
                <w:rFonts w:ascii="Arial" w:cs="Arial" w:eastAsia="Arial" w:hAnsi="Arial"/>
                <w:sz w:val="14"/>
                <w:szCs w:val="14"/>
                <w:b w:val="1"/>
                <w:bCs w:val="1"/>
                <w:color w:val="0E93D8"/>
              </w:rPr>
              <w:t>Awards ($)</w:t>
            </w:r>
            <w:r>
              <w:rPr>
                <w:rFonts w:ascii="Arial" w:cs="Arial" w:eastAsia="Arial" w:hAnsi="Arial"/>
                <w:sz w:val="22"/>
                <w:szCs w:val="22"/>
                <w:b w:val="1"/>
                <w:bCs w:val="1"/>
                <w:color w:val="0E93D8"/>
                <w:vertAlign w:val="superscript"/>
              </w:rPr>
              <w:t>(2)</w:t>
            </w:r>
          </w:p>
        </w:tc>
        <w:tc>
          <w:tcPr>
            <w:tcW w:w="60" w:type="dxa"/>
            <w:vAlign w:val="bottom"/>
          </w:tcPr>
          <w:p>
            <w:pPr>
              <w:spacing w:after="0"/>
              <w:rPr>
                <w:sz w:val="20"/>
                <w:szCs w:val="20"/>
                <w:color w:val="auto"/>
              </w:rPr>
            </w:pPr>
          </w:p>
        </w:tc>
        <w:tc>
          <w:tcPr>
            <w:tcW w:w="960" w:type="dxa"/>
            <w:vAlign w:val="bottom"/>
            <w:tcBorders>
              <w:bottom w:val="single" w:sz="8" w:color="DAE9F7"/>
            </w:tcBorders>
          </w:tcPr>
          <w:p>
            <w:pPr>
              <w:jc w:val="right"/>
              <w:spacing w:after="0" w:line="203" w:lineRule="exact"/>
              <w:rPr>
                <w:sz w:val="20"/>
                <w:szCs w:val="20"/>
                <w:color w:val="auto"/>
              </w:rPr>
            </w:pPr>
            <w:r>
              <w:rPr>
                <w:rFonts w:ascii="Arial" w:cs="Arial" w:eastAsia="Arial" w:hAnsi="Arial"/>
                <w:sz w:val="14"/>
                <w:szCs w:val="14"/>
                <w:b w:val="1"/>
                <w:bCs w:val="1"/>
                <w:color w:val="0E93D8"/>
                <w:w w:val="98"/>
              </w:rPr>
              <w:t>Awards ($)</w:t>
            </w:r>
            <w:r>
              <w:rPr>
                <w:rFonts w:ascii="Arial" w:cs="Arial" w:eastAsia="Arial" w:hAnsi="Arial"/>
                <w:sz w:val="22"/>
                <w:szCs w:val="22"/>
                <w:b w:val="1"/>
                <w:bCs w:val="1"/>
                <w:color w:val="0E93D8"/>
                <w:w w:val="98"/>
                <w:vertAlign w:val="superscript"/>
              </w:rPr>
              <w:t>(3)</w:t>
            </w:r>
          </w:p>
        </w:tc>
        <w:tc>
          <w:tcPr>
            <w:tcW w:w="60" w:type="dxa"/>
            <w:vAlign w:val="bottom"/>
          </w:tcPr>
          <w:p>
            <w:pPr>
              <w:spacing w:after="0"/>
              <w:rPr>
                <w:sz w:val="20"/>
                <w:szCs w:val="20"/>
                <w:color w:val="auto"/>
              </w:rPr>
            </w:pPr>
          </w:p>
        </w:tc>
        <w:tc>
          <w:tcPr>
            <w:tcW w:w="1100" w:type="dxa"/>
            <w:vAlign w:val="bottom"/>
            <w:tcBorders>
              <w:bottom w:val="single" w:sz="8" w:color="DAE9F7"/>
            </w:tcBorders>
          </w:tcPr>
          <w:p>
            <w:pPr>
              <w:jc w:val="right"/>
              <w:ind w:right="12"/>
              <w:spacing w:after="0" w:line="203" w:lineRule="exact"/>
              <w:rPr>
                <w:sz w:val="20"/>
                <w:szCs w:val="20"/>
                <w:color w:val="auto"/>
              </w:rPr>
            </w:pPr>
            <w:r>
              <w:rPr>
                <w:rFonts w:ascii="Arial" w:cs="Arial" w:eastAsia="Arial" w:hAnsi="Arial"/>
                <w:sz w:val="14"/>
                <w:szCs w:val="14"/>
                <w:b w:val="1"/>
                <w:bCs w:val="1"/>
                <w:color w:val="0E93D8"/>
              </w:rPr>
              <w:t>Earnings ($)</w:t>
            </w:r>
            <w:r>
              <w:rPr>
                <w:rFonts w:ascii="Arial" w:cs="Arial" w:eastAsia="Arial" w:hAnsi="Arial"/>
                <w:sz w:val="22"/>
                <w:szCs w:val="22"/>
                <w:b w:val="1"/>
                <w:bCs w:val="1"/>
                <w:color w:val="0E93D8"/>
                <w:vertAlign w:val="superscript"/>
              </w:rPr>
              <w:t>(4)</w:t>
            </w:r>
          </w:p>
        </w:tc>
        <w:tc>
          <w:tcPr>
            <w:tcW w:w="60" w:type="dxa"/>
            <w:vAlign w:val="bottom"/>
          </w:tcPr>
          <w:p>
            <w:pPr>
              <w:spacing w:after="0"/>
              <w:rPr>
                <w:sz w:val="20"/>
                <w:szCs w:val="20"/>
                <w:color w:val="auto"/>
              </w:rPr>
            </w:pPr>
          </w:p>
        </w:tc>
        <w:tc>
          <w:tcPr>
            <w:tcW w:w="1420" w:type="dxa"/>
            <w:vAlign w:val="bottom"/>
            <w:tcBorders>
              <w:bottom w:val="single" w:sz="8" w:color="DAE9F7"/>
            </w:tcBorders>
          </w:tcPr>
          <w:p>
            <w:pPr>
              <w:jc w:val="right"/>
              <w:spacing w:after="0" w:line="203" w:lineRule="exact"/>
              <w:rPr>
                <w:sz w:val="20"/>
                <w:szCs w:val="20"/>
                <w:color w:val="auto"/>
              </w:rPr>
            </w:pPr>
            <w:r>
              <w:rPr>
                <w:rFonts w:ascii="Arial" w:cs="Arial" w:eastAsia="Arial" w:hAnsi="Arial"/>
                <w:sz w:val="14"/>
                <w:szCs w:val="14"/>
                <w:b w:val="1"/>
                <w:bCs w:val="1"/>
                <w:color w:val="0E93D8"/>
                <w:w w:val="98"/>
              </w:rPr>
              <w:t>Compensation ($)</w:t>
            </w:r>
            <w:r>
              <w:rPr>
                <w:rFonts w:ascii="Arial" w:cs="Arial" w:eastAsia="Arial" w:hAnsi="Arial"/>
                <w:sz w:val="22"/>
                <w:szCs w:val="22"/>
                <w:b w:val="1"/>
                <w:bCs w:val="1"/>
                <w:color w:val="0E93D8"/>
                <w:w w:val="98"/>
                <w:vertAlign w:val="superscript"/>
              </w:rPr>
              <w:t>(5)</w:t>
            </w:r>
          </w:p>
        </w:tc>
        <w:tc>
          <w:tcPr>
            <w:tcW w:w="60" w:type="dxa"/>
            <w:vAlign w:val="bottom"/>
          </w:tcPr>
          <w:p>
            <w:pPr>
              <w:spacing w:after="0"/>
              <w:rPr>
                <w:sz w:val="20"/>
                <w:szCs w:val="20"/>
                <w:color w:val="auto"/>
              </w:rPr>
            </w:pPr>
          </w:p>
        </w:tc>
        <w:tc>
          <w:tcPr>
            <w:tcW w:w="900" w:type="dxa"/>
            <w:vAlign w:val="bottom"/>
            <w:tcBorders>
              <w:bottom w:val="single" w:sz="8" w:color="0D92D8"/>
            </w:tcBorders>
          </w:tcPr>
          <w:p>
            <w:pPr>
              <w:jc w:val="right"/>
              <w:ind w:right="12"/>
              <w:spacing w:after="0"/>
              <w:rPr>
                <w:sz w:val="20"/>
                <w:szCs w:val="20"/>
                <w:color w:val="auto"/>
              </w:rPr>
            </w:pPr>
            <w:r>
              <w:rPr>
                <w:rFonts w:ascii="Arial" w:cs="Arial" w:eastAsia="Arial" w:hAnsi="Arial"/>
                <w:sz w:val="14"/>
                <w:szCs w:val="14"/>
                <w:b w:val="1"/>
                <w:bCs w:val="1"/>
                <w:color w:val="0E93D8"/>
              </w:rPr>
              <w:t>Total ($)</w:t>
            </w:r>
          </w:p>
        </w:tc>
        <w:tc>
          <w:tcPr>
            <w:tcW w:w="60" w:type="dxa"/>
            <w:vAlign w:val="bottom"/>
          </w:tcPr>
          <w:p>
            <w:pPr>
              <w:spacing w:after="0"/>
              <w:rPr>
                <w:sz w:val="20"/>
                <w:szCs w:val="20"/>
                <w:color w:val="auto"/>
              </w:rPr>
            </w:pPr>
          </w:p>
        </w:tc>
        <w:tc>
          <w:tcPr>
            <w:tcW w:w="900" w:type="dxa"/>
            <w:vAlign w:val="bottom"/>
            <w:tcBorders>
              <w:bottom w:val="single" w:sz="8" w:color="0D92D8"/>
            </w:tcBorders>
          </w:tcPr>
          <w:p>
            <w:pPr>
              <w:jc w:val="right"/>
              <w:ind w:right="12"/>
              <w:spacing w:after="0"/>
              <w:rPr>
                <w:sz w:val="20"/>
                <w:szCs w:val="20"/>
                <w:color w:val="auto"/>
              </w:rPr>
            </w:pPr>
            <w:r>
              <w:rPr>
                <w:rFonts w:ascii="Arial" w:cs="Arial" w:eastAsia="Arial" w:hAnsi="Arial"/>
                <w:sz w:val="14"/>
                <w:szCs w:val="14"/>
                <w:b w:val="1"/>
                <w:bCs w:val="1"/>
                <w:color w:val="0E93D8"/>
              </w:rPr>
              <w:t>Value ($)</w:t>
            </w:r>
          </w:p>
        </w:tc>
        <w:tc>
          <w:tcPr>
            <w:tcW w:w="0" w:type="dxa"/>
            <w:vAlign w:val="bottom"/>
          </w:tcPr>
          <w:p>
            <w:pPr>
              <w:spacing w:after="0"/>
              <w:rPr>
                <w:sz w:val="1"/>
                <w:szCs w:val="1"/>
                <w:color w:val="auto"/>
              </w:rPr>
            </w:pPr>
          </w:p>
        </w:tc>
      </w:tr>
      <w:tr>
        <w:trPr>
          <w:trHeight w:val="445"/>
        </w:trPr>
        <w:tc>
          <w:tcPr>
            <w:tcW w:w="3800" w:type="dxa"/>
            <w:vAlign w:val="bottom"/>
            <w:gridSpan w:val="4"/>
          </w:tcPr>
          <w:p>
            <w:pPr>
              <w:ind w:left="80"/>
              <w:spacing w:after="0"/>
              <w:rPr>
                <w:sz w:val="20"/>
                <w:szCs w:val="20"/>
                <w:color w:val="auto"/>
              </w:rPr>
            </w:pPr>
            <w:r>
              <w:rPr>
                <w:rFonts w:ascii="Arial" w:cs="Arial" w:eastAsia="Arial" w:hAnsi="Arial"/>
                <w:sz w:val="14"/>
                <w:szCs w:val="14"/>
                <w:b w:val="1"/>
                <w:bCs w:val="1"/>
                <w:color w:val="0E93D8"/>
                <w:w w:val="99"/>
              </w:rPr>
              <w:t xml:space="preserve">GREGORY J. HAYES • </w:t>
            </w:r>
            <w:r>
              <w:rPr>
                <w:rFonts w:ascii="Arial" w:cs="Arial" w:eastAsia="Arial" w:hAnsi="Arial"/>
                <w:sz w:val="14"/>
                <w:szCs w:val="14"/>
                <w:color w:val="0E93D8"/>
                <w:w w:val="99"/>
              </w:rPr>
              <w:t>Chairman &amp; Chief Executive Officer</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380" w:type="dxa"/>
            <w:vAlign w:val="bottom"/>
            <w:tcBorders>
              <w:bottom w:val="single" w:sz="8" w:color="FDB03F"/>
            </w:tcBorders>
          </w:tcPr>
          <w:p>
            <w:pPr>
              <w:spacing w:after="0"/>
              <w:rPr>
                <w:sz w:val="4"/>
                <w:szCs w:val="4"/>
                <w:color w:val="auto"/>
              </w:rPr>
            </w:pPr>
          </w:p>
        </w:tc>
        <w:tc>
          <w:tcPr>
            <w:tcW w:w="1420" w:type="dxa"/>
            <w:vAlign w:val="bottom"/>
            <w:tcBorders>
              <w:bottom w:val="single" w:sz="8" w:color="FDB03F"/>
            </w:tcBorders>
            <w:gridSpan w:val="3"/>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160" w:type="dxa"/>
            <w:vAlign w:val="bottom"/>
            <w:tcBorders>
              <w:bottom w:val="single" w:sz="8" w:color="FDB03F"/>
            </w:tcBorders>
            <w:gridSpan w:val="2"/>
          </w:tcPr>
          <w:p>
            <w:pPr>
              <w:spacing w:after="0"/>
              <w:rPr>
                <w:sz w:val="4"/>
                <w:szCs w:val="4"/>
                <w:color w:val="auto"/>
              </w:rPr>
            </w:pPr>
          </w:p>
        </w:tc>
        <w:tc>
          <w:tcPr>
            <w:tcW w:w="148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80"/>
              <w:spacing w:after="0"/>
              <w:rPr>
                <w:sz w:val="20"/>
                <w:szCs w:val="20"/>
                <w:color w:val="auto"/>
              </w:rPr>
            </w:pPr>
            <w:r>
              <w:rPr>
                <w:rFonts w:ascii="Arial" w:cs="Arial" w:eastAsia="Arial" w:hAnsi="Arial"/>
                <w:sz w:val="14"/>
                <w:szCs w:val="14"/>
                <w:color w:val="auto"/>
              </w:rPr>
              <w:t>2018</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$1,575,000</w:t>
            </w:r>
          </w:p>
        </w:tc>
        <w:tc>
          <w:tcPr>
            <w:tcW w:w="1020" w:type="dxa"/>
            <w:vAlign w:val="bottom"/>
            <w:gridSpan w:val="2"/>
          </w:tcPr>
          <w:p>
            <w:pPr>
              <w:jc w:val="right"/>
              <w:ind w:right="12"/>
              <w:spacing w:after="0"/>
              <w:rPr>
                <w:sz w:val="20"/>
                <w:szCs w:val="20"/>
                <w:color w:val="auto"/>
              </w:rPr>
            </w:pPr>
            <w:r>
              <w:rPr>
                <w:rFonts w:ascii="Arial" w:cs="Arial" w:eastAsia="Arial" w:hAnsi="Arial"/>
                <w:sz w:val="14"/>
                <w:szCs w:val="14"/>
                <w:color w:val="auto"/>
              </w:rPr>
              <w:t>$3,500,000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$8,878,810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$3,165,260</w:t>
            </w:r>
          </w:p>
        </w:tc>
        <w:tc>
          <w:tcPr>
            <w:tcW w:w="1160" w:type="dxa"/>
            <w:vAlign w:val="bottom"/>
            <w:gridSpan w:val="2"/>
          </w:tcPr>
          <w:p>
            <w:pPr>
              <w:jc w:val="right"/>
              <w:ind w:right="12"/>
              <w:spacing w:after="0"/>
              <w:rPr>
                <w:sz w:val="20"/>
                <w:szCs w:val="20"/>
                <w:color w:val="auto"/>
              </w:rPr>
            </w:pPr>
            <w:r>
              <w:rPr>
                <w:rFonts w:ascii="Arial" w:cs="Arial" w:eastAsia="Arial" w:hAnsi="Arial"/>
                <w:sz w:val="14"/>
                <w:szCs w:val="14"/>
                <w:color w:val="auto"/>
              </w:rPr>
              <w:t>$829,344</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$469,901</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$18,418,315</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$17,599,694</w:t>
            </w:r>
          </w:p>
        </w:tc>
        <w:tc>
          <w:tcPr>
            <w:tcW w:w="0" w:type="dxa"/>
            <w:vAlign w:val="bottom"/>
          </w:tcPr>
          <w:p>
            <w:pPr>
              <w:spacing w:after="0"/>
              <w:rPr>
                <w:sz w:val="1"/>
                <w:szCs w:val="1"/>
                <w:color w:val="auto"/>
              </w:rPr>
            </w:pPr>
          </w:p>
        </w:tc>
      </w:tr>
      <w:tr>
        <w:trPr>
          <w:trHeight w:val="237"/>
        </w:trPr>
        <w:tc>
          <w:tcPr>
            <w:tcW w:w="23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2017</w:t>
            </w:r>
          </w:p>
        </w:tc>
        <w:tc>
          <w:tcPr>
            <w:tcW w:w="1420" w:type="dxa"/>
            <w:vAlign w:val="bottom"/>
            <w:tcBorders>
              <w:top w:val="single" w:sz="8" w:color="7C7C7C"/>
            </w:tcBorders>
            <w:gridSpan w:val="3"/>
          </w:tcPr>
          <w:p>
            <w:pPr>
              <w:jc w:val="right"/>
              <w:spacing w:after="0"/>
              <w:rPr>
                <w:sz w:val="20"/>
                <w:szCs w:val="20"/>
                <w:color w:val="auto"/>
              </w:rPr>
            </w:pPr>
            <w:r>
              <w:rPr>
                <w:rFonts w:ascii="Arial" w:cs="Arial" w:eastAsia="Arial" w:hAnsi="Arial"/>
                <w:sz w:val="14"/>
                <w:szCs w:val="14"/>
                <w:color w:val="auto"/>
              </w:rPr>
              <w:t>$1,500,000</w:t>
            </w:r>
          </w:p>
        </w:tc>
        <w:tc>
          <w:tcPr>
            <w:tcW w:w="102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$3,300,000</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$7,877,818</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$2,589,650</w:t>
            </w:r>
          </w:p>
        </w:tc>
        <w:tc>
          <w:tcPr>
            <w:tcW w:w="116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$1,277,981</w:t>
            </w:r>
          </w:p>
        </w:tc>
        <w:tc>
          <w:tcPr>
            <w:tcW w:w="14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$482,044</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$17,027,493</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$15,759,799</w:t>
            </w:r>
          </w:p>
        </w:tc>
        <w:tc>
          <w:tcPr>
            <w:tcW w:w="0" w:type="dxa"/>
            <w:vAlign w:val="bottom"/>
          </w:tcPr>
          <w:p>
            <w:pPr>
              <w:spacing w:after="0"/>
              <w:rPr>
                <w:sz w:val="1"/>
                <w:szCs w:val="1"/>
                <w:color w:val="auto"/>
              </w:rPr>
            </w:pPr>
          </w:p>
        </w:tc>
      </w:tr>
      <w:tr>
        <w:trPr>
          <w:trHeight w:val="237"/>
        </w:trPr>
        <w:tc>
          <w:tcPr>
            <w:tcW w:w="23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2016</w:t>
            </w:r>
          </w:p>
        </w:tc>
        <w:tc>
          <w:tcPr>
            <w:tcW w:w="1420" w:type="dxa"/>
            <w:vAlign w:val="bottom"/>
            <w:tcBorders>
              <w:top w:val="single" w:sz="8" w:color="7C7C7C"/>
            </w:tcBorders>
            <w:gridSpan w:val="3"/>
          </w:tcPr>
          <w:p>
            <w:pPr>
              <w:jc w:val="right"/>
              <w:spacing w:after="0"/>
              <w:rPr>
                <w:sz w:val="20"/>
                <w:szCs w:val="20"/>
                <w:color w:val="auto"/>
              </w:rPr>
            </w:pPr>
            <w:r>
              <w:rPr>
                <w:rFonts w:ascii="Arial" w:cs="Arial" w:eastAsia="Arial" w:hAnsi="Arial"/>
                <w:sz w:val="14"/>
                <w:szCs w:val="14"/>
                <w:color w:val="auto"/>
              </w:rPr>
              <w:t>$1,450,000</w:t>
            </w:r>
          </w:p>
        </w:tc>
        <w:tc>
          <w:tcPr>
            <w:tcW w:w="102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$3,000,000</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$4,960,217</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$3,706,560</w:t>
            </w:r>
          </w:p>
        </w:tc>
        <w:tc>
          <w:tcPr>
            <w:tcW w:w="116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$2,392,716</w:t>
            </w:r>
          </w:p>
        </w:tc>
        <w:tc>
          <w:tcPr>
            <w:tcW w:w="14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$321,842</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$15,831,335</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$13,448,390</w:t>
            </w:r>
          </w:p>
        </w:tc>
        <w:tc>
          <w:tcPr>
            <w:tcW w:w="0" w:type="dxa"/>
            <w:vAlign w:val="bottom"/>
          </w:tcPr>
          <w:p>
            <w:pPr>
              <w:spacing w:after="0"/>
              <w:rPr>
                <w:sz w:val="1"/>
                <w:szCs w:val="1"/>
                <w:color w:val="auto"/>
              </w:rPr>
            </w:pPr>
          </w:p>
        </w:tc>
      </w:tr>
      <w:tr>
        <w:trPr>
          <w:trHeight w:val="439"/>
        </w:trPr>
        <w:tc>
          <w:tcPr>
            <w:tcW w:w="4820" w:type="dxa"/>
            <w:vAlign w:val="bottom"/>
            <w:tcBorders>
              <w:top w:val="single" w:sz="8" w:color="auto"/>
            </w:tcBorders>
            <w:gridSpan w:val="6"/>
          </w:tcPr>
          <w:p>
            <w:pPr>
              <w:ind w:left="80"/>
              <w:spacing w:after="0"/>
              <w:rPr>
                <w:sz w:val="20"/>
                <w:szCs w:val="20"/>
                <w:color w:val="auto"/>
              </w:rPr>
            </w:pPr>
            <w:r>
              <w:rPr>
                <w:rFonts w:ascii="Arial" w:cs="Arial" w:eastAsia="Arial" w:hAnsi="Arial"/>
                <w:sz w:val="14"/>
                <w:szCs w:val="14"/>
                <w:b w:val="1"/>
                <w:bCs w:val="1"/>
                <w:color w:val="0E93D8"/>
              </w:rPr>
              <w:t xml:space="preserve">AKHIL JOHRI • </w:t>
            </w:r>
            <w:r>
              <w:rPr>
                <w:rFonts w:ascii="Arial" w:cs="Arial" w:eastAsia="Arial" w:hAnsi="Arial"/>
                <w:sz w:val="14"/>
                <w:szCs w:val="14"/>
                <w:color w:val="0E93D8"/>
              </w:rPr>
              <w:t>Executive Vice President &amp; Chief Financial Officer</w:t>
            </w: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380" w:type="dxa"/>
            <w:vAlign w:val="bottom"/>
            <w:tcBorders>
              <w:bottom w:val="single" w:sz="8" w:color="FDB03F"/>
            </w:tcBorders>
          </w:tcPr>
          <w:p>
            <w:pPr>
              <w:spacing w:after="0"/>
              <w:rPr>
                <w:sz w:val="4"/>
                <w:szCs w:val="4"/>
                <w:color w:val="auto"/>
              </w:rPr>
            </w:pPr>
          </w:p>
        </w:tc>
        <w:tc>
          <w:tcPr>
            <w:tcW w:w="1420" w:type="dxa"/>
            <w:vAlign w:val="bottom"/>
            <w:tcBorders>
              <w:bottom w:val="single" w:sz="8" w:color="FDB03F"/>
            </w:tcBorders>
            <w:gridSpan w:val="3"/>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160" w:type="dxa"/>
            <w:vAlign w:val="bottom"/>
            <w:tcBorders>
              <w:bottom w:val="single" w:sz="8" w:color="FDB03F"/>
            </w:tcBorders>
            <w:gridSpan w:val="2"/>
          </w:tcPr>
          <w:p>
            <w:pPr>
              <w:spacing w:after="0"/>
              <w:rPr>
                <w:sz w:val="4"/>
                <w:szCs w:val="4"/>
                <w:color w:val="auto"/>
              </w:rPr>
            </w:pPr>
          </w:p>
        </w:tc>
        <w:tc>
          <w:tcPr>
            <w:tcW w:w="148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80"/>
              <w:spacing w:after="0"/>
              <w:rPr>
                <w:sz w:val="20"/>
                <w:szCs w:val="20"/>
                <w:color w:val="auto"/>
              </w:rPr>
            </w:pPr>
            <w:r>
              <w:rPr>
                <w:rFonts w:ascii="Arial" w:cs="Arial" w:eastAsia="Arial" w:hAnsi="Arial"/>
                <w:sz w:val="14"/>
                <w:szCs w:val="14"/>
                <w:color w:val="auto"/>
              </w:rPr>
              <w:t>2018</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$890,000</w:t>
            </w:r>
          </w:p>
        </w:tc>
        <w:tc>
          <w:tcPr>
            <w:tcW w:w="1020" w:type="dxa"/>
            <w:vAlign w:val="bottom"/>
            <w:gridSpan w:val="2"/>
          </w:tcPr>
          <w:p>
            <w:pPr>
              <w:jc w:val="right"/>
              <w:ind w:right="12"/>
              <w:spacing w:after="0"/>
              <w:rPr>
                <w:sz w:val="20"/>
                <w:szCs w:val="20"/>
                <w:color w:val="auto"/>
              </w:rPr>
            </w:pPr>
            <w:r>
              <w:rPr>
                <w:rFonts w:ascii="Arial" w:cs="Arial" w:eastAsia="Arial" w:hAnsi="Arial"/>
                <w:sz w:val="14"/>
                <w:szCs w:val="14"/>
                <w:color w:val="auto"/>
              </w:rPr>
              <w:t>$1,200,000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$2,950,834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$1,051,810</w:t>
            </w:r>
          </w:p>
        </w:tc>
        <w:tc>
          <w:tcPr>
            <w:tcW w:w="1160" w:type="dxa"/>
            <w:vAlign w:val="bottom"/>
            <w:gridSpan w:val="2"/>
          </w:tcPr>
          <w:p>
            <w:pPr>
              <w:jc w:val="right"/>
              <w:ind w:right="12"/>
              <w:spacing w:after="0"/>
              <w:rPr>
                <w:sz w:val="20"/>
                <w:szCs w:val="20"/>
                <w:color w:val="auto"/>
              </w:rPr>
            </w:pPr>
            <w:r>
              <w:rPr>
                <w:rFonts w:ascii="Arial" w:cs="Arial" w:eastAsia="Arial" w:hAnsi="Arial"/>
                <w:sz w:val="14"/>
                <w:szCs w:val="14"/>
                <w:color w:val="auto"/>
              </w:rPr>
              <w:t>$0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$361,924</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$6,454,568</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$6,454,568</w:t>
            </w:r>
          </w:p>
        </w:tc>
        <w:tc>
          <w:tcPr>
            <w:tcW w:w="0" w:type="dxa"/>
            <w:vAlign w:val="bottom"/>
          </w:tcPr>
          <w:p>
            <w:pPr>
              <w:spacing w:after="0"/>
              <w:rPr>
                <w:sz w:val="1"/>
                <w:szCs w:val="1"/>
                <w:color w:val="auto"/>
              </w:rPr>
            </w:pPr>
          </w:p>
        </w:tc>
      </w:tr>
      <w:tr>
        <w:trPr>
          <w:trHeight w:val="237"/>
        </w:trPr>
        <w:tc>
          <w:tcPr>
            <w:tcW w:w="23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2017</w:t>
            </w:r>
          </w:p>
        </w:tc>
        <w:tc>
          <w:tcPr>
            <w:tcW w:w="1420" w:type="dxa"/>
            <w:vAlign w:val="bottom"/>
            <w:tcBorders>
              <w:top w:val="single" w:sz="8" w:color="7C7C7C"/>
            </w:tcBorders>
            <w:gridSpan w:val="3"/>
          </w:tcPr>
          <w:p>
            <w:pPr>
              <w:jc w:val="right"/>
              <w:spacing w:after="0"/>
              <w:rPr>
                <w:sz w:val="20"/>
                <w:szCs w:val="20"/>
                <w:color w:val="auto"/>
              </w:rPr>
            </w:pPr>
            <w:r>
              <w:rPr>
                <w:rFonts w:ascii="Arial" w:cs="Arial" w:eastAsia="Arial" w:hAnsi="Arial"/>
                <w:sz w:val="14"/>
                <w:szCs w:val="14"/>
                <w:color w:val="auto"/>
              </w:rPr>
              <w:t>$851,250</w:t>
            </w:r>
          </w:p>
        </w:tc>
        <w:tc>
          <w:tcPr>
            <w:tcW w:w="102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$1,100,000</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$2,674,030</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$883,225</w:t>
            </w:r>
          </w:p>
        </w:tc>
        <w:tc>
          <w:tcPr>
            <w:tcW w:w="116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$198,047</w:t>
            </w:r>
          </w:p>
        </w:tc>
        <w:tc>
          <w:tcPr>
            <w:tcW w:w="14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$356,512</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$6,063,064</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$5,865,017</w:t>
            </w:r>
          </w:p>
        </w:tc>
        <w:tc>
          <w:tcPr>
            <w:tcW w:w="0" w:type="dxa"/>
            <w:vAlign w:val="bottom"/>
          </w:tcPr>
          <w:p>
            <w:pPr>
              <w:spacing w:after="0"/>
              <w:rPr>
                <w:sz w:val="1"/>
                <w:szCs w:val="1"/>
                <w:color w:val="auto"/>
              </w:rPr>
            </w:pPr>
          </w:p>
        </w:tc>
      </w:tr>
      <w:tr>
        <w:trPr>
          <w:trHeight w:val="237"/>
        </w:trPr>
        <w:tc>
          <w:tcPr>
            <w:tcW w:w="23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2016</w:t>
            </w:r>
          </w:p>
        </w:tc>
        <w:tc>
          <w:tcPr>
            <w:tcW w:w="1420" w:type="dxa"/>
            <w:vAlign w:val="bottom"/>
            <w:tcBorders>
              <w:top w:val="single" w:sz="8" w:color="7C7C7C"/>
            </w:tcBorders>
            <w:gridSpan w:val="3"/>
          </w:tcPr>
          <w:p>
            <w:pPr>
              <w:jc w:val="right"/>
              <w:spacing w:after="0"/>
              <w:rPr>
                <w:sz w:val="20"/>
                <w:szCs w:val="20"/>
                <w:color w:val="auto"/>
              </w:rPr>
            </w:pPr>
            <w:r>
              <w:rPr>
                <w:rFonts w:ascii="Arial" w:cs="Arial" w:eastAsia="Arial" w:hAnsi="Arial"/>
                <w:sz w:val="14"/>
                <w:szCs w:val="14"/>
                <w:color w:val="auto"/>
              </w:rPr>
              <w:t>$766,667</w:t>
            </w:r>
          </w:p>
        </w:tc>
        <w:tc>
          <w:tcPr>
            <w:tcW w:w="102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$1,100,000</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$1,609,731</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$1,207,440</w:t>
            </w:r>
          </w:p>
        </w:tc>
        <w:tc>
          <w:tcPr>
            <w:tcW w:w="116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$151,840</w:t>
            </w:r>
          </w:p>
        </w:tc>
        <w:tc>
          <w:tcPr>
            <w:tcW w:w="14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$259,356</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$5,095,034</w:t>
            </w:r>
          </w:p>
        </w:tc>
        <w:tc>
          <w:tcPr>
            <w:tcW w:w="60" w:type="dxa"/>
            <w:vAlign w:val="bottom"/>
            <w:tcBorders>
              <w:top w:val="single" w:sz="8" w:color="7C7C7C"/>
            </w:tcBorders>
          </w:tcPr>
          <w:p>
            <w:pPr>
              <w:spacing w:after="0"/>
              <w:rPr>
                <w:sz w:val="20"/>
                <w:szCs w:val="20"/>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$4,943,194</w:t>
            </w:r>
          </w:p>
        </w:tc>
        <w:tc>
          <w:tcPr>
            <w:tcW w:w="0" w:type="dxa"/>
            <w:vAlign w:val="bottom"/>
          </w:tcPr>
          <w:p>
            <w:pPr>
              <w:spacing w:after="0"/>
              <w:rPr>
                <w:sz w:val="1"/>
                <w:szCs w:val="1"/>
                <w:color w:val="auto"/>
              </w:rPr>
            </w:pPr>
          </w:p>
        </w:tc>
      </w:tr>
      <w:tr>
        <w:trPr>
          <w:trHeight w:val="541"/>
        </w:trPr>
        <w:tc>
          <w:tcPr>
            <w:tcW w:w="4820" w:type="dxa"/>
            <w:vAlign w:val="bottom"/>
            <w:tcBorders>
              <w:top w:val="single" w:sz="8" w:color="auto"/>
              <w:bottom w:val="single" w:sz="8" w:color="FDB03F"/>
            </w:tcBorders>
            <w:gridSpan w:val="6"/>
          </w:tcPr>
          <w:p>
            <w:pPr>
              <w:ind w:left="80"/>
              <w:spacing w:after="0"/>
              <w:rPr>
                <w:sz w:val="20"/>
                <w:szCs w:val="20"/>
                <w:color w:val="auto"/>
              </w:rPr>
            </w:pPr>
            <w:r>
              <w:rPr>
                <w:rFonts w:ascii="Arial" w:cs="Arial" w:eastAsia="Arial" w:hAnsi="Arial"/>
                <w:sz w:val="14"/>
                <w:szCs w:val="14"/>
                <w:b w:val="1"/>
                <w:bCs w:val="1"/>
                <w:color w:val="0E93D8"/>
              </w:rPr>
              <w:t xml:space="preserve">ROBERT K. ORTBERG • </w:t>
            </w:r>
            <w:r>
              <w:rPr>
                <w:rFonts w:ascii="Arial" w:cs="Arial" w:eastAsia="Arial" w:hAnsi="Arial"/>
                <w:sz w:val="14"/>
                <w:szCs w:val="14"/>
                <w:color w:val="0E93D8"/>
              </w:rPr>
              <w:t>Chief Executive Officer, Collins Aerospace</w:t>
            </w:r>
            <w:r>
              <w:rPr>
                <w:rFonts w:ascii="Arial" w:cs="Arial" w:eastAsia="Arial" w:hAnsi="Arial"/>
                <w:sz w:val="22"/>
                <w:szCs w:val="22"/>
                <w:color w:val="0E93D8"/>
                <w:vertAlign w:val="superscript"/>
              </w:rPr>
              <w:t>(6)</w:t>
            </w:r>
          </w:p>
        </w:tc>
        <w:tc>
          <w:tcPr>
            <w:tcW w:w="40" w:type="dxa"/>
            <w:vAlign w:val="bottom"/>
            <w:tcBorders>
              <w:top w:val="single" w:sz="8" w:color="auto"/>
              <w:bottom w:val="single" w:sz="8" w:color="FDB03F"/>
            </w:tcBorders>
          </w:tcPr>
          <w:p>
            <w:pPr>
              <w:spacing w:after="0"/>
              <w:rPr>
                <w:sz w:val="24"/>
                <w:szCs w:val="24"/>
                <w:color w:val="auto"/>
              </w:rPr>
            </w:pPr>
          </w:p>
        </w:tc>
        <w:tc>
          <w:tcPr>
            <w:tcW w:w="980" w:type="dxa"/>
            <w:vAlign w:val="bottom"/>
            <w:tcBorders>
              <w:top w:val="single" w:sz="8" w:color="auto"/>
              <w:bottom w:val="single" w:sz="8" w:color="FDB03F"/>
            </w:tcBorders>
          </w:tcPr>
          <w:p>
            <w:pPr>
              <w:spacing w:after="0"/>
              <w:rPr>
                <w:sz w:val="24"/>
                <w:szCs w:val="24"/>
                <w:color w:val="auto"/>
              </w:rPr>
            </w:pPr>
          </w:p>
        </w:tc>
        <w:tc>
          <w:tcPr>
            <w:tcW w:w="60" w:type="dxa"/>
            <w:vAlign w:val="bottom"/>
            <w:tcBorders>
              <w:top w:val="single" w:sz="8" w:color="auto"/>
              <w:bottom w:val="single" w:sz="8" w:color="FDB03F"/>
            </w:tcBorders>
          </w:tcPr>
          <w:p>
            <w:pPr>
              <w:spacing w:after="0"/>
              <w:rPr>
                <w:sz w:val="24"/>
                <w:szCs w:val="24"/>
                <w:color w:val="auto"/>
              </w:rPr>
            </w:pPr>
          </w:p>
        </w:tc>
        <w:tc>
          <w:tcPr>
            <w:tcW w:w="960" w:type="dxa"/>
            <w:vAlign w:val="bottom"/>
            <w:tcBorders>
              <w:top w:val="single" w:sz="8" w:color="auto"/>
              <w:bottom w:val="single" w:sz="8" w:color="FDB03F"/>
            </w:tcBorders>
          </w:tcPr>
          <w:p>
            <w:pPr>
              <w:spacing w:after="0"/>
              <w:rPr>
                <w:sz w:val="24"/>
                <w:szCs w:val="24"/>
                <w:color w:val="auto"/>
              </w:rPr>
            </w:pPr>
          </w:p>
        </w:tc>
        <w:tc>
          <w:tcPr>
            <w:tcW w:w="60" w:type="dxa"/>
            <w:vAlign w:val="bottom"/>
            <w:tcBorders>
              <w:top w:val="single" w:sz="8" w:color="auto"/>
              <w:bottom w:val="single" w:sz="8" w:color="FDB03F"/>
            </w:tcBorders>
          </w:tcPr>
          <w:p>
            <w:pPr>
              <w:spacing w:after="0"/>
              <w:rPr>
                <w:sz w:val="24"/>
                <w:szCs w:val="24"/>
                <w:color w:val="auto"/>
              </w:rPr>
            </w:pPr>
          </w:p>
        </w:tc>
        <w:tc>
          <w:tcPr>
            <w:tcW w:w="1100" w:type="dxa"/>
            <w:vAlign w:val="bottom"/>
            <w:tcBorders>
              <w:top w:val="single" w:sz="8" w:color="auto"/>
              <w:bottom w:val="single" w:sz="8" w:color="FDB03F"/>
            </w:tcBorders>
          </w:tcPr>
          <w:p>
            <w:pPr>
              <w:spacing w:after="0"/>
              <w:rPr>
                <w:sz w:val="24"/>
                <w:szCs w:val="24"/>
                <w:color w:val="auto"/>
              </w:rPr>
            </w:pPr>
          </w:p>
        </w:tc>
        <w:tc>
          <w:tcPr>
            <w:tcW w:w="60" w:type="dxa"/>
            <w:vAlign w:val="bottom"/>
            <w:tcBorders>
              <w:top w:val="single" w:sz="8" w:color="auto"/>
              <w:bottom w:val="single" w:sz="8" w:color="FDB03F"/>
            </w:tcBorders>
          </w:tcPr>
          <w:p>
            <w:pPr>
              <w:spacing w:after="0"/>
              <w:rPr>
                <w:sz w:val="24"/>
                <w:szCs w:val="24"/>
                <w:color w:val="auto"/>
              </w:rPr>
            </w:pPr>
          </w:p>
        </w:tc>
        <w:tc>
          <w:tcPr>
            <w:tcW w:w="1420" w:type="dxa"/>
            <w:vAlign w:val="bottom"/>
            <w:tcBorders>
              <w:top w:val="single" w:sz="8" w:color="auto"/>
              <w:bottom w:val="single" w:sz="8" w:color="FDB03F"/>
            </w:tcBorders>
          </w:tcPr>
          <w:p>
            <w:pPr>
              <w:spacing w:after="0"/>
              <w:rPr>
                <w:sz w:val="24"/>
                <w:szCs w:val="24"/>
                <w:color w:val="auto"/>
              </w:rPr>
            </w:pPr>
          </w:p>
        </w:tc>
        <w:tc>
          <w:tcPr>
            <w:tcW w:w="60" w:type="dxa"/>
            <w:vAlign w:val="bottom"/>
            <w:tcBorders>
              <w:top w:val="single" w:sz="8" w:color="auto"/>
              <w:bottom w:val="single" w:sz="8" w:color="FDB03F"/>
            </w:tcBorders>
          </w:tcPr>
          <w:p>
            <w:pPr>
              <w:spacing w:after="0"/>
              <w:rPr>
                <w:sz w:val="24"/>
                <w:szCs w:val="24"/>
                <w:color w:val="auto"/>
              </w:rPr>
            </w:pPr>
          </w:p>
        </w:tc>
        <w:tc>
          <w:tcPr>
            <w:tcW w:w="900" w:type="dxa"/>
            <w:vAlign w:val="bottom"/>
            <w:tcBorders>
              <w:top w:val="single" w:sz="8" w:color="auto"/>
              <w:bottom w:val="single" w:sz="8" w:color="FDB03F"/>
            </w:tcBorders>
          </w:tcPr>
          <w:p>
            <w:pPr>
              <w:spacing w:after="0"/>
              <w:rPr>
                <w:sz w:val="24"/>
                <w:szCs w:val="24"/>
                <w:color w:val="auto"/>
              </w:rPr>
            </w:pPr>
          </w:p>
        </w:tc>
        <w:tc>
          <w:tcPr>
            <w:tcW w:w="60" w:type="dxa"/>
            <w:vAlign w:val="bottom"/>
            <w:tcBorders>
              <w:top w:val="single" w:sz="8" w:color="auto"/>
              <w:bottom w:val="single" w:sz="8" w:color="FDB03F"/>
            </w:tcBorders>
          </w:tcPr>
          <w:p>
            <w:pPr>
              <w:spacing w:after="0"/>
              <w:rPr>
                <w:sz w:val="24"/>
                <w:szCs w:val="24"/>
                <w:color w:val="auto"/>
              </w:rPr>
            </w:pPr>
          </w:p>
        </w:tc>
        <w:tc>
          <w:tcPr>
            <w:tcW w:w="900" w:type="dxa"/>
            <w:vAlign w:val="bottom"/>
            <w:tcBorders>
              <w:top w:val="single" w:sz="8" w:color="auto"/>
              <w:bottom w:val="single" w:sz="8" w:color="FDB03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80"/>
              <w:spacing w:after="0"/>
              <w:rPr>
                <w:sz w:val="20"/>
                <w:szCs w:val="20"/>
                <w:color w:val="auto"/>
              </w:rPr>
            </w:pPr>
            <w:r>
              <w:rPr>
                <w:rFonts w:ascii="Arial" w:cs="Arial" w:eastAsia="Arial" w:hAnsi="Arial"/>
                <w:sz w:val="14"/>
                <w:szCs w:val="14"/>
                <w:color w:val="auto"/>
              </w:rPr>
              <w:t>2018</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$112,240</w:t>
            </w:r>
          </w:p>
        </w:tc>
        <w:tc>
          <w:tcPr>
            <w:tcW w:w="1020" w:type="dxa"/>
            <w:vAlign w:val="bottom"/>
            <w:gridSpan w:val="2"/>
          </w:tcPr>
          <w:p>
            <w:pPr>
              <w:jc w:val="right"/>
              <w:ind w:right="12"/>
              <w:spacing w:after="0"/>
              <w:rPr>
                <w:sz w:val="20"/>
                <w:szCs w:val="20"/>
                <w:color w:val="auto"/>
              </w:rPr>
            </w:pPr>
            <w:r>
              <w:rPr>
                <w:rFonts w:ascii="Arial" w:cs="Arial" w:eastAsia="Arial" w:hAnsi="Arial"/>
                <w:sz w:val="14"/>
                <w:szCs w:val="14"/>
                <w:color w:val="auto"/>
              </w:rPr>
              <w:t>$140,300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$9,875,022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12"/>
              <w:spacing w:after="0"/>
              <w:rPr>
                <w:sz w:val="20"/>
                <w:szCs w:val="20"/>
                <w:color w:val="auto"/>
              </w:rPr>
            </w:pPr>
            <w:r>
              <w:rPr>
                <w:rFonts w:ascii="Arial" w:cs="Arial" w:eastAsia="Arial" w:hAnsi="Arial"/>
                <w:sz w:val="14"/>
                <w:szCs w:val="14"/>
                <w:color w:val="auto"/>
              </w:rPr>
              <w:t>$30,107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$147,381</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$10,305,050</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$10,274,943</w:t>
            </w:r>
          </w:p>
        </w:tc>
        <w:tc>
          <w:tcPr>
            <w:tcW w:w="0" w:type="dxa"/>
            <w:vAlign w:val="bottom"/>
          </w:tcPr>
          <w:p>
            <w:pPr>
              <w:spacing w:after="0"/>
              <w:rPr>
                <w:sz w:val="1"/>
                <w:szCs w:val="1"/>
                <w:color w:val="auto"/>
              </w:rPr>
            </w:pPr>
          </w:p>
        </w:tc>
      </w:tr>
      <w:tr>
        <w:trPr>
          <w:trHeight w:val="439"/>
        </w:trPr>
        <w:tc>
          <w:tcPr>
            <w:tcW w:w="23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0E93D8"/>
              </w:rPr>
              <w:t xml:space="preserve">JUDITH F. MARKS • </w:t>
            </w:r>
            <w:r>
              <w:rPr>
                <w:rFonts w:ascii="Arial" w:cs="Arial" w:eastAsia="Arial" w:hAnsi="Arial"/>
                <w:sz w:val="14"/>
                <w:szCs w:val="14"/>
                <w:color w:val="0E93D8"/>
              </w:rPr>
              <w:t>President, Otis</w:t>
            </w: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380" w:type="dxa"/>
            <w:vAlign w:val="bottom"/>
            <w:tcBorders>
              <w:bottom w:val="single" w:sz="8" w:color="FDB03F"/>
            </w:tcBorders>
          </w:tcPr>
          <w:p>
            <w:pPr>
              <w:spacing w:after="0"/>
              <w:rPr>
                <w:sz w:val="4"/>
                <w:szCs w:val="4"/>
                <w:color w:val="auto"/>
              </w:rPr>
            </w:pPr>
          </w:p>
        </w:tc>
        <w:tc>
          <w:tcPr>
            <w:tcW w:w="1420" w:type="dxa"/>
            <w:vAlign w:val="bottom"/>
            <w:tcBorders>
              <w:bottom w:val="single" w:sz="8" w:color="FDB03F"/>
            </w:tcBorders>
            <w:gridSpan w:val="3"/>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160" w:type="dxa"/>
            <w:vAlign w:val="bottom"/>
            <w:tcBorders>
              <w:bottom w:val="single" w:sz="8" w:color="FDB03F"/>
            </w:tcBorders>
            <w:gridSpan w:val="2"/>
          </w:tcPr>
          <w:p>
            <w:pPr>
              <w:spacing w:after="0"/>
              <w:rPr>
                <w:sz w:val="4"/>
                <w:szCs w:val="4"/>
                <w:color w:val="auto"/>
              </w:rPr>
            </w:pPr>
          </w:p>
        </w:tc>
        <w:tc>
          <w:tcPr>
            <w:tcW w:w="148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2018</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$868,750</w:t>
            </w:r>
          </w:p>
        </w:tc>
        <w:tc>
          <w:tcPr>
            <w:tcW w:w="1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$1,400,000</w:t>
            </w:r>
            <w:r>
              <w:rPr>
                <w:rFonts w:ascii="Arial" w:cs="Arial" w:eastAsia="Arial" w:hAnsi="Arial"/>
                <w:sz w:val="22"/>
                <w:szCs w:val="22"/>
                <w:color w:val="auto"/>
                <w:vertAlign w:val="superscript"/>
              </w:rPr>
              <w:t>(7)</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$2,950,834</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$1,051,810</w:t>
            </w:r>
          </w:p>
        </w:tc>
        <w:tc>
          <w:tcPr>
            <w:tcW w:w="11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$241,555</w:t>
            </w: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$6,512,949</w:t>
            </w: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$6,512,949</w:t>
            </w:r>
          </w:p>
        </w:tc>
        <w:tc>
          <w:tcPr>
            <w:tcW w:w="0" w:type="dxa"/>
            <w:vAlign w:val="bottom"/>
          </w:tcPr>
          <w:p>
            <w:pPr>
              <w:spacing w:after="0"/>
              <w:rPr>
                <w:sz w:val="1"/>
                <w:szCs w:val="1"/>
                <w:color w:val="auto"/>
              </w:rPr>
            </w:pPr>
          </w:p>
        </w:tc>
      </w:tr>
      <w:tr>
        <w:trPr>
          <w:trHeight w:val="439"/>
        </w:trPr>
        <w:tc>
          <w:tcPr>
            <w:tcW w:w="4820" w:type="dxa"/>
            <w:vAlign w:val="bottom"/>
            <w:gridSpan w:val="6"/>
          </w:tcPr>
          <w:p>
            <w:pPr>
              <w:ind w:left="80"/>
              <w:spacing w:after="0"/>
              <w:rPr>
                <w:sz w:val="20"/>
                <w:szCs w:val="20"/>
                <w:color w:val="auto"/>
              </w:rPr>
            </w:pPr>
            <w:r>
              <w:rPr>
                <w:rFonts w:ascii="Arial" w:cs="Arial" w:eastAsia="Arial" w:hAnsi="Arial"/>
                <w:sz w:val="14"/>
                <w:szCs w:val="14"/>
                <w:b w:val="1"/>
                <w:bCs w:val="1"/>
                <w:color w:val="0E93D8"/>
              </w:rPr>
              <w:t xml:space="preserve">DAVID L. GITLIN • </w:t>
            </w:r>
            <w:r>
              <w:rPr>
                <w:rFonts w:ascii="Arial" w:cs="Arial" w:eastAsia="Arial" w:hAnsi="Arial"/>
                <w:sz w:val="14"/>
                <w:szCs w:val="14"/>
                <w:color w:val="0E93D8"/>
              </w:rPr>
              <w:t>President &amp; Chief Operating Officer, Collins Aerospace</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380" w:type="dxa"/>
            <w:vAlign w:val="bottom"/>
            <w:tcBorders>
              <w:bottom w:val="single" w:sz="8" w:color="FDB03F"/>
            </w:tcBorders>
          </w:tcPr>
          <w:p>
            <w:pPr>
              <w:spacing w:after="0"/>
              <w:rPr>
                <w:sz w:val="4"/>
                <w:szCs w:val="4"/>
                <w:color w:val="auto"/>
              </w:rPr>
            </w:pPr>
          </w:p>
        </w:tc>
        <w:tc>
          <w:tcPr>
            <w:tcW w:w="1420" w:type="dxa"/>
            <w:vAlign w:val="bottom"/>
            <w:tcBorders>
              <w:bottom w:val="single" w:sz="8" w:color="FDB03F"/>
            </w:tcBorders>
            <w:gridSpan w:val="3"/>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020" w:type="dxa"/>
            <w:vAlign w:val="bottom"/>
            <w:tcBorders>
              <w:bottom w:val="single" w:sz="8" w:color="FDB03F"/>
            </w:tcBorders>
            <w:gridSpan w:val="2"/>
          </w:tcPr>
          <w:p>
            <w:pPr>
              <w:spacing w:after="0"/>
              <w:rPr>
                <w:sz w:val="4"/>
                <w:szCs w:val="4"/>
                <w:color w:val="auto"/>
              </w:rPr>
            </w:pPr>
          </w:p>
        </w:tc>
        <w:tc>
          <w:tcPr>
            <w:tcW w:w="1160" w:type="dxa"/>
            <w:vAlign w:val="bottom"/>
            <w:tcBorders>
              <w:bottom w:val="single" w:sz="8" w:color="FDB03F"/>
            </w:tcBorders>
            <w:gridSpan w:val="2"/>
          </w:tcPr>
          <w:p>
            <w:pPr>
              <w:spacing w:after="0"/>
              <w:rPr>
                <w:sz w:val="4"/>
                <w:szCs w:val="4"/>
                <w:color w:val="auto"/>
              </w:rPr>
            </w:pPr>
          </w:p>
        </w:tc>
        <w:tc>
          <w:tcPr>
            <w:tcW w:w="148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960" w:type="dxa"/>
            <w:vAlign w:val="bottom"/>
            <w:tcBorders>
              <w:bottom w:val="single" w:sz="8" w:color="FDB03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80"/>
              <w:spacing w:after="0"/>
              <w:rPr>
                <w:sz w:val="20"/>
                <w:szCs w:val="20"/>
                <w:color w:val="auto"/>
              </w:rPr>
            </w:pPr>
            <w:r>
              <w:rPr>
                <w:rFonts w:ascii="Arial" w:cs="Arial" w:eastAsia="Arial" w:hAnsi="Arial"/>
                <w:sz w:val="14"/>
                <w:szCs w:val="14"/>
                <w:color w:val="auto"/>
              </w:rPr>
              <w:t>2018</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$900,000</w:t>
            </w:r>
          </w:p>
        </w:tc>
        <w:tc>
          <w:tcPr>
            <w:tcW w:w="1020" w:type="dxa"/>
            <w:vAlign w:val="bottom"/>
            <w:gridSpan w:val="2"/>
          </w:tcPr>
          <w:p>
            <w:pPr>
              <w:jc w:val="right"/>
              <w:ind w:right="12"/>
              <w:spacing w:after="0"/>
              <w:rPr>
                <w:sz w:val="20"/>
                <w:szCs w:val="20"/>
                <w:color w:val="auto"/>
              </w:rPr>
            </w:pPr>
            <w:r>
              <w:rPr>
                <w:rFonts w:ascii="Arial" w:cs="Arial" w:eastAsia="Arial" w:hAnsi="Arial"/>
                <w:sz w:val="14"/>
                <w:szCs w:val="14"/>
                <w:color w:val="auto"/>
              </w:rPr>
              <w:t>$1,300,000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$2,950,834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$1,051,810</w:t>
            </w:r>
          </w:p>
        </w:tc>
        <w:tc>
          <w:tcPr>
            <w:tcW w:w="1160" w:type="dxa"/>
            <w:vAlign w:val="bottom"/>
            <w:gridSpan w:val="2"/>
          </w:tcPr>
          <w:p>
            <w:pPr>
              <w:jc w:val="right"/>
              <w:ind w:right="12"/>
              <w:spacing w:after="0"/>
              <w:rPr>
                <w:sz w:val="20"/>
                <w:szCs w:val="20"/>
                <w:color w:val="auto"/>
              </w:rPr>
            </w:pPr>
            <w:r>
              <w:rPr>
                <w:rFonts w:ascii="Arial" w:cs="Arial" w:eastAsia="Arial" w:hAnsi="Arial"/>
                <w:sz w:val="14"/>
                <w:szCs w:val="14"/>
                <w:color w:val="auto"/>
              </w:rPr>
              <w:t>$0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$239,548</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$6,442,192</w:t>
            </w:r>
          </w:p>
        </w:tc>
        <w:tc>
          <w:tcPr>
            <w:tcW w:w="60" w:type="dxa"/>
            <w:vAlign w:val="bottom"/>
          </w:tcPr>
          <w:p>
            <w:pPr>
              <w:spacing w:after="0"/>
              <w:rPr>
                <w:sz w:val="21"/>
                <w:szCs w:val="21"/>
                <w:color w:val="auto"/>
              </w:rPr>
            </w:pPr>
          </w:p>
        </w:tc>
        <w:tc>
          <w:tcPr>
            <w:tcW w:w="90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$6,442,192</w:t>
            </w:r>
          </w:p>
        </w:tc>
        <w:tc>
          <w:tcPr>
            <w:tcW w:w="0" w:type="dxa"/>
            <w:vAlign w:val="bottom"/>
          </w:tcPr>
          <w:p>
            <w:pPr>
              <w:spacing w:after="0"/>
              <w:rPr>
                <w:sz w:val="1"/>
                <w:szCs w:val="1"/>
                <w:color w:val="auto"/>
              </w:rPr>
            </w:pPr>
          </w:p>
        </w:tc>
      </w:tr>
      <w:tr>
        <w:trPr>
          <w:trHeight w:val="217"/>
        </w:trPr>
        <w:tc>
          <w:tcPr>
            <w:tcW w:w="23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2017</w:t>
            </w:r>
          </w:p>
        </w:tc>
        <w:tc>
          <w:tcPr>
            <w:tcW w:w="1420" w:type="dxa"/>
            <w:vAlign w:val="bottom"/>
            <w:tcBorders>
              <w:top w:val="single" w:sz="8" w:color="7C7C7C"/>
            </w:tcBorders>
            <w:gridSpan w:val="3"/>
          </w:tcPr>
          <w:p>
            <w:pPr>
              <w:jc w:val="right"/>
              <w:spacing w:after="0"/>
              <w:rPr>
                <w:sz w:val="20"/>
                <w:szCs w:val="20"/>
                <w:color w:val="auto"/>
              </w:rPr>
            </w:pPr>
            <w:r>
              <w:rPr>
                <w:rFonts w:ascii="Arial" w:cs="Arial" w:eastAsia="Arial" w:hAnsi="Arial"/>
                <w:sz w:val="14"/>
                <w:szCs w:val="14"/>
                <w:color w:val="auto"/>
              </w:rPr>
              <w:t>$812,500</w:t>
            </w:r>
          </w:p>
        </w:tc>
        <w:tc>
          <w:tcPr>
            <w:tcW w:w="102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$1,100,000</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$6,855,052</w:t>
            </w:r>
          </w:p>
        </w:tc>
        <w:tc>
          <w:tcPr>
            <w:tcW w:w="10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$943,250</w:t>
            </w:r>
          </w:p>
        </w:tc>
        <w:tc>
          <w:tcPr>
            <w:tcW w:w="1160" w:type="dxa"/>
            <w:vAlign w:val="bottom"/>
            <w:tcBorders>
              <w:top w:val="single" w:sz="8" w:color="7C7C7C"/>
            </w:tcBorders>
            <w:gridSpan w:val="2"/>
          </w:tcPr>
          <w:p>
            <w:pPr>
              <w:jc w:val="right"/>
              <w:ind w:right="12"/>
              <w:spacing w:after="0"/>
              <w:rPr>
                <w:sz w:val="20"/>
                <w:szCs w:val="20"/>
                <w:color w:val="auto"/>
              </w:rPr>
            </w:pPr>
            <w:r>
              <w:rPr>
                <w:rFonts w:ascii="Arial" w:cs="Arial" w:eastAsia="Arial" w:hAnsi="Arial"/>
                <w:sz w:val="14"/>
                <w:szCs w:val="14"/>
                <w:color w:val="auto"/>
              </w:rPr>
              <w:t>$385,996</w:t>
            </w:r>
          </w:p>
        </w:tc>
        <w:tc>
          <w:tcPr>
            <w:tcW w:w="14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$181,970</w:t>
            </w:r>
          </w:p>
        </w:tc>
        <w:tc>
          <w:tcPr>
            <w:tcW w:w="60" w:type="dxa"/>
            <w:vAlign w:val="bottom"/>
            <w:tcBorders>
              <w:top w:val="single" w:sz="8" w:color="7C7C7C"/>
            </w:tcBorders>
          </w:tcPr>
          <w:p>
            <w:pPr>
              <w:spacing w:after="0"/>
              <w:rPr>
                <w:sz w:val="18"/>
                <w:szCs w:val="18"/>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$10,278,768</w:t>
            </w:r>
          </w:p>
        </w:tc>
        <w:tc>
          <w:tcPr>
            <w:tcW w:w="60" w:type="dxa"/>
            <w:vAlign w:val="bottom"/>
            <w:tcBorders>
              <w:top w:val="single" w:sz="8" w:color="7C7C7C"/>
            </w:tcBorders>
          </w:tcPr>
          <w:p>
            <w:pPr>
              <w:spacing w:after="0"/>
              <w:rPr>
                <w:sz w:val="18"/>
                <w:szCs w:val="18"/>
                <w:color w:val="auto"/>
              </w:rPr>
            </w:pPr>
          </w:p>
        </w:tc>
        <w:tc>
          <w:tcPr>
            <w:tcW w:w="900" w:type="dxa"/>
            <w:vAlign w:val="bottom"/>
            <w:tcBorders>
              <w:top w:val="single" w:sz="8" w:color="7C7C7C"/>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$9,892,772</w:t>
            </w: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right="40" w:hanging="212"/>
        <w:spacing w:after="0" w:line="226" w:lineRule="auto"/>
        <w:tabs>
          <w:tab w:leader="none" w:pos="220" w:val="left"/>
        </w:tabs>
        <w:numPr>
          <w:ilvl w:val="0"/>
          <w:numId w:val="137"/>
        </w:numPr>
        <w:rPr>
          <w:rFonts w:ascii="Arial" w:cs="Arial" w:eastAsia="Arial" w:hAnsi="Arial"/>
          <w:sz w:val="14"/>
          <w:szCs w:val="14"/>
          <w:color w:val="auto"/>
        </w:rPr>
      </w:pPr>
      <w:r>
        <w:rPr>
          <w:rFonts w:ascii="Arial" w:cs="Arial" w:eastAsia="Arial" w:hAnsi="Arial"/>
          <w:sz w:val="14"/>
          <w:szCs w:val="14"/>
          <w:color w:val="0E93D8"/>
        </w:rPr>
        <w:t xml:space="preserve">Bonus. </w:t>
      </w:r>
      <w:r>
        <w:rPr>
          <w:rFonts w:ascii="Arial" w:cs="Arial" w:eastAsia="Arial" w:hAnsi="Arial"/>
          <w:sz w:val="14"/>
          <w:szCs w:val="14"/>
          <w:color w:val="000000"/>
        </w:rPr>
        <w:t>Cash bonuses provided under the UTC Annual Executive Incentive Compensation Plan. Payments are primarily based on measured performance against pre-established goals.</w:t>
      </w:r>
      <w:r>
        <w:rPr>
          <w:rFonts w:ascii="Arial" w:cs="Arial" w:eastAsia="Arial" w:hAnsi="Arial"/>
          <w:sz w:val="14"/>
          <w:szCs w:val="14"/>
          <w:color w:val="0E93D8"/>
        </w:rPr>
        <w:t xml:space="preserve"> </w:t>
      </w:r>
      <w:r>
        <w:rPr>
          <w:rFonts w:ascii="Arial" w:cs="Arial" w:eastAsia="Arial" w:hAnsi="Arial"/>
          <w:sz w:val="14"/>
          <w:szCs w:val="14"/>
          <w:color w:val="000000"/>
        </w:rPr>
        <w:t>However, the Committee retains discretion to adjust annual bonus amounts based on its assessment of overall performance. Consequently, we report annual bonuses in the Bonus column rather than in the Non-Equity Incentive Plan Compensation column. For Mr. Ortberg, the amount shown reflects a pro-rata target bonus paid for the period between November 26, 2018 (the closing date of the Rockwell Collins acquisition) and the end of the calendar year.</w:t>
      </w:r>
    </w:p>
    <w:p>
      <w:pPr>
        <w:spacing w:after="0" w:line="55" w:lineRule="exact"/>
        <w:rPr>
          <w:rFonts w:ascii="Arial" w:cs="Arial" w:eastAsia="Arial" w:hAnsi="Arial"/>
          <w:sz w:val="14"/>
          <w:szCs w:val="14"/>
          <w:color w:val="auto"/>
        </w:rPr>
      </w:pPr>
    </w:p>
    <w:p>
      <w:pPr>
        <w:ind w:left="220" w:right="140" w:hanging="212"/>
        <w:spacing w:after="0" w:line="224" w:lineRule="auto"/>
        <w:tabs>
          <w:tab w:leader="none" w:pos="220" w:val="left"/>
        </w:tabs>
        <w:numPr>
          <w:ilvl w:val="0"/>
          <w:numId w:val="137"/>
        </w:numPr>
        <w:rPr>
          <w:rFonts w:ascii="Arial" w:cs="Arial" w:eastAsia="Arial" w:hAnsi="Arial"/>
          <w:sz w:val="14"/>
          <w:szCs w:val="14"/>
          <w:color w:val="auto"/>
        </w:rPr>
      </w:pPr>
      <w:r>
        <w:rPr>
          <w:rFonts w:ascii="Arial" w:cs="Arial" w:eastAsia="Arial" w:hAnsi="Arial"/>
          <w:sz w:val="14"/>
          <w:szCs w:val="14"/>
          <w:color w:val="0E93D8"/>
        </w:rPr>
        <w:t xml:space="preserve">Stock Awards. </w:t>
      </w:r>
      <w:r>
        <w:rPr>
          <w:rFonts w:ascii="Arial" w:cs="Arial" w:eastAsia="Arial" w:hAnsi="Arial"/>
          <w:sz w:val="14"/>
          <w:szCs w:val="14"/>
          <w:color w:val="000000"/>
        </w:rPr>
        <w:t>Grant date fair value of PSUs and RSUs issued under the LTIP, calculated in accordance with the Compensation — Stock Compensation Topic of the FASB ASC, but</w:t>
      </w:r>
      <w:r>
        <w:rPr>
          <w:rFonts w:ascii="Arial" w:cs="Arial" w:eastAsia="Arial" w:hAnsi="Arial"/>
          <w:sz w:val="14"/>
          <w:szCs w:val="14"/>
          <w:color w:val="0E93D8"/>
        </w:rPr>
        <w:t xml:space="preserve"> </w:t>
      </w:r>
      <w:r>
        <w:rPr>
          <w:rFonts w:ascii="Arial" w:cs="Arial" w:eastAsia="Arial" w:hAnsi="Arial"/>
          <w:sz w:val="14"/>
          <w:szCs w:val="14"/>
          <w:color w:val="000000"/>
        </w:rPr>
        <w:t>excluding the effect of estimated forfeitures. The assumptions made in calculating the fair value of these awards are set forth in Note 12: Employee Benefit Plans, to the Consolidated Financial Statements in Exhibit 13 to UTC’s 2018 Annual Report on Form 10-K (“2018 Form 10-K”). PSU awards are discussed in the Compensation Discussion and Analysis and in footnote (2) of the Grants of Plan-Based Awards table on page 60 of this Proxy Statement. The grant date fair values shown for PSU awards granted in 2018 to our NEOs assume target-level performance. If the highest level of performance is achieved, the grant date fair values would be: Mr. Hayes, $10,453,351; Mr. Johri, $3,470,081; Ms. Marks, $3,470,081; and Mr. Gitlin, $3,470,081. Mr. Ortberg did not receive PSUs in 2018. Following the close of the Rockwell Collins acquisition, UTC entered into an agreement with Mr. Ortberg to waive his rights and benefits under his Rockwell Collins change-in-control agreement. In exchange, he was granted a one-time retention RSU award which includes various post-termination restrictive covenants that protect UTC’s interests. Additional details concerning this award can be found on page 67.</w:t>
      </w:r>
    </w:p>
    <w:p>
      <w:pPr>
        <w:spacing w:after="0" w:line="53" w:lineRule="exact"/>
        <w:rPr>
          <w:rFonts w:ascii="Arial" w:cs="Arial" w:eastAsia="Arial" w:hAnsi="Arial"/>
          <w:sz w:val="14"/>
          <w:szCs w:val="14"/>
          <w:color w:val="auto"/>
        </w:rPr>
      </w:pPr>
    </w:p>
    <w:p>
      <w:pPr>
        <w:ind w:left="220" w:right="20" w:hanging="212"/>
        <w:spacing w:after="0" w:line="228" w:lineRule="auto"/>
        <w:tabs>
          <w:tab w:leader="none" w:pos="220" w:val="left"/>
        </w:tabs>
        <w:numPr>
          <w:ilvl w:val="0"/>
          <w:numId w:val="137"/>
        </w:numPr>
        <w:rPr>
          <w:rFonts w:ascii="Arial" w:cs="Arial" w:eastAsia="Arial" w:hAnsi="Arial"/>
          <w:sz w:val="14"/>
          <w:szCs w:val="14"/>
          <w:color w:val="auto"/>
        </w:rPr>
      </w:pPr>
      <w:r>
        <w:rPr>
          <w:rFonts w:ascii="Arial" w:cs="Arial" w:eastAsia="Arial" w:hAnsi="Arial"/>
          <w:sz w:val="14"/>
          <w:szCs w:val="14"/>
          <w:color w:val="0E93D8"/>
        </w:rPr>
        <w:t xml:space="preserve">Option Awards. </w:t>
      </w:r>
      <w:r>
        <w:rPr>
          <w:rFonts w:ascii="Arial" w:cs="Arial" w:eastAsia="Arial" w:hAnsi="Arial"/>
          <w:sz w:val="14"/>
          <w:szCs w:val="14"/>
          <w:color w:val="000000"/>
        </w:rPr>
        <w:t>Grant date fair value of SARs granted under the LTIP, calculated in accordance with the Compensation — Stock Compensation Topic of the FASB ASC, but excluding the</w:t>
      </w:r>
      <w:r>
        <w:rPr>
          <w:rFonts w:ascii="Arial" w:cs="Arial" w:eastAsia="Arial" w:hAnsi="Arial"/>
          <w:sz w:val="14"/>
          <w:szCs w:val="14"/>
          <w:color w:val="0E93D8"/>
        </w:rPr>
        <w:t xml:space="preserve"> </w:t>
      </w:r>
      <w:r>
        <w:rPr>
          <w:rFonts w:ascii="Arial" w:cs="Arial" w:eastAsia="Arial" w:hAnsi="Arial"/>
          <w:sz w:val="14"/>
          <w:szCs w:val="14"/>
          <w:color w:val="000000"/>
        </w:rPr>
        <w:t>effect of estimated forfeitures. The assumptions made in the valuation of these awards are set forth in Note 12: Employee Benefit Plans, to the Consolidated Financial Statements in Exhibit 13 to UTC’s 2018 Form 10-K.</w:t>
      </w:r>
    </w:p>
    <w:p>
      <w:pPr>
        <w:spacing w:after="0" w:line="54" w:lineRule="exact"/>
        <w:rPr>
          <w:rFonts w:ascii="Arial" w:cs="Arial" w:eastAsia="Arial" w:hAnsi="Arial"/>
          <w:sz w:val="14"/>
          <w:szCs w:val="14"/>
          <w:color w:val="auto"/>
        </w:rPr>
      </w:pPr>
    </w:p>
    <w:p>
      <w:pPr>
        <w:ind w:left="220" w:hanging="212"/>
        <w:spacing w:after="0" w:line="264" w:lineRule="auto"/>
        <w:tabs>
          <w:tab w:leader="none" w:pos="220" w:val="left"/>
        </w:tabs>
        <w:numPr>
          <w:ilvl w:val="0"/>
          <w:numId w:val="137"/>
        </w:numPr>
        <w:rPr>
          <w:rFonts w:ascii="Arial" w:cs="Arial" w:eastAsia="Arial" w:hAnsi="Arial"/>
          <w:sz w:val="12"/>
          <w:szCs w:val="12"/>
          <w:color w:val="auto"/>
        </w:rPr>
      </w:pPr>
      <w:r>
        <w:rPr>
          <w:rFonts w:ascii="Arial" w:cs="Arial" w:eastAsia="Arial" w:hAnsi="Arial"/>
          <w:sz w:val="12"/>
          <w:szCs w:val="12"/>
          <w:color w:val="0E93D8"/>
        </w:rPr>
        <w:t xml:space="preserve">Change in Pension Value and Nonqualified Deferred Compensation Earnings. </w:t>
      </w:r>
      <w:r>
        <w:rPr>
          <w:rFonts w:ascii="Arial" w:cs="Arial" w:eastAsia="Arial" w:hAnsi="Arial"/>
          <w:sz w:val="12"/>
          <w:szCs w:val="12"/>
          <w:color w:val="000000"/>
        </w:rPr>
        <w:t>The amounts in this column reflect the change, if any, in the year-over-year actuarial present value of each</w:t>
      </w:r>
      <w:r>
        <w:rPr>
          <w:rFonts w:ascii="Arial" w:cs="Arial" w:eastAsia="Arial" w:hAnsi="Arial"/>
          <w:sz w:val="12"/>
          <w:szCs w:val="12"/>
          <w:color w:val="0E93D8"/>
        </w:rPr>
        <w:t xml:space="preserve"> </w:t>
      </w:r>
      <w:r>
        <w:rPr>
          <w:rFonts w:ascii="Arial" w:cs="Arial" w:eastAsia="Arial" w:hAnsi="Arial"/>
          <w:sz w:val="12"/>
          <w:szCs w:val="12"/>
          <w:color w:val="000000"/>
        </w:rPr>
        <w:t>executive’s accrued benefit under UTC’s defined benefit plans and above-market earnings (if any) under UTC’s deferred compensation plans. Actuarial value computations are based on the assumptions established in accordance with the Compensation — Retirement Benefits Topic of the FASB ASC and discussed in Note 12: Employee Benefit Plans, to the Consolidated Financial Statements in Exhibit 13 to UTC’s 2018 Form 10-K. The actuarial value of pension benefits normally increases each year with the value of additional pension benefits earned (if applicable) and age, which reduces the time required to retire with an unreduced benefit. This year there was a net reduction in actuarial value for Mr. Johri and Mr. Gitlin because the discount rate used to determine the present value of these benefits increased from 3.59% in 2017 to 4.28% in 2018. In accordance with SEC rules, no amount is reported for the NEOs with a negative value. The total year-over-year decrease in pension benefits for Mr. Johri was -$54,011 and for Mr. Gitlin was -$39,886. UTC’s deferred compensation plans do not provide above-market rates of return. However, an above-market interest rate is paid under the frozen Sundstrand Corporation Deferred Compensation Plan, which was assumed by UTC upon the acquisition of Sundstrand Corporation in 1999. Mr. Hayes accrued $10,723 in above-market earnings under this plan in 2018.</w:t>
      </w:r>
    </w:p>
    <w:p>
      <w:pPr>
        <w:spacing w:after="0" w:line="362" w:lineRule="exact"/>
        <w:rPr>
          <w:sz w:val="20"/>
          <w:szCs w:val="20"/>
          <w:color w:val="auto"/>
        </w:rPr>
      </w:pPr>
    </w:p>
    <w:p>
      <w:pPr>
        <w:ind w:left="880" w:hanging="628"/>
        <w:spacing w:after="0"/>
        <w:tabs>
          <w:tab w:leader="none" w:pos="880" w:val="left"/>
        </w:tabs>
        <w:numPr>
          <w:ilvl w:val="0"/>
          <w:numId w:val="138"/>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146685</wp:posOffset>
            </wp:positionV>
            <wp:extent cx="1191895"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FFFFFF"/>
        </w:rPr>
        <w:t>COMPENSATION TABLES</w:t>
      </w:r>
    </w:p>
    <w:p>
      <w:pPr>
        <w:spacing w:after="0" w:line="274"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14"/>
          <w:szCs w:val="14"/>
          <w:color w:val="auto"/>
        </w:rPr>
      </w:pPr>
      <w:r>
        <w:rPr>
          <w:rFonts w:ascii="Arial" w:cs="Arial" w:eastAsia="Arial" w:hAnsi="Arial"/>
          <w:sz w:val="14"/>
          <w:szCs w:val="14"/>
          <w:color w:val="0E93D8"/>
        </w:rPr>
        <w:t xml:space="preserve">All Other Compensation. </w:t>
      </w:r>
      <w:r>
        <w:rPr>
          <w:rFonts w:ascii="Arial" w:cs="Arial" w:eastAsia="Arial" w:hAnsi="Arial"/>
          <w:sz w:val="14"/>
          <w:szCs w:val="14"/>
          <w:color w:val="000000"/>
        </w:rPr>
        <w:t>The 2018 amounts in this column consist of the following items: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4F4F4F"/>
              </w:rPr>
              <w:t>Company</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F4F4F"/>
              </w:rPr>
              <w:t>Personal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4F4F4F"/>
              </w:rPr>
              <w:t>Company</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4F4F4F"/>
                <w:w w:val="99"/>
              </w:rPr>
              <w:t>Contributions to</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F4F4F"/>
              </w:rPr>
              <w:t>Use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4F4F4F"/>
                <w:w w:val="98"/>
              </w:rPr>
              <w:t>Contributions</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4F4F4F"/>
              </w:rPr>
              <w:t>Non-Qualified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7"/>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w w:val="98"/>
              </w:rPr>
              <w:t>Corporate</w:t>
            </w: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Leased</w:t>
            </w:r>
          </w:p>
        </w:tc>
        <w:tc>
          <w:tcPr>
            <w:tcW w:w="1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Insurance</w:t>
            </w:r>
          </w:p>
        </w:tc>
        <w:tc>
          <w:tcPr>
            <w:tcW w:w="10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to 401(k)</w:t>
            </w:r>
          </w:p>
        </w:tc>
        <w:tc>
          <w:tcPr>
            <w:tcW w:w="10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Retirement</w:t>
            </w: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Relocation</w:t>
            </w: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Financial</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b w:val="1"/>
                <w:bCs w:val="1"/>
                <w:color w:val="4F4F4F"/>
              </w:rPr>
              <w:t>Healthcare</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58"/>
        </w:trPr>
        <w:tc>
          <w:tcPr>
            <w:tcW w:w="2380" w:type="dxa"/>
            <w:vAlign w:val="bottom"/>
            <w:tcBorders>
              <w:bottom w:val="single" w:sz="8" w:color="D6D6D6"/>
            </w:tcBorders>
          </w:tcPr>
          <w:p>
            <w:pPr>
              <w:ind w:left="60"/>
              <w:spacing w:after="0"/>
              <w:rPr>
                <w:sz w:val="20"/>
                <w:szCs w:val="20"/>
                <w:color w:val="auto"/>
              </w:rPr>
            </w:pPr>
            <w:r>
              <w:rPr>
                <w:rFonts w:ascii="Arial" w:cs="Arial" w:eastAsia="Arial" w:hAnsi="Arial"/>
                <w:sz w:val="14"/>
                <w:szCs w:val="14"/>
                <w:b w:val="1"/>
                <w:bCs w:val="1"/>
                <w:color w:val="4F4F4F"/>
              </w:rPr>
              <w:t>Name</w:t>
            </w:r>
          </w:p>
        </w:tc>
        <w:tc>
          <w:tcPr>
            <w:tcW w:w="100" w:type="dxa"/>
            <w:vAlign w:val="bottom"/>
          </w:tcPr>
          <w:p>
            <w:pPr>
              <w:spacing w:after="0"/>
              <w:rPr>
                <w:sz w:val="22"/>
                <w:szCs w:val="22"/>
                <w:color w:val="auto"/>
              </w:rPr>
            </w:pPr>
          </w:p>
        </w:tc>
        <w:tc>
          <w:tcPr>
            <w:tcW w:w="72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w w:val="97"/>
              </w:rPr>
              <w:t>Aircraft</w:t>
            </w:r>
            <w:r>
              <w:rPr>
                <w:rFonts w:ascii="Arial" w:cs="Arial" w:eastAsia="Arial" w:hAnsi="Arial"/>
                <w:sz w:val="22"/>
                <w:szCs w:val="22"/>
                <w:b w:val="1"/>
                <w:bCs w:val="1"/>
                <w:color w:val="4F4F4F"/>
                <w:w w:val="97"/>
                <w:vertAlign w:val="superscript"/>
              </w:rPr>
              <w:t>(a)</w:t>
            </w:r>
          </w:p>
        </w:tc>
        <w:tc>
          <w:tcPr>
            <w:tcW w:w="100" w:type="dxa"/>
            <w:vAlign w:val="bottom"/>
          </w:tcPr>
          <w:p>
            <w:pPr>
              <w:spacing w:after="0"/>
              <w:rPr>
                <w:sz w:val="22"/>
                <w:szCs w:val="22"/>
                <w:color w:val="auto"/>
              </w:rPr>
            </w:pPr>
          </w:p>
        </w:tc>
        <w:tc>
          <w:tcPr>
            <w:tcW w:w="68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w w:val="94"/>
              </w:rPr>
              <w:t>Vehicle</w:t>
            </w:r>
            <w:r>
              <w:rPr>
                <w:rFonts w:ascii="Arial" w:cs="Arial" w:eastAsia="Arial" w:hAnsi="Arial"/>
                <w:sz w:val="22"/>
                <w:szCs w:val="22"/>
                <w:b w:val="1"/>
                <w:bCs w:val="1"/>
                <w:color w:val="4F4F4F"/>
                <w:w w:val="94"/>
                <w:vertAlign w:val="superscript"/>
              </w:rPr>
              <w:t>(b)</w:t>
            </w:r>
          </w:p>
        </w:tc>
        <w:tc>
          <w:tcPr>
            <w:tcW w:w="100" w:type="dxa"/>
            <w:vAlign w:val="bottom"/>
          </w:tcPr>
          <w:p>
            <w:pPr>
              <w:spacing w:after="0"/>
              <w:rPr>
                <w:sz w:val="22"/>
                <w:szCs w:val="22"/>
                <w:color w:val="auto"/>
              </w:rPr>
            </w:pPr>
          </w:p>
        </w:tc>
        <w:tc>
          <w:tcPr>
            <w:tcW w:w="86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w w:val="95"/>
              </w:rPr>
              <w:t>Premiums</w:t>
            </w:r>
            <w:r>
              <w:rPr>
                <w:rFonts w:ascii="Arial" w:cs="Arial" w:eastAsia="Arial" w:hAnsi="Arial"/>
                <w:sz w:val="22"/>
                <w:szCs w:val="22"/>
                <w:b w:val="1"/>
                <w:bCs w:val="1"/>
                <w:color w:val="4F4F4F"/>
                <w:w w:val="95"/>
                <w:vertAlign w:val="superscript"/>
              </w:rPr>
              <w:t>(c)</w:t>
            </w:r>
          </w:p>
        </w:tc>
        <w:tc>
          <w:tcPr>
            <w:tcW w:w="100" w:type="dxa"/>
            <w:vAlign w:val="bottom"/>
          </w:tcPr>
          <w:p>
            <w:pPr>
              <w:spacing w:after="0"/>
              <w:rPr>
                <w:sz w:val="22"/>
                <w:szCs w:val="22"/>
                <w:color w:val="auto"/>
              </w:rPr>
            </w:pPr>
          </w:p>
        </w:tc>
        <w:tc>
          <w:tcPr>
            <w:tcW w:w="96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rPr>
              <w:t>Plans</w:t>
            </w:r>
            <w:r>
              <w:rPr>
                <w:rFonts w:ascii="Arial" w:cs="Arial" w:eastAsia="Arial" w:hAnsi="Arial"/>
                <w:sz w:val="22"/>
                <w:szCs w:val="22"/>
                <w:b w:val="1"/>
                <w:bCs w:val="1"/>
                <w:color w:val="4F4F4F"/>
                <w:vertAlign w:val="superscript"/>
              </w:rPr>
              <w:t>(d)</w:t>
            </w:r>
          </w:p>
        </w:tc>
        <w:tc>
          <w:tcPr>
            <w:tcW w:w="100" w:type="dxa"/>
            <w:vAlign w:val="bottom"/>
          </w:tcPr>
          <w:p>
            <w:pPr>
              <w:spacing w:after="0"/>
              <w:rPr>
                <w:sz w:val="22"/>
                <w:szCs w:val="22"/>
                <w:color w:val="auto"/>
              </w:rPr>
            </w:pPr>
          </w:p>
        </w:tc>
        <w:tc>
          <w:tcPr>
            <w:tcW w:w="112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rPr>
              <w:t>Plans</w:t>
            </w:r>
            <w:r>
              <w:rPr>
                <w:rFonts w:ascii="Arial" w:cs="Arial" w:eastAsia="Arial" w:hAnsi="Arial"/>
                <w:sz w:val="22"/>
                <w:szCs w:val="22"/>
                <w:b w:val="1"/>
                <w:bCs w:val="1"/>
                <w:color w:val="4F4F4F"/>
                <w:vertAlign w:val="superscript"/>
              </w:rPr>
              <w:t>(e)</w:t>
            </w:r>
          </w:p>
        </w:tc>
        <w:tc>
          <w:tcPr>
            <w:tcW w:w="100" w:type="dxa"/>
            <w:vAlign w:val="bottom"/>
          </w:tcPr>
          <w:p>
            <w:pPr>
              <w:spacing w:after="0"/>
              <w:rPr>
                <w:sz w:val="22"/>
                <w:szCs w:val="22"/>
                <w:color w:val="auto"/>
              </w:rPr>
            </w:pPr>
          </w:p>
        </w:tc>
        <w:tc>
          <w:tcPr>
            <w:tcW w:w="78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rPr>
              <w:t>Benefits</w:t>
            </w:r>
            <w:r>
              <w:rPr>
                <w:rFonts w:ascii="Arial" w:cs="Arial" w:eastAsia="Arial" w:hAnsi="Arial"/>
                <w:sz w:val="22"/>
                <w:szCs w:val="22"/>
                <w:b w:val="1"/>
                <w:bCs w:val="1"/>
                <w:color w:val="4F4F4F"/>
                <w:vertAlign w:val="superscript"/>
              </w:rPr>
              <w:t>(f)</w:t>
            </w:r>
          </w:p>
        </w:tc>
        <w:tc>
          <w:tcPr>
            <w:tcW w:w="80" w:type="dxa"/>
            <w:vAlign w:val="bottom"/>
          </w:tcPr>
          <w:p>
            <w:pPr>
              <w:spacing w:after="0"/>
              <w:rPr>
                <w:sz w:val="22"/>
                <w:szCs w:val="22"/>
                <w:color w:val="auto"/>
              </w:rPr>
            </w:pPr>
          </w:p>
        </w:tc>
        <w:tc>
          <w:tcPr>
            <w:tcW w:w="80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w w:val="94"/>
              </w:rPr>
              <w:t>Planning</w:t>
            </w:r>
            <w:r>
              <w:rPr>
                <w:rFonts w:ascii="Arial" w:cs="Arial" w:eastAsia="Arial" w:hAnsi="Arial"/>
                <w:sz w:val="22"/>
                <w:szCs w:val="22"/>
                <w:b w:val="1"/>
                <w:bCs w:val="1"/>
                <w:color w:val="4F4F4F"/>
                <w:w w:val="94"/>
                <w:vertAlign w:val="superscript"/>
              </w:rPr>
              <w:t>(g)</w:t>
            </w:r>
          </w:p>
        </w:tc>
        <w:tc>
          <w:tcPr>
            <w:tcW w:w="100" w:type="dxa"/>
            <w:vAlign w:val="bottom"/>
          </w:tcPr>
          <w:p>
            <w:pPr>
              <w:spacing w:after="0"/>
              <w:rPr>
                <w:sz w:val="22"/>
                <w:szCs w:val="22"/>
                <w:color w:val="auto"/>
              </w:rPr>
            </w:pPr>
          </w:p>
        </w:tc>
        <w:tc>
          <w:tcPr>
            <w:tcW w:w="760" w:type="dxa"/>
            <w:vAlign w:val="bottom"/>
            <w:tcBorders>
              <w:bottom w:val="single" w:sz="8" w:color="D6D6D6"/>
            </w:tcBorders>
          </w:tcPr>
          <w:p>
            <w:pPr>
              <w:jc w:val="right"/>
              <w:spacing w:after="0" w:line="224" w:lineRule="exact"/>
              <w:rPr>
                <w:sz w:val="20"/>
                <w:szCs w:val="20"/>
                <w:color w:val="auto"/>
              </w:rPr>
            </w:pPr>
            <w:r>
              <w:rPr>
                <w:rFonts w:ascii="Arial" w:cs="Arial" w:eastAsia="Arial" w:hAnsi="Arial"/>
                <w:sz w:val="14"/>
                <w:szCs w:val="14"/>
                <w:b w:val="1"/>
                <w:bCs w:val="1"/>
                <w:color w:val="4F4F4F"/>
                <w:w w:val="97"/>
              </w:rPr>
              <w:t>Benefits</w:t>
            </w:r>
            <w:r>
              <w:rPr>
                <w:rFonts w:ascii="Arial" w:cs="Arial" w:eastAsia="Arial" w:hAnsi="Arial"/>
                <w:sz w:val="22"/>
                <w:szCs w:val="22"/>
                <w:b w:val="1"/>
                <w:bCs w:val="1"/>
                <w:color w:val="4F4F4F"/>
                <w:w w:val="97"/>
                <w:vertAlign w:val="superscript"/>
              </w:rPr>
              <w:t>(h)</w:t>
            </w:r>
          </w:p>
        </w:tc>
        <w:tc>
          <w:tcPr>
            <w:tcW w:w="100" w:type="dxa"/>
            <w:vAlign w:val="bottom"/>
          </w:tcPr>
          <w:p>
            <w:pPr>
              <w:spacing w:after="0"/>
              <w:rPr>
                <w:sz w:val="22"/>
                <w:szCs w:val="22"/>
                <w:color w:val="auto"/>
              </w:rPr>
            </w:pPr>
          </w:p>
        </w:tc>
        <w:tc>
          <w:tcPr>
            <w:tcW w:w="500" w:type="dxa"/>
            <w:vAlign w:val="bottom"/>
            <w:tcBorders>
              <w:bottom w:val="single" w:sz="8" w:color="D6D6D6"/>
            </w:tcBorders>
          </w:tcPr>
          <w:p>
            <w:pPr>
              <w:jc w:val="right"/>
              <w:spacing w:after="0"/>
              <w:rPr>
                <w:sz w:val="20"/>
                <w:szCs w:val="20"/>
                <w:color w:val="auto"/>
              </w:rPr>
            </w:pPr>
            <w:r>
              <w:rPr>
                <w:rFonts w:ascii="Arial" w:cs="Arial" w:eastAsia="Arial" w:hAnsi="Arial"/>
                <w:sz w:val="14"/>
                <w:szCs w:val="14"/>
                <w:b w:val="1"/>
                <w:bCs w:val="1"/>
                <w:color w:val="4F4F4F"/>
              </w:rPr>
              <w:t>Misc.</w:t>
            </w:r>
          </w:p>
        </w:tc>
        <w:tc>
          <w:tcPr>
            <w:tcW w:w="80" w:type="dxa"/>
            <w:vAlign w:val="bottom"/>
          </w:tcPr>
          <w:p>
            <w:pPr>
              <w:spacing w:after="0"/>
              <w:rPr>
                <w:sz w:val="22"/>
                <w:szCs w:val="22"/>
                <w:color w:val="auto"/>
              </w:rPr>
            </w:pPr>
          </w:p>
        </w:tc>
        <w:tc>
          <w:tcPr>
            <w:tcW w:w="680" w:type="dxa"/>
            <w:vAlign w:val="bottom"/>
            <w:tcBorders>
              <w:bottom w:val="single" w:sz="8" w:color="616161"/>
            </w:tcBorders>
          </w:tcPr>
          <w:p>
            <w:pPr>
              <w:jc w:val="right"/>
              <w:spacing w:after="0"/>
              <w:rPr>
                <w:sz w:val="20"/>
                <w:szCs w:val="20"/>
                <w:color w:val="auto"/>
              </w:rPr>
            </w:pPr>
            <w:r>
              <w:rPr>
                <w:rFonts w:ascii="Arial" w:cs="Arial" w:eastAsia="Arial" w:hAnsi="Arial"/>
                <w:sz w:val="14"/>
                <w:szCs w:val="14"/>
                <w:b w:val="1"/>
                <w:bCs w:val="1"/>
                <w:color w:val="4F4F4F"/>
              </w:rPr>
              <w:t>Total</w:t>
            </w:r>
          </w:p>
        </w:tc>
      </w:tr>
      <w:tr>
        <w:trPr>
          <w:trHeight w:val="243"/>
        </w:trPr>
        <w:tc>
          <w:tcPr>
            <w:tcW w:w="2380" w:type="dxa"/>
            <w:vAlign w:val="bottom"/>
          </w:tcPr>
          <w:p>
            <w:pPr>
              <w:ind w:left="60"/>
              <w:spacing w:after="0"/>
              <w:rPr>
                <w:sz w:val="20"/>
                <w:szCs w:val="20"/>
                <w:color w:val="auto"/>
              </w:rPr>
            </w:pPr>
            <w:r>
              <w:rPr>
                <w:rFonts w:ascii="Arial" w:cs="Arial" w:eastAsia="Arial" w:hAnsi="Arial"/>
                <w:sz w:val="14"/>
                <w:szCs w:val="14"/>
                <w:color w:val="auto"/>
              </w:rPr>
              <w:t>G. Hayes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$85,401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$44,598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$143,741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$9,900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$165,600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$18,574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$2,087</w:t>
            </w:r>
          </w:p>
        </w:tc>
        <w:tc>
          <w:tcPr>
            <w:tcW w:w="80" w:type="dxa"/>
            <w:vAlign w:val="bottom"/>
          </w:tcPr>
          <w:p>
            <w:pPr>
              <w:spacing w:after="0"/>
              <w:rPr>
                <w:sz w:val="21"/>
                <w:szCs w:val="21"/>
                <w:color w:val="auto"/>
              </w:rPr>
            </w:pPr>
          </w:p>
        </w:tc>
        <w:tc>
          <w:tcPr>
            <w:tcW w:w="68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$469,901</w:t>
            </w:r>
          </w:p>
        </w:tc>
      </w:tr>
      <w:tr>
        <w:trPr>
          <w:trHeight w:val="237"/>
        </w:trPr>
        <w:tc>
          <w:tcPr>
            <w:tcW w:w="2380" w:type="dxa"/>
            <w:vAlign w:val="bottom"/>
            <w:tcBorders>
              <w:top w:val="single" w:sz="8" w:color="7C7C7C"/>
            </w:tcBorders>
          </w:tcPr>
          <w:p>
            <w:pPr>
              <w:ind w:left="60"/>
              <w:spacing w:after="0"/>
              <w:rPr>
                <w:sz w:val="20"/>
                <w:szCs w:val="20"/>
                <w:color w:val="auto"/>
              </w:rPr>
            </w:pPr>
            <w:r>
              <w:rPr>
                <w:rFonts w:ascii="Arial" w:cs="Arial" w:eastAsia="Arial" w:hAnsi="Arial"/>
                <w:sz w:val="14"/>
                <w:szCs w:val="14"/>
                <w:color w:val="auto"/>
              </w:rPr>
              <w:t>A. Johri</w:t>
            </w:r>
          </w:p>
        </w:tc>
        <w:tc>
          <w:tcPr>
            <w:tcW w:w="8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7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$31,371</w:t>
            </w:r>
          </w:p>
        </w:tc>
        <w:tc>
          <w:tcPr>
            <w:tcW w:w="9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$129,963</w:t>
            </w:r>
          </w:p>
        </w:tc>
        <w:tc>
          <w:tcPr>
            <w:tcW w:w="10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$25,025</w:t>
            </w:r>
          </w:p>
        </w:tc>
        <w:tc>
          <w:tcPr>
            <w:tcW w:w="12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$156,065</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$4,900</w:t>
            </w:r>
          </w:p>
        </w:tc>
        <w:tc>
          <w:tcPr>
            <w:tcW w:w="8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$13,465</w:t>
            </w:r>
          </w:p>
        </w:tc>
        <w:tc>
          <w:tcPr>
            <w:tcW w:w="60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$1,135</w:t>
            </w:r>
          </w:p>
        </w:tc>
        <w:tc>
          <w:tcPr>
            <w:tcW w:w="80" w:type="dxa"/>
            <w:vAlign w:val="bottom"/>
            <w:tcBorders>
              <w:top w:val="single" w:sz="8" w:color="7C7C7C"/>
            </w:tcBorders>
          </w:tcPr>
          <w:p>
            <w:pPr>
              <w:spacing w:after="0"/>
              <w:rPr>
                <w:sz w:val="20"/>
                <w:szCs w:val="20"/>
                <w:color w:val="auto"/>
              </w:rPr>
            </w:pPr>
          </w:p>
        </w:tc>
        <w:tc>
          <w:tcPr>
            <w:tcW w:w="680" w:type="dxa"/>
            <w:vAlign w:val="bottom"/>
            <w:tcBorders>
              <w:top w:val="single" w:sz="8" w:color="7C7C7C"/>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$361,924</w:t>
            </w:r>
          </w:p>
        </w:tc>
      </w:tr>
      <w:tr>
        <w:trPr>
          <w:trHeight w:val="237"/>
        </w:trPr>
        <w:tc>
          <w:tcPr>
            <w:tcW w:w="2380" w:type="dxa"/>
            <w:vAlign w:val="bottom"/>
            <w:tcBorders>
              <w:top w:val="single" w:sz="8" w:color="7C7C7C"/>
            </w:tcBorders>
          </w:tcPr>
          <w:p>
            <w:pPr>
              <w:ind w:left="60"/>
              <w:spacing w:after="0"/>
              <w:rPr>
                <w:sz w:val="20"/>
                <w:szCs w:val="20"/>
                <w:color w:val="auto"/>
              </w:rPr>
            </w:pPr>
            <w:r>
              <w:rPr>
                <w:rFonts w:ascii="Arial" w:cs="Arial" w:eastAsia="Arial" w:hAnsi="Arial"/>
                <w:sz w:val="14"/>
                <w:szCs w:val="14"/>
                <w:color w:val="auto"/>
              </w:rPr>
              <w:t>R. Ortberg</w:t>
            </w:r>
          </w:p>
        </w:tc>
        <w:tc>
          <w:tcPr>
            <w:tcW w:w="8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7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$2,100</w:t>
            </w:r>
          </w:p>
        </w:tc>
        <w:tc>
          <w:tcPr>
            <w:tcW w:w="9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12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$9,904</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$133,984</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$1,116</w:t>
            </w:r>
          </w:p>
        </w:tc>
        <w:tc>
          <w:tcPr>
            <w:tcW w:w="60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$277</w:t>
            </w:r>
          </w:p>
        </w:tc>
        <w:tc>
          <w:tcPr>
            <w:tcW w:w="80" w:type="dxa"/>
            <w:vAlign w:val="bottom"/>
            <w:tcBorders>
              <w:top w:val="single" w:sz="8" w:color="7C7C7C"/>
            </w:tcBorders>
          </w:tcPr>
          <w:p>
            <w:pPr>
              <w:spacing w:after="0"/>
              <w:rPr>
                <w:sz w:val="20"/>
                <w:szCs w:val="20"/>
                <w:color w:val="auto"/>
              </w:rPr>
            </w:pPr>
          </w:p>
        </w:tc>
        <w:tc>
          <w:tcPr>
            <w:tcW w:w="680" w:type="dxa"/>
            <w:vAlign w:val="bottom"/>
            <w:tcBorders>
              <w:top w:val="single" w:sz="8" w:color="7C7C7C"/>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$147,381</w:t>
            </w:r>
          </w:p>
        </w:tc>
      </w:tr>
      <w:tr>
        <w:trPr>
          <w:trHeight w:val="237"/>
        </w:trPr>
        <w:tc>
          <w:tcPr>
            <w:tcW w:w="2380" w:type="dxa"/>
            <w:vAlign w:val="bottom"/>
            <w:tcBorders>
              <w:top w:val="single" w:sz="8" w:color="7C7C7C"/>
            </w:tcBorders>
          </w:tcPr>
          <w:p>
            <w:pPr>
              <w:ind w:left="60"/>
              <w:spacing w:after="0"/>
              <w:rPr>
                <w:sz w:val="20"/>
                <w:szCs w:val="20"/>
                <w:color w:val="auto"/>
              </w:rPr>
            </w:pPr>
            <w:r>
              <w:rPr>
                <w:rFonts w:ascii="Arial" w:cs="Arial" w:eastAsia="Arial" w:hAnsi="Arial"/>
                <w:sz w:val="14"/>
                <w:szCs w:val="14"/>
                <w:color w:val="auto"/>
              </w:rPr>
              <w:t>J. Marks</w:t>
            </w:r>
          </w:p>
        </w:tc>
        <w:tc>
          <w:tcPr>
            <w:tcW w:w="8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7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$16,780</w:t>
            </w:r>
          </w:p>
        </w:tc>
        <w:tc>
          <w:tcPr>
            <w:tcW w:w="9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$15,125</w:t>
            </w:r>
          </w:p>
        </w:tc>
        <w:tc>
          <w:tcPr>
            <w:tcW w:w="12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$55,719</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$124,006</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$16,000</w:t>
            </w:r>
          </w:p>
        </w:tc>
        <w:tc>
          <w:tcPr>
            <w:tcW w:w="8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$13,502</w:t>
            </w:r>
          </w:p>
        </w:tc>
        <w:tc>
          <w:tcPr>
            <w:tcW w:w="60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$423</w:t>
            </w:r>
          </w:p>
        </w:tc>
        <w:tc>
          <w:tcPr>
            <w:tcW w:w="80" w:type="dxa"/>
            <w:vAlign w:val="bottom"/>
            <w:tcBorders>
              <w:top w:val="single" w:sz="8" w:color="7C7C7C"/>
            </w:tcBorders>
          </w:tcPr>
          <w:p>
            <w:pPr>
              <w:spacing w:after="0"/>
              <w:rPr>
                <w:sz w:val="20"/>
                <w:szCs w:val="20"/>
                <w:color w:val="auto"/>
              </w:rPr>
            </w:pPr>
          </w:p>
        </w:tc>
        <w:tc>
          <w:tcPr>
            <w:tcW w:w="680" w:type="dxa"/>
            <w:vAlign w:val="bottom"/>
            <w:tcBorders>
              <w:top w:val="single" w:sz="8" w:color="7C7C7C"/>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$241,555</w:t>
            </w:r>
          </w:p>
        </w:tc>
      </w:tr>
      <w:tr>
        <w:trPr>
          <w:trHeight w:val="217"/>
        </w:trPr>
        <w:tc>
          <w:tcPr>
            <w:tcW w:w="2380" w:type="dxa"/>
            <w:vAlign w:val="bottom"/>
            <w:tcBorders>
              <w:top w:val="single" w:sz="8" w:color="7C7C7C"/>
            </w:tcBorders>
          </w:tcPr>
          <w:p>
            <w:pPr>
              <w:ind w:left="60"/>
              <w:spacing w:after="0"/>
              <w:rPr>
                <w:sz w:val="20"/>
                <w:szCs w:val="20"/>
                <w:color w:val="auto"/>
              </w:rPr>
            </w:pPr>
            <w:r>
              <w:rPr>
                <w:rFonts w:ascii="Arial" w:cs="Arial" w:eastAsia="Arial" w:hAnsi="Arial"/>
                <w:sz w:val="14"/>
                <w:szCs w:val="14"/>
                <w:color w:val="auto"/>
              </w:rPr>
              <w:t>D. Gitlin</w:t>
            </w:r>
          </w:p>
        </w:tc>
        <w:tc>
          <w:tcPr>
            <w:tcW w:w="8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$0</w:t>
            </w:r>
          </w:p>
        </w:tc>
        <w:tc>
          <w:tcPr>
            <w:tcW w:w="7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$33,388</w:t>
            </w:r>
          </w:p>
        </w:tc>
        <w:tc>
          <w:tcPr>
            <w:tcW w:w="9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$63,604</w:t>
            </w:r>
          </w:p>
        </w:tc>
        <w:tc>
          <w:tcPr>
            <w:tcW w:w="10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$9,900</w:t>
            </w:r>
          </w:p>
        </w:tc>
        <w:tc>
          <w:tcPr>
            <w:tcW w:w="122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$62,100</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$36,309</w:t>
            </w:r>
          </w:p>
        </w:tc>
        <w:tc>
          <w:tcPr>
            <w:tcW w:w="88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$16,000</w:t>
            </w:r>
          </w:p>
        </w:tc>
        <w:tc>
          <w:tcPr>
            <w:tcW w:w="86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$17,113</w:t>
            </w:r>
          </w:p>
        </w:tc>
        <w:tc>
          <w:tcPr>
            <w:tcW w:w="600" w:type="dxa"/>
            <w:vAlign w:val="bottom"/>
            <w:tcBorders>
              <w:top w:val="single" w:sz="8" w:color="7C7C7C"/>
            </w:tcBorders>
            <w:gridSpan w:val="2"/>
          </w:tcPr>
          <w:p>
            <w:pPr>
              <w:jc w:val="right"/>
              <w:spacing w:after="0"/>
              <w:rPr>
                <w:sz w:val="20"/>
                <w:szCs w:val="20"/>
                <w:color w:val="auto"/>
              </w:rPr>
            </w:pPr>
            <w:r>
              <w:rPr>
                <w:rFonts w:ascii="Arial" w:cs="Arial" w:eastAsia="Arial" w:hAnsi="Arial"/>
                <w:sz w:val="14"/>
                <w:szCs w:val="14"/>
                <w:color w:val="auto"/>
              </w:rPr>
              <w:t>$1,134</w:t>
            </w:r>
          </w:p>
        </w:tc>
        <w:tc>
          <w:tcPr>
            <w:tcW w:w="80" w:type="dxa"/>
            <w:vAlign w:val="bottom"/>
            <w:tcBorders>
              <w:top w:val="single" w:sz="8" w:color="7C7C7C"/>
            </w:tcBorders>
          </w:tcPr>
          <w:p>
            <w:pPr>
              <w:spacing w:after="0"/>
              <w:rPr>
                <w:sz w:val="18"/>
                <w:szCs w:val="18"/>
                <w:color w:val="auto"/>
              </w:rPr>
            </w:pPr>
          </w:p>
        </w:tc>
        <w:tc>
          <w:tcPr>
            <w:tcW w:w="680" w:type="dxa"/>
            <w:vAlign w:val="bottom"/>
            <w:tcBorders>
              <w:top w:val="single" w:sz="8" w:color="7C7C7C"/>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$239,548</w:t>
            </w:r>
          </w:p>
        </w:tc>
      </w:tr>
      <w:tr>
        <w:trPr>
          <w:trHeight w:val="20"/>
        </w:trPr>
        <w:tc>
          <w:tcPr>
            <w:tcW w:w="238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72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68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86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96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112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780" w:type="dxa"/>
            <w:vAlign w:val="bottom"/>
            <w:shd w:val="clear" w:color="auto" w:fill="7C7C7C"/>
          </w:tcPr>
          <w:p>
            <w:pPr>
              <w:spacing w:after="0" w:line="20" w:lineRule="exact"/>
              <w:rPr>
                <w:sz w:val="1"/>
                <w:szCs w:val="1"/>
                <w:color w:val="auto"/>
              </w:rPr>
            </w:pPr>
          </w:p>
        </w:tc>
        <w:tc>
          <w:tcPr>
            <w:tcW w:w="80" w:type="dxa"/>
            <w:vAlign w:val="bottom"/>
            <w:shd w:val="clear" w:color="auto" w:fill="7C7C7C"/>
          </w:tcPr>
          <w:p>
            <w:pPr>
              <w:spacing w:after="0" w:line="20" w:lineRule="exact"/>
              <w:rPr>
                <w:sz w:val="1"/>
                <w:szCs w:val="1"/>
                <w:color w:val="auto"/>
              </w:rPr>
            </w:pPr>
          </w:p>
        </w:tc>
        <w:tc>
          <w:tcPr>
            <w:tcW w:w="80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760" w:type="dxa"/>
            <w:vAlign w:val="bottom"/>
            <w:shd w:val="clear" w:color="auto" w:fill="7C7C7C"/>
          </w:tcPr>
          <w:p>
            <w:pPr>
              <w:spacing w:after="0" w:line="20" w:lineRule="exact"/>
              <w:rPr>
                <w:sz w:val="1"/>
                <w:szCs w:val="1"/>
                <w:color w:val="auto"/>
              </w:rPr>
            </w:pPr>
          </w:p>
        </w:tc>
        <w:tc>
          <w:tcPr>
            <w:tcW w:w="100" w:type="dxa"/>
            <w:vAlign w:val="bottom"/>
            <w:shd w:val="clear" w:color="auto" w:fill="7C7C7C"/>
          </w:tcPr>
          <w:p>
            <w:pPr>
              <w:spacing w:after="0" w:line="20" w:lineRule="exact"/>
              <w:rPr>
                <w:sz w:val="1"/>
                <w:szCs w:val="1"/>
                <w:color w:val="auto"/>
              </w:rPr>
            </w:pPr>
          </w:p>
        </w:tc>
        <w:tc>
          <w:tcPr>
            <w:tcW w:w="500" w:type="dxa"/>
            <w:vAlign w:val="bottom"/>
            <w:shd w:val="clear" w:color="auto" w:fill="7C7C7C"/>
          </w:tcPr>
          <w:p>
            <w:pPr>
              <w:spacing w:after="0" w:line="20" w:lineRule="exact"/>
              <w:rPr>
                <w:sz w:val="1"/>
                <w:szCs w:val="1"/>
                <w:color w:val="auto"/>
              </w:rPr>
            </w:pPr>
          </w:p>
        </w:tc>
        <w:tc>
          <w:tcPr>
            <w:tcW w:w="80" w:type="dxa"/>
            <w:vAlign w:val="bottom"/>
            <w:shd w:val="clear" w:color="auto" w:fill="7C7C7C"/>
          </w:tcPr>
          <w:p>
            <w:pPr>
              <w:spacing w:after="0" w:line="20" w:lineRule="exact"/>
              <w:rPr>
                <w:sz w:val="1"/>
                <w:szCs w:val="1"/>
                <w:color w:val="auto"/>
              </w:rPr>
            </w:pPr>
          </w:p>
        </w:tc>
        <w:tc>
          <w:tcPr>
            <w:tcW w:w="680" w:type="dxa"/>
            <w:vAlign w:val="bottom"/>
            <w:shd w:val="clear" w:color="auto" w:fill="7C7C7C"/>
          </w:tcPr>
          <w:p>
            <w:pPr>
              <w:spacing w:after="0" w:line="20" w:lineRule="exact"/>
              <w:rPr>
                <w:sz w:val="1"/>
                <w:szCs w:val="1"/>
                <w:color w:val="auto"/>
              </w:rPr>
            </w:pPr>
          </w:p>
        </w:tc>
      </w:tr>
    </w:tbl>
    <w:p>
      <w:pPr>
        <w:spacing w:after="0" w:line="242" w:lineRule="exact"/>
        <w:rPr>
          <w:sz w:val="20"/>
          <w:szCs w:val="20"/>
          <w:color w:val="auto"/>
        </w:rPr>
      </w:pPr>
    </w:p>
    <w:p>
      <w:pPr>
        <w:ind w:left="420" w:right="200" w:hanging="209"/>
        <w:spacing w:after="0" w:line="279" w:lineRule="auto"/>
        <w:tabs>
          <w:tab w:leader="none" w:pos="42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Incremental variable operating costs incurred for personal air travel which includes fuel (calculated on the basis of aircraft-specific average consumption rates and fleet average fuel costs), fleet average landing and handling fees, additional crew lodging and meal allowances and catering and hourly maintenance contract charges, when applicable. Because fleet-wide aircraft utilization is primarily for business purposes (approximately 99% in 2018), capital and other fixed expenditures are not treated as an incremental cost.</w:t>
      </w:r>
    </w:p>
    <w:p>
      <w:pPr>
        <w:spacing w:after="0" w:line="31" w:lineRule="exact"/>
        <w:rPr>
          <w:rFonts w:ascii="Arial" w:cs="Arial" w:eastAsia="Arial" w:hAnsi="Arial"/>
          <w:sz w:val="12"/>
          <w:szCs w:val="12"/>
          <w:color w:val="auto"/>
        </w:rPr>
      </w:pPr>
    </w:p>
    <w:p>
      <w:pPr>
        <w:ind w:left="420" w:right="440" w:hanging="209"/>
        <w:spacing w:after="0" w:line="231" w:lineRule="auto"/>
        <w:tabs>
          <w:tab w:leader="none" w:pos="4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Annual costs incurred by UTC in connection with a leased vehicle provided to the executive. Mr. Ortberg’s amount reflects a monthly vehicle allowance under the legacy Rockwell Collins car program.</w:t>
      </w:r>
    </w:p>
    <w:p>
      <w:pPr>
        <w:spacing w:after="0" w:line="54" w:lineRule="exact"/>
        <w:rPr>
          <w:rFonts w:ascii="Arial" w:cs="Arial" w:eastAsia="Arial" w:hAnsi="Arial"/>
          <w:sz w:val="14"/>
          <w:szCs w:val="14"/>
          <w:color w:val="auto"/>
        </w:rPr>
      </w:pPr>
    </w:p>
    <w:p>
      <w:pPr>
        <w:ind w:left="420" w:right="40" w:hanging="209"/>
        <w:spacing w:after="0" w:line="226" w:lineRule="auto"/>
        <w:tabs>
          <w:tab w:leader="none" w:pos="4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Premiums paid on behalf of the executive under the ELG life insurance program. This benefit was eliminated for ELG members appointed after January 31, 2015, thereby excluding Ms. Marks and Mr. Ortberg. Under this program, UTC pays the premiums on a cash value life insurance contract owned by the executive. Life insurance benefits equal up to three times the executive’s actual or projected base salary at age 62. Once vested (age 55 or older with three years of service as an ELG member), UTC funds the policy to maintain coverage following retirement.</w:t>
      </w:r>
    </w:p>
    <w:p>
      <w:pPr>
        <w:spacing w:after="0" w:line="55" w:lineRule="exact"/>
        <w:rPr>
          <w:rFonts w:ascii="Arial" w:cs="Arial" w:eastAsia="Arial" w:hAnsi="Arial"/>
          <w:sz w:val="14"/>
          <w:szCs w:val="14"/>
          <w:color w:val="auto"/>
        </w:rPr>
      </w:pPr>
    </w:p>
    <w:p>
      <w:pPr>
        <w:ind w:left="420" w:right="60" w:hanging="209"/>
        <w:spacing w:after="0" w:line="226" w:lineRule="auto"/>
        <w:tabs>
          <w:tab w:leader="none" w:pos="4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Dollar value of Company matching contributions made into the UTC Employee Savings Plan, which includes an additional Company automatic contribution for employees hired on or after January 1, 2010 (e.g., Mr. Johri and Ms. Marks) who do not participate in UTC’s pension plans which were closed to new participants. Mr. Johri does have a benefit under the UTC pension plans with respect to his service before January 1, 2010, but due to his break in UTC service no longer accrues additional benefits. For further details on this Plan refer to page 54.</w:t>
      </w:r>
    </w:p>
    <w:p>
      <w:pPr>
        <w:spacing w:after="0" w:line="55" w:lineRule="exact"/>
        <w:rPr>
          <w:rFonts w:ascii="Arial" w:cs="Arial" w:eastAsia="Arial" w:hAnsi="Arial"/>
          <w:sz w:val="14"/>
          <w:szCs w:val="14"/>
          <w:color w:val="auto"/>
        </w:rPr>
      </w:pPr>
    </w:p>
    <w:p>
      <w:pPr>
        <w:ind w:left="420" w:right="60" w:hanging="209"/>
        <w:spacing w:after="0" w:line="268" w:lineRule="auto"/>
        <w:tabs>
          <w:tab w:leader="none" w:pos="42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Dollar value of Company contributions to the UTC Savings Restoration Plan (“SRP”) and the UTC Company Automatic Contribution Excess Plan (“CACEP”). Under the SRP, participants are credited with a benefit equal to the Company matching contribution that the executive did not receive under the UTC Employee Savings Plan due to IRC limits. For executives hired on or after January 1, 2010, including Mr. Johri and Ms. Marks, the CACEP provides an additional age-based Company automatic contribution for compensation earned over IRC limits. The amounts shown for Mr. Ortberg represent matching and retirement contributions made under the legacy Rockwell Collins Non-Qualified Retirement Savings Plan for the period between November 26, 2018 and December 31, 2018. For additional details on these UTC Plans, see page 65 of this Proxy Statement.</w:t>
      </w:r>
    </w:p>
    <w:p>
      <w:pPr>
        <w:spacing w:after="0" w:line="39" w:lineRule="exact"/>
        <w:rPr>
          <w:rFonts w:ascii="Arial" w:cs="Arial" w:eastAsia="Arial" w:hAnsi="Arial"/>
          <w:sz w:val="12"/>
          <w:szCs w:val="12"/>
          <w:color w:val="auto"/>
        </w:rPr>
      </w:pPr>
    </w:p>
    <w:p>
      <w:pPr>
        <w:ind w:left="420" w:hanging="209"/>
        <w:spacing w:after="0"/>
        <w:tabs>
          <w:tab w:leader="none" w:pos="4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Costs associated with relocation expenses, which include tax reimbursement payments of $11,418 for Mr. Ortberg and $26,400 for Ms. Marks.</w:t>
      </w:r>
    </w:p>
    <w:p>
      <w:pPr>
        <w:spacing w:after="0" w:line="55" w:lineRule="exact"/>
        <w:rPr>
          <w:rFonts w:ascii="Arial" w:cs="Arial" w:eastAsia="Arial" w:hAnsi="Arial"/>
          <w:sz w:val="14"/>
          <w:szCs w:val="14"/>
          <w:color w:val="auto"/>
        </w:rPr>
      </w:pPr>
    </w:p>
    <w:p>
      <w:pPr>
        <w:ind w:left="420" w:hanging="209"/>
        <w:spacing w:after="0"/>
        <w:tabs>
          <w:tab w:leader="none" w:pos="4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Costs associated with a financial planning benefit available to ELG members.</w:t>
      </w:r>
    </w:p>
    <w:p>
      <w:pPr>
        <w:spacing w:after="0" w:line="55" w:lineRule="exact"/>
        <w:rPr>
          <w:rFonts w:ascii="Arial" w:cs="Arial" w:eastAsia="Arial" w:hAnsi="Arial"/>
          <w:sz w:val="14"/>
          <w:szCs w:val="14"/>
          <w:color w:val="auto"/>
        </w:rPr>
      </w:pPr>
    </w:p>
    <w:p>
      <w:pPr>
        <w:ind w:left="420" w:hanging="209"/>
        <w:spacing w:after="0"/>
        <w:tabs>
          <w:tab w:leader="none" w:pos="4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Costs incurred by the Company associated with annual executive physicals and Company-covered healthcare benefits.</w:t>
      </w:r>
    </w:p>
    <w:p>
      <w:pPr>
        <w:spacing w:after="0" w:line="55" w:lineRule="exact"/>
        <w:rPr>
          <w:rFonts w:ascii="Arial" w:cs="Arial" w:eastAsia="Arial" w:hAnsi="Arial"/>
          <w:sz w:val="14"/>
          <w:szCs w:val="14"/>
          <w:color w:val="auto"/>
        </w:rPr>
      </w:pPr>
    </w:p>
    <w:p>
      <w:pPr>
        <w:ind w:left="220" w:right="80" w:hanging="212"/>
        <w:spacing w:after="0" w:line="231" w:lineRule="auto"/>
        <w:tabs>
          <w:tab w:leader="none" w:pos="2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All values shown in the Summary Compensation Table for Mr. Ortberg reflect compensation earned as a UTC employee for the period between November 26, 2018 (the closing date of the Rockwell Collins acquisition) and December 31, 2018.</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Includes a cash sign-on bonus of $500,000 paid in the first quarter of 2018 to offset compensation forfeited from Ms. Marks’ former employer.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59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shd w:val="clear" w:color="auto" w:fill="80B8E7"/>
          </w:tcPr>
          <w:p>
            <w:pPr>
              <w:ind w:left="120"/>
              <w:spacing w:after="0"/>
              <w:rPr>
                <w:sz w:val="20"/>
                <w:szCs w:val="20"/>
                <w:color w:val="auto"/>
              </w:rPr>
            </w:pPr>
            <w:r>
              <w:rPr>
                <w:rFonts w:ascii="Arial" w:cs="Arial" w:eastAsia="Arial" w:hAnsi="Arial"/>
                <w:sz w:val="14"/>
                <w:szCs w:val="14"/>
                <w:b w:val="1"/>
                <w:bCs w:val="1"/>
                <w:color w:val="FFFFFF"/>
                <w:w w:val="99"/>
              </w:rPr>
              <w:t>COMPENSATION TABLES</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0E93D8"/>
                <w:w w:val="95"/>
              </w:rPr>
              <w:t>GRANTS OF PLAN-BASED AWARDS</w:t>
            </w: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continue"/>
          </w:tcPr>
          <w:p>
            <w:pPr>
              <w:spacing w:after="0"/>
              <w:rPr>
                <w:sz w:val="9"/>
                <w:szCs w:val="9"/>
                <w:color w:val="auto"/>
              </w:rPr>
            </w:pPr>
          </w:p>
        </w:tc>
        <w:tc>
          <w:tcPr>
            <w:tcW w:w="1100" w:type="dxa"/>
            <w:vAlign w:val="bottom"/>
            <w:shd w:val="clear" w:color="auto" w:fill="DAE9F7"/>
          </w:tcPr>
          <w:p>
            <w:pPr>
              <w:spacing w:after="0"/>
              <w:rPr>
                <w:sz w:val="9"/>
                <w:szCs w:val="9"/>
                <w:color w:val="auto"/>
              </w:rPr>
            </w:pPr>
          </w:p>
        </w:tc>
        <w:tc>
          <w:tcPr>
            <w:tcW w:w="1000" w:type="dxa"/>
            <w:vAlign w:val="bottom"/>
            <w:shd w:val="clear" w:color="auto" w:fill="DAE9F7"/>
          </w:tcPr>
          <w:p>
            <w:pPr>
              <w:spacing w:after="0"/>
              <w:rPr>
                <w:sz w:val="9"/>
                <w:szCs w:val="9"/>
                <w:color w:val="auto"/>
              </w:rPr>
            </w:pPr>
          </w:p>
        </w:tc>
        <w:tc>
          <w:tcPr>
            <w:tcW w:w="900" w:type="dxa"/>
            <w:vAlign w:val="bottom"/>
            <w:shd w:val="clear" w:color="auto" w:fill="DAE9F7"/>
          </w:tcPr>
          <w:p>
            <w:pPr>
              <w:spacing w:after="0"/>
              <w:rPr>
                <w:sz w:val="9"/>
                <w:szCs w:val="9"/>
                <w:color w:val="auto"/>
              </w:rPr>
            </w:pPr>
          </w:p>
        </w:tc>
        <w:tc>
          <w:tcPr>
            <w:tcW w:w="1000" w:type="dxa"/>
            <w:vAlign w:val="bottom"/>
            <w:shd w:val="clear" w:color="auto" w:fill="DAE9F7"/>
          </w:tcPr>
          <w:p>
            <w:pPr>
              <w:spacing w:after="0"/>
              <w:rPr>
                <w:sz w:val="9"/>
                <w:szCs w:val="9"/>
                <w:color w:val="auto"/>
              </w:rPr>
            </w:pPr>
          </w:p>
        </w:tc>
        <w:tc>
          <w:tcPr>
            <w:tcW w:w="1320" w:type="dxa"/>
            <w:vAlign w:val="bottom"/>
            <w:shd w:val="clear" w:color="auto" w:fill="DAE9F7"/>
          </w:tcPr>
          <w:p>
            <w:pPr>
              <w:spacing w:after="0"/>
              <w:rPr>
                <w:sz w:val="9"/>
                <w:szCs w:val="9"/>
                <w:color w:val="auto"/>
              </w:rPr>
            </w:pPr>
          </w:p>
        </w:tc>
        <w:tc>
          <w:tcPr>
            <w:tcW w:w="1340" w:type="dxa"/>
            <w:vAlign w:val="bottom"/>
            <w:shd w:val="clear" w:color="auto" w:fill="DAE9F7"/>
          </w:tcPr>
          <w:p>
            <w:pPr>
              <w:spacing w:after="0"/>
              <w:rPr>
                <w:sz w:val="9"/>
                <w:szCs w:val="9"/>
                <w:color w:val="auto"/>
              </w:rPr>
            </w:pPr>
          </w:p>
        </w:tc>
        <w:tc>
          <w:tcPr>
            <w:tcW w:w="1240" w:type="dxa"/>
            <w:vAlign w:val="bottom"/>
            <w:shd w:val="clear" w:color="auto" w:fill="DAE9F7"/>
          </w:tcPr>
          <w:p>
            <w:pPr>
              <w:spacing w:after="0"/>
              <w:rPr>
                <w:sz w:val="9"/>
                <w:szCs w:val="9"/>
                <w:color w:val="auto"/>
              </w:rPr>
            </w:pPr>
          </w:p>
        </w:tc>
        <w:tc>
          <w:tcPr>
            <w:tcW w:w="1160" w:type="dxa"/>
            <w:vAlign w:val="bottom"/>
            <w:shd w:val="clear" w:color="auto" w:fill="DAE9F7"/>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0E93D8"/>
              </w:rPr>
              <w:t>All Other</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2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0E93D8"/>
              </w:rPr>
              <w:t>All Other</w:t>
            </w:r>
          </w:p>
        </w:tc>
        <w:tc>
          <w:tcPr>
            <w:tcW w:w="134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0E93D8"/>
              </w:rPr>
              <w:t>Option Awards:</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0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0E93D8"/>
              </w:rPr>
              <w:t>Estimated Future Payouts under</w:t>
            </w: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0E93D8"/>
              </w:rPr>
              <w:t>Stock Awards:</w:t>
            </w: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0E93D8"/>
              </w:rPr>
              <w:t>Number of</w:t>
            </w:r>
          </w:p>
        </w:tc>
        <w:tc>
          <w:tcPr>
            <w:tcW w:w="1240" w:type="dxa"/>
            <w:vAlign w:val="bottom"/>
          </w:tcPr>
          <w:p>
            <w:pPr>
              <w:jc w:val="right"/>
              <w:ind w:right="133"/>
              <w:spacing w:after="0"/>
              <w:rPr>
                <w:sz w:val="20"/>
                <w:szCs w:val="20"/>
                <w:color w:val="auto"/>
              </w:rPr>
            </w:pPr>
            <w:r>
              <w:rPr>
                <w:rFonts w:ascii="Arial" w:cs="Arial" w:eastAsia="Arial" w:hAnsi="Arial"/>
                <w:sz w:val="14"/>
                <w:szCs w:val="14"/>
                <w:b w:val="1"/>
                <w:bCs w:val="1"/>
                <w:color w:val="0E93D8"/>
              </w:rPr>
              <w:t>Exercise or</w:t>
            </w:r>
          </w:p>
        </w:tc>
        <w:tc>
          <w:tcPr>
            <w:tcW w:w="1160" w:type="dxa"/>
            <w:vAlign w:val="bottom"/>
          </w:tcPr>
          <w:p>
            <w:pPr>
              <w:jc w:val="right"/>
              <w:ind w:right="33"/>
              <w:spacing w:after="0"/>
              <w:rPr>
                <w:sz w:val="20"/>
                <w:szCs w:val="20"/>
                <w:color w:val="auto"/>
              </w:rPr>
            </w:pPr>
            <w:r>
              <w:rPr>
                <w:rFonts w:ascii="Arial" w:cs="Arial" w:eastAsia="Arial" w:hAnsi="Arial"/>
                <w:sz w:val="14"/>
                <w:szCs w:val="14"/>
                <w:b w:val="1"/>
                <w:bCs w:val="1"/>
                <w:color w:val="0E93D8"/>
              </w:rPr>
              <w:t>Grant Date Fair</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gridSpan w:val="3"/>
          </w:tcPr>
          <w:p>
            <w:pPr>
              <w:jc w:val="right"/>
              <w:ind w:right="372"/>
              <w:spacing w:after="0" w:line="189" w:lineRule="exact"/>
              <w:rPr>
                <w:sz w:val="20"/>
                <w:szCs w:val="20"/>
                <w:color w:val="auto"/>
              </w:rPr>
            </w:pPr>
            <w:r>
              <w:rPr>
                <w:rFonts w:ascii="Arial" w:cs="Arial" w:eastAsia="Arial" w:hAnsi="Arial"/>
                <w:sz w:val="13"/>
                <w:szCs w:val="13"/>
                <w:b w:val="1"/>
                <w:bCs w:val="1"/>
                <w:color w:val="0E93D8"/>
              </w:rPr>
              <w:t>Equity Incentive Plan Awards</w:t>
            </w:r>
            <w:r>
              <w:rPr>
                <w:rFonts w:ascii="Arial" w:cs="Arial" w:eastAsia="Arial" w:hAnsi="Arial"/>
                <w:sz w:val="21"/>
                <w:szCs w:val="21"/>
                <w:b w:val="1"/>
                <w:bCs w:val="1"/>
                <w:color w:val="0E93D8"/>
                <w:vertAlign w:val="superscript"/>
              </w:rPr>
              <w:t>(2)</w:t>
            </w: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0E93D8"/>
              </w:rPr>
              <w:t>Number of</w:t>
            </w: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0E93D8"/>
              </w:rPr>
              <w:t>Securities</w:t>
            </w:r>
          </w:p>
        </w:tc>
        <w:tc>
          <w:tcPr>
            <w:tcW w:w="1240" w:type="dxa"/>
            <w:vAlign w:val="bottom"/>
          </w:tcPr>
          <w:p>
            <w:pPr>
              <w:jc w:val="right"/>
              <w:ind w:right="133"/>
              <w:spacing w:after="0"/>
              <w:rPr>
                <w:sz w:val="20"/>
                <w:szCs w:val="20"/>
                <w:color w:val="auto"/>
              </w:rPr>
            </w:pPr>
            <w:r>
              <w:rPr>
                <w:rFonts w:ascii="Arial" w:cs="Arial" w:eastAsia="Arial" w:hAnsi="Arial"/>
                <w:sz w:val="14"/>
                <w:szCs w:val="14"/>
                <w:b w:val="1"/>
                <w:bCs w:val="1"/>
                <w:color w:val="0E93D8"/>
              </w:rPr>
              <w:t>Base Price of</w:t>
            </w:r>
          </w:p>
        </w:tc>
        <w:tc>
          <w:tcPr>
            <w:tcW w:w="1160" w:type="dxa"/>
            <w:vAlign w:val="bottom"/>
          </w:tcPr>
          <w:p>
            <w:pPr>
              <w:jc w:val="right"/>
              <w:ind w:right="13"/>
              <w:spacing w:after="0"/>
              <w:rPr>
                <w:sz w:val="20"/>
                <w:szCs w:val="20"/>
                <w:color w:val="auto"/>
              </w:rPr>
            </w:pPr>
            <w:r>
              <w:rPr>
                <w:rFonts w:ascii="Arial" w:cs="Arial" w:eastAsia="Arial" w:hAnsi="Arial"/>
                <w:sz w:val="14"/>
                <w:szCs w:val="14"/>
                <w:b w:val="1"/>
                <w:bCs w:val="1"/>
                <w:color w:val="0E93D8"/>
              </w:rPr>
              <w:t>Value of Stock</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20" w:type="dxa"/>
            <w:vAlign w:val="bottom"/>
            <w:vMerge w:val="restart"/>
          </w:tcPr>
          <w:p>
            <w:pPr>
              <w:jc w:val="right"/>
              <w:ind w:right="53"/>
              <w:spacing w:after="0" w:line="101" w:lineRule="exact"/>
              <w:rPr>
                <w:sz w:val="20"/>
                <w:szCs w:val="20"/>
                <w:color w:val="auto"/>
              </w:rPr>
            </w:pPr>
            <w:r>
              <w:rPr>
                <w:rFonts w:ascii="Arial" w:cs="Arial" w:eastAsia="Arial" w:hAnsi="Arial"/>
                <w:sz w:val="11"/>
                <w:szCs w:val="11"/>
                <w:b w:val="1"/>
                <w:bCs w:val="1"/>
                <w:color w:val="0E93D8"/>
              </w:rPr>
              <w:t>Shares of Stock</w:t>
            </w:r>
          </w:p>
        </w:tc>
        <w:tc>
          <w:tcPr>
            <w:tcW w:w="1340" w:type="dxa"/>
            <w:vAlign w:val="bottom"/>
            <w:vMerge w:val="restart"/>
          </w:tcPr>
          <w:p>
            <w:pPr>
              <w:jc w:val="right"/>
              <w:ind w:right="93"/>
              <w:spacing w:after="0" w:line="101" w:lineRule="exact"/>
              <w:rPr>
                <w:sz w:val="20"/>
                <w:szCs w:val="20"/>
                <w:color w:val="auto"/>
              </w:rPr>
            </w:pPr>
            <w:r>
              <w:rPr>
                <w:rFonts w:ascii="Arial" w:cs="Arial" w:eastAsia="Arial" w:hAnsi="Arial"/>
                <w:sz w:val="11"/>
                <w:szCs w:val="11"/>
                <w:b w:val="1"/>
                <w:bCs w:val="1"/>
                <w:color w:val="0E93D8"/>
              </w:rPr>
              <w:t>Underlying</w:t>
            </w:r>
          </w:p>
        </w:tc>
        <w:tc>
          <w:tcPr>
            <w:tcW w:w="1240" w:type="dxa"/>
            <w:vAlign w:val="bottom"/>
            <w:vMerge w:val="restart"/>
          </w:tcPr>
          <w:p>
            <w:pPr>
              <w:jc w:val="right"/>
              <w:ind w:right="93"/>
              <w:spacing w:after="0" w:line="101" w:lineRule="exact"/>
              <w:rPr>
                <w:sz w:val="20"/>
                <w:szCs w:val="20"/>
                <w:color w:val="auto"/>
              </w:rPr>
            </w:pPr>
            <w:r>
              <w:rPr>
                <w:rFonts w:ascii="Arial" w:cs="Arial" w:eastAsia="Arial" w:hAnsi="Arial"/>
                <w:sz w:val="11"/>
                <w:szCs w:val="11"/>
                <w:b w:val="1"/>
                <w:bCs w:val="1"/>
                <w:color w:val="0E93D8"/>
              </w:rPr>
              <w:t>Option Awards</w:t>
            </w:r>
          </w:p>
        </w:tc>
        <w:tc>
          <w:tcPr>
            <w:tcW w:w="1160" w:type="dxa"/>
            <w:vAlign w:val="bottom"/>
            <w:vMerge w:val="restart"/>
          </w:tcPr>
          <w:p>
            <w:pPr>
              <w:jc w:val="right"/>
              <w:ind w:right="13"/>
              <w:spacing w:after="0" w:line="101" w:lineRule="exact"/>
              <w:rPr>
                <w:sz w:val="20"/>
                <w:szCs w:val="20"/>
                <w:color w:val="auto"/>
              </w:rPr>
            </w:pPr>
            <w:r>
              <w:rPr>
                <w:rFonts w:ascii="Arial" w:cs="Arial" w:eastAsia="Arial" w:hAnsi="Arial"/>
                <w:sz w:val="11"/>
                <w:szCs w:val="11"/>
                <w:b w:val="1"/>
                <w:bCs w:val="1"/>
                <w:color w:val="0E93D8"/>
              </w:rPr>
              <w:t>and Option</w:t>
            </w: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360" w:type="dxa"/>
            <w:vAlign w:val="bottom"/>
            <w:tcBorders>
              <w:bottom w:val="single" w:sz="8" w:color="DAE9F7"/>
            </w:tcBorders>
            <w:gridSpan w:val="2"/>
          </w:tcPr>
          <w:p>
            <w:pPr>
              <w:ind w:left="80"/>
              <w:spacing w:after="0" w:line="224" w:lineRule="exact"/>
              <w:rPr>
                <w:sz w:val="20"/>
                <w:szCs w:val="20"/>
                <w:color w:val="auto"/>
              </w:rPr>
            </w:pPr>
            <w:r>
              <w:rPr>
                <w:rFonts w:ascii="Arial" w:cs="Arial" w:eastAsia="Arial" w:hAnsi="Arial"/>
                <w:sz w:val="14"/>
                <w:szCs w:val="14"/>
                <w:b w:val="1"/>
                <w:bCs w:val="1"/>
                <w:color w:val="0E93D8"/>
              </w:rPr>
              <w:t>Grant Date</w:t>
            </w:r>
            <w:r>
              <w:rPr>
                <w:rFonts w:ascii="Arial" w:cs="Arial" w:eastAsia="Arial" w:hAnsi="Arial"/>
                <w:sz w:val="22"/>
                <w:szCs w:val="22"/>
                <w:b w:val="1"/>
                <w:bCs w:val="1"/>
                <w:color w:val="0E93D8"/>
                <w:vertAlign w:val="superscript"/>
              </w:rPr>
              <w:t>(1)</w:t>
            </w:r>
          </w:p>
        </w:tc>
        <w:tc>
          <w:tcPr>
            <w:tcW w:w="1100" w:type="dxa"/>
            <w:vAlign w:val="bottom"/>
            <w:tcBorders>
              <w:bottom w:val="single" w:sz="8" w:color="DAE9F7"/>
            </w:tcBorders>
          </w:tcPr>
          <w:p>
            <w:pPr>
              <w:spacing w:after="0"/>
              <w:rPr>
                <w:sz w:val="22"/>
                <w:szCs w:val="22"/>
                <w:color w:val="auto"/>
              </w:rPr>
            </w:pPr>
          </w:p>
        </w:tc>
        <w:tc>
          <w:tcPr>
            <w:tcW w:w="1000" w:type="dxa"/>
            <w:vAlign w:val="bottom"/>
            <w:tcBorders>
              <w:bottom w:val="single" w:sz="8" w:color="DAE9F7"/>
            </w:tcBorders>
          </w:tcPr>
          <w:p>
            <w:pPr>
              <w:jc w:val="right"/>
              <w:ind w:right="13"/>
              <w:spacing w:after="0"/>
              <w:rPr>
                <w:sz w:val="20"/>
                <w:szCs w:val="20"/>
                <w:color w:val="auto"/>
              </w:rPr>
            </w:pPr>
            <w:r>
              <w:rPr>
                <w:rFonts w:ascii="Arial" w:cs="Arial" w:eastAsia="Arial" w:hAnsi="Arial"/>
                <w:sz w:val="14"/>
                <w:szCs w:val="14"/>
                <w:b w:val="1"/>
                <w:bCs w:val="1"/>
                <w:color w:val="0E93D8"/>
              </w:rPr>
              <w:t>Threshold (#)</w:t>
            </w:r>
          </w:p>
        </w:tc>
        <w:tc>
          <w:tcPr>
            <w:tcW w:w="900" w:type="dxa"/>
            <w:vAlign w:val="bottom"/>
            <w:tcBorders>
              <w:bottom w:val="single" w:sz="8" w:color="DAE9F7"/>
            </w:tcBorders>
          </w:tcPr>
          <w:p>
            <w:pPr>
              <w:jc w:val="right"/>
              <w:ind w:right="52"/>
              <w:spacing w:after="0"/>
              <w:rPr>
                <w:sz w:val="20"/>
                <w:szCs w:val="20"/>
                <w:color w:val="auto"/>
              </w:rPr>
            </w:pPr>
            <w:r>
              <w:rPr>
                <w:rFonts w:ascii="Arial" w:cs="Arial" w:eastAsia="Arial" w:hAnsi="Arial"/>
                <w:sz w:val="14"/>
                <w:szCs w:val="14"/>
                <w:b w:val="1"/>
                <w:bCs w:val="1"/>
                <w:color w:val="0E93D8"/>
              </w:rPr>
              <w:t>Target (#)</w:t>
            </w:r>
          </w:p>
        </w:tc>
        <w:tc>
          <w:tcPr>
            <w:tcW w:w="1000" w:type="dxa"/>
            <w:vAlign w:val="bottom"/>
            <w:tcBorders>
              <w:bottom w:val="single" w:sz="8" w:color="DAE9F7"/>
            </w:tcBorders>
          </w:tcPr>
          <w:p>
            <w:pPr>
              <w:jc w:val="right"/>
              <w:spacing w:after="0"/>
              <w:rPr>
                <w:sz w:val="20"/>
                <w:szCs w:val="20"/>
                <w:color w:val="auto"/>
              </w:rPr>
            </w:pPr>
            <w:r>
              <w:rPr>
                <w:rFonts w:ascii="Arial" w:cs="Arial" w:eastAsia="Arial" w:hAnsi="Arial"/>
                <w:sz w:val="14"/>
                <w:szCs w:val="14"/>
                <w:b w:val="1"/>
                <w:bCs w:val="1"/>
                <w:color w:val="0E93D8"/>
              </w:rPr>
              <w:t>Maximum (#)</w:t>
            </w:r>
          </w:p>
        </w:tc>
        <w:tc>
          <w:tcPr>
            <w:tcW w:w="1320" w:type="dxa"/>
            <w:vAlign w:val="bottom"/>
            <w:tcBorders>
              <w:bottom w:val="single" w:sz="8" w:color="DAE9F7"/>
            </w:tcBorders>
          </w:tcPr>
          <w:p>
            <w:pPr>
              <w:jc w:val="right"/>
              <w:ind w:right="13"/>
              <w:spacing w:after="0" w:line="224" w:lineRule="exact"/>
              <w:rPr>
                <w:sz w:val="20"/>
                <w:szCs w:val="20"/>
                <w:color w:val="auto"/>
              </w:rPr>
            </w:pPr>
            <w:r>
              <w:rPr>
                <w:rFonts w:ascii="Arial" w:cs="Arial" w:eastAsia="Arial" w:hAnsi="Arial"/>
                <w:sz w:val="14"/>
                <w:szCs w:val="14"/>
                <w:b w:val="1"/>
                <w:bCs w:val="1"/>
                <w:color w:val="0E93D8"/>
              </w:rPr>
              <w:t>or Units (#)</w:t>
            </w:r>
            <w:r>
              <w:rPr>
                <w:rFonts w:ascii="Arial" w:cs="Arial" w:eastAsia="Arial" w:hAnsi="Arial"/>
                <w:sz w:val="22"/>
                <w:szCs w:val="22"/>
                <w:b w:val="1"/>
                <w:bCs w:val="1"/>
                <w:color w:val="0E93D8"/>
                <w:vertAlign w:val="superscript"/>
              </w:rPr>
              <w:t>(3)</w:t>
            </w:r>
          </w:p>
        </w:tc>
        <w:tc>
          <w:tcPr>
            <w:tcW w:w="1340" w:type="dxa"/>
            <w:vAlign w:val="bottom"/>
            <w:tcBorders>
              <w:bottom w:val="single" w:sz="8" w:color="DAE9F7"/>
            </w:tcBorders>
          </w:tcPr>
          <w:p>
            <w:pPr>
              <w:jc w:val="right"/>
              <w:ind w:right="53"/>
              <w:spacing w:after="0" w:line="224" w:lineRule="exact"/>
              <w:rPr>
                <w:sz w:val="20"/>
                <w:szCs w:val="20"/>
                <w:color w:val="auto"/>
              </w:rPr>
            </w:pPr>
            <w:r>
              <w:rPr>
                <w:rFonts w:ascii="Arial" w:cs="Arial" w:eastAsia="Arial" w:hAnsi="Arial"/>
                <w:sz w:val="14"/>
                <w:szCs w:val="14"/>
                <w:b w:val="1"/>
                <w:bCs w:val="1"/>
                <w:color w:val="0E93D8"/>
              </w:rPr>
              <w:t>Options (#)</w:t>
            </w:r>
            <w:r>
              <w:rPr>
                <w:rFonts w:ascii="Arial" w:cs="Arial" w:eastAsia="Arial" w:hAnsi="Arial"/>
                <w:sz w:val="22"/>
                <w:szCs w:val="22"/>
                <w:b w:val="1"/>
                <w:bCs w:val="1"/>
                <w:color w:val="0E93D8"/>
                <w:vertAlign w:val="superscript"/>
              </w:rPr>
              <w:t>(4)</w:t>
            </w:r>
          </w:p>
        </w:tc>
        <w:tc>
          <w:tcPr>
            <w:tcW w:w="1240" w:type="dxa"/>
            <w:vAlign w:val="bottom"/>
            <w:tcBorders>
              <w:bottom w:val="single" w:sz="8" w:color="DAE9F7"/>
            </w:tcBorders>
          </w:tcPr>
          <w:p>
            <w:pPr>
              <w:jc w:val="right"/>
              <w:ind w:right="93"/>
              <w:spacing w:after="0" w:line="224" w:lineRule="exact"/>
              <w:rPr>
                <w:sz w:val="20"/>
                <w:szCs w:val="20"/>
                <w:color w:val="auto"/>
              </w:rPr>
            </w:pPr>
            <w:r>
              <w:rPr>
                <w:rFonts w:ascii="Arial" w:cs="Arial" w:eastAsia="Arial" w:hAnsi="Arial"/>
                <w:sz w:val="14"/>
                <w:szCs w:val="14"/>
                <w:b w:val="1"/>
                <w:bCs w:val="1"/>
                <w:color w:val="0E93D8"/>
              </w:rPr>
              <w:t>($/Sh)</w:t>
            </w:r>
            <w:r>
              <w:rPr>
                <w:rFonts w:ascii="Arial" w:cs="Arial" w:eastAsia="Arial" w:hAnsi="Arial"/>
                <w:sz w:val="22"/>
                <w:szCs w:val="22"/>
                <w:b w:val="1"/>
                <w:bCs w:val="1"/>
                <w:color w:val="0E93D8"/>
                <w:vertAlign w:val="superscript"/>
              </w:rPr>
              <w:t>(5)</w:t>
            </w:r>
          </w:p>
        </w:tc>
        <w:tc>
          <w:tcPr>
            <w:tcW w:w="1160" w:type="dxa"/>
            <w:vAlign w:val="bottom"/>
            <w:tcBorders>
              <w:bottom w:val="single" w:sz="8" w:color="0F94D8"/>
            </w:tcBorders>
          </w:tcPr>
          <w:p>
            <w:pPr>
              <w:jc w:val="right"/>
              <w:ind w:right="13"/>
              <w:spacing w:after="0" w:line="224" w:lineRule="exact"/>
              <w:rPr>
                <w:sz w:val="20"/>
                <w:szCs w:val="20"/>
                <w:color w:val="auto"/>
              </w:rPr>
            </w:pPr>
            <w:r>
              <w:rPr>
                <w:rFonts w:ascii="Arial" w:cs="Arial" w:eastAsia="Arial" w:hAnsi="Arial"/>
                <w:sz w:val="14"/>
                <w:szCs w:val="14"/>
                <w:b w:val="1"/>
                <w:bCs w:val="1"/>
                <w:color w:val="0E93D8"/>
              </w:rPr>
              <w:t>Awards ($)</w:t>
            </w:r>
            <w:r>
              <w:rPr>
                <w:rFonts w:ascii="Arial" w:cs="Arial" w:eastAsia="Arial" w:hAnsi="Arial"/>
                <w:sz w:val="22"/>
                <w:szCs w:val="22"/>
                <w:b w:val="1"/>
                <w:bCs w:val="1"/>
                <w:color w:val="0E93D8"/>
                <w:vertAlign w:val="superscript"/>
              </w:rPr>
              <w:t>(6)</w:t>
            </w:r>
          </w:p>
        </w:tc>
        <w:tc>
          <w:tcPr>
            <w:tcW w:w="0" w:type="dxa"/>
            <w:vAlign w:val="bottom"/>
          </w:tcPr>
          <w:p>
            <w:pPr>
              <w:spacing w:after="0"/>
              <w:rPr>
                <w:sz w:val="1"/>
                <w:szCs w:val="1"/>
                <w:color w:val="auto"/>
              </w:rPr>
            </w:pPr>
          </w:p>
        </w:tc>
      </w:tr>
      <w:tr>
        <w:trPr>
          <w:trHeight w:val="445"/>
        </w:trPr>
        <w:tc>
          <w:tcPr>
            <w:tcW w:w="2360" w:type="dxa"/>
            <w:vAlign w:val="bottom"/>
            <w:gridSpan w:val="2"/>
          </w:tcPr>
          <w:p>
            <w:pPr>
              <w:ind w:left="80"/>
              <w:spacing w:after="0"/>
              <w:rPr>
                <w:sz w:val="20"/>
                <w:szCs w:val="20"/>
                <w:color w:val="auto"/>
              </w:rPr>
            </w:pPr>
            <w:r>
              <w:rPr>
                <w:rFonts w:ascii="Arial" w:cs="Arial" w:eastAsia="Arial" w:hAnsi="Arial"/>
                <w:sz w:val="14"/>
                <w:szCs w:val="14"/>
                <w:b w:val="1"/>
                <w:bCs w:val="1"/>
                <w:color w:val="0E93D8"/>
              </w:rPr>
              <w:t>G. HAYES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FDB03F"/>
            </w:tcBorders>
          </w:tcPr>
          <w:p>
            <w:pPr>
              <w:spacing w:after="0"/>
              <w:rPr>
                <w:sz w:val="4"/>
                <w:szCs w:val="4"/>
                <w:color w:val="auto"/>
              </w:rPr>
            </w:pPr>
          </w:p>
        </w:tc>
        <w:tc>
          <w:tcPr>
            <w:tcW w:w="480" w:type="dxa"/>
            <w:vAlign w:val="bottom"/>
            <w:tcBorders>
              <w:bottom w:val="single" w:sz="8" w:color="FDB03F"/>
            </w:tcBorders>
          </w:tcPr>
          <w:p>
            <w:pPr>
              <w:spacing w:after="0"/>
              <w:rPr>
                <w:sz w:val="4"/>
                <w:szCs w:val="4"/>
                <w:color w:val="auto"/>
              </w:rPr>
            </w:pPr>
          </w:p>
        </w:tc>
        <w:tc>
          <w:tcPr>
            <w:tcW w:w="2100" w:type="dxa"/>
            <w:vAlign w:val="bottom"/>
            <w:tcBorders>
              <w:bottom w:val="single" w:sz="8" w:color="FDB03F"/>
            </w:tcBorders>
            <w:gridSpan w:val="2"/>
          </w:tcPr>
          <w:p>
            <w:pPr>
              <w:spacing w:after="0"/>
              <w:rPr>
                <w:sz w:val="4"/>
                <w:szCs w:val="4"/>
                <w:color w:val="auto"/>
              </w:rPr>
            </w:pPr>
          </w:p>
        </w:tc>
        <w:tc>
          <w:tcPr>
            <w:tcW w:w="900" w:type="dxa"/>
            <w:vAlign w:val="bottom"/>
            <w:tcBorders>
              <w:bottom w:val="single" w:sz="8" w:color="FDB03F"/>
            </w:tcBorders>
          </w:tcPr>
          <w:p>
            <w:pPr>
              <w:spacing w:after="0"/>
              <w:rPr>
                <w:sz w:val="4"/>
                <w:szCs w:val="4"/>
                <w:color w:val="auto"/>
              </w:rPr>
            </w:pPr>
          </w:p>
        </w:tc>
        <w:tc>
          <w:tcPr>
            <w:tcW w:w="1000" w:type="dxa"/>
            <w:vAlign w:val="bottom"/>
            <w:tcBorders>
              <w:bottom w:val="single" w:sz="8" w:color="FDB03F"/>
            </w:tcBorders>
          </w:tcPr>
          <w:p>
            <w:pPr>
              <w:spacing w:after="0"/>
              <w:rPr>
                <w:sz w:val="4"/>
                <w:szCs w:val="4"/>
                <w:color w:val="auto"/>
              </w:rPr>
            </w:pPr>
          </w:p>
        </w:tc>
        <w:tc>
          <w:tcPr>
            <w:tcW w:w="1320" w:type="dxa"/>
            <w:vAlign w:val="bottom"/>
            <w:tcBorders>
              <w:bottom w:val="single" w:sz="8" w:color="FDB03F"/>
            </w:tcBorders>
          </w:tcPr>
          <w:p>
            <w:pPr>
              <w:spacing w:after="0"/>
              <w:rPr>
                <w:sz w:val="4"/>
                <w:szCs w:val="4"/>
                <w:color w:val="auto"/>
              </w:rPr>
            </w:pPr>
          </w:p>
        </w:tc>
        <w:tc>
          <w:tcPr>
            <w:tcW w:w="1340" w:type="dxa"/>
            <w:vAlign w:val="bottom"/>
            <w:tcBorders>
              <w:bottom w:val="single" w:sz="8" w:color="FDB03F"/>
            </w:tcBorders>
          </w:tcPr>
          <w:p>
            <w:pPr>
              <w:spacing w:after="0"/>
              <w:rPr>
                <w:sz w:val="4"/>
                <w:szCs w:val="4"/>
                <w:color w:val="auto"/>
              </w:rPr>
            </w:pPr>
          </w:p>
        </w:tc>
        <w:tc>
          <w:tcPr>
            <w:tcW w:w="124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3,880</w:t>
            </w:r>
          </w:p>
        </w:tc>
        <w:tc>
          <w:tcPr>
            <w:tcW w:w="900" w:type="dxa"/>
            <w:vAlign w:val="bottom"/>
            <w:tcBorders>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48,500</w:t>
            </w:r>
          </w:p>
        </w:tc>
        <w:tc>
          <w:tcPr>
            <w:tcW w:w="100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97,000</w:t>
            </w:r>
          </w:p>
        </w:tc>
        <w:tc>
          <w:tcPr>
            <w:tcW w:w="132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$6,379,690</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161,000</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$128.16</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$3,165,260</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19,500</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$2,499,120</w:t>
            </w:r>
          </w:p>
        </w:tc>
        <w:tc>
          <w:tcPr>
            <w:tcW w:w="0" w:type="dxa"/>
            <w:vAlign w:val="bottom"/>
          </w:tcPr>
          <w:p>
            <w:pPr>
              <w:spacing w:after="0"/>
              <w:rPr>
                <w:sz w:val="1"/>
                <w:szCs w:val="1"/>
                <w:color w:val="auto"/>
              </w:rPr>
            </w:pPr>
          </w:p>
        </w:tc>
      </w:tr>
      <w:tr>
        <w:trPr>
          <w:trHeight w:val="439"/>
        </w:trPr>
        <w:tc>
          <w:tcPr>
            <w:tcW w:w="23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0E93D8"/>
              </w:rPr>
              <w:t>A. JOHRI</w:t>
            </w:r>
          </w:p>
        </w:tc>
        <w:tc>
          <w:tcPr>
            <w:tcW w:w="1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FDB03F"/>
            </w:tcBorders>
          </w:tcPr>
          <w:p>
            <w:pPr>
              <w:spacing w:after="0"/>
              <w:rPr>
                <w:sz w:val="4"/>
                <w:szCs w:val="4"/>
                <w:color w:val="auto"/>
              </w:rPr>
            </w:pPr>
          </w:p>
        </w:tc>
        <w:tc>
          <w:tcPr>
            <w:tcW w:w="480" w:type="dxa"/>
            <w:vAlign w:val="bottom"/>
            <w:tcBorders>
              <w:bottom w:val="single" w:sz="8" w:color="FDB03F"/>
            </w:tcBorders>
          </w:tcPr>
          <w:p>
            <w:pPr>
              <w:spacing w:after="0"/>
              <w:rPr>
                <w:sz w:val="4"/>
                <w:szCs w:val="4"/>
                <w:color w:val="auto"/>
              </w:rPr>
            </w:pPr>
          </w:p>
        </w:tc>
        <w:tc>
          <w:tcPr>
            <w:tcW w:w="2100" w:type="dxa"/>
            <w:vAlign w:val="bottom"/>
            <w:tcBorders>
              <w:bottom w:val="single" w:sz="8" w:color="FDB03F"/>
            </w:tcBorders>
            <w:gridSpan w:val="2"/>
          </w:tcPr>
          <w:p>
            <w:pPr>
              <w:spacing w:after="0"/>
              <w:rPr>
                <w:sz w:val="4"/>
                <w:szCs w:val="4"/>
                <w:color w:val="auto"/>
              </w:rPr>
            </w:pPr>
          </w:p>
        </w:tc>
        <w:tc>
          <w:tcPr>
            <w:tcW w:w="900" w:type="dxa"/>
            <w:vAlign w:val="bottom"/>
            <w:tcBorders>
              <w:bottom w:val="single" w:sz="8" w:color="FDB03F"/>
            </w:tcBorders>
          </w:tcPr>
          <w:p>
            <w:pPr>
              <w:spacing w:after="0"/>
              <w:rPr>
                <w:sz w:val="4"/>
                <w:szCs w:val="4"/>
                <w:color w:val="auto"/>
              </w:rPr>
            </w:pPr>
          </w:p>
        </w:tc>
        <w:tc>
          <w:tcPr>
            <w:tcW w:w="1000" w:type="dxa"/>
            <w:vAlign w:val="bottom"/>
            <w:tcBorders>
              <w:bottom w:val="single" w:sz="8" w:color="FDB03F"/>
            </w:tcBorders>
          </w:tcPr>
          <w:p>
            <w:pPr>
              <w:spacing w:after="0"/>
              <w:rPr>
                <w:sz w:val="4"/>
                <w:szCs w:val="4"/>
                <w:color w:val="auto"/>
              </w:rPr>
            </w:pPr>
          </w:p>
        </w:tc>
        <w:tc>
          <w:tcPr>
            <w:tcW w:w="1320" w:type="dxa"/>
            <w:vAlign w:val="bottom"/>
            <w:tcBorders>
              <w:bottom w:val="single" w:sz="8" w:color="FDB03F"/>
            </w:tcBorders>
          </w:tcPr>
          <w:p>
            <w:pPr>
              <w:spacing w:after="0"/>
              <w:rPr>
                <w:sz w:val="4"/>
                <w:szCs w:val="4"/>
                <w:color w:val="auto"/>
              </w:rPr>
            </w:pPr>
          </w:p>
        </w:tc>
        <w:tc>
          <w:tcPr>
            <w:tcW w:w="1340" w:type="dxa"/>
            <w:vAlign w:val="bottom"/>
            <w:tcBorders>
              <w:bottom w:val="single" w:sz="8" w:color="FDB03F"/>
            </w:tcBorders>
          </w:tcPr>
          <w:p>
            <w:pPr>
              <w:spacing w:after="0"/>
              <w:rPr>
                <w:sz w:val="4"/>
                <w:szCs w:val="4"/>
                <w:color w:val="auto"/>
              </w:rPr>
            </w:pPr>
          </w:p>
        </w:tc>
        <w:tc>
          <w:tcPr>
            <w:tcW w:w="124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1,288</w:t>
            </w:r>
          </w:p>
        </w:tc>
        <w:tc>
          <w:tcPr>
            <w:tcW w:w="900" w:type="dxa"/>
            <w:vAlign w:val="bottom"/>
            <w:tcBorders>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16,100</w:t>
            </w:r>
          </w:p>
        </w:tc>
        <w:tc>
          <w:tcPr>
            <w:tcW w:w="100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32,200</w:t>
            </w:r>
          </w:p>
        </w:tc>
        <w:tc>
          <w:tcPr>
            <w:tcW w:w="132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$2,117,794</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53,500</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$128.16</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$1,051,810</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6,500</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$833,040</w:t>
            </w:r>
          </w:p>
        </w:tc>
        <w:tc>
          <w:tcPr>
            <w:tcW w:w="0" w:type="dxa"/>
            <w:vAlign w:val="bottom"/>
          </w:tcPr>
          <w:p>
            <w:pPr>
              <w:spacing w:after="0"/>
              <w:rPr>
                <w:sz w:val="1"/>
                <w:szCs w:val="1"/>
                <w:color w:val="auto"/>
              </w:rPr>
            </w:pPr>
          </w:p>
        </w:tc>
      </w:tr>
      <w:tr>
        <w:trPr>
          <w:trHeight w:val="439"/>
        </w:trPr>
        <w:tc>
          <w:tcPr>
            <w:tcW w:w="23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0E93D8"/>
              </w:rPr>
              <w:t>R. ORTBERG</w:t>
            </w:r>
          </w:p>
        </w:tc>
        <w:tc>
          <w:tcPr>
            <w:tcW w:w="1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FDB03F"/>
            </w:tcBorders>
          </w:tcPr>
          <w:p>
            <w:pPr>
              <w:spacing w:after="0"/>
              <w:rPr>
                <w:sz w:val="4"/>
                <w:szCs w:val="4"/>
                <w:color w:val="auto"/>
              </w:rPr>
            </w:pPr>
          </w:p>
        </w:tc>
        <w:tc>
          <w:tcPr>
            <w:tcW w:w="480" w:type="dxa"/>
            <w:vAlign w:val="bottom"/>
            <w:tcBorders>
              <w:bottom w:val="single" w:sz="8" w:color="FDB03F"/>
            </w:tcBorders>
          </w:tcPr>
          <w:p>
            <w:pPr>
              <w:spacing w:after="0"/>
              <w:rPr>
                <w:sz w:val="4"/>
                <w:szCs w:val="4"/>
                <w:color w:val="auto"/>
              </w:rPr>
            </w:pPr>
          </w:p>
        </w:tc>
        <w:tc>
          <w:tcPr>
            <w:tcW w:w="1100" w:type="dxa"/>
            <w:vAlign w:val="bottom"/>
            <w:tcBorders>
              <w:bottom w:val="single" w:sz="8" w:color="FDB03F"/>
            </w:tcBorders>
          </w:tcPr>
          <w:p>
            <w:pPr>
              <w:spacing w:after="0"/>
              <w:rPr>
                <w:sz w:val="4"/>
                <w:szCs w:val="4"/>
                <w:color w:val="auto"/>
              </w:rPr>
            </w:pPr>
          </w:p>
        </w:tc>
        <w:tc>
          <w:tcPr>
            <w:tcW w:w="1000" w:type="dxa"/>
            <w:vAlign w:val="bottom"/>
            <w:tcBorders>
              <w:bottom w:val="single" w:sz="8" w:color="FDB03F"/>
            </w:tcBorders>
          </w:tcPr>
          <w:p>
            <w:pPr>
              <w:spacing w:after="0"/>
              <w:rPr>
                <w:sz w:val="4"/>
                <w:szCs w:val="4"/>
                <w:color w:val="auto"/>
              </w:rPr>
            </w:pPr>
          </w:p>
        </w:tc>
        <w:tc>
          <w:tcPr>
            <w:tcW w:w="900" w:type="dxa"/>
            <w:vAlign w:val="bottom"/>
            <w:tcBorders>
              <w:bottom w:val="single" w:sz="8" w:color="FDB03F"/>
            </w:tcBorders>
          </w:tcPr>
          <w:p>
            <w:pPr>
              <w:spacing w:after="0"/>
              <w:rPr>
                <w:sz w:val="4"/>
                <w:szCs w:val="4"/>
                <w:color w:val="auto"/>
              </w:rPr>
            </w:pPr>
          </w:p>
        </w:tc>
        <w:tc>
          <w:tcPr>
            <w:tcW w:w="1000" w:type="dxa"/>
            <w:vAlign w:val="bottom"/>
            <w:tcBorders>
              <w:bottom w:val="single" w:sz="8" w:color="FDB03F"/>
            </w:tcBorders>
          </w:tcPr>
          <w:p>
            <w:pPr>
              <w:spacing w:after="0"/>
              <w:rPr>
                <w:sz w:val="4"/>
                <w:szCs w:val="4"/>
                <w:color w:val="auto"/>
              </w:rPr>
            </w:pPr>
          </w:p>
        </w:tc>
        <w:tc>
          <w:tcPr>
            <w:tcW w:w="1320" w:type="dxa"/>
            <w:vAlign w:val="bottom"/>
            <w:tcBorders>
              <w:bottom w:val="single" w:sz="8" w:color="FDB03F"/>
            </w:tcBorders>
          </w:tcPr>
          <w:p>
            <w:pPr>
              <w:spacing w:after="0"/>
              <w:rPr>
                <w:sz w:val="4"/>
                <w:szCs w:val="4"/>
                <w:color w:val="auto"/>
              </w:rPr>
            </w:pPr>
          </w:p>
        </w:tc>
        <w:tc>
          <w:tcPr>
            <w:tcW w:w="1340" w:type="dxa"/>
            <w:vAlign w:val="bottom"/>
            <w:tcBorders>
              <w:bottom w:val="single" w:sz="8" w:color="FDB03F"/>
            </w:tcBorders>
          </w:tcPr>
          <w:p>
            <w:pPr>
              <w:spacing w:after="0"/>
              <w:rPr>
                <w:sz w:val="4"/>
                <w:szCs w:val="4"/>
                <w:color w:val="auto"/>
              </w:rPr>
            </w:pPr>
          </w:p>
        </w:tc>
        <w:tc>
          <w:tcPr>
            <w:tcW w:w="124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12/3/2018</w:t>
            </w:r>
            <w:r>
              <w:rPr>
                <w:rFonts w:ascii="Arial" w:cs="Arial" w:eastAsia="Arial" w:hAnsi="Arial"/>
                <w:sz w:val="22"/>
                <w:szCs w:val="22"/>
                <w:color w:val="auto"/>
                <w:vertAlign w:val="superscript"/>
              </w:rPr>
              <w:t>(7)</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F6FAFB"/>
          </w:tcPr>
          <w:p>
            <w:pPr>
              <w:jc w:val="right"/>
              <w:ind w:right="13"/>
              <w:spacing w:after="0"/>
              <w:rPr>
                <w:sz w:val="20"/>
                <w:szCs w:val="20"/>
                <w:color w:val="auto"/>
              </w:rPr>
            </w:pPr>
            <w:r>
              <w:rPr>
                <w:rFonts w:ascii="Arial" w:cs="Arial" w:eastAsia="Arial" w:hAnsi="Arial"/>
                <w:sz w:val="14"/>
                <w:szCs w:val="14"/>
                <w:color w:val="auto"/>
              </w:rPr>
              <w:t>79,895</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F6FAFB"/>
          </w:tcPr>
          <w:p>
            <w:pPr>
              <w:jc w:val="right"/>
              <w:ind w:right="13"/>
              <w:spacing w:after="0"/>
              <w:rPr>
                <w:sz w:val="20"/>
                <w:szCs w:val="20"/>
                <w:color w:val="auto"/>
              </w:rPr>
            </w:pPr>
            <w:r>
              <w:rPr>
                <w:rFonts w:ascii="Arial" w:cs="Arial" w:eastAsia="Arial" w:hAnsi="Arial"/>
                <w:sz w:val="14"/>
                <w:szCs w:val="14"/>
                <w:color w:val="auto"/>
              </w:rPr>
              <w:t>$9,875,022</w:t>
            </w:r>
          </w:p>
        </w:tc>
        <w:tc>
          <w:tcPr>
            <w:tcW w:w="0" w:type="dxa"/>
            <w:vAlign w:val="bottom"/>
          </w:tcPr>
          <w:p>
            <w:pPr>
              <w:spacing w:after="0"/>
              <w:rPr>
                <w:sz w:val="1"/>
                <w:szCs w:val="1"/>
                <w:color w:val="auto"/>
              </w:rPr>
            </w:pPr>
          </w:p>
        </w:tc>
      </w:tr>
      <w:tr>
        <w:trPr>
          <w:trHeight w:val="439"/>
        </w:trPr>
        <w:tc>
          <w:tcPr>
            <w:tcW w:w="2360" w:type="dxa"/>
            <w:vAlign w:val="bottom"/>
            <w:gridSpan w:val="2"/>
          </w:tcPr>
          <w:p>
            <w:pPr>
              <w:ind w:left="80"/>
              <w:spacing w:after="0"/>
              <w:rPr>
                <w:sz w:val="20"/>
                <w:szCs w:val="20"/>
                <w:color w:val="auto"/>
              </w:rPr>
            </w:pPr>
            <w:r>
              <w:rPr>
                <w:rFonts w:ascii="Arial" w:cs="Arial" w:eastAsia="Arial" w:hAnsi="Arial"/>
                <w:sz w:val="14"/>
                <w:szCs w:val="14"/>
                <w:b w:val="1"/>
                <w:bCs w:val="1"/>
                <w:color w:val="0E93D8"/>
              </w:rPr>
              <w:t>J. MARKS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FDB03F"/>
            </w:tcBorders>
          </w:tcPr>
          <w:p>
            <w:pPr>
              <w:spacing w:after="0"/>
              <w:rPr>
                <w:sz w:val="4"/>
                <w:szCs w:val="4"/>
                <w:color w:val="auto"/>
              </w:rPr>
            </w:pPr>
          </w:p>
        </w:tc>
        <w:tc>
          <w:tcPr>
            <w:tcW w:w="480" w:type="dxa"/>
            <w:vAlign w:val="bottom"/>
            <w:tcBorders>
              <w:bottom w:val="single" w:sz="8" w:color="FDB03F"/>
            </w:tcBorders>
          </w:tcPr>
          <w:p>
            <w:pPr>
              <w:spacing w:after="0"/>
              <w:rPr>
                <w:sz w:val="4"/>
                <w:szCs w:val="4"/>
                <w:color w:val="auto"/>
              </w:rPr>
            </w:pPr>
          </w:p>
        </w:tc>
        <w:tc>
          <w:tcPr>
            <w:tcW w:w="2100" w:type="dxa"/>
            <w:vAlign w:val="bottom"/>
            <w:tcBorders>
              <w:bottom w:val="single" w:sz="8" w:color="FDB03F"/>
            </w:tcBorders>
            <w:gridSpan w:val="2"/>
          </w:tcPr>
          <w:p>
            <w:pPr>
              <w:spacing w:after="0"/>
              <w:rPr>
                <w:sz w:val="4"/>
                <w:szCs w:val="4"/>
                <w:color w:val="auto"/>
              </w:rPr>
            </w:pPr>
          </w:p>
        </w:tc>
        <w:tc>
          <w:tcPr>
            <w:tcW w:w="900" w:type="dxa"/>
            <w:vAlign w:val="bottom"/>
            <w:tcBorders>
              <w:bottom w:val="single" w:sz="8" w:color="FDB03F"/>
            </w:tcBorders>
          </w:tcPr>
          <w:p>
            <w:pPr>
              <w:spacing w:after="0"/>
              <w:rPr>
                <w:sz w:val="4"/>
                <w:szCs w:val="4"/>
                <w:color w:val="auto"/>
              </w:rPr>
            </w:pPr>
          </w:p>
        </w:tc>
        <w:tc>
          <w:tcPr>
            <w:tcW w:w="1000" w:type="dxa"/>
            <w:vAlign w:val="bottom"/>
            <w:tcBorders>
              <w:bottom w:val="single" w:sz="8" w:color="FDB03F"/>
            </w:tcBorders>
          </w:tcPr>
          <w:p>
            <w:pPr>
              <w:spacing w:after="0"/>
              <w:rPr>
                <w:sz w:val="4"/>
                <w:szCs w:val="4"/>
                <w:color w:val="auto"/>
              </w:rPr>
            </w:pPr>
          </w:p>
        </w:tc>
        <w:tc>
          <w:tcPr>
            <w:tcW w:w="1320" w:type="dxa"/>
            <w:vAlign w:val="bottom"/>
            <w:tcBorders>
              <w:bottom w:val="single" w:sz="8" w:color="FDB03F"/>
            </w:tcBorders>
          </w:tcPr>
          <w:p>
            <w:pPr>
              <w:spacing w:after="0"/>
              <w:rPr>
                <w:sz w:val="4"/>
                <w:szCs w:val="4"/>
                <w:color w:val="auto"/>
              </w:rPr>
            </w:pPr>
          </w:p>
        </w:tc>
        <w:tc>
          <w:tcPr>
            <w:tcW w:w="1340" w:type="dxa"/>
            <w:vAlign w:val="bottom"/>
            <w:tcBorders>
              <w:bottom w:val="single" w:sz="8" w:color="FDB03F"/>
            </w:tcBorders>
          </w:tcPr>
          <w:p>
            <w:pPr>
              <w:spacing w:after="0"/>
              <w:rPr>
                <w:sz w:val="4"/>
                <w:szCs w:val="4"/>
                <w:color w:val="auto"/>
              </w:rPr>
            </w:pPr>
          </w:p>
        </w:tc>
        <w:tc>
          <w:tcPr>
            <w:tcW w:w="124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1,288</w:t>
            </w:r>
          </w:p>
        </w:tc>
        <w:tc>
          <w:tcPr>
            <w:tcW w:w="900" w:type="dxa"/>
            <w:vAlign w:val="bottom"/>
            <w:tcBorders>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16,100</w:t>
            </w:r>
          </w:p>
        </w:tc>
        <w:tc>
          <w:tcPr>
            <w:tcW w:w="100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32,200</w:t>
            </w:r>
          </w:p>
        </w:tc>
        <w:tc>
          <w:tcPr>
            <w:tcW w:w="132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$2,117,794</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53,500</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$128.16</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$1,051,810</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6,500</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$833,040</w:t>
            </w:r>
          </w:p>
        </w:tc>
        <w:tc>
          <w:tcPr>
            <w:tcW w:w="0" w:type="dxa"/>
            <w:vAlign w:val="bottom"/>
          </w:tcPr>
          <w:p>
            <w:pPr>
              <w:spacing w:after="0"/>
              <w:rPr>
                <w:sz w:val="1"/>
                <w:szCs w:val="1"/>
                <w:color w:val="auto"/>
              </w:rPr>
            </w:pPr>
          </w:p>
        </w:tc>
      </w:tr>
      <w:tr>
        <w:trPr>
          <w:trHeight w:val="439"/>
        </w:trPr>
        <w:tc>
          <w:tcPr>
            <w:tcW w:w="23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0E93D8"/>
              </w:rPr>
              <w:t>D. GITLIN</w:t>
            </w:r>
          </w:p>
        </w:tc>
        <w:tc>
          <w:tcPr>
            <w:tcW w:w="1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FDB03F"/>
            </w:tcBorders>
          </w:tcPr>
          <w:p>
            <w:pPr>
              <w:spacing w:after="0"/>
              <w:rPr>
                <w:sz w:val="4"/>
                <w:szCs w:val="4"/>
                <w:color w:val="auto"/>
              </w:rPr>
            </w:pPr>
          </w:p>
        </w:tc>
        <w:tc>
          <w:tcPr>
            <w:tcW w:w="480" w:type="dxa"/>
            <w:vAlign w:val="bottom"/>
            <w:tcBorders>
              <w:bottom w:val="single" w:sz="8" w:color="FDB03F"/>
            </w:tcBorders>
          </w:tcPr>
          <w:p>
            <w:pPr>
              <w:spacing w:after="0"/>
              <w:rPr>
                <w:sz w:val="4"/>
                <w:szCs w:val="4"/>
                <w:color w:val="auto"/>
              </w:rPr>
            </w:pPr>
          </w:p>
        </w:tc>
        <w:tc>
          <w:tcPr>
            <w:tcW w:w="2100" w:type="dxa"/>
            <w:vAlign w:val="bottom"/>
            <w:tcBorders>
              <w:bottom w:val="single" w:sz="8" w:color="FDB03F"/>
            </w:tcBorders>
            <w:gridSpan w:val="2"/>
          </w:tcPr>
          <w:p>
            <w:pPr>
              <w:spacing w:after="0"/>
              <w:rPr>
                <w:sz w:val="4"/>
                <w:szCs w:val="4"/>
                <w:color w:val="auto"/>
              </w:rPr>
            </w:pPr>
          </w:p>
        </w:tc>
        <w:tc>
          <w:tcPr>
            <w:tcW w:w="900" w:type="dxa"/>
            <w:vAlign w:val="bottom"/>
            <w:tcBorders>
              <w:bottom w:val="single" w:sz="8" w:color="FDB03F"/>
            </w:tcBorders>
          </w:tcPr>
          <w:p>
            <w:pPr>
              <w:spacing w:after="0"/>
              <w:rPr>
                <w:sz w:val="4"/>
                <w:szCs w:val="4"/>
                <w:color w:val="auto"/>
              </w:rPr>
            </w:pPr>
          </w:p>
        </w:tc>
        <w:tc>
          <w:tcPr>
            <w:tcW w:w="1000" w:type="dxa"/>
            <w:vAlign w:val="bottom"/>
            <w:tcBorders>
              <w:bottom w:val="single" w:sz="8" w:color="FDB03F"/>
            </w:tcBorders>
          </w:tcPr>
          <w:p>
            <w:pPr>
              <w:spacing w:after="0"/>
              <w:rPr>
                <w:sz w:val="4"/>
                <w:szCs w:val="4"/>
                <w:color w:val="auto"/>
              </w:rPr>
            </w:pPr>
          </w:p>
        </w:tc>
        <w:tc>
          <w:tcPr>
            <w:tcW w:w="1320" w:type="dxa"/>
            <w:vAlign w:val="bottom"/>
            <w:tcBorders>
              <w:bottom w:val="single" w:sz="8" w:color="FDB03F"/>
            </w:tcBorders>
          </w:tcPr>
          <w:p>
            <w:pPr>
              <w:spacing w:after="0"/>
              <w:rPr>
                <w:sz w:val="4"/>
                <w:szCs w:val="4"/>
                <w:color w:val="auto"/>
              </w:rPr>
            </w:pPr>
          </w:p>
        </w:tc>
        <w:tc>
          <w:tcPr>
            <w:tcW w:w="1340" w:type="dxa"/>
            <w:vAlign w:val="bottom"/>
            <w:tcBorders>
              <w:bottom w:val="single" w:sz="8" w:color="FDB03F"/>
            </w:tcBorders>
          </w:tcPr>
          <w:p>
            <w:pPr>
              <w:spacing w:after="0"/>
              <w:rPr>
                <w:sz w:val="4"/>
                <w:szCs w:val="4"/>
                <w:color w:val="auto"/>
              </w:rPr>
            </w:pPr>
          </w:p>
        </w:tc>
        <w:tc>
          <w:tcPr>
            <w:tcW w:w="124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1,288</w:t>
            </w:r>
          </w:p>
        </w:tc>
        <w:tc>
          <w:tcPr>
            <w:tcW w:w="900" w:type="dxa"/>
            <w:vAlign w:val="bottom"/>
            <w:tcBorders>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16,100</w:t>
            </w:r>
          </w:p>
        </w:tc>
        <w:tc>
          <w:tcPr>
            <w:tcW w:w="100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32,200</w:t>
            </w:r>
          </w:p>
        </w:tc>
        <w:tc>
          <w:tcPr>
            <w:tcW w:w="132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$2,117,794</w:t>
            </w:r>
          </w:p>
        </w:tc>
        <w:tc>
          <w:tcPr>
            <w:tcW w:w="0" w:type="dxa"/>
            <w:vAlign w:val="bottom"/>
          </w:tcPr>
          <w:p>
            <w:pPr>
              <w:spacing w:after="0"/>
              <w:rPr>
                <w:sz w:val="1"/>
                <w:szCs w:val="1"/>
                <w:color w:val="auto"/>
              </w:rPr>
            </w:pPr>
          </w:p>
        </w:tc>
      </w:tr>
      <w:tr>
        <w:trPr>
          <w:trHeight w:val="23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20"/>
                <w:szCs w:val="20"/>
                <w:color w:val="auto"/>
              </w:rPr>
            </w:pPr>
          </w:p>
        </w:tc>
        <w:tc>
          <w:tcPr>
            <w:tcW w:w="1100" w:type="dxa"/>
            <w:vAlign w:val="bottom"/>
            <w:tcBorders>
              <w:top w:val="single" w:sz="8" w:color="7C7C7C"/>
            </w:tcBorders>
          </w:tcPr>
          <w:p>
            <w:pPr>
              <w:spacing w:after="0"/>
              <w:rPr>
                <w:sz w:val="20"/>
                <w:szCs w:val="20"/>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53,500</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$128.16</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$1,051,810</w:t>
            </w:r>
          </w:p>
        </w:tc>
        <w:tc>
          <w:tcPr>
            <w:tcW w:w="0" w:type="dxa"/>
            <w:vAlign w:val="bottom"/>
          </w:tcPr>
          <w:p>
            <w:pPr>
              <w:spacing w:after="0"/>
              <w:rPr>
                <w:sz w:val="1"/>
                <w:szCs w:val="1"/>
                <w:color w:val="auto"/>
              </w:rPr>
            </w:pPr>
          </w:p>
        </w:tc>
      </w:tr>
      <w:tr>
        <w:trPr>
          <w:trHeight w:val="217"/>
        </w:trPr>
        <w:tc>
          <w:tcPr>
            <w:tcW w:w="1880" w:type="dxa"/>
            <w:vAlign w:val="bottom"/>
            <w:tcBorders>
              <w:top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480" w:type="dxa"/>
            <w:vAlign w:val="bottom"/>
            <w:tcBorders>
              <w:top w:val="single" w:sz="8" w:color="7C7C7C"/>
            </w:tcBorders>
          </w:tcPr>
          <w:p>
            <w:pPr>
              <w:spacing w:after="0"/>
              <w:rPr>
                <w:sz w:val="18"/>
                <w:szCs w:val="18"/>
                <w:color w:val="auto"/>
              </w:rPr>
            </w:pPr>
          </w:p>
        </w:tc>
        <w:tc>
          <w:tcPr>
            <w:tcW w:w="1100" w:type="dxa"/>
            <w:vAlign w:val="bottom"/>
            <w:tcBorders>
              <w:top w:val="single" w:sz="8" w:color="7C7C7C"/>
            </w:tcBorders>
          </w:tcPr>
          <w:p>
            <w:pPr>
              <w:spacing w:after="0"/>
              <w:rPr>
                <w:sz w:val="18"/>
                <w:szCs w:val="18"/>
                <w:color w:val="auto"/>
              </w:rPr>
            </w:pPr>
          </w:p>
        </w:tc>
        <w:tc>
          <w:tcPr>
            <w:tcW w:w="100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C7C7C"/>
              <w:bottom w:val="single" w:sz="8" w:color="F6FAFB"/>
            </w:tcBorders>
            <w:shd w:val="clear" w:color="auto" w:fill="F6FAFB"/>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7C7C7C"/>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6,500</w:t>
            </w:r>
          </w:p>
        </w:tc>
        <w:tc>
          <w:tcPr>
            <w:tcW w:w="1340" w:type="dxa"/>
            <w:vAlign w:val="bottom"/>
            <w:tcBorders>
              <w:top w:val="single" w:sz="8" w:color="7C7C7C"/>
            </w:tcBorders>
          </w:tcPr>
          <w:p>
            <w:pPr>
              <w:jc w:val="right"/>
              <w:ind w:right="53"/>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7C7C7C"/>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7C7C7C"/>
              <w:bottom w:val="single" w:sz="8" w:color="F6FAFB"/>
            </w:tcBorders>
            <w:shd w:val="clear" w:color="auto" w:fill="F6FAFB"/>
          </w:tcPr>
          <w:p>
            <w:pPr>
              <w:jc w:val="right"/>
              <w:ind w:right="13"/>
              <w:spacing w:after="0"/>
              <w:rPr>
                <w:sz w:val="20"/>
                <w:szCs w:val="20"/>
                <w:color w:val="auto"/>
              </w:rPr>
            </w:pPr>
            <w:r>
              <w:rPr>
                <w:rFonts w:ascii="Arial" w:cs="Arial" w:eastAsia="Arial" w:hAnsi="Arial"/>
                <w:sz w:val="14"/>
                <w:szCs w:val="14"/>
                <w:color w:val="auto"/>
              </w:rPr>
              <w:t>$833,040</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(1) The Committee approved the 2018 annual long-term incentive awards at its December 2017 meeting, specifying the first business day of the next calendar year as the award grant date.</w:t>
      </w:r>
    </w:p>
    <w:p>
      <w:pPr>
        <w:spacing w:after="0" w:line="78" w:lineRule="exact"/>
        <w:rPr>
          <w:sz w:val="20"/>
          <w:szCs w:val="20"/>
          <w:color w:val="auto"/>
        </w:rPr>
      </w:pPr>
    </w:p>
    <w:p>
      <w:pPr>
        <w:ind w:left="220" w:right="40" w:hanging="202"/>
        <w:spacing w:after="0" w:line="224" w:lineRule="auto"/>
        <w:rPr>
          <w:sz w:val="20"/>
          <w:szCs w:val="20"/>
          <w:color w:val="auto"/>
        </w:rPr>
      </w:pPr>
      <w:r>
        <w:rPr>
          <w:rFonts w:ascii="Arial" w:cs="Arial" w:eastAsia="Arial" w:hAnsi="Arial"/>
          <w:sz w:val="14"/>
          <w:szCs w:val="14"/>
          <w:color w:val="auto"/>
        </w:rPr>
        <w:t>(2) Number of PSUs granted under the LTIP, which vest based on performance relative to three-year EPS growth and ROIC goals (each weighted at 35%) and a three-year relative TSR goal (weighted at 30%), except in certain limited circumstances as detailed in footnotes (2), (4) and (6) on pages 68-69. Vesting ranges from a payout of 8% of target if threshold performance is achieved for the least weighted metric (relative TSR) to a maximum payout of 200% if maximum performance is achieved for all three metrics. If UTC’s three-year TSR is negative, the payout for the TSR portion of the award is capped at 100% regardless of UTC’s relative TSR performance versus the companies within the S&amp;P 500. Each PSU corresponds to one share of UTC Common Stock. Unvested PSUs do not accrue dividend equivalents. Vested PSUs are settled in unrestricted shares of UTC Common Stock at the end of the performance period following the Committee’s review and approval of performance achievement levels.</w:t>
      </w:r>
    </w:p>
    <w:p>
      <w:pPr>
        <w:spacing w:after="0" w:line="57" w:lineRule="exact"/>
        <w:rPr>
          <w:sz w:val="20"/>
          <w:szCs w:val="20"/>
          <w:color w:val="auto"/>
        </w:rPr>
      </w:pPr>
    </w:p>
    <w:p>
      <w:pPr>
        <w:ind w:left="220" w:right="40" w:hanging="202"/>
        <w:spacing w:after="0" w:line="228" w:lineRule="auto"/>
        <w:rPr>
          <w:sz w:val="20"/>
          <w:szCs w:val="20"/>
          <w:color w:val="auto"/>
        </w:rPr>
      </w:pPr>
      <w:r>
        <w:rPr>
          <w:rFonts w:ascii="Arial" w:cs="Arial" w:eastAsia="Arial" w:hAnsi="Arial"/>
          <w:sz w:val="14"/>
          <w:szCs w:val="14"/>
          <w:color w:val="auto"/>
        </w:rPr>
        <w:t>(3) Number of RSUs granted under the LTIP, which vest three years from the grant date subject to the executive’s continued employment, except in certain limited circumstances as detailed in footnotes (2), (4) and (6) on pages 68-69. Each RSU corresponds to one share of UTC Common Stock. When UTC pays a dividend to shareowners, RSUs earn dividend equivalents during the vesting period that are reinvested as additional RSUs. The reinvested RSUs vest on the same date as the underlying RSUs.</w:t>
      </w:r>
    </w:p>
    <w:p>
      <w:pPr>
        <w:spacing w:after="0" w:line="54" w:lineRule="exact"/>
        <w:rPr>
          <w:sz w:val="20"/>
          <w:szCs w:val="20"/>
          <w:color w:val="auto"/>
        </w:rPr>
      </w:pPr>
    </w:p>
    <w:p>
      <w:pPr>
        <w:ind w:left="220" w:right="280" w:hanging="202"/>
        <w:spacing w:after="0" w:line="231" w:lineRule="auto"/>
        <w:rPr>
          <w:sz w:val="20"/>
          <w:szCs w:val="20"/>
          <w:color w:val="auto"/>
        </w:rPr>
      </w:pPr>
      <w:r>
        <w:rPr>
          <w:rFonts w:ascii="Arial" w:cs="Arial" w:eastAsia="Arial" w:hAnsi="Arial"/>
          <w:sz w:val="14"/>
          <w:szCs w:val="14"/>
          <w:color w:val="auto"/>
        </w:rPr>
        <w:t>(4) Number of SARs granted under the LTIP, which vest and become exercisable three years from the grant date subject to the executive’s continued employment, except in certain limited circumstances as detailed in footnotes (2), (4) and (6) on pages 68-69.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(5) The SAR exercise price equals the NYSE closing price of UTC Common Stock on the grant date.</w:t>
      </w:r>
    </w:p>
    <w:p>
      <w:pPr>
        <w:spacing w:after="0" w:line="55" w:lineRule="exact"/>
        <w:rPr>
          <w:sz w:val="20"/>
          <w:szCs w:val="20"/>
          <w:color w:val="auto"/>
        </w:rPr>
      </w:pPr>
    </w:p>
    <w:p>
      <w:pPr>
        <w:ind w:left="220" w:right="320" w:hanging="202"/>
        <w:spacing w:after="0" w:line="231" w:lineRule="auto"/>
        <w:rPr>
          <w:sz w:val="20"/>
          <w:szCs w:val="20"/>
          <w:color w:val="auto"/>
        </w:rPr>
      </w:pPr>
      <w:r>
        <w:rPr>
          <w:rFonts w:ascii="Arial" w:cs="Arial" w:eastAsia="Arial" w:hAnsi="Arial"/>
          <w:sz w:val="14"/>
          <w:szCs w:val="14"/>
          <w:color w:val="auto"/>
        </w:rPr>
        <w:t>(6) Grant date fair value of awards granted in 2018, with vesting assumed at 100% of target for performance-based awards. Values are calculated in accordance with the Compensation – Stock Compensation Topic of the FASB ASC, but excluding the effect of estimated forfeitures.</w:t>
      </w:r>
    </w:p>
    <w:p>
      <w:pPr>
        <w:spacing w:after="0" w:line="55" w:lineRule="exact"/>
        <w:rPr>
          <w:sz w:val="20"/>
          <w:szCs w:val="20"/>
          <w:color w:val="auto"/>
        </w:rPr>
      </w:pPr>
    </w:p>
    <w:p>
      <w:pPr>
        <w:jc w:val="both"/>
        <w:ind w:left="220" w:right="220" w:hanging="202"/>
        <w:spacing w:after="0" w:line="228" w:lineRule="auto"/>
        <w:rPr>
          <w:sz w:val="20"/>
          <w:szCs w:val="20"/>
          <w:color w:val="auto"/>
        </w:rPr>
      </w:pPr>
      <w:r>
        <w:rPr>
          <w:rFonts w:ascii="Arial" w:cs="Arial" w:eastAsia="Arial" w:hAnsi="Arial"/>
          <w:sz w:val="14"/>
          <w:szCs w:val="14"/>
          <w:color w:val="auto"/>
        </w:rPr>
        <w:t>(7) One-time retention RSU award granted to Mr. Ortberg in accordance with his agreement to waive his rights and benefits under his Rockwell Collins change-in-control agreement and to assume certain post-employment restrictive covenants. This award vests on the third anniversary of the acquisition of Rockwell Collins, subject to continued UTC employment, except in certain circumstances as detailed in footnotes (2), (4) and (6) on pages 68-69.</w:t>
      </w:r>
    </w:p>
    <w:p>
      <w:pPr>
        <w:spacing w:after="0" w:line="226" w:lineRule="exact"/>
        <w:rPr>
          <w:sz w:val="20"/>
          <w:szCs w:val="20"/>
          <w:color w:val="auto"/>
        </w:rPr>
      </w:pPr>
    </w:p>
    <w:p>
      <w:pPr>
        <w:ind w:left="880" w:hanging="628"/>
        <w:spacing w:after="0"/>
        <w:tabs>
          <w:tab w:leader="none" w:pos="880" w:val="left"/>
        </w:tabs>
        <w:numPr>
          <w:ilvl w:val="0"/>
          <w:numId w:val="142"/>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gridSpan w:val="5"/>
            <w:shd w:val="clear" w:color="auto" w:fill="80B8E7"/>
          </w:tcPr>
          <w:p>
            <w:pPr>
              <w:jc w:val="right"/>
              <w:ind w:right="31"/>
              <w:spacing w:after="0"/>
              <w:rPr>
                <w:sz w:val="20"/>
                <w:szCs w:val="20"/>
                <w:color w:val="auto"/>
              </w:rPr>
            </w:pPr>
            <w:r>
              <w:rPr>
                <w:rFonts w:ascii="Arial" w:cs="Arial" w:eastAsia="Arial" w:hAnsi="Arial"/>
                <w:sz w:val="14"/>
                <w:szCs w:val="14"/>
                <w:b w:val="1"/>
                <w:bCs w:val="1"/>
                <w:color w:val="FFFFFF"/>
              </w:rPr>
              <w:t>COMPENSATION TABLES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20" w:type="dxa"/>
            <w:vAlign w:val="bottom"/>
            <w:gridSpan w:val="5"/>
            <w:vMerge w:val="restart"/>
          </w:tcPr>
          <w:p>
            <w:pPr>
              <w:spacing w:after="0"/>
              <w:rPr>
                <w:sz w:val="20"/>
                <w:szCs w:val="20"/>
                <w:color w:val="auto"/>
              </w:rPr>
            </w:pPr>
            <w:r>
              <w:rPr>
                <w:rFonts w:ascii="Arial" w:cs="Arial" w:eastAsia="Arial" w:hAnsi="Arial"/>
                <w:sz w:val="14"/>
                <w:szCs w:val="14"/>
                <w:b w:val="1"/>
                <w:bCs w:val="1"/>
                <w:color w:val="0E93D8"/>
                <w:w w:val="97"/>
              </w:rPr>
              <w:t>OUTSTANDING EQUITY AWARDS AT FISCAL YEAR-END</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20" w:type="dxa"/>
            <w:vAlign w:val="bottom"/>
            <w:gridSpan w:val="5"/>
            <w:vMerge w:val="continue"/>
          </w:tcPr>
          <w:p>
            <w:pPr>
              <w:spacing w:after="0"/>
              <w:rPr>
                <w:sz w:val="12"/>
                <w:szCs w:val="12"/>
                <w:color w:val="auto"/>
              </w:rPr>
            </w:pPr>
          </w:p>
        </w:tc>
        <w:tc>
          <w:tcPr>
            <w:tcW w:w="1020" w:type="dxa"/>
            <w:vAlign w:val="bottom"/>
            <w:shd w:val="clear" w:color="auto" w:fill="D0E4F5"/>
          </w:tcPr>
          <w:p>
            <w:pPr>
              <w:spacing w:after="0"/>
              <w:rPr>
                <w:sz w:val="12"/>
                <w:szCs w:val="12"/>
                <w:color w:val="auto"/>
              </w:rPr>
            </w:pPr>
          </w:p>
        </w:tc>
        <w:tc>
          <w:tcPr>
            <w:tcW w:w="80" w:type="dxa"/>
            <w:vAlign w:val="bottom"/>
            <w:shd w:val="clear" w:color="auto" w:fill="D0E4F5"/>
          </w:tcPr>
          <w:p>
            <w:pPr>
              <w:spacing w:after="0"/>
              <w:rPr>
                <w:sz w:val="12"/>
                <w:szCs w:val="12"/>
                <w:color w:val="auto"/>
              </w:rPr>
            </w:pPr>
          </w:p>
        </w:tc>
        <w:tc>
          <w:tcPr>
            <w:tcW w:w="840" w:type="dxa"/>
            <w:vAlign w:val="bottom"/>
            <w:shd w:val="clear" w:color="auto" w:fill="D0E4F5"/>
          </w:tcPr>
          <w:p>
            <w:pPr>
              <w:spacing w:after="0"/>
              <w:rPr>
                <w:sz w:val="12"/>
                <w:szCs w:val="12"/>
                <w:color w:val="auto"/>
              </w:rPr>
            </w:pPr>
          </w:p>
        </w:tc>
        <w:tc>
          <w:tcPr>
            <w:tcW w:w="80" w:type="dxa"/>
            <w:vAlign w:val="bottom"/>
            <w:shd w:val="clear" w:color="auto" w:fill="D0E4F5"/>
          </w:tcPr>
          <w:p>
            <w:pPr>
              <w:spacing w:after="0"/>
              <w:rPr>
                <w:sz w:val="12"/>
                <w:szCs w:val="12"/>
                <w:color w:val="auto"/>
              </w:rPr>
            </w:pPr>
          </w:p>
        </w:tc>
        <w:tc>
          <w:tcPr>
            <w:tcW w:w="820" w:type="dxa"/>
            <w:vAlign w:val="bottom"/>
            <w:shd w:val="clear" w:color="auto" w:fill="D0E4F5"/>
          </w:tcPr>
          <w:p>
            <w:pPr>
              <w:spacing w:after="0"/>
              <w:rPr>
                <w:sz w:val="12"/>
                <w:szCs w:val="12"/>
                <w:color w:val="auto"/>
              </w:rPr>
            </w:pPr>
          </w:p>
        </w:tc>
        <w:tc>
          <w:tcPr>
            <w:tcW w:w="100" w:type="dxa"/>
            <w:vAlign w:val="bottom"/>
            <w:shd w:val="clear" w:color="auto" w:fill="D0E4F5"/>
          </w:tcPr>
          <w:p>
            <w:pPr>
              <w:spacing w:after="0"/>
              <w:rPr>
                <w:sz w:val="12"/>
                <w:szCs w:val="12"/>
                <w:color w:val="auto"/>
              </w:rPr>
            </w:pPr>
          </w:p>
        </w:tc>
        <w:tc>
          <w:tcPr>
            <w:tcW w:w="1040" w:type="dxa"/>
            <w:vAlign w:val="bottom"/>
            <w:shd w:val="clear" w:color="auto" w:fill="D0E4F5"/>
          </w:tcPr>
          <w:p>
            <w:pPr>
              <w:spacing w:after="0"/>
              <w:rPr>
                <w:sz w:val="12"/>
                <w:szCs w:val="12"/>
                <w:color w:val="auto"/>
              </w:rPr>
            </w:pPr>
          </w:p>
        </w:tc>
        <w:tc>
          <w:tcPr>
            <w:tcW w:w="100" w:type="dxa"/>
            <w:vAlign w:val="bottom"/>
            <w:shd w:val="clear" w:color="auto" w:fill="D0E4F5"/>
          </w:tcPr>
          <w:p>
            <w:pPr>
              <w:spacing w:after="0"/>
              <w:rPr>
                <w:sz w:val="12"/>
                <w:szCs w:val="12"/>
                <w:color w:val="auto"/>
              </w:rPr>
            </w:pPr>
          </w:p>
        </w:tc>
        <w:tc>
          <w:tcPr>
            <w:tcW w:w="1060" w:type="dxa"/>
            <w:vAlign w:val="bottom"/>
            <w:shd w:val="clear" w:color="auto" w:fill="D0E4F5"/>
          </w:tcPr>
          <w:p>
            <w:pPr>
              <w:spacing w:after="0"/>
              <w:rPr>
                <w:sz w:val="12"/>
                <w:szCs w:val="12"/>
                <w:color w:val="auto"/>
              </w:rPr>
            </w:pPr>
          </w:p>
        </w:tc>
        <w:tc>
          <w:tcPr>
            <w:tcW w:w="80" w:type="dxa"/>
            <w:vAlign w:val="bottom"/>
            <w:shd w:val="clear" w:color="auto" w:fill="D0E4F5"/>
          </w:tcPr>
          <w:p>
            <w:pPr>
              <w:spacing w:after="0"/>
              <w:rPr>
                <w:sz w:val="12"/>
                <w:szCs w:val="12"/>
                <w:color w:val="auto"/>
              </w:rPr>
            </w:pPr>
          </w:p>
        </w:tc>
        <w:tc>
          <w:tcPr>
            <w:tcW w:w="600" w:type="dxa"/>
            <w:vAlign w:val="bottom"/>
            <w:shd w:val="clear" w:color="auto" w:fill="D0E4F5"/>
          </w:tcPr>
          <w:p>
            <w:pPr>
              <w:spacing w:after="0"/>
              <w:rPr>
                <w:sz w:val="12"/>
                <w:szCs w:val="12"/>
                <w:color w:val="auto"/>
              </w:rPr>
            </w:pPr>
          </w:p>
        </w:tc>
        <w:tc>
          <w:tcPr>
            <w:tcW w:w="600" w:type="dxa"/>
            <w:vAlign w:val="bottom"/>
            <w:shd w:val="clear" w:color="auto" w:fill="D0E4F5"/>
          </w:tcPr>
          <w:p>
            <w:pPr>
              <w:spacing w:after="0"/>
              <w:rPr>
                <w:sz w:val="12"/>
                <w:szCs w:val="12"/>
                <w:color w:val="auto"/>
              </w:rPr>
            </w:pPr>
          </w:p>
        </w:tc>
        <w:tc>
          <w:tcPr>
            <w:tcW w:w="100" w:type="dxa"/>
            <w:vAlign w:val="bottom"/>
            <w:shd w:val="clear" w:color="auto" w:fill="D0E4F5"/>
          </w:tcPr>
          <w:p>
            <w:pPr>
              <w:spacing w:after="0"/>
              <w:rPr>
                <w:sz w:val="12"/>
                <w:szCs w:val="12"/>
                <w:color w:val="auto"/>
              </w:rPr>
            </w:pPr>
          </w:p>
        </w:tc>
        <w:tc>
          <w:tcPr>
            <w:tcW w:w="320" w:type="dxa"/>
            <w:vAlign w:val="bottom"/>
            <w:shd w:val="clear" w:color="auto" w:fill="D0E4F5"/>
          </w:tcPr>
          <w:p>
            <w:pPr>
              <w:spacing w:after="0"/>
              <w:rPr>
                <w:sz w:val="12"/>
                <w:szCs w:val="12"/>
                <w:color w:val="auto"/>
              </w:rPr>
            </w:pPr>
          </w:p>
        </w:tc>
        <w:tc>
          <w:tcPr>
            <w:tcW w:w="180" w:type="dxa"/>
            <w:vAlign w:val="bottom"/>
            <w:shd w:val="clear" w:color="auto" w:fill="D0E4F5"/>
          </w:tcPr>
          <w:p>
            <w:pPr>
              <w:spacing w:after="0"/>
              <w:rPr>
                <w:sz w:val="12"/>
                <w:szCs w:val="12"/>
                <w:color w:val="auto"/>
              </w:rPr>
            </w:pPr>
          </w:p>
        </w:tc>
        <w:tc>
          <w:tcPr>
            <w:tcW w:w="680" w:type="dxa"/>
            <w:vAlign w:val="bottom"/>
            <w:shd w:val="clear" w:color="auto" w:fill="D0E4F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0E93D8"/>
            </w:tcBorders>
          </w:tcPr>
          <w:p>
            <w:pPr>
              <w:spacing w:after="0"/>
              <w:rPr>
                <w:sz w:val="24"/>
                <w:szCs w:val="24"/>
                <w:color w:val="auto"/>
              </w:rPr>
            </w:pPr>
          </w:p>
        </w:tc>
        <w:tc>
          <w:tcPr>
            <w:tcW w:w="80" w:type="dxa"/>
            <w:vAlign w:val="bottom"/>
            <w:tcBorders>
              <w:bottom w:val="single" w:sz="8" w:color="0E93D8"/>
            </w:tcBorders>
          </w:tcPr>
          <w:p>
            <w:pPr>
              <w:spacing w:after="0"/>
              <w:rPr>
                <w:sz w:val="24"/>
                <w:szCs w:val="24"/>
                <w:color w:val="auto"/>
              </w:rPr>
            </w:pPr>
          </w:p>
        </w:tc>
        <w:tc>
          <w:tcPr>
            <w:tcW w:w="60" w:type="dxa"/>
            <w:vAlign w:val="bottom"/>
            <w:tcBorders>
              <w:bottom w:val="single" w:sz="8" w:color="0E93D8"/>
            </w:tcBorders>
          </w:tcPr>
          <w:p>
            <w:pPr>
              <w:spacing w:after="0"/>
              <w:rPr>
                <w:sz w:val="24"/>
                <w:szCs w:val="24"/>
                <w:color w:val="auto"/>
              </w:rPr>
            </w:pPr>
          </w:p>
        </w:tc>
        <w:tc>
          <w:tcPr>
            <w:tcW w:w="2020" w:type="dxa"/>
            <w:vAlign w:val="bottom"/>
            <w:tcBorders>
              <w:bottom w:val="single" w:sz="8" w:color="0E93D8"/>
            </w:tcBorders>
            <w:gridSpan w:val="4"/>
          </w:tcPr>
          <w:p>
            <w:pPr>
              <w:ind w:left="380"/>
              <w:spacing w:after="0"/>
              <w:rPr>
                <w:sz w:val="20"/>
                <w:szCs w:val="20"/>
                <w:color w:val="auto"/>
              </w:rPr>
            </w:pPr>
            <w:r>
              <w:rPr>
                <w:rFonts w:ascii="Arial" w:cs="Arial" w:eastAsia="Arial" w:hAnsi="Arial"/>
                <w:sz w:val="14"/>
                <w:szCs w:val="14"/>
                <w:b w:val="1"/>
                <w:bCs w:val="1"/>
                <w:color w:val="0E93D8"/>
              </w:rPr>
              <w:t>Option Awards</w:t>
            </w:r>
          </w:p>
        </w:tc>
        <w:tc>
          <w:tcPr>
            <w:tcW w:w="820" w:type="dxa"/>
            <w:vAlign w:val="bottom"/>
            <w:tcBorders>
              <w:bottom w:val="single" w:sz="8" w:color="0E93D8"/>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0E93D8"/>
            </w:tcBorders>
          </w:tcPr>
          <w:p>
            <w:pPr>
              <w:spacing w:after="0"/>
              <w:rPr>
                <w:sz w:val="24"/>
                <w:szCs w:val="24"/>
                <w:color w:val="auto"/>
              </w:rPr>
            </w:pPr>
          </w:p>
        </w:tc>
        <w:tc>
          <w:tcPr>
            <w:tcW w:w="100" w:type="dxa"/>
            <w:vAlign w:val="bottom"/>
            <w:tcBorders>
              <w:bottom w:val="single" w:sz="8" w:color="0E93D8"/>
            </w:tcBorders>
          </w:tcPr>
          <w:p>
            <w:pPr>
              <w:spacing w:after="0"/>
              <w:rPr>
                <w:sz w:val="24"/>
                <w:szCs w:val="24"/>
                <w:color w:val="auto"/>
              </w:rPr>
            </w:pPr>
          </w:p>
        </w:tc>
        <w:tc>
          <w:tcPr>
            <w:tcW w:w="2340" w:type="dxa"/>
            <w:vAlign w:val="bottom"/>
            <w:tcBorders>
              <w:bottom w:val="single" w:sz="8" w:color="0E93D8"/>
            </w:tcBorders>
            <w:gridSpan w:val="4"/>
          </w:tcPr>
          <w:p>
            <w:pPr>
              <w:jc w:val="right"/>
              <w:ind w:right="592"/>
              <w:spacing w:after="0"/>
              <w:rPr>
                <w:sz w:val="20"/>
                <w:szCs w:val="20"/>
                <w:color w:val="auto"/>
              </w:rPr>
            </w:pPr>
            <w:r>
              <w:rPr>
                <w:rFonts w:ascii="Arial" w:cs="Arial" w:eastAsia="Arial" w:hAnsi="Arial"/>
                <w:sz w:val="14"/>
                <w:szCs w:val="14"/>
                <w:b w:val="1"/>
                <w:bCs w:val="1"/>
                <w:color w:val="0E93D8"/>
              </w:rPr>
              <w:t>Stock Awards</w:t>
            </w:r>
          </w:p>
        </w:tc>
        <w:tc>
          <w:tcPr>
            <w:tcW w:w="100" w:type="dxa"/>
            <w:vAlign w:val="bottom"/>
            <w:tcBorders>
              <w:bottom w:val="single" w:sz="8" w:color="0E93D8"/>
            </w:tcBorders>
          </w:tcPr>
          <w:p>
            <w:pPr>
              <w:spacing w:after="0"/>
              <w:rPr>
                <w:sz w:val="24"/>
                <w:szCs w:val="24"/>
                <w:color w:val="auto"/>
              </w:rPr>
            </w:pPr>
          </w:p>
        </w:tc>
        <w:tc>
          <w:tcPr>
            <w:tcW w:w="320" w:type="dxa"/>
            <w:vAlign w:val="bottom"/>
            <w:tcBorders>
              <w:bottom w:val="single" w:sz="8" w:color="0E93D8"/>
            </w:tcBorders>
          </w:tcPr>
          <w:p>
            <w:pPr>
              <w:spacing w:after="0"/>
              <w:rPr>
                <w:sz w:val="24"/>
                <w:szCs w:val="24"/>
                <w:color w:val="auto"/>
              </w:rPr>
            </w:pPr>
          </w:p>
        </w:tc>
        <w:tc>
          <w:tcPr>
            <w:tcW w:w="180" w:type="dxa"/>
            <w:vAlign w:val="bottom"/>
            <w:tcBorders>
              <w:bottom w:val="single" w:sz="8" w:color="0E93D8"/>
            </w:tcBorders>
          </w:tcPr>
          <w:p>
            <w:pPr>
              <w:spacing w:after="0"/>
              <w:rPr>
                <w:sz w:val="24"/>
                <w:szCs w:val="24"/>
                <w:color w:val="auto"/>
              </w:rPr>
            </w:pPr>
          </w:p>
        </w:tc>
        <w:tc>
          <w:tcPr>
            <w:tcW w:w="680" w:type="dxa"/>
            <w:vAlign w:val="bottom"/>
            <w:tcBorders>
              <w:bottom w:val="single" w:sz="8" w:color="0E93D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shd w:val="clear" w:color="auto" w:fill="F6FAFB"/>
          </w:tcPr>
          <w:p>
            <w:pPr>
              <w:spacing w:after="0"/>
              <w:rPr>
                <w:sz w:val="13"/>
                <w:szCs w:val="13"/>
                <w:color w:val="auto"/>
              </w:rPr>
            </w:pPr>
          </w:p>
        </w:tc>
        <w:tc>
          <w:tcPr>
            <w:tcW w:w="100" w:type="dxa"/>
            <w:vAlign w:val="bottom"/>
            <w:shd w:val="clear" w:color="auto" w:fill="F6FAFB"/>
          </w:tcPr>
          <w:p>
            <w:pPr>
              <w:spacing w:after="0"/>
              <w:rPr>
                <w:sz w:val="13"/>
                <w:szCs w:val="13"/>
                <w:color w:val="auto"/>
              </w:rPr>
            </w:pPr>
          </w:p>
        </w:tc>
        <w:tc>
          <w:tcPr>
            <w:tcW w:w="1060" w:type="dxa"/>
            <w:vAlign w:val="bottom"/>
            <w:shd w:val="clear" w:color="auto" w:fill="F6FAFB"/>
          </w:tcPr>
          <w:p>
            <w:pPr>
              <w:spacing w:after="0"/>
              <w:rPr>
                <w:sz w:val="13"/>
                <w:szCs w:val="13"/>
                <w:color w:val="auto"/>
              </w:rPr>
            </w:pPr>
          </w:p>
        </w:tc>
        <w:tc>
          <w:tcPr>
            <w:tcW w:w="80" w:type="dxa"/>
            <w:vAlign w:val="bottom"/>
            <w:shd w:val="clear" w:color="auto" w:fill="F6FAFB"/>
          </w:tcPr>
          <w:p>
            <w:pPr>
              <w:spacing w:after="0"/>
              <w:rPr>
                <w:sz w:val="13"/>
                <w:szCs w:val="13"/>
                <w:color w:val="auto"/>
              </w:rPr>
            </w:pPr>
          </w:p>
        </w:tc>
        <w:tc>
          <w:tcPr>
            <w:tcW w:w="600" w:type="dxa"/>
            <w:vAlign w:val="bottom"/>
            <w:shd w:val="clear" w:color="auto" w:fill="F6FAFB"/>
          </w:tcPr>
          <w:p>
            <w:pPr>
              <w:spacing w:after="0"/>
              <w:rPr>
                <w:sz w:val="13"/>
                <w:szCs w:val="13"/>
                <w:color w:val="auto"/>
              </w:rPr>
            </w:pPr>
          </w:p>
        </w:tc>
        <w:tc>
          <w:tcPr>
            <w:tcW w:w="600" w:type="dxa"/>
            <w:vAlign w:val="bottom"/>
            <w:shd w:val="clear" w:color="auto" w:fill="F6FAFB"/>
          </w:tcPr>
          <w:p>
            <w:pPr>
              <w:spacing w:after="0"/>
              <w:rPr>
                <w:sz w:val="13"/>
                <w:szCs w:val="13"/>
                <w:color w:val="auto"/>
              </w:rPr>
            </w:pPr>
          </w:p>
        </w:tc>
        <w:tc>
          <w:tcPr>
            <w:tcW w:w="100" w:type="dxa"/>
            <w:vAlign w:val="bottom"/>
            <w:shd w:val="clear" w:color="auto" w:fill="F6FAFB"/>
          </w:tcPr>
          <w:p>
            <w:pPr>
              <w:spacing w:after="0"/>
              <w:rPr>
                <w:sz w:val="13"/>
                <w:szCs w:val="13"/>
                <w:color w:val="auto"/>
              </w:rPr>
            </w:pPr>
          </w:p>
        </w:tc>
        <w:tc>
          <w:tcPr>
            <w:tcW w:w="1180" w:type="dxa"/>
            <w:vAlign w:val="bottom"/>
            <w:gridSpan w:val="3"/>
            <w:shd w:val="clear" w:color="auto" w:fill="F6FAFB"/>
          </w:tcPr>
          <w:p>
            <w:pPr>
              <w:jc w:val="right"/>
              <w:ind w:right="11"/>
              <w:spacing w:after="0" w:line="159" w:lineRule="exact"/>
              <w:rPr>
                <w:sz w:val="20"/>
                <w:szCs w:val="20"/>
                <w:color w:val="auto"/>
              </w:rPr>
            </w:pPr>
            <w:r>
              <w:rPr>
                <w:rFonts w:ascii="Arial" w:cs="Arial" w:eastAsia="Arial" w:hAnsi="Arial"/>
                <w:sz w:val="14"/>
                <w:szCs w:val="14"/>
                <w:b w:val="1"/>
                <w:bCs w:val="1"/>
                <w:i w:val="1"/>
                <w:iCs w:val="1"/>
                <w:color w:val="0E93D8"/>
              </w:rPr>
              <w:t>Equity Incentive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spacing w:after="0"/>
              <w:rPr>
                <w:sz w:val="12"/>
                <w:szCs w:val="12"/>
                <w:color w:val="auto"/>
              </w:rPr>
            </w:pP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spacing w:after="0"/>
              <w:rPr>
                <w:sz w:val="12"/>
                <w:szCs w:val="12"/>
                <w:color w:val="auto"/>
              </w:rPr>
            </w:pPr>
          </w:p>
        </w:tc>
        <w:tc>
          <w:tcPr>
            <w:tcW w:w="80" w:type="dxa"/>
            <w:vAlign w:val="bottom"/>
            <w:shd w:val="clear" w:color="auto" w:fill="F6FAFB"/>
          </w:tcPr>
          <w:p>
            <w:pPr>
              <w:spacing w:after="0"/>
              <w:rPr>
                <w:sz w:val="12"/>
                <w:szCs w:val="12"/>
                <w:color w:val="auto"/>
              </w:rPr>
            </w:pPr>
          </w:p>
        </w:tc>
        <w:tc>
          <w:tcPr>
            <w:tcW w:w="1200" w:type="dxa"/>
            <w:vAlign w:val="bottom"/>
            <w:gridSpan w:val="2"/>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i w:val="1"/>
                <w:iCs w:val="1"/>
                <w:color w:val="0E93D8"/>
              </w:rPr>
              <w:t>Equity Incentive</w:t>
            </w:r>
          </w:p>
        </w:tc>
        <w:tc>
          <w:tcPr>
            <w:tcW w:w="100" w:type="dxa"/>
            <w:vAlign w:val="bottom"/>
            <w:shd w:val="clear" w:color="auto" w:fill="F6FAFB"/>
          </w:tcPr>
          <w:p>
            <w:pPr>
              <w:spacing w:after="0"/>
              <w:rPr>
                <w:sz w:val="12"/>
                <w:szCs w:val="12"/>
                <w:color w:val="auto"/>
              </w:rPr>
            </w:pPr>
          </w:p>
        </w:tc>
        <w:tc>
          <w:tcPr>
            <w:tcW w:w="1180" w:type="dxa"/>
            <w:vAlign w:val="bottom"/>
            <w:gridSpan w:val="3"/>
            <w:shd w:val="clear" w:color="auto" w:fill="F6FAFB"/>
          </w:tcPr>
          <w:p>
            <w:pPr>
              <w:jc w:val="right"/>
              <w:ind w:right="11"/>
              <w:spacing w:after="0" w:line="149" w:lineRule="exact"/>
              <w:rPr>
                <w:sz w:val="20"/>
                <w:szCs w:val="20"/>
                <w:color w:val="auto"/>
              </w:rPr>
            </w:pPr>
            <w:r>
              <w:rPr>
                <w:rFonts w:ascii="Arial" w:cs="Arial" w:eastAsia="Arial" w:hAnsi="Arial"/>
                <w:sz w:val="14"/>
                <w:szCs w:val="14"/>
                <w:b w:val="1"/>
                <w:bCs w:val="1"/>
                <w:i w:val="1"/>
                <w:iCs w:val="1"/>
                <w:color w:val="0E93D8"/>
              </w:rPr>
              <w:t>Plan 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spacing w:after="0"/>
              <w:rPr>
                <w:sz w:val="12"/>
                <w:szCs w:val="12"/>
                <w:color w:val="auto"/>
              </w:rPr>
            </w:pP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spacing w:after="0"/>
              <w:rPr>
                <w:sz w:val="12"/>
                <w:szCs w:val="12"/>
                <w:color w:val="auto"/>
              </w:rPr>
            </w:pPr>
          </w:p>
        </w:tc>
        <w:tc>
          <w:tcPr>
            <w:tcW w:w="80" w:type="dxa"/>
            <w:vAlign w:val="bottom"/>
            <w:shd w:val="clear" w:color="auto" w:fill="F6FAFB"/>
          </w:tcPr>
          <w:p>
            <w:pPr>
              <w:spacing w:after="0"/>
              <w:rPr>
                <w:sz w:val="12"/>
                <w:szCs w:val="12"/>
                <w:color w:val="auto"/>
              </w:rPr>
            </w:pPr>
          </w:p>
        </w:tc>
        <w:tc>
          <w:tcPr>
            <w:tcW w:w="1200" w:type="dxa"/>
            <w:vAlign w:val="bottom"/>
            <w:gridSpan w:val="2"/>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i w:val="1"/>
                <w:iCs w:val="1"/>
                <w:color w:val="0E93D8"/>
              </w:rPr>
              <w:t>Plan Awards:</w:t>
            </w:r>
          </w:p>
        </w:tc>
        <w:tc>
          <w:tcPr>
            <w:tcW w:w="100" w:type="dxa"/>
            <w:vAlign w:val="bottom"/>
            <w:shd w:val="clear" w:color="auto" w:fill="F6FAFB"/>
          </w:tcPr>
          <w:p>
            <w:pPr>
              <w:spacing w:after="0"/>
              <w:rPr>
                <w:sz w:val="12"/>
                <w:szCs w:val="12"/>
                <w:color w:val="auto"/>
              </w:rPr>
            </w:pPr>
          </w:p>
        </w:tc>
        <w:tc>
          <w:tcPr>
            <w:tcW w:w="320" w:type="dxa"/>
            <w:vAlign w:val="bottom"/>
            <w:shd w:val="clear" w:color="auto" w:fill="F6FAFB"/>
          </w:tcPr>
          <w:p>
            <w:pPr>
              <w:spacing w:after="0"/>
              <w:rPr>
                <w:sz w:val="12"/>
                <w:szCs w:val="12"/>
                <w:color w:val="auto"/>
              </w:rPr>
            </w:pPr>
          </w:p>
        </w:tc>
        <w:tc>
          <w:tcPr>
            <w:tcW w:w="180" w:type="dxa"/>
            <w:vAlign w:val="bottom"/>
            <w:shd w:val="clear" w:color="auto" w:fill="F6FAFB"/>
          </w:tcPr>
          <w:p>
            <w:pPr>
              <w:spacing w:after="0"/>
              <w:rPr>
                <w:sz w:val="12"/>
                <w:szCs w:val="12"/>
                <w:color w:val="auto"/>
              </w:rPr>
            </w:pPr>
          </w:p>
        </w:tc>
        <w:tc>
          <w:tcPr>
            <w:tcW w:w="680" w:type="dxa"/>
            <w:vAlign w:val="bottom"/>
            <w:shd w:val="clear" w:color="auto" w:fill="F6FAFB"/>
          </w:tcPr>
          <w:p>
            <w:pPr>
              <w:jc w:val="right"/>
              <w:ind w:right="11"/>
              <w:spacing w:after="0" w:line="149" w:lineRule="exact"/>
              <w:rPr>
                <w:sz w:val="20"/>
                <w:szCs w:val="20"/>
                <w:color w:val="auto"/>
              </w:rPr>
            </w:pPr>
            <w:r>
              <w:rPr>
                <w:rFonts w:ascii="Arial" w:cs="Arial" w:eastAsia="Arial" w:hAnsi="Arial"/>
                <w:sz w:val="14"/>
                <w:szCs w:val="14"/>
                <w:b w:val="1"/>
                <w:bCs w:val="1"/>
                <w:color w:val="0E93D8"/>
                <w:w w:val="91"/>
              </w:rPr>
              <w:t>Market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0E93D8"/>
              </w:rPr>
              <w:t>Number of</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Number of</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shd w:val="clear" w:color="auto" w:fill="F6FAFB"/>
          </w:tcPr>
          <w:p>
            <w:pPr>
              <w:spacing w:after="0"/>
              <w:rPr>
                <w:sz w:val="15"/>
                <w:szCs w:val="15"/>
                <w:color w:val="auto"/>
              </w:rPr>
            </w:pPr>
          </w:p>
        </w:tc>
        <w:tc>
          <w:tcPr>
            <w:tcW w:w="100" w:type="dxa"/>
            <w:vAlign w:val="bottom"/>
            <w:shd w:val="clear" w:color="auto" w:fill="F6FAFB"/>
          </w:tcPr>
          <w:p>
            <w:pPr>
              <w:spacing w:after="0"/>
              <w:rPr>
                <w:sz w:val="15"/>
                <w:szCs w:val="15"/>
                <w:color w:val="auto"/>
              </w:rPr>
            </w:pPr>
          </w:p>
        </w:tc>
        <w:tc>
          <w:tcPr>
            <w:tcW w:w="1060" w:type="dxa"/>
            <w:vAlign w:val="bottom"/>
            <w:shd w:val="clear" w:color="auto" w:fill="F6FAFB"/>
          </w:tcPr>
          <w:p>
            <w:pPr>
              <w:spacing w:after="0"/>
              <w:rPr>
                <w:sz w:val="15"/>
                <w:szCs w:val="15"/>
                <w:color w:val="auto"/>
              </w:rPr>
            </w:pPr>
          </w:p>
        </w:tc>
        <w:tc>
          <w:tcPr>
            <w:tcW w:w="80" w:type="dxa"/>
            <w:vAlign w:val="bottom"/>
            <w:shd w:val="clear" w:color="auto" w:fill="F6FAFB"/>
          </w:tcPr>
          <w:p>
            <w:pPr>
              <w:spacing w:after="0"/>
              <w:rPr>
                <w:sz w:val="15"/>
                <w:szCs w:val="15"/>
                <w:color w:val="auto"/>
              </w:rPr>
            </w:pPr>
          </w:p>
        </w:tc>
        <w:tc>
          <w:tcPr>
            <w:tcW w:w="1200" w:type="dxa"/>
            <w:vAlign w:val="bottom"/>
            <w:gridSpan w:val="2"/>
            <w:shd w:val="clear" w:color="auto" w:fill="F6FAFB"/>
          </w:tcPr>
          <w:p>
            <w:pPr>
              <w:jc w:val="right"/>
              <w:ind w:right="12"/>
              <w:spacing w:after="0"/>
              <w:rPr>
                <w:sz w:val="20"/>
                <w:szCs w:val="20"/>
                <w:color w:val="auto"/>
              </w:rPr>
            </w:pPr>
            <w:r>
              <w:rPr>
                <w:rFonts w:ascii="Arial" w:cs="Arial" w:eastAsia="Arial" w:hAnsi="Arial"/>
                <w:sz w:val="14"/>
                <w:szCs w:val="14"/>
                <w:b w:val="1"/>
                <w:bCs w:val="1"/>
                <w:color w:val="0E93D8"/>
              </w:rPr>
              <w:t>Number of</w:t>
            </w:r>
          </w:p>
        </w:tc>
        <w:tc>
          <w:tcPr>
            <w:tcW w:w="100" w:type="dxa"/>
            <w:vAlign w:val="bottom"/>
            <w:shd w:val="clear" w:color="auto" w:fill="F6FAFB"/>
          </w:tcPr>
          <w:p>
            <w:pPr>
              <w:spacing w:after="0"/>
              <w:rPr>
                <w:sz w:val="15"/>
                <w:szCs w:val="15"/>
                <w:color w:val="auto"/>
              </w:rPr>
            </w:pPr>
          </w:p>
        </w:tc>
        <w:tc>
          <w:tcPr>
            <w:tcW w:w="1180" w:type="dxa"/>
            <w:vAlign w:val="bottom"/>
            <w:gridSpan w:val="3"/>
            <w:shd w:val="clear" w:color="auto" w:fill="F6FAFB"/>
          </w:tcPr>
          <w:p>
            <w:pPr>
              <w:jc w:val="right"/>
              <w:ind w:right="11"/>
              <w:spacing w:after="0"/>
              <w:rPr>
                <w:sz w:val="20"/>
                <w:szCs w:val="20"/>
                <w:color w:val="auto"/>
              </w:rPr>
            </w:pPr>
            <w:r>
              <w:rPr>
                <w:rFonts w:ascii="Arial" w:cs="Arial" w:eastAsia="Arial" w:hAnsi="Arial"/>
                <w:sz w:val="14"/>
                <w:szCs w:val="14"/>
                <w:b w:val="1"/>
                <w:bCs w:val="1"/>
                <w:color w:val="0E93D8"/>
              </w:rPr>
              <w:t>Payout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0E93D8"/>
              </w:rPr>
              <w:t>Securities</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Securities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Number</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Market Value</w:t>
            </w:r>
          </w:p>
        </w:tc>
        <w:tc>
          <w:tcPr>
            <w:tcW w:w="80" w:type="dxa"/>
            <w:vAlign w:val="bottom"/>
            <w:shd w:val="clear" w:color="auto" w:fill="F6FAFB"/>
          </w:tcPr>
          <w:p>
            <w:pPr>
              <w:spacing w:after="0"/>
              <w:rPr>
                <w:sz w:val="12"/>
                <w:szCs w:val="12"/>
                <w:color w:val="auto"/>
              </w:rPr>
            </w:pPr>
          </w:p>
        </w:tc>
        <w:tc>
          <w:tcPr>
            <w:tcW w:w="1200" w:type="dxa"/>
            <w:vAlign w:val="bottom"/>
            <w:gridSpan w:val="2"/>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Unearned</w:t>
            </w:r>
          </w:p>
        </w:tc>
        <w:tc>
          <w:tcPr>
            <w:tcW w:w="100" w:type="dxa"/>
            <w:vAlign w:val="bottom"/>
            <w:shd w:val="clear" w:color="auto" w:fill="F6FAFB"/>
          </w:tcPr>
          <w:p>
            <w:pPr>
              <w:spacing w:after="0"/>
              <w:rPr>
                <w:sz w:val="12"/>
                <w:szCs w:val="12"/>
                <w:color w:val="auto"/>
              </w:rPr>
            </w:pPr>
          </w:p>
        </w:tc>
        <w:tc>
          <w:tcPr>
            <w:tcW w:w="320" w:type="dxa"/>
            <w:vAlign w:val="bottom"/>
            <w:shd w:val="clear" w:color="auto" w:fill="F6FAFB"/>
          </w:tcPr>
          <w:p>
            <w:pPr>
              <w:spacing w:after="0"/>
              <w:rPr>
                <w:sz w:val="12"/>
                <w:szCs w:val="12"/>
                <w:color w:val="auto"/>
              </w:rPr>
            </w:pPr>
          </w:p>
        </w:tc>
        <w:tc>
          <w:tcPr>
            <w:tcW w:w="860" w:type="dxa"/>
            <w:vAlign w:val="bottom"/>
            <w:gridSpan w:val="2"/>
            <w:shd w:val="clear" w:color="auto" w:fill="F6FAFB"/>
          </w:tcPr>
          <w:p>
            <w:pPr>
              <w:jc w:val="right"/>
              <w:ind w:right="11"/>
              <w:spacing w:after="0" w:line="149" w:lineRule="exact"/>
              <w:rPr>
                <w:sz w:val="20"/>
                <w:szCs w:val="20"/>
                <w:color w:val="auto"/>
              </w:rPr>
            </w:pPr>
            <w:r>
              <w:rPr>
                <w:rFonts w:ascii="Arial" w:cs="Arial" w:eastAsia="Arial" w:hAnsi="Arial"/>
                <w:sz w:val="14"/>
                <w:szCs w:val="14"/>
                <w:b w:val="1"/>
                <w:bCs w:val="1"/>
                <w:color w:val="0E93D8"/>
                <w:w w:val="92"/>
              </w:rPr>
              <w:t>of Unearned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0E93D8"/>
              </w:rPr>
              <w:t>Underlying</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Underlying</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of Shares or</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of Shares or</w:t>
            </w:r>
          </w:p>
        </w:tc>
        <w:tc>
          <w:tcPr>
            <w:tcW w:w="80" w:type="dxa"/>
            <w:vAlign w:val="bottom"/>
            <w:shd w:val="clear" w:color="auto" w:fill="F6FAFB"/>
          </w:tcPr>
          <w:p>
            <w:pPr>
              <w:spacing w:after="0"/>
              <w:rPr>
                <w:sz w:val="12"/>
                <w:szCs w:val="12"/>
                <w:color w:val="auto"/>
              </w:rPr>
            </w:pPr>
          </w:p>
        </w:tc>
        <w:tc>
          <w:tcPr>
            <w:tcW w:w="1200" w:type="dxa"/>
            <w:vAlign w:val="bottom"/>
            <w:gridSpan w:val="2"/>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Shares, Units</w:t>
            </w:r>
          </w:p>
        </w:tc>
        <w:tc>
          <w:tcPr>
            <w:tcW w:w="100" w:type="dxa"/>
            <w:vAlign w:val="bottom"/>
            <w:shd w:val="clear" w:color="auto" w:fill="F6FAFB"/>
          </w:tcPr>
          <w:p>
            <w:pPr>
              <w:spacing w:after="0"/>
              <w:rPr>
                <w:sz w:val="12"/>
                <w:szCs w:val="12"/>
                <w:color w:val="auto"/>
              </w:rPr>
            </w:pPr>
          </w:p>
        </w:tc>
        <w:tc>
          <w:tcPr>
            <w:tcW w:w="1180" w:type="dxa"/>
            <w:vAlign w:val="bottom"/>
            <w:gridSpan w:val="3"/>
            <w:shd w:val="clear" w:color="auto" w:fill="F6FAFB"/>
          </w:tcPr>
          <w:p>
            <w:pPr>
              <w:jc w:val="right"/>
              <w:ind w:right="11"/>
              <w:spacing w:after="0" w:line="149" w:lineRule="exact"/>
              <w:rPr>
                <w:sz w:val="20"/>
                <w:szCs w:val="20"/>
                <w:color w:val="auto"/>
              </w:rPr>
            </w:pPr>
            <w:r>
              <w:rPr>
                <w:rFonts w:ascii="Arial" w:cs="Arial" w:eastAsia="Arial" w:hAnsi="Arial"/>
                <w:sz w:val="14"/>
                <w:szCs w:val="14"/>
                <w:b w:val="1"/>
                <w:bCs w:val="1"/>
                <w:color w:val="0E93D8"/>
              </w:rPr>
              <w:t>Shares, Units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0E93D8"/>
              </w:rPr>
              <w:t>Unexercised</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Unexercised</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Option</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0E93D8"/>
              </w:rPr>
              <w:t>Option</w:t>
            </w: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Units of Stock</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Units of Stock</w:t>
            </w:r>
          </w:p>
        </w:tc>
        <w:tc>
          <w:tcPr>
            <w:tcW w:w="80" w:type="dxa"/>
            <w:vAlign w:val="bottom"/>
            <w:shd w:val="clear" w:color="auto" w:fill="F6FAFB"/>
          </w:tcPr>
          <w:p>
            <w:pPr>
              <w:spacing w:after="0"/>
              <w:rPr>
                <w:sz w:val="12"/>
                <w:szCs w:val="12"/>
                <w:color w:val="auto"/>
              </w:rPr>
            </w:pPr>
          </w:p>
        </w:tc>
        <w:tc>
          <w:tcPr>
            <w:tcW w:w="1200" w:type="dxa"/>
            <w:vAlign w:val="bottom"/>
            <w:gridSpan w:val="2"/>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or Other Rights</w:t>
            </w:r>
          </w:p>
        </w:tc>
        <w:tc>
          <w:tcPr>
            <w:tcW w:w="100" w:type="dxa"/>
            <w:vAlign w:val="bottom"/>
            <w:shd w:val="clear" w:color="auto" w:fill="F6FAFB"/>
          </w:tcPr>
          <w:p>
            <w:pPr>
              <w:spacing w:after="0"/>
              <w:rPr>
                <w:sz w:val="12"/>
                <w:szCs w:val="12"/>
                <w:color w:val="auto"/>
              </w:rPr>
            </w:pPr>
          </w:p>
        </w:tc>
        <w:tc>
          <w:tcPr>
            <w:tcW w:w="1180" w:type="dxa"/>
            <w:vAlign w:val="bottom"/>
            <w:gridSpan w:val="3"/>
            <w:shd w:val="clear" w:color="auto" w:fill="F6FAFB"/>
          </w:tcPr>
          <w:p>
            <w:pPr>
              <w:jc w:val="right"/>
              <w:ind w:right="11"/>
              <w:spacing w:after="0" w:line="149" w:lineRule="exact"/>
              <w:rPr>
                <w:sz w:val="20"/>
                <w:szCs w:val="20"/>
                <w:color w:val="auto"/>
              </w:rPr>
            </w:pPr>
            <w:r>
              <w:rPr>
                <w:rFonts w:ascii="Arial" w:cs="Arial" w:eastAsia="Arial" w:hAnsi="Arial"/>
                <w:sz w:val="14"/>
                <w:szCs w:val="14"/>
                <w:b w:val="1"/>
                <w:bCs w:val="1"/>
                <w:color w:val="0E93D8"/>
              </w:rPr>
              <w:t>or Other Rights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0E93D8"/>
              </w:rPr>
              <w:t>Options (#)</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Options (#)</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Exercise</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0E93D8"/>
              </w:rPr>
              <w:t>Expiration</w:t>
            </w: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That Have Not</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That Have Not</w:t>
            </w:r>
          </w:p>
        </w:tc>
        <w:tc>
          <w:tcPr>
            <w:tcW w:w="80" w:type="dxa"/>
            <w:vAlign w:val="bottom"/>
            <w:shd w:val="clear" w:color="auto" w:fill="F6FAFB"/>
          </w:tcPr>
          <w:p>
            <w:pPr>
              <w:spacing w:after="0"/>
              <w:rPr>
                <w:sz w:val="12"/>
                <w:szCs w:val="12"/>
                <w:color w:val="auto"/>
              </w:rPr>
            </w:pPr>
          </w:p>
        </w:tc>
        <w:tc>
          <w:tcPr>
            <w:tcW w:w="1200" w:type="dxa"/>
            <w:vAlign w:val="bottom"/>
            <w:gridSpan w:val="2"/>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That Have Not</w:t>
            </w:r>
          </w:p>
        </w:tc>
        <w:tc>
          <w:tcPr>
            <w:tcW w:w="100" w:type="dxa"/>
            <w:vAlign w:val="bottom"/>
            <w:shd w:val="clear" w:color="auto" w:fill="F6FAFB"/>
          </w:tcPr>
          <w:p>
            <w:pPr>
              <w:spacing w:after="0"/>
              <w:rPr>
                <w:sz w:val="12"/>
                <w:szCs w:val="12"/>
                <w:color w:val="auto"/>
              </w:rPr>
            </w:pPr>
          </w:p>
        </w:tc>
        <w:tc>
          <w:tcPr>
            <w:tcW w:w="1180" w:type="dxa"/>
            <w:vAlign w:val="bottom"/>
            <w:gridSpan w:val="3"/>
            <w:shd w:val="clear" w:color="auto" w:fill="F6FAFB"/>
          </w:tcPr>
          <w:p>
            <w:pPr>
              <w:jc w:val="right"/>
              <w:ind w:right="11"/>
              <w:spacing w:after="0" w:line="149" w:lineRule="exact"/>
              <w:rPr>
                <w:sz w:val="20"/>
                <w:szCs w:val="20"/>
                <w:color w:val="auto"/>
              </w:rPr>
            </w:pPr>
            <w:r>
              <w:rPr>
                <w:rFonts w:ascii="Arial" w:cs="Arial" w:eastAsia="Arial" w:hAnsi="Arial"/>
                <w:sz w:val="14"/>
                <w:szCs w:val="14"/>
                <w:b w:val="1"/>
                <w:bCs w:val="1"/>
                <w:color w:val="0E93D8"/>
              </w:rPr>
              <w:t>That Have Not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Grant Date</w:t>
            </w:r>
          </w:p>
        </w:tc>
        <w:tc>
          <w:tcPr>
            <w:tcW w:w="100" w:type="dxa"/>
            <w:vAlign w:val="bottom"/>
          </w:tcPr>
          <w:p>
            <w:pPr>
              <w:spacing w:after="0"/>
              <w:rPr>
                <w:sz w:val="20"/>
                <w:szCs w:val="20"/>
                <w:color w:val="auto"/>
              </w:rPr>
            </w:pPr>
          </w:p>
        </w:tc>
        <w:tc>
          <w:tcPr>
            <w:tcW w:w="960" w:type="dxa"/>
            <w:vAlign w:val="bottom"/>
            <w:tcBorders>
              <w:bottom w:val="single" w:sz="8" w:color="DAE9F7"/>
            </w:tcBorders>
          </w:tcPr>
          <w:p>
            <w:pPr>
              <w:jc w:val="right"/>
              <w:ind w:right="12"/>
              <w:spacing w:after="0"/>
              <w:rPr>
                <w:sz w:val="20"/>
                <w:szCs w:val="20"/>
                <w:color w:val="auto"/>
              </w:rPr>
            </w:pPr>
            <w:r>
              <w:rPr>
                <w:rFonts w:ascii="Arial" w:cs="Arial" w:eastAsia="Arial" w:hAnsi="Arial"/>
                <w:sz w:val="14"/>
                <w:szCs w:val="14"/>
                <w:b w:val="1"/>
                <w:bCs w:val="1"/>
                <w:color w:val="0E93D8"/>
              </w:rPr>
              <w:t>Exercisable</w:t>
            </w:r>
          </w:p>
        </w:tc>
        <w:tc>
          <w:tcPr>
            <w:tcW w:w="80" w:type="dxa"/>
            <w:vAlign w:val="bottom"/>
          </w:tcPr>
          <w:p>
            <w:pPr>
              <w:spacing w:after="0"/>
              <w:rPr>
                <w:sz w:val="20"/>
                <w:szCs w:val="20"/>
                <w:color w:val="auto"/>
              </w:rPr>
            </w:pPr>
          </w:p>
        </w:tc>
        <w:tc>
          <w:tcPr>
            <w:tcW w:w="60" w:type="dxa"/>
            <w:vAlign w:val="bottom"/>
            <w:tcBorders>
              <w:bottom w:val="single" w:sz="8" w:color="DAE9F7"/>
            </w:tcBorders>
          </w:tcPr>
          <w:p>
            <w:pPr>
              <w:spacing w:after="0"/>
              <w:rPr>
                <w:sz w:val="20"/>
                <w:szCs w:val="20"/>
                <w:color w:val="auto"/>
              </w:rPr>
            </w:pPr>
          </w:p>
        </w:tc>
        <w:tc>
          <w:tcPr>
            <w:tcW w:w="1020" w:type="dxa"/>
            <w:vAlign w:val="bottom"/>
            <w:tcBorders>
              <w:bottom w:val="single" w:sz="8" w:color="DAE9F7"/>
            </w:tcBorders>
          </w:tcPr>
          <w:p>
            <w:pPr>
              <w:jc w:val="right"/>
              <w:ind w:right="12"/>
              <w:spacing w:after="0"/>
              <w:rPr>
                <w:sz w:val="20"/>
                <w:szCs w:val="20"/>
                <w:color w:val="auto"/>
              </w:rPr>
            </w:pPr>
            <w:r>
              <w:rPr>
                <w:rFonts w:ascii="Arial" w:cs="Arial" w:eastAsia="Arial" w:hAnsi="Arial"/>
                <w:sz w:val="14"/>
                <w:szCs w:val="14"/>
                <w:b w:val="1"/>
                <w:bCs w:val="1"/>
                <w:color w:val="0E93D8"/>
                <w:w w:val="96"/>
              </w:rPr>
              <w:t>Unexercisable</w:t>
            </w:r>
          </w:p>
        </w:tc>
        <w:tc>
          <w:tcPr>
            <w:tcW w:w="80" w:type="dxa"/>
            <w:vAlign w:val="bottom"/>
          </w:tcPr>
          <w:p>
            <w:pPr>
              <w:spacing w:after="0"/>
              <w:rPr>
                <w:sz w:val="20"/>
                <w:szCs w:val="20"/>
                <w:color w:val="auto"/>
              </w:rPr>
            </w:pPr>
          </w:p>
        </w:tc>
        <w:tc>
          <w:tcPr>
            <w:tcW w:w="840" w:type="dxa"/>
            <w:vAlign w:val="bottom"/>
            <w:tcBorders>
              <w:bottom w:val="single" w:sz="8" w:color="DAE9F7"/>
            </w:tcBorders>
          </w:tcPr>
          <w:p>
            <w:pPr>
              <w:jc w:val="right"/>
              <w:ind w:right="12"/>
              <w:spacing w:after="0" w:line="203" w:lineRule="exact"/>
              <w:rPr>
                <w:sz w:val="20"/>
                <w:szCs w:val="20"/>
                <w:color w:val="auto"/>
              </w:rPr>
            </w:pPr>
            <w:r>
              <w:rPr>
                <w:rFonts w:ascii="Arial" w:cs="Arial" w:eastAsia="Arial" w:hAnsi="Arial"/>
                <w:sz w:val="14"/>
                <w:szCs w:val="14"/>
                <w:b w:val="1"/>
                <w:bCs w:val="1"/>
                <w:color w:val="0E93D8"/>
              </w:rPr>
              <w:t>Price ($)</w:t>
            </w:r>
            <w:r>
              <w:rPr>
                <w:rFonts w:ascii="Arial" w:cs="Arial" w:eastAsia="Arial" w:hAnsi="Arial"/>
                <w:sz w:val="22"/>
                <w:szCs w:val="22"/>
                <w:b w:val="1"/>
                <w:bCs w:val="1"/>
                <w:color w:val="0E93D8"/>
                <w:vertAlign w:val="superscript"/>
              </w:rPr>
              <w:t>(1)</w:t>
            </w:r>
          </w:p>
        </w:tc>
        <w:tc>
          <w:tcPr>
            <w:tcW w:w="80" w:type="dxa"/>
            <w:vAlign w:val="bottom"/>
          </w:tcPr>
          <w:p>
            <w:pPr>
              <w:spacing w:after="0"/>
              <w:rPr>
                <w:sz w:val="20"/>
                <w:szCs w:val="20"/>
                <w:color w:val="auto"/>
              </w:rPr>
            </w:pPr>
          </w:p>
        </w:tc>
        <w:tc>
          <w:tcPr>
            <w:tcW w:w="820" w:type="dxa"/>
            <w:vAlign w:val="bottom"/>
            <w:tcBorders>
              <w:bottom w:val="single" w:sz="8" w:color="DAE9F7"/>
            </w:tcBorders>
          </w:tcPr>
          <w:p>
            <w:pPr>
              <w:jc w:val="right"/>
              <w:ind w:right="12"/>
              <w:spacing w:after="0"/>
              <w:rPr>
                <w:sz w:val="20"/>
                <w:szCs w:val="20"/>
                <w:color w:val="auto"/>
              </w:rPr>
            </w:pPr>
            <w:r>
              <w:rPr>
                <w:rFonts w:ascii="Arial" w:cs="Arial" w:eastAsia="Arial" w:hAnsi="Arial"/>
                <w:sz w:val="14"/>
                <w:szCs w:val="14"/>
                <w:b w:val="1"/>
                <w:bCs w:val="1"/>
                <w:color w:val="0E93D8"/>
              </w:rPr>
              <w:t>Date</w:t>
            </w:r>
          </w:p>
        </w:tc>
        <w:tc>
          <w:tcPr>
            <w:tcW w:w="100" w:type="dxa"/>
            <w:vAlign w:val="bottom"/>
          </w:tcPr>
          <w:p>
            <w:pPr>
              <w:spacing w:after="0"/>
              <w:rPr>
                <w:sz w:val="20"/>
                <w:szCs w:val="20"/>
                <w:color w:val="auto"/>
              </w:rPr>
            </w:pPr>
          </w:p>
        </w:tc>
        <w:tc>
          <w:tcPr>
            <w:tcW w:w="1040" w:type="dxa"/>
            <w:vAlign w:val="bottom"/>
            <w:tcBorders>
              <w:bottom w:val="single" w:sz="8" w:color="0E93D8"/>
            </w:tcBorders>
            <w:shd w:val="clear" w:color="auto" w:fill="F6FAFB"/>
          </w:tcPr>
          <w:p>
            <w:pPr>
              <w:jc w:val="right"/>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(2)</w:t>
            </w:r>
          </w:p>
        </w:tc>
        <w:tc>
          <w:tcPr>
            <w:tcW w:w="100" w:type="dxa"/>
            <w:vAlign w:val="bottom"/>
            <w:tcBorders>
              <w:bottom w:val="single" w:sz="8" w:color="F6FAFB"/>
            </w:tcBorders>
            <w:shd w:val="clear" w:color="auto" w:fill="F6FAFB"/>
          </w:tcPr>
          <w:p>
            <w:pPr>
              <w:spacing w:after="0"/>
              <w:rPr>
                <w:sz w:val="20"/>
                <w:szCs w:val="20"/>
                <w:color w:val="auto"/>
              </w:rPr>
            </w:pPr>
          </w:p>
        </w:tc>
        <w:tc>
          <w:tcPr>
            <w:tcW w:w="1060" w:type="dxa"/>
            <w:vAlign w:val="bottom"/>
            <w:tcBorders>
              <w:bottom w:val="single" w:sz="8" w:color="0E93D8"/>
            </w:tcBorders>
            <w:shd w:val="clear" w:color="auto" w:fill="F6FAFB"/>
          </w:tcPr>
          <w:p>
            <w:pPr>
              <w:jc w:val="right"/>
              <w:ind w:right="12"/>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(3)</w:t>
            </w:r>
          </w:p>
        </w:tc>
        <w:tc>
          <w:tcPr>
            <w:tcW w:w="80" w:type="dxa"/>
            <w:vAlign w:val="bottom"/>
            <w:tcBorders>
              <w:bottom w:val="single" w:sz="8" w:color="F6FAFB"/>
            </w:tcBorders>
            <w:shd w:val="clear" w:color="auto" w:fill="F6FAFB"/>
          </w:tcPr>
          <w:p>
            <w:pPr>
              <w:spacing w:after="0"/>
              <w:rPr>
                <w:sz w:val="20"/>
                <w:szCs w:val="20"/>
                <w:color w:val="auto"/>
              </w:rPr>
            </w:pPr>
          </w:p>
        </w:tc>
        <w:tc>
          <w:tcPr>
            <w:tcW w:w="1200" w:type="dxa"/>
            <w:vAlign w:val="bottom"/>
            <w:tcBorders>
              <w:bottom w:val="single" w:sz="8" w:color="0E93D8"/>
            </w:tcBorders>
            <w:gridSpan w:val="2"/>
            <w:shd w:val="clear" w:color="auto" w:fill="F6FAFB"/>
          </w:tcPr>
          <w:p>
            <w:pPr>
              <w:jc w:val="right"/>
              <w:ind w:right="12"/>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(4)</w:t>
            </w:r>
          </w:p>
        </w:tc>
        <w:tc>
          <w:tcPr>
            <w:tcW w:w="100" w:type="dxa"/>
            <w:vAlign w:val="bottom"/>
            <w:tcBorders>
              <w:bottom w:val="single" w:sz="8" w:color="F6FAFB"/>
            </w:tcBorders>
            <w:shd w:val="clear" w:color="auto" w:fill="F6FAFB"/>
          </w:tcPr>
          <w:p>
            <w:pPr>
              <w:spacing w:after="0"/>
              <w:rPr>
                <w:sz w:val="20"/>
                <w:szCs w:val="20"/>
                <w:color w:val="auto"/>
              </w:rPr>
            </w:pPr>
          </w:p>
        </w:tc>
        <w:tc>
          <w:tcPr>
            <w:tcW w:w="320" w:type="dxa"/>
            <w:vAlign w:val="bottom"/>
            <w:tcBorders>
              <w:bottom w:val="single" w:sz="8" w:color="0E93D8"/>
            </w:tcBorders>
            <w:shd w:val="clear" w:color="auto" w:fill="F6FAFB"/>
          </w:tcPr>
          <w:p>
            <w:pPr>
              <w:spacing w:after="0"/>
              <w:rPr>
                <w:sz w:val="20"/>
                <w:szCs w:val="20"/>
                <w:color w:val="auto"/>
              </w:rPr>
            </w:pPr>
          </w:p>
        </w:tc>
        <w:tc>
          <w:tcPr>
            <w:tcW w:w="860" w:type="dxa"/>
            <w:vAlign w:val="bottom"/>
            <w:tcBorders>
              <w:bottom w:val="single" w:sz="8" w:color="0E93D8"/>
            </w:tcBorders>
            <w:gridSpan w:val="2"/>
            <w:shd w:val="clear" w:color="auto" w:fill="F6FAFB"/>
          </w:tcPr>
          <w:p>
            <w:pPr>
              <w:jc w:val="right"/>
              <w:ind w:right="11"/>
              <w:spacing w:after="0" w:line="203" w:lineRule="exact"/>
              <w:rPr>
                <w:sz w:val="20"/>
                <w:szCs w:val="20"/>
                <w:color w:val="auto"/>
              </w:rPr>
            </w:pPr>
            <w:r>
              <w:rPr>
                <w:rFonts w:ascii="Arial" w:cs="Arial" w:eastAsia="Arial" w:hAnsi="Arial"/>
                <w:sz w:val="14"/>
                <w:szCs w:val="14"/>
                <w:b w:val="1"/>
                <w:bCs w:val="1"/>
                <w:color w:val="0E93D8"/>
                <w:w w:val="89"/>
              </w:rPr>
              <w:t>Vested ($)</w:t>
            </w:r>
            <w:r>
              <w:rPr>
                <w:rFonts w:ascii="Arial" w:cs="Arial" w:eastAsia="Arial" w:hAnsi="Arial"/>
                <w:sz w:val="22"/>
                <w:szCs w:val="22"/>
                <w:b w:val="1"/>
                <w:bCs w:val="1"/>
                <w:color w:val="0E93D8"/>
                <w:w w:val="89"/>
                <w:vertAlign w:val="superscript"/>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620" w:type="dxa"/>
            <w:vAlign w:val="bottom"/>
            <w:tcBorders>
              <w:bottom w:val="single" w:sz="8" w:color="FDB03F"/>
            </w:tcBorders>
            <w:gridSpan w:val="2"/>
          </w:tcPr>
          <w:p>
            <w:pPr>
              <w:ind w:left="80"/>
              <w:spacing w:after="0"/>
              <w:rPr>
                <w:sz w:val="20"/>
                <w:szCs w:val="20"/>
                <w:color w:val="auto"/>
              </w:rPr>
            </w:pPr>
            <w:r>
              <w:rPr>
                <w:rFonts w:ascii="Arial" w:cs="Arial" w:eastAsia="Arial" w:hAnsi="Arial"/>
                <w:sz w:val="14"/>
                <w:szCs w:val="14"/>
                <w:b w:val="1"/>
                <w:bCs w:val="1"/>
                <w:color w:val="0E93D8"/>
              </w:rPr>
              <w:t>G. HAYES</w:t>
            </w:r>
          </w:p>
        </w:tc>
        <w:tc>
          <w:tcPr>
            <w:tcW w:w="9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 w:type="dxa"/>
            <w:vAlign w:val="bottom"/>
            <w:tcBorders>
              <w:bottom w:val="single" w:sz="8" w:color="FDB03F"/>
            </w:tcBorders>
          </w:tcPr>
          <w:p>
            <w:pPr>
              <w:spacing w:after="0"/>
              <w:rPr>
                <w:sz w:val="24"/>
                <w:szCs w:val="24"/>
                <w:color w:val="auto"/>
              </w:rPr>
            </w:pPr>
          </w:p>
        </w:tc>
        <w:tc>
          <w:tcPr>
            <w:tcW w:w="102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4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2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4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320" w:type="dxa"/>
            <w:vAlign w:val="bottom"/>
            <w:tcBorders>
              <w:bottom w:val="single" w:sz="8" w:color="FDB03F"/>
            </w:tcBorders>
          </w:tcPr>
          <w:p>
            <w:pPr>
              <w:spacing w:after="0"/>
              <w:rPr>
                <w:sz w:val="24"/>
                <w:szCs w:val="24"/>
                <w:color w:val="auto"/>
              </w:rPr>
            </w:pPr>
          </w:p>
        </w:tc>
        <w:tc>
          <w:tcPr>
            <w:tcW w:w="180" w:type="dxa"/>
            <w:vAlign w:val="bottom"/>
            <w:tcBorders>
              <w:bottom w:val="single" w:sz="8" w:color="FDB03F"/>
            </w:tcBorders>
          </w:tcPr>
          <w:p>
            <w:pPr>
              <w:spacing w:after="0"/>
              <w:rPr>
                <w:sz w:val="24"/>
                <w:szCs w:val="24"/>
                <w:color w:val="auto"/>
              </w:rPr>
            </w:pPr>
          </w:p>
        </w:tc>
        <w:tc>
          <w:tcPr>
            <w:tcW w:w="680" w:type="dxa"/>
            <w:vAlign w:val="bottom"/>
            <w:tcBorders>
              <w:bottom w:val="single" w:sz="8" w:color="FDB03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100" w:type="dxa"/>
            <w:vAlign w:val="bottom"/>
            <w:tcBorders>
              <w:bottom w:val="single" w:sz="8" w:color="7C7C7C"/>
            </w:tcBorders>
          </w:tcPr>
          <w:p>
            <w:pPr>
              <w:spacing w:after="0"/>
              <w:rPr>
                <w:sz w:val="22"/>
                <w:szCs w:val="22"/>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7" w:lineRule="exact"/>
              <w:rPr>
                <w:sz w:val="20"/>
                <w:szCs w:val="20"/>
                <w:color w:val="auto"/>
              </w:rPr>
            </w:pPr>
            <w:r>
              <w:rPr>
                <w:rFonts w:ascii="Arial" w:cs="Arial" w:eastAsia="Arial" w:hAnsi="Arial"/>
                <w:sz w:val="14"/>
                <w:szCs w:val="14"/>
                <w:color w:val="auto"/>
              </w:rPr>
              <w:t>161,000</w:t>
            </w:r>
            <w:r>
              <w:rPr>
                <w:rFonts w:ascii="Arial" w:cs="Arial" w:eastAsia="Arial" w:hAnsi="Arial"/>
                <w:sz w:val="27"/>
                <w:szCs w:val="27"/>
                <w:color w:val="auto"/>
                <w:vertAlign w:val="superscript"/>
              </w:rPr>
              <w:t>(6)</w:t>
            </w:r>
          </w:p>
        </w:tc>
        <w:tc>
          <w:tcPr>
            <w:tcW w:w="80" w:type="dxa"/>
            <w:vAlign w:val="bottom"/>
            <w:tcBorders>
              <w:bottom w:val="single" w:sz="8" w:color="7C7C7C"/>
            </w:tcBorders>
          </w:tcPr>
          <w:p>
            <w:pPr>
              <w:spacing w:after="0"/>
              <w:rPr>
                <w:sz w:val="22"/>
                <w:szCs w:val="22"/>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$128.16</w:t>
            </w:r>
          </w:p>
        </w:tc>
        <w:tc>
          <w:tcPr>
            <w:tcW w:w="80" w:type="dxa"/>
            <w:vAlign w:val="bottom"/>
            <w:tcBorders>
              <w:bottom w:val="single" w:sz="8" w:color="7C7C7C"/>
            </w:tcBorders>
          </w:tcPr>
          <w:p>
            <w:pPr>
              <w:spacing w:after="0"/>
              <w:rPr>
                <w:sz w:val="22"/>
                <w:szCs w:val="22"/>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1/1/2028</w:t>
            </w:r>
          </w:p>
        </w:tc>
        <w:tc>
          <w:tcPr>
            <w:tcW w:w="100" w:type="dxa"/>
            <w:vAlign w:val="bottom"/>
            <w:tcBorders>
              <w:bottom w:val="single" w:sz="8" w:color="7C7C7C"/>
            </w:tcBorders>
          </w:tcPr>
          <w:p>
            <w:pPr>
              <w:spacing w:after="0"/>
              <w:rPr>
                <w:sz w:val="22"/>
                <w:szCs w:val="22"/>
                <w:color w:val="auto"/>
              </w:rPr>
            </w:pPr>
          </w:p>
        </w:tc>
        <w:tc>
          <w:tcPr>
            <w:tcW w:w="1040" w:type="dxa"/>
            <w:vAlign w:val="bottom"/>
            <w:tcBorders>
              <w:bottom w:val="single" w:sz="8" w:color="7C7C7C"/>
            </w:tcBorders>
            <w:shd w:val="clear" w:color="auto" w:fill="F6FAFB"/>
          </w:tcPr>
          <w:p>
            <w:pPr>
              <w:jc w:val="right"/>
              <w:spacing w:after="0" w:line="257" w:lineRule="exact"/>
              <w:rPr>
                <w:sz w:val="20"/>
                <w:szCs w:val="20"/>
                <w:color w:val="auto"/>
              </w:rPr>
            </w:pPr>
            <w:r>
              <w:rPr>
                <w:rFonts w:ascii="Arial" w:cs="Arial" w:eastAsia="Arial" w:hAnsi="Arial"/>
                <w:sz w:val="14"/>
                <w:szCs w:val="14"/>
                <w:color w:val="auto"/>
              </w:rPr>
              <w:t>19,936</w:t>
            </w:r>
            <w:r>
              <w:rPr>
                <w:rFonts w:ascii="Arial" w:cs="Arial" w:eastAsia="Arial" w:hAnsi="Arial"/>
                <w:sz w:val="27"/>
                <w:szCs w:val="27"/>
                <w:color w:val="auto"/>
                <w:vertAlign w:val="superscript"/>
              </w:rPr>
              <w:t>(9)</w:t>
            </w:r>
          </w:p>
        </w:tc>
        <w:tc>
          <w:tcPr>
            <w:tcW w:w="116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$2,122,785</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97,000</w:t>
            </w:r>
          </w:p>
        </w:tc>
        <w:tc>
          <w:tcPr>
            <w:tcW w:w="100" w:type="dxa"/>
            <w:vAlign w:val="bottom"/>
            <w:tcBorders>
              <w:bottom w:val="single" w:sz="8" w:color="7C7C7C"/>
            </w:tcBorders>
            <w:shd w:val="clear" w:color="auto" w:fill="F6FAFB"/>
          </w:tcPr>
          <w:p>
            <w:pPr>
              <w:spacing w:after="0"/>
              <w:rPr>
                <w:sz w:val="22"/>
                <w:szCs w:val="22"/>
                <w:color w:val="auto"/>
              </w:rPr>
            </w:pPr>
          </w:p>
        </w:tc>
        <w:tc>
          <w:tcPr>
            <w:tcW w:w="320" w:type="dxa"/>
            <w:vAlign w:val="bottom"/>
            <w:tcBorders>
              <w:bottom w:val="single" w:sz="8" w:color="7C7C7C"/>
            </w:tcBorders>
            <w:shd w:val="clear" w:color="auto" w:fill="F6FAFB"/>
          </w:tcPr>
          <w:p>
            <w:pPr>
              <w:spacing w:after="0"/>
              <w:rPr>
                <w:sz w:val="22"/>
                <w:szCs w:val="22"/>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w w:val="97"/>
              </w:rPr>
              <w:t>$10,328,560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1/3/2017</w:t>
            </w:r>
          </w:p>
        </w:tc>
        <w:tc>
          <w:tcPr>
            <w:tcW w:w="100" w:type="dxa"/>
            <w:vAlign w:val="bottom"/>
            <w:tcBorders>
              <w:bottom w:val="single" w:sz="8" w:color="7C7C7C"/>
            </w:tcBorders>
          </w:tcPr>
          <w:p>
            <w:pPr>
              <w:spacing w:after="0"/>
              <w:rPr>
                <w:sz w:val="21"/>
                <w:szCs w:val="21"/>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0" w:lineRule="exact"/>
              <w:rPr>
                <w:sz w:val="20"/>
                <w:szCs w:val="20"/>
                <w:color w:val="auto"/>
              </w:rPr>
            </w:pPr>
            <w:r>
              <w:rPr>
                <w:rFonts w:ascii="Arial" w:cs="Arial" w:eastAsia="Arial" w:hAnsi="Arial"/>
                <w:sz w:val="14"/>
                <w:szCs w:val="14"/>
                <w:color w:val="auto"/>
              </w:rPr>
              <w:t>151,000</w:t>
            </w:r>
            <w:r>
              <w:rPr>
                <w:rFonts w:ascii="Arial" w:cs="Arial" w:eastAsia="Arial" w:hAnsi="Arial"/>
                <w:sz w:val="27"/>
                <w:szCs w:val="27"/>
                <w:color w:val="auto"/>
                <w:vertAlign w:val="superscript"/>
              </w:rPr>
              <w:t>(7)</w:t>
            </w:r>
          </w:p>
        </w:tc>
        <w:tc>
          <w:tcPr>
            <w:tcW w:w="80" w:type="dxa"/>
            <w:vAlign w:val="bottom"/>
            <w:tcBorders>
              <w:bottom w:val="single" w:sz="8" w:color="7C7C7C"/>
            </w:tcBorders>
          </w:tcPr>
          <w:p>
            <w:pPr>
              <w:spacing w:after="0"/>
              <w:rPr>
                <w:sz w:val="21"/>
                <w:szCs w:val="21"/>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$110.83</w:t>
            </w:r>
          </w:p>
        </w:tc>
        <w:tc>
          <w:tcPr>
            <w:tcW w:w="80" w:type="dxa"/>
            <w:vAlign w:val="bottom"/>
            <w:tcBorders>
              <w:bottom w:val="single" w:sz="8" w:color="7C7C7C"/>
            </w:tcBorders>
          </w:tcPr>
          <w:p>
            <w:pPr>
              <w:spacing w:after="0"/>
              <w:rPr>
                <w:sz w:val="21"/>
                <w:szCs w:val="21"/>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1/2/2027</w:t>
            </w: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shd w:val="clear" w:color="auto" w:fill="F6FAFB"/>
          </w:tcPr>
          <w:p>
            <w:pPr>
              <w:jc w:val="right"/>
              <w:spacing w:after="0" w:line="250" w:lineRule="exact"/>
              <w:rPr>
                <w:sz w:val="20"/>
                <w:szCs w:val="20"/>
                <w:color w:val="auto"/>
              </w:rPr>
            </w:pPr>
            <w:r>
              <w:rPr>
                <w:rFonts w:ascii="Arial" w:cs="Arial" w:eastAsia="Arial" w:hAnsi="Arial"/>
                <w:sz w:val="14"/>
                <w:szCs w:val="14"/>
                <w:color w:val="auto"/>
              </w:rPr>
              <w:t>21,454</w:t>
            </w:r>
            <w:r>
              <w:rPr>
                <w:rFonts w:ascii="Arial" w:cs="Arial" w:eastAsia="Arial" w:hAnsi="Arial"/>
                <w:sz w:val="27"/>
                <w:szCs w:val="27"/>
                <w:color w:val="auto"/>
                <w:vertAlign w:val="superscript"/>
              </w:rPr>
              <w:t>(10)</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$2,284,422</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101,000</w:t>
            </w:r>
          </w:p>
        </w:tc>
        <w:tc>
          <w:tcPr>
            <w:tcW w:w="100" w:type="dxa"/>
            <w:vAlign w:val="bottom"/>
            <w:tcBorders>
              <w:bottom w:val="single" w:sz="8" w:color="7C7C7C"/>
            </w:tcBorders>
            <w:shd w:val="clear" w:color="auto" w:fill="F6FAFB"/>
          </w:tcPr>
          <w:p>
            <w:pPr>
              <w:spacing w:after="0"/>
              <w:rPr>
                <w:sz w:val="21"/>
                <w:szCs w:val="21"/>
                <w:color w:val="auto"/>
              </w:rPr>
            </w:pPr>
          </w:p>
        </w:tc>
        <w:tc>
          <w:tcPr>
            <w:tcW w:w="320" w:type="dxa"/>
            <w:vAlign w:val="bottom"/>
            <w:tcBorders>
              <w:bottom w:val="single" w:sz="8" w:color="7C7C7C"/>
            </w:tcBorders>
            <w:shd w:val="clear" w:color="auto" w:fill="F6FAFB"/>
          </w:tcPr>
          <w:p>
            <w:pPr>
              <w:spacing w:after="0"/>
              <w:rPr>
                <w:sz w:val="21"/>
                <w:szCs w:val="21"/>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w w:val="97"/>
              </w:rPr>
              <w:t>$10,754,480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1/4/2016</w:t>
            </w:r>
          </w:p>
        </w:tc>
        <w:tc>
          <w:tcPr>
            <w:tcW w:w="100" w:type="dxa"/>
            <w:vAlign w:val="bottom"/>
            <w:tcBorders>
              <w:bottom w:val="single" w:sz="8" w:color="7C7C7C"/>
            </w:tcBorders>
          </w:tcPr>
          <w:p>
            <w:pPr>
              <w:spacing w:after="0"/>
              <w:rPr>
                <w:sz w:val="21"/>
                <w:szCs w:val="21"/>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0" w:lineRule="exact"/>
              <w:rPr>
                <w:sz w:val="20"/>
                <w:szCs w:val="20"/>
                <w:color w:val="auto"/>
              </w:rPr>
            </w:pPr>
            <w:r>
              <w:rPr>
                <w:rFonts w:ascii="Arial" w:cs="Arial" w:eastAsia="Arial" w:hAnsi="Arial"/>
                <w:sz w:val="14"/>
                <w:szCs w:val="14"/>
                <w:color w:val="auto"/>
              </w:rPr>
              <w:t>264,000</w:t>
            </w:r>
            <w:r>
              <w:rPr>
                <w:rFonts w:ascii="Arial" w:cs="Arial" w:eastAsia="Arial" w:hAnsi="Arial"/>
                <w:sz w:val="27"/>
                <w:szCs w:val="27"/>
                <w:color w:val="auto"/>
                <w:vertAlign w:val="superscript"/>
              </w:rPr>
              <w:t>(8)</w:t>
            </w:r>
          </w:p>
        </w:tc>
        <w:tc>
          <w:tcPr>
            <w:tcW w:w="80" w:type="dxa"/>
            <w:vAlign w:val="bottom"/>
            <w:tcBorders>
              <w:bottom w:val="single" w:sz="8" w:color="7C7C7C"/>
            </w:tcBorders>
          </w:tcPr>
          <w:p>
            <w:pPr>
              <w:spacing w:after="0"/>
              <w:rPr>
                <w:sz w:val="21"/>
                <w:szCs w:val="21"/>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$95.57</w:t>
            </w:r>
          </w:p>
        </w:tc>
        <w:tc>
          <w:tcPr>
            <w:tcW w:w="80" w:type="dxa"/>
            <w:vAlign w:val="bottom"/>
            <w:tcBorders>
              <w:bottom w:val="single" w:sz="8" w:color="7C7C7C"/>
            </w:tcBorders>
          </w:tcPr>
          <w:p>
            <w:pPr>
              <w:spacing w:after="0"/>
              <w:rPr>
                <w:sz w:val="21"/>
                <w:szCs w:val="21"/>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1/3/2026</w:t>
            </w: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61,480</w:t>
            </w:r>
          </w:p>
        </w:tc>
        <w:tc>
          <w:tcPr>
            <w:tcW w:w="100" w:type="dxa"/>
            <w:vAlign w:val="bottom"/>
            <w:tcBorders>
              <w:bottom w:val="single" w:sz="8" w:color="7C7C7C"/>
            </w:tcBorders>
            <w:shd w:val="clear" w:color="auto" w:fill="F6FAFB"/>
          </w:tcPr>
          <w:p>
            <w:pPr>
              <w:spacing w:after="0"/>
              <w:rPr>
                <w:sz w:val="21"/>
                <w:szCs w:val="21"/>
                <w:color w:val="auto"/>
              </w:rPr>
            </w:pPr>
          </w:p>
        </w:tc>
        <w:tc>
          <w:tcPr>
            <w:tcW w:w="320" w:type="dxa"/>
            <w:vAlign w:val="bottom"/>
            <w:tcBorders>
              <w:bottom w:val="single" w:sz="8" w:color="7C7C7C"/>
            </w:tcBorders>
            <w:shd w:val="clear" w:color="auto" w:fill="F6FAFB"/>
          </w:tcPr>
          <w:p>
            <w:pPr>
              <w:spacing w:after="0"/>
              <w:rPr>
                <w:sz w:val="21"/>
                <w:szCs w:val="21"/>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rPr>
              <w:t>$6,546,390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1/2/2015</w:t>
            </w:r>
          </w:p>
        </w:tc>
        <w:tc>
          <w:tcPr>
            <w:tcW w:w="100" w:type="dxa"/>
            <w:vAlign w:val="bottom"/>
            <w:tcBorders>
              <w:bottom w:val="single" w:sz="8" w:color="7C7C7C"/>
            </w:tcBorders>
          </w:tcPr>
          <w:p>
            <w:pPr>
              <w:spacing w:after="0"/>
              <w:rPr>
                <w:sz w:val="16"/>
                <w:szCs w:val="16"/>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165,500</w:t>
            </w:r>
          </w:p>
        </w:tc>
        <w:tc>
          <w:tcPr>
            <w:tcW w:w="80" w:type="dxa"/>
            <w:vAlign w:val="bottom"/>
            <w:tcBorders>
              <w:bottom w:val="single" w:sz="8" w:color="7C7C7C"/>
            </w:tcBorders>
          </w:tcPr>
          <w:p>
            <w:pPr>
              <w:spacing w:after="0"/>
              <w:rPr>
                <w:sz w:val="16"/>
                <w:szCs w:val="16"/>
                <w:color w:val="auto"/>
              </w:rPr>
            </w:pPr>
          </w:p>
        </w:tc>
        <w:tc>
          <w:tcPr>
            <w:tcW w:w="60" w:type="dxa"/>
            <w:vAlign w:val="bottom"/>
            <w:tcBorders>
              <w:bottom w:val="single" w:sz="8" w:color="7C7C7C"/>
            </w:tcBorders>
          </w:tcPr>
          <w:p>
            <w:pPr>
              <w:spacing w:after="0"/>
              <w:rPr>
                <w:sz w:val="16"/>
                <w:szCs w:val="16"/>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$115.04</w:t>
            </w:r>
          </w:p>
        </w:tc>
        <w:tc>
          <w:tcPr>
            <w:tcW w:w="80" w:type="dxa"/>
            <w:vAlign w:val="bottom"/>
            <w:tcBorders>
              <w:bottom w:val="single" w:sz="8" w:color="7C7C7C"/>
            </w:tcBorders>
          </w:tcPr>
          <w:p>
            <w:pPr>
              <w:spacing w:after="0"/>
              <w:rPr>
                <w:sz w:val="16"/>
                <w:szCs w:val="16"/>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1/1/2025</w:t>
            </w:r>
          </w:p>
        </w:tc>
        <w:tc>
          <w:tcPr>
            <w:tcW w:w="100" w:type="dxa"/>
            <w:vAlign w:val="bottom"/>
            <w:tcBorders>
              <w:bottom w:val="single" w:sz="8" w:color="7C7C7C"/>
            </w:tcBorders>
          </w:tcPr>
          <w:p>
            <w:pPr>
              <w:spacing w:after="0"/>
              <w:rPr>
                <w:sz w:val="16"/>
                <w:szCs w:val="16"/>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6"/>
                <w:szCs w:val="16"/>
                <w:color w:val="auto"/>
              </w:rPr>
            </w:pPr>
          </w:p>
        </w:tc>
        <w:tc>
          <w:tcPr>
            <w:tcW w:w="600" w:type="dxa"/>
            <w:vAlign w:val="bottom"/>
            <w:tcBorders>
              <w:bottom w:val="single" w:sz="8" w:color="7C7C7C"/>
            </w:tcBorders>
            <w:shd w:val="clear" w:color="auto" w:fill="F6FAFB"/>
          </w:tcPr>
          <w:p>
            <w:pPr>
              <w:spacing w:after="0"/>
              <w:rPr>
                <w:sz w:val="16"/>
                <w:szCs w:val="16"/>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320" w:type="dxa"/>
            <w:vAlign w:val="bottom"/>
            <w:tcBorders>
              <w:bottom w:val="single" w:sz="8" w:color="7C7C7C"/>
            </w:tcBorders>
            <w:shd w:val="clear" w:color="auto" w:fill="F6FAFB"/>
          </w:tcPr>
          <w:p>
            <w:pPr>
              <w:spacing w:after="0"/>
              <w:rPr>
                <w:sz w:val="16"/>
                <w:szCs w:val="16"/>
                <w:color w:val="auto"/>
              </w:rPr>
            </w:pPr>
          </w:p>
        </w:tc>
        <w:tc>
          <w:tcPr>
            <w:tcW w:w="180" w:type="dxa"/>
            <w:vAlign w:val="bottom"/>
            <w:tcBorders>
              <w:bottom w:val="single" w:sz="8" w:color="7C7C7C"/>
            </w:tcBorders>
            <w:shd w:val="clear" w:color="auto" w:fill="F6FAFB"/>
          </w:tcPr>
          <w:p>
            <w:pPr>
              <w:spacing w:after="0"/>
              <w:rPr>
                <w:sz w:val="16"/>
                <w:szCs w:val="16"/>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1/2/2014</w:t>
            </w:r>
          </w:p>
        </w:tc>
        <w:tc>
          <w:tcPr>
            <w:tcW w:w="10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71,500</w:t>
            </w:r>
          </w:p>
        </w:tc>
        <w:tc>
          <w:tcPr>
            <w:tcW w:w="80" w:type="dxa"/>
            <w:vAlign w:val="bottom"/>
            <w:tcBorders>
              <w:bottom w:val="single" w:sz="8" w:color="7C7C7C"/>
            </w:tcBorders>
          </w:tcPr>
          <w:p>
            <w:pPr>
              <w:spacing w:after="0"/>
              <w:rPr>
                <w:sz w:val="17"/>
                <w:szCs w:val="17"/>
                <w:color w:val="auto"/>
              </w:rPr>
            </w:pPr>
          </w:p>
        </w:tc>
        <w:tc>
          <w:tcPr>
            <w:tcW w:w="60" w:type="dxa"/>
            <w:vAlign w:val="bottom"/>
            <w:tcBorders>
              <w:bottom w:val="single" w:sz="8" w:color="7C7C7C"/>
            </w:tcBorders>
          </w:tcPr>
          <w:p>
            <w:pPr>
              <w:spacing w:after="0"/>
              <w:rPr>
                <w:sz w:val="17"/>
                <w:szCs w:val="17"/>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$112.49</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1/1/2024</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320" w:type="dxa"/>
            <w:vAlign w:val="bottom"/>
            <w:tcBorders>
              <w:bottom w:val="single" w:sz="8" w:color="7C7C7C"/>
            </w:tcBorders>
            <w:shd w:val="clear" w:color="auto" w:fill="F6FAFB"/>
          </w:tcPr>
          <w:p>
            <w:pPr>
              <w:spacing w:after="0"/>
              <w:rPr>
                <w:sz w:val="17"/>
                <w:szCs w:val="17"/>
                <w:color w:val="auto"/>
              </w:rPr>
            </w:pPr>
          </w:p>
        </w:tc>
        <w:tc>
          <w:tcPr>
            <w:tcW w:w="180" w:type="dxa"/>
            <w:vAlign w:val="bottom"/>
            <w:tcBorders>
              <w:bottom w:val="single" w:sz="8" w:color="7C7C7C"/>
            </w:tcBorders>
            <w:shd w:val="clear" w:color="auto" w:fill="F6FAFB"/>
          </w:tcPr>
          <w:p>
            <w:pPr>
              <w:spacing w:after="0"/>
              <w:rPr>
                <w:sz w:val="17"/>
                <w:szCs w:val="17"/>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1/2/2013</w:t>
            </w:r>
          </w:p>
        </w:tc>
        <w:tc>
          <w:tcPr>
            <w:tcW w:w="10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107,000</w:t>
            </w:r>
          </w:p>
        </w:tc>
        <w:tc>
          <w:tcPr>
            <w:tcW w:w="80" w:type="dxa"/>
            <w:vAlign w:val="bottom"/>
            <w:tcBorders>
              <w:bottom w:val="single" w:sz="8" w:color="7C7C7C"/>
            </w:tcBorders>
          </w:tcPr>
          <w:p>
            <w:pPr>
              <w:spacing w:after="0"/>
              <w:rPr>
                <w:sz w:val="17"/>
                <w:szCs w:val="17"/>
                <w:color w:val="auto"/>
              </w:rPr>
            </w:pPr>
          </w:p>
        </w:tc>
        <w:tc>
          <w:tcPr>
            <w:tcW w:w="60" w:type="dxa"/>
            <w:vAlign w:val="bottom"/>
            <w:tcBorders>
              <w:bottom w:val="single" w:sz="8" w:color="7C7C7C"/>
            </w:tcBorders>
          </w:tcPr>
          <w:p>
            <w:pPr>
              <w:spacing w:after="0"/>
              <w:rPr>
                <w:sz w:val="17"/>
                <w:szCs w:val="17"/>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$84.00</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1/1/2023</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320" w:type="dxa"/>
            <w:vAlign w:val="bottom"/>
            <w:tcBorders>
              <w:bottom w:val="single" w:sz="8" w:color="7C7C7C"/>
            </w:tcBorders>
            <w:shd w:val="clear" w:color="auto" w:fill="F6FAFB"/>
          </w:tcPr>
          <w:p>
            <w:pPr>
              <w:spacing w:after="0"/>
              <w:rPr>
                <w:sz w:val="17"/>
                <w:szCs w:val="17"/>
                <w:color w:val="auto"/>
              </w:rPr>
            </w:pPr>
          </w:p>
        </w:tc>
        <w:tc>
          <w:tcPr>
            <w:tcW w:w="180" w:type="dxa"/>
            <w:vAlign w:val="bottom"/>
            <w:tcBorders>
              <w:bottom w:val="single" w:sz="8" w:color="7C7C7C"/>
            </w:tcBorders>
            <w:shd w:val="clear" w:color="auto" w:fill="F6FAFB"/>
          </w:tcPr>
          <w:p>
            <w:pPr>
              <w:spacing w:after="0"/>
              <w:rPr>
                <w:sz w:val="17"/>
                <w:szCs w:val="17"/>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1/3/2012</w:t>
            </w:r>
          </w:p>
        </w:tc>
        <w:tc>
          <w:tcPr>
            <w:tcW w:w="10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122,000</w:t>
            </w:r>
          </w:p>
        </w:tc>
        <w:tc>
          <w:tcPr>
            <w:tcW w:w="80" w:type="dxa"/>
            <w:vAlign w:val="bottom"/>
            <w:tcBorders>
              <w:bottom w:val="single" w:sz="8" w:color="7C7C7C"/>
            </w:tcBorders>
          </w:tcPr>
          <w:p>
            <w:pPr>
              <w:spacing w:after="0"/>
              <w:rPr>
                <w:sz w:val="17"/>
                <w:szCs w:val="17"/>
                <w:color w:val="auto"/>
              </w:rPr>
            </w:pPr>
          </w:p>
        </w:tc>
        <w:tc>
          <w:tcPr>
            <w:tcW w:w="60" w:type="dxa"/>
            <w:vAlign w:val="bottom"/>
            <w:tcBorders>
              <w:bottom w:val="single" w:sz="8" w:color="7C7C7C"/>
            </w:tcBorders>
          </w:tcPr>
          <w:p>
            <w:pPr>
              <w:spacing w:after="0"/>
              <w:rPr>
                <w:sz w:val="17"/>
                <w:szCs w:val="17"/>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$74.66</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1/2/2022</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320" w:type="dxa"/>
            <w:vAlign w:val="bottom"/>
            <w:tcBorders>
              <w:bottom w:val="single" w:sz="8" w:color="7C7C7C"/>
            </w:tcBorders>
            <w:shd w:val="clear" w:color="auto" w:fill="F6FAFB"/>
          </w:tcPr>
          <w:p>
            <w:pPr>
              <w:spacing w:after="0"/>
              <w:rPr>
                <w:sz w:val="17"/>
                <w:szCs w:val="17"/>
                <w:color w:val="auto"/>
              </w:rPr>
            </w:pPr>
          </w:p>
        </w:tc>
        <w:tc>
          <w:tcPr>
            <w:tcW w:w="180" w:type="dxa"/>
            <w:vAlign w:val="bottom"/>
            <w:tcBorders>
              <w:bottom w:val="single" w:sz="8" w:color="7C7C7C"/>
            </w:tcBorders>
            <w:shd w:val="clear" w:color="auto" w:fill="F6FAFB"/>
          </w:tcPr>
          <w:p>
            <w:pPr>
              <w:spacing w:after="0"/>
              <w:rPr>
                <w:sz w:val="17"/>
                <w:szCs w:val="17"/>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1/3/2011</w:t>
            </w:r>
          </w:p>
        </w:tc>
        <w:tc>
          <w:tcPr>
            <w:tcW w:w="10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103,000</w:t>
            </w:r>
          </w:p>
        </w:tc>
        <w:tc>
          <w:tcPr>
            <w:tcW w:w="80" w:type="dxa"/>
            <w:vAlign w:val="bottom"/>
            <w:tcBorders>
              <w:bottom w:val="single" w:sz="8" w:color="7C7C7C"/>
            </w:tcBorders>
          </w:tcPr>
          <w:p>
            <w:pPr>
              <w:spacing w:after="0"/>
              <w:rPr>
                <w:sz w:val="17"/>
                <w:szCs w:val="17"/>
                <w:color w:val="auto"/>
              </w:rPr>
            </w:pPr>
          </w:p>
        </w:tc>
        <w:tc>
          <w:tcPr>
            <w:tcW w:w="60" w:type="dxa"/>
            <w:vAlign w:val="bottom"/>
            <w:tcBorders>
              <w:bottom w:val="single" w:sz="8" w:color="7C7C7C"/>
            </w:tcBorders>
          </w:tcPr>
          <w:p>
            <w:pPr>
              <w:spacing w:after="0"/>
              <w:rPr>
                <w:sz w:val="17"/>
                <w:szCs w:val="17"/>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$78.99</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1/2/2021</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320" w:type="dxa"/>
            <w:vAlign w:val="bottom"/>
            <w:tcBorders>
              <w:bottom w:val="single" w:sz="8" w:color="7C7C7C"/>
            </w:tcBorders>
            <w:shd w:val="clear" w:color="auto" w:fill="F6FAFB"/>
          </w:tcPr>
          <w:p>
            <w:pPr>
              <w:spacing w:after="0"/>
              <w:rPr>
                <w:sz w:val="17"/>
                <w:szCs w:val="17"/>
                <w:color w:val="auto"/>
              </w:rPr>
            </w:pPr>
          </w:p>
        </w:tc>
        <w:tc>
          <w:tcPr>
            <w:tcW w:w="180" w:type="dxa"/>
            <w:vAlign w:val="bottom"/>
            <w:tcBorders>
              <w:bottom w:val="single" w:sz="8" w:color="7C7C7C"/>
            </w:tcBorders>
            <w:shd w:val="clear" w:color="auto" w:fill="F6FAFB"/>
          </w:tcPr>
          <w:p>
            <w:pPr>
              <w:spacing w:after="0"/>
              <w:rPr>
                <w:sz w:val="17"/>
                <w:szCs w:val="17"/>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1/4/2010</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86,000</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$71.63</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1/3/2020</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17"/>
                <w:szCs w:val="17"/>
                <w:color w:val="auto"/>
              </w:rPr>
            </w:pPr>
          </w:p>
        </w:tc>
        <w:tc>
          <w:tcPr>
            <w:tcW w:w="10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6FAFB"/>
          </w:tcPr>
          <w:p>
            <w:pPr>
              <w:spacing w:after="0"/>
              <w:rPr>
                <w:sz w:val="17"/>
                <w:szCs w:val="17"/>
                <w:color w:val="auto"/>
              </w:rPr>
            </w:pPr>
          </w:p>
        </w:tc>
        <w:tc>
          <w:tcPr>
            <w:tcW w:w="600" w:type="dxa"/>
            <w:vAlign w:val="bottom"/>
            <w:tcBorders>
              <w:bottom w:val="single" w:sz="8" w:color="auto"/>
            </w:tcBorders>
            <w:shd w:val="clear" w:color="auto" w:fill="F6FAFB"/>
          </w:tcPr>
          <w:p>
            <w:pPr>
              <w:spacing w:after="0"/>
              <w:rPr>
                <w:sz w:val="17"/>
                <w:szCs w:val="17"/>
                <w:color w:val="auto"/>
              </w:rPr>
            </w:pPr>
          </w:p>
        </w:tc>
        <w:tc>
          <w:tcPr>
            <w:tcW w:w="6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17"/>
                <w:szCs w:val="17"/>
                <w:color w:val="auto"/>
              </w:rPr>
            </w:pPr>
          </w:p>
        </w:tc>
        <w:tc>
          <w:tcPr>
            <w:tcW w:w="320" w:type="dxa"/>
            <w:vAlign w:val="bottom"/>
            <w:tcBorders>
              <w:bottom w:val="single" w:sz="8" w:color="auto"/>
            </w:tcBorders>
            <w:shd w:val="clear" w:color="auto" w:fill="F6FAFB"/>
          </w:tcPr>
          <w:p>
            <w:pPr>
              <w:spacing w:after="0"/>
              <w:rPr>
                <w:sz w:val="17"/>
                <w:szCs w:val="17"/>
                <w:color w:val="auto"/>
              </w:rPr>
            </w:pPr>
          </w:p>
        </w:tc>
        <w:tc>
          <w:tcPr>
            <w:tcW w:w="180" w:type="dxa"/>
            <w:vAlign w:val="bottom"/>
            <w:tcBorders>
              <w:bottom w:val="single" w:sz="8" w:color="auto"/>
            </w:tcBorders>
            <w:shd w:val="clear" w:color="auto" w:fill="F6FAFB"/>
          </w:tcPr>
          <w:p>
            <w:pPr>
              <w:spacing w:after="0"/>
              <w:rPr>
                <w:sz w:val="17"/>
                <w:szCs w:val="17"/>
                <w:color w:val="auto"/>
              </w:rPr>
            </w:pPr>
          </w:p>
        </w:tc>
        <w:tc>
          <w:tcPr>
            <w:tcW w:w="680" w:type="dxa"/>
            <w:vAlign w:val="bottom"/>
            <w:tcBorders>
              <w:bottom w:val="single" w:sz="8" w:color="auto"/>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620" w:type="dxa"/>
            <w:vAlign w:val="bottom"/>
            <w:tcBorders>
              <w:bottom w:val="single" w:sz="8" w:color="FDB03F"/>
            </w:tcBorders>
            <w:gridSpan w:val="2"/>
          </w:tcPr>
          <w:p>
            <w:pPr>
              <w:ind w:left="80"/>
              <w:spacing w:after="0"/>
              <w:rPr>
                <w:sz w:val="20"/>
                <w:szCs w:val="20"/>
                <w:color w:val="auto"/>
              </w:rPr>
            </w:pPr>
            <w:r>
              <w:rPr>
                <w:rFonts w:ascii="Arial" w:cs="Arial" w:eastAsia="Arial" w:hAnsi="Arial"/>
                <w:sz w:val="14"/>
                <w:szCs w:val="14"/>
                <w:b w:val="1"/>
                <w:bCs w:val="1"/>
                <w:color w:val="0E93D8"/>
              </w:rPr>
              <w:t>A. JOHRI</w:t>
            </w:r>
          </w:p>
        </w:tc>
        <w:tc>
          <w:tcPr>
            <w:tcW w:w="9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 w:type="dxa"/>
            <w:vAlign w:val="bottom"/>
            <w:tcBorders>
              <w:bottom w:val="single" w:sz="8" w:color="FDB03F"/>
            </w:tcBorders>
          </w:tcPr>
          <w:p>
            <w:pPr>
              <w:spacing w:after="0"/>
              <w:rPr>
                <w:sz w:val="24"/>
                <w:szCs w:val="24"/>
                <w:color w:val="auto"/>
              </w:rPr>
            </w:pPr>
          </w:p>
        </w:tc>
        <w:tc>
          <w:tcPr>
            <w:tcW w:w="102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4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2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4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320" w:type="dxa"/>
            <w:vAlign w:val="bottom"/>
            <w:tcBorders>
              <w:bottom w:val="single" w:sz="8" w:color="FDB03F"/>
            </w:tcBorders>
          </w:tcPr>
          <w:p>
            <w:pPr>
              <w:spacing w:after="0"/>
              <w:rPr>
                <w:sz w:val="24"/>
                <w:szCs w:val="24"/>
                <w:color w:val="auto"/>
              </w:rPr>
            </w:pPr>
          </w:p>
        </w:tc>
        <w:tc>
          <w:tcPr>
            <w:tcW w:w="180" w:type="dxa"/>
            <w:vAlign w:val="bottom"/>
            <w:tcBorders>
              <w:bottom w:val="single" w:sz="8" w:color="FDB03F"/>
            </w:tcBorders>
          </w:tcPr>
          <w:p>
            <w:pPr>
              <w:spacing w:after="0"/>
              <w:rPr>
                <w:sz w:val="24"/>
                <w:szCs w:val="24"/>
                <w:color w:val="auto"/>
              </w:rPr>
            </w:pPr>
          </w:p>
        </w:tc>
        <w:tc>
          <w:tcPr>
            <w:tcW w:w="680" w:type="dxa"/>
            <w:vAlign w:val="bottom"/>
            <w:tcBorders>
              <w:bottom w:val="single" w:sz="8" w:color="FDB03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100" w:type="dxa"/>
            <w:vAlign w:val="bottom"/>
            <w:tcBorders>
              <w:bottom w:val="single" w:sz="8" w:color="7C7C7C"/>
            </w:tcBorders>
          </w:tcPr>
          <w:p>
            <w:pPr>
              <w:spacing w:after="0"/>
              <w:rPr>
                <w:sz w:val="22"/>
                <w:szCs w:val="22"/>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7" w:lineRule="exact"/>
              <w:rPr>
                <w:sz w:val="20"/>
                <w:szCs w:val="20"/>
                <w:color w:val="auto"/>
              </w:rPr>
            </w:pPr>
            <w:r>
              <w:rPr>
                <w:rFonts w:ascii="Arial" w:cs="Arial" w:eastAsia="Arial" w:hAnsi="Arial"/>
                <w:sz w:val="14"/>
                <w:szCs w:val="14"/>
                <w:color w:val="auto"/>
              </w:rPr>
              <w:t>53,500</w:t>
            </w:r>
            <w:r>
              <w:rPr>
                <w:rFonts w:ascii="Arial" w:cs="Arial" w:eastAsia="Arial" w:hAnsi="Arial"/>
                <w:sz w:val="27"/>
                <w:szCs w:val="27"/>
                <w:color w:val="auto"/>
                <w:vertAlign w:val="superscript"/>
              </w:rPr>
              <w:t>(6)</w:t>
            </w:r>
          </w:p>
        </w:tc>
        <w:tc>
          <w:tcPr>
            <w:tcW w:w="80" w:type="dxa"/>
            <w:vAlign w:val="bottom"/>
            <w:tcBorders>
              <w:bottom w:val="single" w:sz="8" w:color="7C7C7C"/>
            </w:tcBorders>
          </w:tcPr>
          <w:p>
            <w:pPr>
              <w:spacing w:after="0"/>
              <w:rPr>
                <w:sz w:val="22"/>
                <w:szCs w:val="22"/>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$128.16</w:t>
            </w:r>
          </w:p>
        </w:tc>
        <w:tc>
          <w:tcPr>
            <w:tcW w:w="80" w:type="dxa"/>
            <w:vAlign w:val="bottom"/>
            <w:tcBorders>
              <w:bottom w:val="single" w:sz="8" w:color="7C7C7C"/>
            </w:tcBorders>
          </w:tcPr>
          <w:p>
            <w:pPr>
              <w:spacing w:after="0"/>
              <w:rPr>
                <w:sz w:val="22"/>
                <w:szCs w:val="22"/>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1/1/2028</w:t>
            </w:r>
          </w:p>
        </w:tc>
        <w:tc>
          <w:tcPr>
            <w:tcW w:w="100" w:type="dxa"/>
            <w:vAlign w:val="bottom"/>
            <w:tcBorders>
              <w:bottom w:val="single" w:sz="8" w:color="7C7C7C"/>
            </w:tcBorders>
          </w:tcPr>
          <w:p>
            <w:pPr>
              <w:spacing w:after="0"/>
              <w:rPr>
                <w:sz w:val="22"/>
                <w:szCs w:val="22"/>
                <w:color w:val="auto"/>
              </w:rPr>
            </w:pPr>
          </w:p>
        </w:tc>
        <w:tc>
          <w:tcPr>
            <w:tcW w:w="1040" w:type="dxa"/>
            <w:vAlign w:val="bottom"/>
            <w:tcBorders>
              <w:bottom w:val="single" w:sz="8" w:color="7C7C7C"/>
            </w:tcBorders>
            <w:shd w:val="clear" w:color="auto" w:fill="F6FAFB"/>
          </w:tcPr>
          <w:p>
            <w:pPr>
              <w:jc w:val="right"/>
              <w:spacing w:after="0" w:line="257" w:lineRule="exact"/>
              <w:rPr>
                <w:sz w:val="20"/>
                <w:szCs w:val="20"/>
                <w:color w:val="auto"/>
              </w:rPr>
            </w:pPr>
            <w:r>
              <w:rPr>
                <w:rFonts w:ascii="Arial" w:cs="Arial" w:eastAsia="Arial" w:hAnsi="Arial"/>
                <w:sz w:val="14"/>
                <w:szCs w:val="14"/>
                <w:color w:val="auto"/>
              </w:rPr>
              <w:t>6,645</w:t>
            </w:r>
            <w:r>
              <w:rPr>
                <w:rFonts w:ascii="Arial" w:cs="Arial" w:eastAsia="Arial" w:hAnsi="Arial"/>
                <w:sz w:val="27"/>
                <w:szCs w:val="27"/>
                <w:color w:val="auto"/>
                <w:vertAlign w:val="superscript"/>
              </w:rPr>
              <w:t>(9)</w:t>
            </w:r>
          </w:p>
        </w:tc>
        <w:tc>
          <w:tcPr>
            <w:tcW w:w="116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$707,560</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32,200</w:t>
            </w:r>
          </w:p>
        </w:tc>
        <w:tc>
          <w:tcPr>
            <w:tcW w:w="100" w:type="dxa"/>
            <w:vAlign w:val="bottom"/>
            <w:tcBorders>
              <w:bottom w:val="single" w:sz="8" w:color="7C7C7C"/>
            </w:tcBorders>
            <w:shd w:val="clear" w:color="auto" w:fill="F6FAFB"/>
          </w:tcPr>
          <w:p>
            <w:pPr>
              <w:spacing w:after="0"/>
              <w:rPr>
                <w:sz w:val="22"/>
                <w:szCs w:val="22"/>
                <w:color w:val="auto"/>
              </w:rPr>
            </w:pPr>
          </w:p>
        </w:tc>
        <w:tc>
          <w:tcPr>
            <w:tcW w:w="320" w:type="dxa"/>
            <w:vAlign w:val="bottom"/>
            <w:tcBorders>
              <w:bottom w:val="single" w:sz="8" w:color="7C7C7C"/>
            </w:tcBorders>
            <w:shd w:val="clear" w:color="auto" w:fill="F6FAFB"/>
          </w:tcPr>
          <w:p>
            <w:pPr>
              <w:spacing w:after="0"/>
              <w:rPr>
                <w:sz w:val="22"/>
                <w:szCs w:val="22"/>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rPr>
              <w:t>$3,428,656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1/3/2017</w:t>
            </w:r>
          </w:p>
        </w:tc>
        <w:tc>
          <w:tcPr>
            <w:tcW w:w="100" w:type="dxa"/>
            <w:vAlign w:val="bottom"/>
            <w:tcBorders>
              <w:bottom w:val="single" w:sz="8" w:color="7C7C7C"/>
            </w:tcBorders>
          </w:tcPr>
          <w:p>
            <w:pPr>
              <w:spacing w:after="0"/>
              <w:rPr>
                <w:sz w:val="21"/>
                <w:szCs w:val="21"/>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0" w:lineRule="exact"/>
              <w:rPr>
                <w:sz w:val="20"/>
                <w:szCs w:val="20"/>
                <w:color w:val="auto"/>
              </w:rPr>
            </w:pPr>
            <w:r>
              <w:rPr>
                <w:rFonts w:ascii="Arial" w:cs="Arial" w:eastAsia="Arial" w:hAnsi="Arial"/>
                <w:sz w:val="14"/>
                <w:szCs w:val="14"/>
                <w:color w:val="auto"/>
              </w:rPr>
              <w:t>51,500</w:t>
            </w:r>
            <w:r>
              <w:rPr>
                <w:rFonts w:ascii="Arial" w:cs="Arial" w:eastAsia="Arial" w:hAnsi="Arial"/>
                <w:sz w:val="27"/>
                <w:szCs w:val="27"/>
                <w:color w:val="auto"/>
                <w:vertAlign w:val="superscript"/>
              </w:rPr>
              <w:t>(7)</w:t>
            </w:r>
          </w:p>
        </w:tc>
        <w:tc>
          <w:tcPr>
            <w:tcW w:w="80" w:type="dxa"/>
            <w:vAlign w:val="bottom"/>
            <w:tcBorders>
              <w:bottom w:val="single" w:sz="8" w:color="7C7C7C"/>
            </w:tcBorders>
          </w:tcPr>
          <w:p>
            <w:pPr>
              <w:spacing w:after="0"/>
              <w:rPr>
                <w:sz w:val="21"/>
                <w:szCs w:val="21"/>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$110.83</w:t>
            </w:r>
          </w:p>
        </w:tc>
        <w:tc>
          <w:tcPr>
            <w:tcW w:w="80" w:type="dxa"/>
            <w:vAlign w:val="bottom"/>
            <w:tcBorders>
              <w:bottom w:val="single" w:sz="8" w:color="7C7C7C"/>
            </w:tcBorders>
          </w:tcPr>
          <w:p>
            <w:pPr>
              <w:spacing w:after="0"/>
              <w:rPr>
                <w:sz w:val="21"/>
                <w:szCs w:val="21"/>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1/2/2027</w:t>
            </w: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shd w:val="clear" w:color="auto" w:fill="F6FAFB"/>
          </w:tcPr>
          <w:p>
            <w:pPr>
              <w:jc w:val="right"/>
              <w:spacing w:after="0" w:line="250" w:lineRule="exact"/>
              <w:rPr>
                <w:sz w:val="20"/>
                <w:szCs w:val="20"/>
                <w:color w:val="auto"/>
              </w:rPr>
            </w:pPr>
            <w:r>
              <w:rPr>
                <w:rFonts w:ascii="Arial" w:cs="Arial" w:eastAsia="Arial" w:hAnsi="Arial"/>
                <w:sz w:val="14"/>
                <w:szCs w:val="14"/>
                <w:color w:val="auto"/>
              </w:rPr>
              <w:t>7,221</w:t>
            </w:r>
            <w:r>
              <w:rPr>
                <w:rFonts w:ascii="Arial" w:cs="Arial" w:eastAsia="Arial" w:hAnsi="Arial"/>
                <w:sz w:val="27"/>
                <w:szCs w:val="27"/>
                <w:color w:val="auto"/>
                <w:vertAlign w:val="superscript"/>
              </w:rPr>
              <w:t>(10)</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$768,892</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34,400</w:t>
            </w:r>
          </w:p>
        </w:tc>
        <w:tc>
          <w:tcPr>
            <w:tcW w:w="100" w:type="dxa"/>
            <w:vAlign w:val="bottom"/>
            <w:tcBorders>
              <w:bottom w:val="single" w:sz="8" w:color="7C7C7C"/>
            </w:tcBorders>
            <w:shd w:val="clear" w:color="auto" w:fill="F6FAFB"/>
          </w:tcPr>
          <w:p>
            <w:pPr>
              <w:spacing w:after="0"/>
              <w:rPr>
                <w:sz w:val="21"/>
                <w:szCs w:val="21"/>
                <w:color w:val="auto"/>
              </w:rPr>
            </w:pPr>
          </w:p>
        </w:tc>
        <w:tc>
          <w:tcPr>
            <w:tcW w:w="320" w:type="dxa"/>
            <w:vAlign w:val="bottom"/>
            <w:tcBorders>
              <w:bottom w:val="single" w:sz="8" w:color="7C7C7C"/>
            </w:tcBorders>
            <w:shd w:val="clear" w:color="auto" w:fill="F6FAFB"/>
          </w:tcPr>
          <w:p>
            <w:pPr>
              <w:spacing w:after="0"/>
              <w:rPr>
                <w:sz w:val="21"/>
                <w:szCs w:val="21"/>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rPr>
              <w:t>$3,662,912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1/4/2016</w:t>
            </w:r>
          </w:p>
        </w:tc>
        <w:tc>
          <w:tcPr>
            <w:tcW w:w="100" w:type="dxa"/>
            <w:vAlign w:val="bottom"/>
            <w:tcBorders>
              <w:bottom w:val="single" w:sz="8" w:color="7C7C7C"/>
            </w:tcBorders>
          </w:tcPr>
          <w:p>
            <w:pPr>
              <w:spacing w:after="0"/>
              <w:rPr>
                <w:sz w:val="21"/>
                <w:szCs w:val="21"/>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0" w:lineRule="exact"/>
              <w:rPr>
                <w:sz w:val="20"/>
                <w:szCs w:val="20"/>
                <w:color w:val="auto"/>
              </w:rPr>
            </w:pPr>
            <w:r>
              <w:rPr>
                <w:rFonts w:ascii="Arial" w:cs="Arial" w:eastAsia="Arial" w:hAnsi="Arial"/>
                <w:sz w:val="14"/>
                <w:szCs w:val="14"/>
                <w:color w:val="auto"/>
              </w:rPr>
              <w:t>86,000</w:t>
            </w:r>
            <w:r>
              <w:rPr>
                <w:rFonts w:ascii="Arial" w:cs="Arial" w:eastAsia="Arial" w:hAnsi="Arial"/>
                <w:sz w:val="27"/>
                <w:szCs w:val="27"/>
                <w:color w:val="auto"/>
                <w:vertAlign w:val="superscript"/>
              </w:rPr>
              <w:t>(8)</w:t>
            </w:r>
          </w:p>
        </w:tc>
        <w:tc>
          <w:tcPr>
            <w:tcW w:w="80" w:type="dxa"/>
            <w:vAlign w:val="bottom"/>
            <w:tcBorders>
              <w:bottom w:val="single" w:sz="8" w:color="7C7C7C"/>
            </w:tcBorders>
          </w:tcPr>
          <w:p>
            <w:pPr>
              <w:spacing w:after="0"/>
              <w:rPr>
                <w:sz w:val="21"/>
                <w:szCs w:val="21"/>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$95.57</w:t>
            </w:r>
          </w:p>
        </w:tc>
        <w:tc>
          <w:tcPr>
            <w:tcW w:w="80" w:type="dxa"/>
            <w:vAlign w:val="bottom"/>
            <w:tcBorders>
              <w:bottom w:val="single" w:sz="8" w:color="7C7C7C"/>
            </w:tcBorders>
          </w:tcPr>
          <w:p>
            <w:pPr>
              <w:spacing w:after="0"/>
              <w:rPr>
                <w:sz w:val="21"/>
                <w:szCs w:val="21"/>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1/3/2026</w:t>
            </w: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19,952</w:t>
            </w:r>
          </w:p>
        </w:tc>
        <w:tc>
          <w:tcPr>
            <w:tcW w:w="100" w:type="dxa"/>
            <w:vAlign w:val="bottom"/>
            <w:tcBorders>
              <w:bottom w:val="single" w:sz="8" w:color="7C7C7C"/>
            </w:tcBorders>
            <w:shd w:val="clear" w:color="auto" w:fill="F6FAFB"/>
          </w:tcPr>
          <w:p>
            <w:pPr>
              <w:spacing w:after="0"/>
              <w:rPr>
                <w:sz w:val="21"/>
                <w:szCs w:val="21"/>
                <w:color w:val="auto"/>
              </w:rPr>
            </w:pPr>
          </w:p>
        </w:tc>
        <w:tc>
          <w:tcPr>
            <w:tcW w:w="320" w:type="dxa"/>
            <w:vAlign w:val="bottom"/>
            <w:tcBorders>
              <w:bottom w:val="single" w:sz="8" w:color="7C7C7C"/>
            </w:tcBorders>
            <w:shd w:val="clear" w:color="auto" w:fill="F6FAFB"/>
          </w:tcPr>
          <w:p>
            <w:pPr>
              <w:spacing w:after="0"/>
              <w:rPr>
                <w:sz w:val="21"/>
                <w:szCs w:val="21"/>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rPr>
              <w:t>$2,124,489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1/2/2015</w:t>
            </w:r>
          </w:p>
        </w:tc>
        <w:tc>
          <w:tcPr>
            <w:tcW w:w="100" w:type="dxa"/>
            <w:vAlign w:val="bottom"/>
            <w:tcBorders>
              <w:bottom w:val="single" w:sz="8" w:color="7C7C7C"/>
            </w:tcBorders>
          </w:tcPr>
          <w:p>
            <w:pPr>
              <w:spacing w:after="0"/>
              <w:rPr>
                <w:sz w:val="16"/>
                <w:szCs w:val="16"/>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134,600</w:t>
            </w:r>
          </w:p>
        </w:tc>
        <w:tc>
          <w:tcPr>
            <w:tcW w:w="80" w:type="dxa"/>
            <w:vAlign w:val="bottom"/>
            <w:tcBorders>
              <w:bottom w:val="single" w:sz="8" w:color="7C7C7C"/>
            </w:tcBorders>
          </w:tcPr>
          <w:p>
            <w:pPr>
              <w:spacing w:after="0"/>
              <w:rPr>
                <w:sz w:val="16"/>
                <w:szCs w:val="16"/>
                <w:color w:val="auto"/>
              </w:rPr>
            </w:pPr>
          </w:p>
        </w:tc>
        <w:tc>
          <w:tcPr>
            <w:tcW w:w="60" w:type="dxa"/>
            <w:vAlign w:val="bottom"/>
            <w:tcBorders>
              <w:bottom w:val="single" w:sz="8" w:color="7C7C7C"/>
            </w:tcBorders>
          </w:tcPr>
          <w:p>
            <w:pPr>
              <w:spacing w:after="0"/>
              <w:rPr>
                <w:sz w:val="16"/>
                <w:szCs w:val="16"/>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$115.04</w:t>
            </w:r>
          </w:p>
        </w:tc>
        <w:tc>
          <w:tcPr>
            <w:tcW w:w="80" w:type="dxa"/>
            <w:vAlign w:val="bottom"/>
            <w:tcBorders>
              <w:bottom w:val="single" w:sz="8" w:color="7C7C7C"/>
            </w:tcBorders>
          </w:tcPr>
          <w:p>
            <w:pPr>
              <w:spacing w:after="0"/>
              <w:rPr>
                <w:sz w:val="16"/>
                <w:szCs w:val="16"/>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1/1/2025</w:t>
            </w:r>
          </w:p>
        </w:tc>
        <w:tc>
          <w:tcPr>
            <w:tcW w:w="100" w:type="dxa"/>
            <w:vAlign w:val="bottom"/>
            <w:tcBorders>
              <w:bottom w:val="single" w:sz="8" w:color="7C7C7C"/>
            </w:tcBorders>
          </w:tcPr>
          <w:p>
            <w:pPr>
              <w:spacing w:after="0"/>
              <w:rPr>
                <w:sz w:val="16"/>
                <w:szCs w:val="16"/>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6"/>
                <w:szCs w:val="16"/>
                <w:color w:val="auto"/>
              </w:rPr>
            </w:pPr>
          </w:p>
        </w:tc>
        <w:tc>
          <w:tcPr>
            <w:tcW w:w="600" w:type="dxa"/>
            <w:vAlign w:val="bottom"/>
            <w:tcBorders>
              <w:bottom w:val="single" w:sz="8" w:color="7C7C7C"/>
            </w:tcBorders>
            <w:shd w:val="clear" w:color="auto" w:fill="F6FAFB"/>
          </w:tcPr>
          <w:p>
            <w:pPr>
              <w:spacing w:after="0"/>
              <w:rPr>
                <w:sz w:val="16"/>
                <w:szCs w:val="16"/>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320" w:type="dxa"/>
            <w:vAlign w:val="bottom"/>
            <w:tcBorders>
              <w:bottom w:val="single" w:sz="8" w:color="7C7C7C"/>
            </w:tcBorders>
            <w:shd w:val="clear" w:color="auto" w:fill="F6FAFB"/>
          </w:tcPr>
          <w:p>
            <w:pPr>
              <w:spacing w:after="0"/>
              <w:rPr>
                <w:sz w:val="16"/>
                <w:szCs w:val="16"/>
                <w:color w:val="auto"/>
              </w:rPr>
            </w:pPr>
          </w:p>
        </w:tc>
        <w:tc>
          <w:tcPr>
            <w:tcW w:w="180" w:type="dxa"/>
            <w:vAlign w:val="bottom"/>
            <w:tcBorders>
              <w:bottom w:val="single" w:sz="8" w:color="7C7C7C"/>
            </w:tcBorders>
            <w:shd w:val="clear" w:color="auto" w:fill="F6FAFB"/>
          </w:tcPr>
          <w:p>
            <w:pPr>
              <w:spacing w:after="0"/>
              <w:rPr>
                <w:sz w:val="16"/>
                <w:szCs w:val="16"/>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1/2/2015</w:t>
            </w:r>
          </w:p>
        </w:tc>
        <w:tc>
          <w:tcPr>
            <w:tcW w:w="10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40,500</w:t>
            </w:r>
          </w:p>
        </w:tc>
        <w:tc>
          <w:tcPr>
            <w:tcW w:w="80" w:type="dxa"/>
            <w:vAlign w:val="bottom"/>
            <w:tcBorders>
              <w:bottom w:val="single" w:sz="8" w:color="7C7C7C"/>
            </w:tcBorders>
          </w:tcPr>
          <w:p>
            <w:pPr>
              <w:spacing w:after="0"/>
              <w:rPr>
                <w:sz w:val="17"/>
                <w:szCs w:val="17"/>
                <w:color w:val="auto"/>
              </w:rPr>
            </w:pPr>
          </w:p>
        </w:tc>
        <w:tc>
          <w:tcPr>
            <w:tcW w:w="60" w:type="dxa"/>
            <w:vAlign w:val="bottom"/>
            <w:tcBorders>
              <w:bottom w:val="single" w:sz="8" w:color="7C7C7C"/>
            </w:tcBorders>
          </w:tcPr>
          <w:p>
            <w:pPr>
              <w:spacing w:after="0"/>
              <w:rPr>
                <w:sz w:val="17"/>
                <w:szCs w:val="17"/>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$115.04</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1/1/2025</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320" w:type="dxa"/>
            <w:vAlign w:val="bottom"/>
            <w:tcBorders>
              <w:bottom w:val="single" w:sz="8" w:color="7C7C7C"/>
            </w:tcBorders>
            <w:shd w:val="clear" w:color="auto" w:fill="F6FAFB"/>
          </w:tcPr>
          <w:p>
            <w:pPr>
              <w:spacing w:after="0"/>
              <w:rPr>
                <w:sz w:val="17"/>
                <w:szCs w:val="17"/>
                <w:color w:val="auto"/>
              </w:rPr>
            </w:pPr>
          </w:p>
        </w:tc>
        <w:tc>
          <w:tcPr>
            <w:tcW w:w="180" w:type="dxa"/>
            <w:vAlign w:val="bottom"/>
            <w:tcBorders>
              <w:bottom w:val="single" w:sz="8" w:color="7C7C7C"/>
            </w:tcBorders>
            <w:shd w:val="clear" w:color="auto" w:fill="F6FAFB"/>
          </w:tcPr>
          <w:p>
            <w:pPr>
              <w:spacing w:after="0"/>
              <w:rPr>
                <w:sz w:val="17"/>
                <w:szCs w:val="17"/>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1/2/2015</w:t>
            </w:r>
          </w:p>
        </w:tc>
        <w:tc>
          <w:tcPr>
            <w:tcW w:w="100" w:type="dxa"/>
            <w:vAlign w:val="bottom"/>
            <w:tcBorders>
              <w:bottom w:val="single" w:sz="8" w:color="7C7C7C"/>
            </w:tcBorders>
          </w:tcPr>
          <w:p>
            <w:pPr>
              <w:spacing w:after="0"/>
              <w:rPr>
                <w:sz w:val="22"/>
                <w:szCs w:val="22"/>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7C7C"/>
            </w:tcBorders>
            <w:shd w:val="clear" w:color="auto" w:fill="F6FAFB"/>
          </w:tcPr>
          <w:p>
            <w:pPr>
              <w:jc w:val="right"/>
              <w:spacing w:after="0" w:line="257" w:lineRule="exact"/>
              <w:rPr>
                <w:sz w:val="20"/>
                <w:szCs w:val="20"/>
                <w:color w:val="auto"/>
              </w:rPr>
            </w:pPr>
            <w:r>
              <w:rPr>
                <w:rFonts w:ascii="Arial" w:cs="Arial" w:eastAsia="Arial" w:hAnsi="Arial"/>
                <w:sz w:val="14"/>
                <w:szCs w:val="14"/>
                <w:color w:val="auto"/>
              </w:rPr>
              <w:t>13,422</w:t>
            </w:r>
            <w:r>
              <w:rPr>
                <w:rFonts w:ascii="Arial" w:cs="Arial" w:eastAsia="Arial" w:hAnsi="Arial"/>
                <w:sz w:val="27"/>
                <w:szCs w:val="27"/>
                <w:color w:val="auto"/>
                <w:vertAlign w:val="superscript"/>
              </w:rPr>
              <w:t>(11)</w:t>
            </w:r>
          </w:p>
        </w:tc>
        <w:tc>
          <w:tcPr>
            <w:tcW w:w="100" w:type="dxa"/>
            <w:vAlign w:val="bottom"/>
            <w:tcBorders>
              <w:bottom w:val="single" w:sz="8" w:color="7C7C7C"/>
            </w:tcBorders>
            <w:shd w:val="clear" w:color="auto" w:fill="F6FAFB"/>
          </w:tcPr>
          <w:p>
            <w:pPr>
              <w:spacing w:after="0"/>
              <w:rPr>
                <w:sz w:val="22"/>
                <w:szCs w:val="22"/>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$1,429,175</w:t>
            </w:r>
          </w:p>
        </w:tc>
        <w:tc>
          <w:tcPr>
            <w:tcW w:w="80" w:type="dxa"/>
            <w:vAlign w:val="bottom"/>
            <w:tcBorders>
              <w:bottom w:val="single" w:sz="8" w:color="7C7C7C"/>
            </w:tcBorders>
            <w:shd w:val="clear" w:color="auto" w:fill="F6FAFB"/>
          </w:tcPr>
          <w:p>
            <w:pPr>
              <w:spacing w:after="0"/>
              <w:rPr>
                <w:sz w:val="22"/>
                <w:szCs w:val="22"/>
                <w:color w:val="auto"/>
              </w:rPr>
            </w:pPr>
          </w:p>
        </w:tc>
        <w:tc>
          <w:tcPr>
            <w:tcW w:w="600" w:type="dxa"/>
            <w:vAlign w:val="bottom"/>
            <w:tcBorders>
              <w:bottom w:val="single" w:sz="8" w:color="7C7C7C"/>
            </w:tcBorders>
            <w:shd w:val="clear" w:color="auto" w:fill="F6FAFB"/>
          </w:tcPr>
          <w:p>
            <w:pPr>
              <w:spacing w:after="0"/>
              <w:rPr>
                <w:sz w:val="22"/>
                <w:szCs w:val="22"/>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2"/>
                <w:szCs w:val="22"/>
                <w:color w:val="auto"/>
              </w:rPr>
            </w:pPr>
          </w:p>
        </w:tc>
        <w:tc>
          <w:tcPr>
            <w:tcW w:w="320" w:type="dxa"/>
            <w:vAlign w:val="bottom"/>
            <w:tcBorders>
              <w:bottom w:val="single" w:sz="8" w:color="7C7C7C"/>
            </w:tcBorders>
            <w:shd w:val="clear" w:color="auto" w:fill="F6FAFB"/>
          </w:tcPr>
          <w:p>
            <w:pPr>
              <w:spacing w:after="0"/>
              <w:rPr>
                <w:sz w:val="22"/>
                <w:szCs w:val="22"/>
                <w:color w:val="auto"/>
              </w:rPr>
            </w:pPr>
          </w:p>
        </w:tc>
        <w:tc>
          <w:tcPr>
            <w:tcW w:w="180" w:type="dxa"/>
            <w:vAlign w:val="bottom"/>
            <w:tcBorders>
              <w:bottom w:val="single" w:sz="8" w:color="7C7C7C"/>
            </w:tcBorders>
            <w:shd w:val="clear" w:color="auto" w:fill="F6FAFB"/>
          </w:tcPr>
          <w:p>
            <w:pPr>
              <w:spacing w:after="0"/>
              <w:rPr>
                <w:sz w:val="22"/>
                <w:szCs w:val="22"/>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1/3/2012</w:t>
            </w:r>
          </w:p>
        </w:tc>
        <w:tc>
          <w:tcPr>
            <w:tcW w:w="100" w:type="dxa"/>
            <w:vAlign w:val="bottom"/>
            <w:tcBorders>
              <w:bottom w:val="single" w:sz="8" w:color="7C7C7C"/>
            </w:tcBorders>
          </w:tcPr>
          <w:p>
            <w:pPr>
              <w:spacing w:after="0"/>
              <w:rPr>
                <w:sz w:val="16"/>
                <w:szCs w:val="16"/>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30,500</w:t>
            </w:r>
          </w:p>
        </w:tc>
        <w:tc>
          <w:tcPr>
            <w:tcW w:w="80" w:type="dxa"/>
            <w:vAlign w:val="bottom"/>
            <w:tcBorders>
              <w:bottom w:val="single" w:sz="8" w:color="7C7C7C"/>
            </w:tcBorders>
          </w:tcPr>
          <w:p>
            <w:pPr>
              <w:spacing w:after="0"/>
              <w:rPr>
                <w:sz w:val="16"/>
                <w:szCs w:val="16"/>
                <w:color w:val="auto"/>
              </w:rPr>
            </w:pPr>
          </w:p>
        </w:tc>
        <w:tc>
          <w:tcPr>
            <w:tcW w:w="60" w:type="dxa"/>
            <w:vAlign w:val="bottom"/>
            <w:tcBorders>
              <w:bottom w:val="single" w:sz="8" w:color="7C7C7C"/>
            </w:tcBorders>
          </w:tcPr>
          <w:p>
            <w:pPr>
              <w:spacing w:after="0"/>
              <w:rPr>
                <w:sz w:val="16"/>
                <w:szCs w:val="16"/>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$74.66</w:t>
            </w:r>
          </w:p>
        </w:tc>
        <w:tc>
          <w:tcPr>
            <w:tcW w:w="80" w:type="dxa"/>
            <w:vAlign w:val="bottom"/>
            <w:tcBorders>
              <w:bottom w:val="single" w:sz="8" w:color="7C7C7C"/>
            </w:tcBorders>
          </w:tcPr>
          <w:p>
            <w:pPr>
              <w:spacing w:after="0"/>
              <w:rPr>
                <w:sz w:val="16"/>
                <w:szCs w:val="16"/>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1/2/2022</w:t>
            </w:r>
          </w:p>
        </w:tc>
        <w:tc>
          <w:tcPr>
            <w:tcW w:w="100" w:type="dxa"/>
            <w:vAlign w:val="bottom"/>
            <w:tcBorders>
              <w:bottom w:val="single" w:sz="8" w:color="7C7C7C"/>
            </w:tcBorders>
          </w:tcPr>
          <w:p>
            <w:pPr>
              <w:spacing w:after="0"/>
              <w:rPr>
                <w:sz w:val="16"/>
                <w:szCs w:val="16"/>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6"/>
                <w:szCs w:val="16"/>
                <w:color w:val="auto"/>
              </w:rPr>
            </w:pPr>
          </w:p>
        </w:tc>
        <w:tc>
          <w:tcPr>
            <w:tcW w:w="600" w:type="dxa"/>
            <w:vAlign w:val="bottom"/>
            <w:tcBorders>
              <w:bottom w:val="single" w:sz="8" w:color="7C7C7C"/>
            </w:tcBorders>
            <w:shd w:val="clear" w:color="auto" w:fill="F6FAFB"/>
          </w:tcPr>
          <w:p>
            <w:pPr>
              <w:spacing w:after="0"/>
              <w:rPr>
                <w:sz w:val="16"/>
                <w:szCs w:val="16"/>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320" w:type="dxa"/>
            <w:vAlign w:val="bottom"/>
            <w:tcBorders>
              <w:bottom w:val="single" w:sz="8" w:color="7C7C7C"/>
            </w:tcBorders>
            <w:shd w:val="clear" w:color="auto" w:fill="F6FAFB"/>
          </w:tcPr>
          <w:p>
            <w:pPr>
              <w:spacing w:after="0"/>
              <w:rPr>
                <w:sz w:val="16"/>
                <w:szCs w:val="16"/>
                <w:color w:val="auto"/>
              </w:rPr>
            </w:pPr>
          </w:p>
        </w:tc>
        <w:tc>
          <w:tcPr>
            <w:tcW w:w="180" w:type="dxa"/>
            <w:vAlign w:val="bottom"/>
            <w:tcBorders>
              <w:bottom w:val="single" w:sz="8" w:color="7C7C7C"/>
            </w:tcBorders>
            <w:shd w:val="clear" w:color="auto" w:fill="F6FAFB"/>
          </w:tcPr>
          <w:p>
            <w:pPr>
              <w:spacing w:after="0"/>
              <w:rPr>
                <w:sz w:val="16"/>
                <w:szCs w:val="16"/>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1/3/2011</w:t>
            </w:r>
          </w:p>
        </w:tc>
        <w:tc>
          <w:tcPr>
            <w:tcW w:w="10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22,500</w:t>
            </w:r>
          </w:p>
        </w:tc>
        <w:tc>
          <w:tcPr>
            <w:tcW w:w="80" w:type="dxa"/>
            <w:vAlign w:val="bottom"/>
            <w:tcBorders>
              <w:bottom w:val="single" w:sz="8" w:color="7C7C7C"/>
            </w:tcBorders>
          </w:tcPr>
          <w:p>
            <w:pPr>
              <w:spacing w:after="0"/>
              <w:rPr>
                <w:sz w:val="17"/>
                <w:szCs w:val="17"/>
                <w:color w:val="auto"/>
              </w:rPr>
            </w:pPr>
          </w:p>
        </w:tc>
        <w:tc>
          <w:tcPr>
            <w:tcW w:w="60" w:type="dxa"/>
            <w:vAlign w:val="bottom"/>
            <w:tcBorders>
              <w:bottom w:val="single" w:sz="8" w:color="7C7C7C"/>
            </w:tcBorders>
          </w:tcPr>
          <w:p>
            <w:pPr>
              <w:spacing w:after="0"/>
              <w:rPr>
                <w:sz w:val="17"/>
                <w:szCs w:val="17"/>
                <w:color w:val="auto"/>
              </w:rPr>
            </w:pP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$78.99</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1/2/2021</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spacing w:after="0"/>
              <w:rPr>
                <w:sz w:val="17"/>
                <w:szCs w:val="17"/>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320" w:type="dxa"/>
            <w:vAlign w:val="bottom"/>
            <w:tcBorders>
              <w:bottom w:val="single" w:sz="8" w:color="7C7C7C"/>
            </w:tcBorders>
            <w:shd w:val="clear" w:color="auto" w:fill="F6FAFB"/>
          </w:tcPr>
          <w:p>
            <w:pPr>
              <w:spacing w:after="0"/>
              <w:rPr>
                <w:sz w:val="17"/>
                <w:szCs w:val="17"/>
                <w:color w:val="auto"/>
              </w:rPr>
            </w:pPr>
          </w:p>
        </w:tc>
        <w:tc>
          <w:tcPr>
            <w:tcW w:w="180" w:type="dxa"/>
            <w:vAlign w:val="bottom"/>
            <w:tcBorders>
              <w:bottom w:val="single" w:sz="8" w:color="7C7C7C"/>
            </w:tcBorders>
            <w:shd w:val="clear" w:color="auto" w:fill="F6FAFB"/>
          </w:tcPr>
          <w:p>
            <w:pPr>
              <w:spacing w:after="0"/>
              <w:rPr>
                <w:sz w:val="17"/>
                <w:szCs w:val="17"/>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1/4/2010</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7,250</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$71.63</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1/3/2020</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17"/>
                <w:szCs w:val="17"/>
                <w:color w:val="auto"/>
              </w:rPr>
            </w:pPr>
          </w:p>
        </w:tc>
        <w:tc>
          <w:tcPr>
            <w:tcW w:w="10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6FAFB"/>
          </w:tcPr>
          <w:p>
            <w:pPr>
              <w:spacing w:after="0"/>
              <w:rPr>
                <w:sz w:val="17"/>
                <w:szCs w:val="17"/>
                <w:color w:val="auto"/>
              </w:rPr>
            </w:pPr>
          </w:p>
        </w:tc>
        <w:tc>
          <w:tcPr>
            <w:tcW w:w="600" w:type="dxa"/>
            <w:vAlign w:val="bottom"/>
            <w:tcBorders>
              <w:bottom w:val="single" w:sz="8" w:color="auto"/>
            </w:tcBorders>
            <w:shd w:val="clear" w:color="auto" w:fill="F6FAFB"/>
          </w:tcPr>
          <w:p>
            <w:pPr>
              <w:spacing w:after="0"/>
              <w:rPr>
                <w:sz w:val="17"/>
                <w:szCs w:val="17"/>
                <w:color w:val="auto"/>
              </w:rPr>
            </w:pPr>
          </w:p>
        </w:tc>
        <w:tc>
          <w:tcPr>
            <w:tcW w:w="6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17"/>
                <w:szCs w:val="17"/>
                <w:color w:val="auto"/>
              </w:rPr>
            </w:pPr>
          </w:p>
        </w:tc>
        <w:tc>
          <w:tcPr>
            <w:tcW w:w="320" w:type="dxa"/>
            <w:vAlign w:val="bottom"/>
            <w:tcBorders>
              <w:bottom w:val="single" w:sz="8" w:color="auto"/>
            </w:tcBorders>
            <w:shd w:val="clear" w:color="auto" w:fill="F6FAFB"/>
          </w:tcPr>
          <w:p>
            <w:pPr>
              <w:spacing w:after="0"/>
              <w:rPr>
                <w:sz w:val="17"/>
                <w:szCs w:val="17"/>
                <w:color w:val="auto"/>
              </w:rPr>
            </w:pPr>
          </w:p>
        </w:tc>
        <w:tc>
          <w:tcPr>
            <w:tcW w:w="180" w:type="dxa"/>
            <w:vAlign w:val="bottom"/>
            <w:tcBorders>
              <w:bottom w:val="single" w:sz="8" w:color="auto"/>
            </w:tcBorders>
            <w:shd w:val="clear" w:color="auto" w:fill="F6FAFB"/>
          </w:tcPr>
          <w:p>
            <w:pPr>
              <w:spacing w:after="0"/>
              <w:rPr>
                <w:sz w:val="17"/>
                <w:szCs w:val="17"/>
                <w:color w:val="auto"/>
              </w:rPr>
            </w:pPr>
          </w:p>
        </w:tc>
        <w:tc>
          <w:tcPr>
            <w:tcW w:w="680" w:type="dxa"/>
            <w:vAlign w:val="bottom"/>
            <w:tcBorders>
              <w:bottom w:val="single" w:sz="8" w:color="auto"/>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620" w:type="dxa"/>
            <w:vAlign w:val="bottom"/>
            <w:tcBorders>
              <w:bottom w:val="single" w:sz="8" w:color="FDB03F"/>
            </w:tcBorders>
            <w:gridSpan w:val="2"/>
          </w:tcPr>
          <w:p>
            <w:pPr>
              <w:ind w:left="80"/>
              <w:spacing w:after="0"/>
              <w:rPr>
                <w:sz w:val="20"/>
                <w:szCs w:val="20"/>
                <w:color w:val="auto"/>
              </w:rPr>
            </w:pPr>
            <w:r>
              <w:rPr>
                <w:rFonts w:ascii="Arial" w:cs="Arial" w:eastAsia="Arial" w:hAnsi="Arial"/>
                <w:sz w:val="14"/>
                <w:szCs w:val="14"/>
                <w:b w:val="1"/>
                <w:bCs w:val="1"/>
                <w:color w:val="0E93D8"/>
              </w:rPr>
              <w:t>R. ORTBERG</w:t>
            </w:r>
          </w:p>
        </w:tc>
        <w:tc>
          <w:tcPr>
            <w:tcW w:w="9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 w:type="dxa"/>
            <w:vAlign w:val="bottom"/>
            <w:tcBorders>
              <w:bottom w:val="single" w:sz="8" w:color="FDB03F"/>
            </w:tcBorders>
          </w:tcPr>
          <w:p>
            <w:pPr>
              <w:spacing w:after="0"/>
              <w:rPr>
                <w:sz w:val="24"/>
                <w:szCs w:val="24"/>
                <w:color w:val="auto"/>
              </w:rPr>
            </w:pPr>
          </w:p>
        </w:tc>
        <w:tc>
          <w:tcPr>
            <w:tcW w:w="102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4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2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4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320" w:type="dxa"/>
            <w:vAlign w:val="bottom"/>
            <w:tcBorders>
              <w:bottom w:val="single" w:sz="8" w:color="FDB03F"/>
            </w:tcBorders>
          </w:tcPr>
          <w:p>
            <w:pPr>
              <w:spacing w:after="0"/>
              <w:rPr>
                <w:sz w:val="24"/>
                <w:szCs w:val="24"/>
                <w:color w:val="auto"/>
              </w:rPr>
            </w:pPr>
          </w:p>
        </w:tc>
        <w:tc>
          <w:tcPr>
            <w:tcW w:w="180" w:type="dxa"/>
            <w:vAlign w:val="bottom"/>
            <w:tcBorders>
              <w:bottom w:val="single" w:sz="8" w:color="FDB03F"/>
            </w:tcBorders>
          </w:tcPr>
          <w:p>
            <w:pPr>
              <w:spacing w:after="0"/>
              <w:rPr>
                <w:sz w:val="24"/>
                <w:szCs w:val="24"/>
                <w:color w:val="auto"/>
              </w:rPr>
            </w:pPr>
          </w:p>
        </w:tc>
        <w:tc>
          <w:tcPr>
            <w:tcW w:w="680" w:type="dxa"/>
            <w:vAlign w:val="bottom"/>
            <w:tcBorders>
              <w:bottom w:val="single" w:sz="8" w:color="FDB03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12/3/2018</w:t>
            </w:r>
          </w:p>
        </w:tc>
        <w:tc>
          <w:tcPr>
            <w:tcW w:w="100" w:type="dxa"/>
            <w:vAlign w:val="bottom"/>
            <w:tcBorders>
              <w:bottom w:val="single" w:sz="8" w:color="7C7C7C"/>
            </w:tcBorders>
          </w:tcPr>
          <w:p>
            <w:pPr>
              <w:spacing w:after="0"/>
              <w:rPr>
                <w:sz w:val="22"/>
                <w:szCs w:val="22"/>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7C7C"/>
            </w:tcBorders>
            <w:shd w:val="clear" w:color="auto" w:fill="F6FAFB"/>
          </w:tcPr>
          <w:p>
            <w:pPr>
              <w:jc w:val="right"/>
              <w:spacing w:after="0" w:line="257" w:lineRule="exact"/>
              <w:rPr>
                <w:sz w:val="20"/>
                <w:szCs w:val="20"/>
                <w:color w:val="auto"/>
              </w:rPr>
            </w:pPr>
            <w:r>
              <w:rPr>
                <w:rFonts w:ascii="Arial" w:cs="Arial" w:eastAsia="Arial" w:hAnsi="Arial"/>
                <w:sz w:val="14"/>
                <w:szCs w:val="14"/>
                <w:color w:val="auto"/>
              </w:rPr>
              <w:t>79,895</w:t>
            </w:r>
            <w:r>
              <w:rPr>
                <w:rFonts w:ascii="Arial" w:cs="Arial" w:eastAsia="Arial" w:hAnsi="Arial"/>
                <w:sz w:val="27"/>
                <w:szCs w:val="27"/>
                <w:color w:val="auto"/>
                <w:vertAlign w:val="superscript"/>
              </w:rPr>
              <w:t>(12)</w:t>
            </w:r>
          </w:p>
        </w:tc>
        <w:tc>
          <w:tcPr>
            <w:tcW w:w="116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$8,507,220</w:t>
            </w:r>
          </w:p>
        </w:tc>
        <w:tc>
          <w:tcPr>
            <w:tcW w:w="80" w:type="dxa"/>
            <w:vAlign w:val="bottom"/>
            <w:tcBorders>
              <w:bottom w:val="single" w:sz="8" w:color="7C7C7C"/>
            </w:tcBorders>
            <w:shd w:val="clear" w:color="auto" w:fill="F6FAFB"/>
          </w:tcPr>
          <w:p>
            <w:pPr>
              <w:spacing w:after="0"/>
              <w:rPr>
                <w:sz w:val="22"/>
                <w:szCs w:val="22"/>
                <w:color w:val="auto"/>
              </w:rPr>
            </w:pPr>
          </w:p>
        </w:tc>
        <w:tc>
          <w:tcPr>
            <w:tcW w:w="600" w:type="dxa"/>
            <w:vAlign w:val="bottom"/>
            <w:tcBorders>
              <w:bottom w:val="single" w:sz="8" w:color="7C7C7C"/>
            </w:tcBorders>
            <w:shd w:val="clear" w:color="auto" w:fill="F6FAFB"/>
          </w:tcPr>
          <w:p>
            <w:pPr>
              <w:spacing w:after="0"/>
              <w:rPr>
                <w:sz w:val="22"/>
                <w:szCs w:val="22"/>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2"/>
                <w:szCs w:val="22"/>
                <w:color w:val="auto"/>
              </w:rPr>
            </w:pPr>
          </w:p>
        </w:tc>
        <w:tc>
          <w:tcPr>
            <w:tcW w:w="320" w:type="dxa"/>
            <w:vAlign w:val="bottom"/>
            <w:tcBorders>
              <w:bottom w:val="single" w:sz="8" w:color="7C7C7C"/>
            </w:tcBorders>
            <w:shd w:val="clear" w:color="auto" w:fill="F6FAFB"/>
          </w:tcPr>
          <w:p>
            <w:pPr>
              <w:spacing w:after="0"/>
              <w:rPr>
                <w:sz w:val="22"/>
                <w:szCs w:val="22"/>
                <w:color w:val="auto"/>
              </w:rPr>
            </w:pPr>
          </w:p>
        </w:tc>
        <w:tc>
          <w:tcPr>
            <w:tcW w:w="180" w:type="dxa"/>
            <w:vAlign w:val="bottom"/>
            <w:tcBorders>
              <w:bottom w:val="single" w:sz="8" w:color="7C7C7C"/>
            </w:tcBorders>
            <w:shd w:val="clear" w:color="auto" w:fill="F6FAFB"/>
          </w:tcPr>
          <w:p>
            <w:pPr>
              <w:spacing w:after="0"/>
              <w:rPr>
                <w:sz w:val="22"/>
                <w:szCs w:val="22"/>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11/13/2017</w:t>
            </w:r>
          </w:p>
        </w:tc>
        <w:tc>
          <w:tcPr>
            <w:tcW w:w="100" w:type="dxa"/>
            <w:vAlign w:val="bottom"/>
            <w:tcBorders>
              <w:bottom w:val="single" w:sz="8" w:color="7C7C7C"/>
            </w:tcBorders>
          </w:tcPr>
          <w:p>
            <w:pPr>
              <w:spacing w:after="0"/>
              <w:rPr>
                <w:sz w:val="21"/>
                <w:szCs w:val="21"/>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7C7C"/>
            </w:tcBorders>
            <w:shd w:val="clear" w:color="auto" w:fill="F6FAFB"/>
          </w:tcPr>
          <w:p>
            <w:pPr>
              <w:jc w:val="right"/>
              <w:spacing w:after="0" w:line="250" w:lineRule="exact"/>
              <w:rPr>
                <w:sz w:val="20"/>
                <w:szCs w:val="20"/>
                <w:color w:val="auto"/>
              </w:rPr>
            </w:pPr>
            <w:r>
              <w:rPr>
                <w:rFonts w:ascii="Arial" w:cs="Arial" w:eastAsia="Arial" w:hAnsi="Arial"/>
                <w:sz w:val="14"/>
                <w:szCs w:val="14"/>
                <w:color w:val="auto"/>
              </w:rPr>
              <w:t>30,341</w:t>
            </w:r>
            <w:r>
              <w:rPr>
                <w:rFonts w:ascii="Arial" w:cs="Arial" w:eastAsia="Arial" w:hAnsi="Arial"/>
                <w:sz w:val="27"/>
                <w:szCs w:val="27"/>
                <w:color w:val="auto"/>
                <w:vertAlign w:val="superscript"/>
              </w:rPr>
              <w:t>(13)</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$3,230,710</w:t>
            </w:r>
          </w:p>
        </w:tc>
        <w:tc>
          <w:tcPr>
            <w:tcW w:w="80" w:type="dxa"/>
            <w:vAlign w:val="bottom"/>
            <w:tcBorders>
              <w:bottom w:val="single" w:sz="8" w:color="7C7C7C"/>
            </w:tcBorders>
            <w:shd w:val="clear" w:color="auto" w:fill="F6FAFB"/>
          </w:tcPr>
          <w:p>
            <w:pPr>
              <w:spacing w:after="0"/>
              <w:rPr>
                <w:sz w:val="21"/>
                <w:szCs w:val="21"/>
                <w:color w:val="auto"/>
              </w:rPr>
            </w:pPr>
          </w:p>
        </w:tc>
        <w:tc>
          <w:tcPr>
            <w:tcW w:w="600" w:type="dxa"/>
            <w:vAlign w:val="bottom"/>
            <w:tcBorders>
              <w:bottom w:val="single" w:sz="8" w:color="7C7C7C"/>
            </w:tcBorders>
            <w:shd w:val="clear" w:color="auto" w:fill="F6FAFB"/>
          </w:tcPr>
          <w:p>
            <w:pPr>
              <w:spacing w:after="0"/>
              <w:rPr>
                <w:sz w:val="21"/>
                <w:szCs w:val="21"/>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1"/>
                <w:szCs w:val="21"/>
                <w:color w:val="auto"/>
              </w:rPr>
            </w:pPr>
          </w:p>
        </w:tc>
        <w:tc>
          <w:tcPr>
            <w:tcW w:w="320" w:type="dxa"/>
            <w:vAlign w:val="bottom"/>
            <w:tcBorders>
              <w:bottom w:val="single" w:sz="8" w:color="7C7C7C"/>
            </w:tcBorders>
            <w:shd w:val="clear" w:color="auto" w:fill="F6FAFB"/>
          </w:tcPr>
          <w:p>
            <w:pPr>
              <w:spacing w:after="0"/>
              <w:rPr>
                <w:sz w:val="21"/>
                <w:szCs w:val="21"/>
                <w:color w:val="auto"/>
              </w:rPr>
            </w:pPr>
          </w:p>
        </w:tc>
        <w:tc>
          <w:tcPr>
            <w:tcW w:w="180" w:type="dxa"/>
            <w:vAlign w:val="bottom"/>
            <w:tcBorders>
              <w:bottom w:val="single" w:sz="8" w:color="7C7C7C"/>
            </w:tcBorders>
            <w:shd w:val="clear" w:color="auto" w:fill="F6FAFB"/>
          </w:tcPr>
          <w:p>
            <w:pPr>
              <w:spacing w:after="0"/>
              <w:rPr>
                <w:sz w:val="21"/>
                <w:szCs w:val="21"/>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11/13/2017</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6FAFB"/>
          </w:tcPr>
          <w:p>
            <w:pPr>
              <w:jc w:val="right"/>
              <w:spacing w:after="0" w:line="250" w:lineRule="exact"/>
              <w:rPr>
                <w:sz w:val="20"/>
                <w:szCs w:val="20"/>
                <w:color w:val="auto"/>
              </w:rPr>
            </w:pPr>
            <w:r>
              <w:rPr>
                <w:rFonts w:ascii="Arial" w:cs="Arial" w:eastAsia="Arial" w:hAnsi="Arial"/>
                <w:sz w:val="14"/>
                <w:szCs w:val="14"/>
                <w:color w:val="auto"/>
              </w:rPr>
              <w:t>20,228</w:t>
            </w:r>
            <w:r>
              <w:rPr>
                <w:rFonts w:ascii="Arial" w:cs="Arial" w:eastAsia="Arial" w:hAnsi="Arial"/>
                <w:sz w:val="27"/>
                <w:szCs w:val="27"/>
                <w:color w:val="auto"/>
                <w:vertAlign w:val="superscript"/>
              </w:rPr>
              <w:t>(14)</w:t>
            </w:r>
          </w:p>
        </w:tc>
        <w:tc>
          <w:tcPr>
            <w:tcW w:w="100" w:type="dxa"/>
            <w:vAlign w:val="bottom"/>
            <w:tcBorders>
              <w:bottom w:val="single" w:sz="8" w:color="auto"/>
            </w:tcBorders>
            <w:shd w:val="clear" w:color="auto" w:fill="F6FAFB"/>
          </w:tcPr>
          <w:p>
            <w:pPr>
              <w:spacing w:after="0"/>
              <w:rPr>
                <w:sz w:val="21"/>
                <w:szCs w:val="21"/>
                <w:color w:val="auto"/>
              </w:rPr>
            </w:pPr>
          </w:p>
        </w:tc>
        <w:tc>
          <w:tcPr>
            <w:tcW w:w="10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$2,153,877</w:t>
            </w:r>
          </w:p>
        </w:tc>
        <w:tc>
          <w:tcPr>
            <w:tcW w:w="80" w:type="dxa"/>
            <w:vAlign w:val="bottom"/>
            <w:tcBorders>
              <w:bottom w:val="single" w:sz="8" w:color="auto"/>
            </w:tcBorders>
            <w:shd w:val="clear" w:color="auto" w:fill="F6FAFB"/>
          </w:tcPr>
          <w:p>
            <w:pPr>
              <w:spacing w:after="0"/>
              <w:rPr>
                <w:sz w:val="21"/>
                <w:szCs w:val="21"/>
                <w:color w:val="auto"/>
              </w:rPr>
            </w:pPr>
          </w:p>
        </w:tc>
        <w:tc>
          <w:tcPr>
            <w:tcW w:w="600" w:type="dxa"/>
            <w:vAlign w:val="bottom"/>
            <w:tcBorders>
              <w:bottom w:val="single" w:sz="8" w:color="auto"/>
            </w:tcBorders>
            <w:shd w:val="clear" w:color="auto" w:fill="F6FAFB"/>
          </w:tcPr>
          <w:p>
            <w:pPr>
              <w:spacing w:after="0"/>
              <w:rPr>
                <w:sz w:val="21"/>
                <w:szCs w:val="21"/>
                <w:color w:val="auto"/>
              </w:rPr>
            </w:pPr>
          </w:p>
        </w:tc>
        <w:tc>
          <w:tcPr>
            <w:tcW w:w="6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21"/>
                <w:szCs w:val="21"/>
                <w:color w:val="auto"/>
              </w:rPr>
            </w:pPr>
          </w:p>
        </w:tc>
        <w:tc>
          <w:tcPr>
            <w:tcW w:w="320" w:type="dxa"/>
            <w:vAlign w:val="bottom"/>
            <w:tcBorders>
              <w:bottom w:val="single" w:sz="8" w:color="auto"/>
            </w:tcBorders>
            <w:shd w:val="clear" w:color="auto" w:fill="F6FAFB"/>
          </w:tcPr>
          <w:p>
            <w:pPr>
              <w:spacing w:after="0"/>
              <w:rPr>
                <w:sz w:val="21"/>
                <w:szCs w:val="21"/>
                <w:color w:val="auto"/>
              </w:rPr>
            </w:pPr>
          </w:p>
        </w:tc>
        <w:tc>
          <w:tcPr>
            <w:tcW w:w="180" w:type="dxa"/>
            <w:vAlign w:val="bottom"/>
            <w:tcBorders>
              <w:bottom w:val="single" w:sz="8" w:color="auto"/>
            </w:tcBorders>
            <w:shd w:val="clear" w:color="auto" w:fill="F6FAFB"/>
          </w:tcPr>
          <w:p>
            <w:pPr>
              <w:spacing w:after="0"/>
              <w:rPr>
                <w:sz w:val="21"/>
                <w:szCs w:val="21"/>
                <w:color w:val="auto"/>
              </w:rPr>
            </w:pPr>
          </w:p>
        </w:tc>
        <w:tc>
          <w:tcPr>
            <w:tcW w:w="680" w:type="dxa"/>
            <w:vAlign w:val="bottom"/>
            <w:tcBorders>
              <w:bottom w:val="single" w:sz="8" w:color="auto"/>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620" w:type="dxa"/>
            <w:vAlign w:val="bottom"/>
            <w:tcBorders>
              <w:bottom w:val="single" w:sz="8" w:color="FDB03F"/>
            </w:tcBorders>
            <w:gridSpan w:val="2"/>
          </w:tcPr>
          <w:p>
            <w:pPr>
              <w:ind w:left="80"/>
              <w:spacing w:after="0"/>
              <w:rPr>
                <w:sz w:val="20"/>
                <w:szCs w:val="20"/>
                <w:color w:val="auto"/>
              </w:rPr>
            </w:pPr>
            <w:r>
              <w:rPr>
                <w:rFonts w:ascii="Arial" w:cs="Arial" w:eastAsia="Arial" w:hAnsi="Arial"/>
                <w:sz w:val="14"/>
                <w:szCs w:val="14"/>
                <w:b w:val="1"/>
                <w:bCs w:val="1"/>
                <w:color w:val="0E93D8"/>
              </w:rPr>
              <w:t>J. MARKS</w:t>
            </w:r>
          </w:p>
        </w:tc>
        <w:tc>
          <w:tcPr>
            <w:tcW w:w="9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 w:type="dxa"/>
            <w:vAlign w:val="bottom"/>
            <w:tcBorders>
              <w:bottom w:val="single" w:sz="8" w:color="FDB03F"/>
            </w:tcBorders>
          </w:tcPr>
          <w:p>
            <w:pPr>
              <w:spacing w:after="0"/>
              <w:rPr>
                <w:sz w:val="24"/>
                <w:szCs w:val="24"/>
                <w:color w:val="auto"/>
              </w:rPr>
            </w:pPr>
          </w:p>
        </w:tc>
        <w:tc>
          <w:tcPr>
            <w:tcW w:w="102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4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2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4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60" w:type="dxa"/>
            <w:vAlign w:val="bottom"/>
            <w:tcBorders>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600" w:type="dxa"/>
            <w:vAlign w:val="bottom"/>
            <w:tcBorders>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320" w:type="dxa"/>
            <w:vAlign w:val="bottom"/>
            <w:tcBorders>
              <w:bottom w:val="single" w:sz="8" w:color="FDB03F"/>
            </w:tcBorders>
          </w:tcPr>
          <w:p>
            <w:pPr>
              <w:spacing w:after="0"/>
              <w:rPr>
                <w:sz w:val="24"/>
                <w:szCs w:val="24"/>
                <w:color w:val="auto"/>
              </w:rPr>
            </w:pPr>
          </w:p>
        </w:tc>
        <w:tc>
          <w:tcPr>
            <w:tcW w:w="180" w:type="dxa"/>
            <w:vAlign w:val="bottom"/>
            <w:tcBorders>
              <w:bottom w:val="single" w:sz="8" w:color="FDB03F"/>
            </w:tcBorders>
          </w:tcPr>
          <w:p>
            <w:pPr>
              <w:spacing w:after="0"/>
              <w:rPr>
                <w:sz w:val="24"/>
                <w:szCs w:val="24"/>
                <w:color w:val="auto"/>
              </w:rPr>
            </w:pPr>
          </w:p>
        </w:tc>
        <w:tc>
          <w:tcPr>
            <w:tcW w:w="680" w:type="dxa"/>
            <w:vAlign w:val="bottom"/>
            <w:tcBorders>
              <w:bottom w:val="single" w:sz="8" w:color="FDB03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100" w:type="dxa"/>
            <w:vAlign w:val="bottom"/>
            <w:tcBorders>
              <w:bottom w:val="single" w:sz="8" w:color="7C7C7C"/>
            </w:tcBorders>
          </w:tcPr>
          <w:p>
            <w:pPr>
              <w:spacing w:after="0"/>
              <w:rPr>
                <w:sz w:val="22"/>
                <w:szCs w:val="22"/>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C7C7C"/>
            </w:tcBorders>
          </w:tcPr>
          <w:p>
            <w:pPr>
              <w:jc w:val="right"/>
              <w:ind w:right="12"/>
              <w:spacing w:after="0" w:line="257" w:lineRule="exact"/>
              <w:rPr>
                <w:sz w:val="20"/>
                <w:szCs w:val="20"/>
                <w:color w:val="auto"/>
              </w:rPr>
            </w:pPr>
            <w:r>
              <w:rPr>
                <w:rFonts w:ascii="Arial" w:cs="Arial" w:eastAsia="Arial" w:hAnsi="Arial"/>
                <w:sz w:val="14"/>
                <w:szCs w:val="14"/>
                <w:color w:val="auto"/>
              </w:rPr>
              <w:t>53,500</w:t>
            </w:r>
            <w:r>
              <w:rPr>
                <w:rFonts w:ascii="Arial" w:cs="Arial" w:eastAsia="Arial" w:hAnsi="Arial"/>
                <w:sz w:val="27"/>
                <w:szCs w:val="27"/>
                <w:color w:val="auto"/>
                <w:vertAlign w:val="superscript"/>
              </w:rPr>
              <w:t>(6)</w:t>
            </w:r>
          </w:p>
        </w:tc>
        <w:tc>
          <w:tcPr>
            <w:tcW w:w="80" w:type="dxa"/>
            <w:vAlign w:val="bottom"/>
            <w:tcBorders>
              <w:bottom w:val="single" w:sz="8" w:color="7C7C7C"/>
            </w:tcBorders>
          </w:tcPr>
          <w:p>
            <w:pPr>
              <w:spacing w:after="0"/>
              <w:rPr>
                <w:sz w:val="22"/>
                <w:szCs w:val="22"/>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$128.16</w:t>
            </w:r>
          </w:p>
        </w:tc>
        <w:tc>
          <w:tcPr>
            <w:tcW w:w="80" w:type="dxa"/>
            <w:vAlign w:val="bottom"/>
            <w:tcBorders>
              <w:bottom w:val="single" w:sz="8" w:color="7C7C7C"/>
            </w:tcBorders>
          </w:tcPr>
          <w:p>
            <w:pPr>
              <w:spacing w:after="0"/>
              <w:rPr>
                <w:sz w:val="22"/>
                <w:szCs w:val="22"/>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1/1/2028</w:t>
            </w:r>
          </w:p>
        </w:tc>
        <w:tc>
          <w:tcPr>
            <w:tcW w:w="100" w:type="dxa"/>
            <w:vAlign w:val="bottom"/>
            <w:tcBorders>
              <w:bottom w:val="single" w:sz="8" w:color="7C7C7C"/>
            </w:tcBorders>
          </w:tcPr>
          <w:p>
            <w:pPr>
              <w:spacing w:after="0"/>
              <w:rPr>
                <w:sz w:val="22"/>
                <w:szCs w:val="22"/>
                <w:color w:val="auto"/>
              </w:rPr>
            </w:pPr>
          </w:p>
        </w:tc>
        <w:tc>
          <w:tcPr>
            <w:tcW w:w="1040" w:type="dxa"/>
            <w:vAlign w:val="bottom"/>
            <w:tcBorders>
              <w:bottom w:val="single" w:sz="8" w:color="7C7C7C"/>
            </w:tcBorders>
            <w:shd w:val="clear" w:color="auto" w:fill="F6FAFB"/>
          </w:tcPr>
          <w:p>
            <w:pPr>
              <w:jc w:val="right"/>
              <w:spacing w:after="0" w:line="257" w:lineRule="exact"/>
              <w:rPr>
                <w:sz w:val="20"/>
                <w:szCs w:val="20"/>
                <w:color w:val="auto"/>
              </w:rPr>
            </w:pPr>
            <w:r>
              <w:rPr>
                <w:rFonts w:ascii="Arial" w:cs="Arial" w:eastAsia="Arial" w:hAnsi="Arial"/>
                <w:sz w:val="14"/>
                <w:szCs w:val="14"/>
                <w:color w:val="auto"/>
              </w:rPr>
              <w:t>6,645</w:t>
            </w:r>
            <w:r>
              <w:rPr>
                <w:rFonts w:ascii="Arial" w:cs="Arial" w:eastAsia="Arial" w:hAnsi="Arial"/>
                <w:sz w:val="27"/>
                <w:szCs w:val="27"/>
                <w:color w:val="auto"/>
                <w:vertAlign w:val="superscript"/>
              </w:rPr>
              <w:t>(9)</w:t>
            </w:r>
          </w:p>
        </w:tc>
        <w:tc>
          <w:tcPr>
            <w:tcW w:w="116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$707,560</w:t>
            </w:r>
          </w:p>
        </w:tc>
        <w:tc>
          <w:tcPr>
            <w:tcW w:w="1280" w:type="dxa"/>
            <w:vAlign w:val="bottom"/>
            <w:tcBorders>
              <w:bottom w:val="single" w:sz="8" w:color="7C7C7C"/>
            </w:tcBorders>
            <w:gridSpan w:val="3"/>
            <w:shd w:val="clear" w:color="auto" w:fill="F6FAFB"/>
          </w:tcPr>
          <w:p>
            <w:pPr>
              <w:jc w:val="right"/>
              <w:ind w:right="12"/>
              <w:spacing w:after="0"/>
              <w:rPr>
                <w:sz w:val="20"/>
                <w:szCs w:val="20"/>
                <w:color w:val="auto"/>
              </w:rPr>
            </w:pPr>
            <w:r>
              <w:rPr>
                <w:rFonts w:ascii="Arial" w:cs="Arial" w:eastAsia="Arial" w:hAnsi="Arial"/>
                <w:sz w:val="14"/>
                <w:szCs w:val="14"/>
                <w:color w:val="auto"/>
              </w:rPr>
              <w:t>32,200</w:t>
            </w:r>
          </w:p>
        </w:tc>
        <w:tc>
          <w:tcPr>
            <w:tcW w:w="100" w:type="dxa"/>
            <w:vAlign w:val="bottom"/>
            <w:tcBorders>
              <w:bottom w:val="single" w:sz="8" w:color="7C7C7C"/>
            </w:tcBorders>
            <w:shd w:val="clear" w:color="auto" w:fill="F6FAFB"/>
          </w:tcPr>
          <w:p>
            <w:pPr>
              <w:spacing w:after="0"/>
              <w:rPr>
                <w:sz w:val="22"/>
                <w:szCs w:val="22"/>
                <w:color w:val="auto"/>
              </w:rPr>
            </w:pPr>
          </w:p>
        </w:tc>
        <w:tc>
          <w:tcPr>
            <w:tcW w:w="320" w:type="dxa"/>
            <w:vAlign w:val="bottom"/>
            <w:tcBorders>
              <w:bottom w:val="single" w:sz="8" w:color="7C7C7C"/>
            </w:tcBorders>
            <w:shd w:val="clear" w:color="auto" w:fill="F6FAFB"/>
          </w:tcPr>
          <w:p>
            <w:pPr>
              <w:spacing w:after="0"/>
              <w:rPr>
                <w:sz w:val="22"/>
                <w:szCs w:val="22"/>
                <w:color w:val="auto"/>
              </w:rPr>
            </w:pPr>
          </w:p>
        </w:tc>
        <w:tc>
          <w:tcPr>
            <w:tcW w:w="860" w:type="dxa"/>
            <w:vAlign w:val="bottom"/>
            <w:tcBorders>
              <w:bottom w:val="single" w:sz="8" w:color="7C7C7C"/>
            </w:tcBorders>
            <w:gridSpan w:val="2"/>
            <w:shd w:val="clear" w:color="auto" w:fill="F6FAFB"/>
          </w:tcPr>
          <w:p>
            <w:pPr>
              <w:jc w:val="right"/>
              <w:ind w:right="11"/>
              <w:spacing w:after="0"/>
              <w:rPr>
                <w:sz w:val="20"/>
                <w:szCs w:val="20"/>
                <w:color w:val="auto"/>
              </w:rPr>
            </w:pPr>
            <w:r>
              <w:rPr>
                <w:rFonts w:ascii="Arial" w:cs="Arial" w:eastAsia="Arial" w:hAnsi="Arial"/>
                <w:sz w:val="14"/>
                <w:szCs w:val="14"/>
                <w:color w:val="auto"/>
              </w:rPr>
              <w:t>$3,428,656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11/1/2017</w:t>
            </w:r>
          </w:p>
        </w:tc>
        <w:tc>
          <w:tcPr>
            <w:tcW w:w="100" w:type="dxa"/>
            <w:vAlign w:val="bottom"/>
            <w:tcBorders>
              <w:bottom w:val="single" w:sz="8" w:color="7C7C7C"/>
            </w:tcBorders>
          </w:tcPr>
          <w:p>
            <w:pPr>
              <w:spacing w:after="0"/>
              <w:rPr>
                <w:sz w:val="21"/>
                <w:szCs w:val="21"/>
                <w:color w:val="auto"/>
              </w:rPr>
            </w:pPr>
          </w:p>
        </w:tc>
        <w:tc>
          <w:tcPr>
            <w:tcW w:w="1100" w:type="dxa"/>
            <w:vAlign w:val="bottom"/>
            <w:tcBorders>
              <w:bottom w:val="single" w:sz="8" w:color="7C7C7C"/>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7C7C"/>
            </w:tcBorders>
            <w:shd w:val="clear" w:color="auto" w:fill="F6FAFB"/>
          </w:tcPr>
          <w:p>
            <w:pPr>
              <w:jc w:val="right"/>
              <w:spacing w:after="0" w:line="250" w:lineRule="exact"/>
              <w:rPr>
                <w:sz w:val="20"/>
                <w:szCs w:val="20"/>
                <w:color w:val="auto"/>
              </w:rPr>
            </w:pPr>
            <w:r>
              <w:rPr>
                <w:rFonts w:ascii="Arial" w:cs="Arial" w:eastAsia="Arial" w:hAnsi="Arial"/>
                <w:sz w:val="14"/>
                <w:szCs w:val="14"/>
                <w:color w:val="auto"/>
              </w:rPr>
              <w:t>17,129</w:t>
            </w:r>
            <w:r>
              <w:rPr>
                <w:rFonts w:ascii="Arial" w:cs="Arial" w:eastAsia="Arial" w:hAnsi="Arial"/>
                <w:sz w:val="27"/>
                <w:szCs w:val="27"/>
                <w:color w:val="auto"/>
                <w:vertAlign w:val="superscript"/>
              </w:rPr>
              <w:t>(11)</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$1,823,896</w:t>
            </w:r>
          </w:p>
        </w:tc>
        <w:tc>
          <w:tcPr>
            <w:tcW w:w="80" w:type="dxa"/>
            <w:vAlign w:val="bottom"/>
            <w:tcBorders>
              <w:bottom w:val="single" w:sz="8" w:color="7C7C7C"/>
            </w:tcBorders>
            <w:shd w:val="clear" w:color="auto" w:fill="F6FAFB"/>
          </w:tcPr>
          <w:p>
            <w:pPr>
              <w:spacing w:after="0"/>
              <w:rPr>
                <w:sz w:val="21"/>
                <w:szCs w:val="21"/>
                <w:color w:val="auto"/>
              </w:rPr>
            </w:pPr>
          </w:p>
        </w:tc>
        <w:tc>
          <w:tcPr>
            <w:tcW w:w="600" w:type="dxa"/>
            <w:vAlign w:val="bottom"/>
            <w:tcBorders>
              <w:bottom w:val="single" w:sz="8" w:color="7C7C7C"/>
            </w:tcBorders>
            <w:shd w:val="clear" w:color="auto" w:fill="F6FAFB"/>
          </w:tcPr>
          <w:p>
            <w:pPr>
              <w:spacing w:after="0"/>
              <w:rPr>
                <w:sz w:val="21"/>
                <w:szCs w:val="21"/>
                <w:color w:val="auto"/>
              </w:rPr>
            </w:pPr>
          </w:p>
        </w:tc>
        <w:tc>
          <w:tcPr>
            <w:tcW w:w="6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1"/>
                <w:szCs w:val="21"/>
                <w:color w:val="auto"/>
              </w:rPr>
            </w:pPr>
          </w:p>
        </w:tc>
        <w:tc>
          <w:tcPr>
            <w:tcW w:w="320" w:type="dxa"/>
            <w:vAlign w:val="bottom"/>
            <w:tcBorders>
              <w:bottom w:val="single" w:sz="8" w:color="7C7C7C"/>
            </w:tcBorders>
            <w:shd w:val="clear" w:color="auto" w:fill="F6FAFB"/>
          </w:tcPr>
          <w:p>
            <w:pPr>
              <w:spacing w:after="0"/>
              <w:rPr>
                <w:sz w:val="21"/>
                <w:szCs w:val="21"/>
                <w:color w:val="auto"/>
              </w:rPr>
            </w:pPr>
          </w:p>
        </w:tc>
        <w:tc>
          <w:tcPr>
            <w:tcW w:w="180" w:type="dxa"/>
            <w:vAlign w:val="bottom"/>
            <w:tcBorders>
              <w:bottom w:val="single" w:sz="8" w:color="7C7C7C"/>
            </w:tcBorders>
            <w:shd w:val="clear" w:color="auto" w:fill="F6FAFB"/>
          </w:tcPr>
          <w:p>
            <w:pPr>
              <w:spacing w:after="0"/>
              <w:rPr>
                <w:sz w:val="21"/>
                <w:szCs w:val="21"/>
                <w:color w:val="auto"/>
              </w:rPr>
            </w:pPr>
          </w:p>
        </w:tc>
        <w:tc>
          <w:tcPr>
            <w:tcW w:w="680" w:type="dxa"/>
            <w:vAlign w:val="bottom"/>
            <w:tcBorders>
              <w:bottom w:val="single" w:sz="8" w:color="7C7C7C"/>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11/1/2017</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6FAFB"/>
          </w:tcPr>
          <w:p>
            <w:pPr>
              <w:jc w:val="right"/>
              <w:spacing w:after="0" w:line="250" w:lineRule="exact"/>
              <w:rPr>
                <w:sz w:val="20"/>
                <w:szCs w:val="20"/>
                <w:color w:val="auto"/>
              </w:rPr>
            </w:pPr>
            <w:r>
              <w:rPr>
                <w:rFonts w:ascii="Arial" w:cs="Arial" w:eastAsia="Arial" w:hAnsi="Arial"/>
                <w:sz w:val="14"/>
                <w:szCs w:val="14"/>
                <w:color w:val="auto"/>
              </w:rPr>
              <w:t>8,564</w:t>
            </w:r>
            <w:r>
              <w:rPr>
                <w:rFonts w:ascii="Arial" w:cs="Arial" w:eastAsia="Arial" w:hAnsi="Arial"/>
                <w:sz w:val="27"/>
                <w:szCs w:val="27"/>
                <w:color w:val="auto"/>
                <w:vertAlign w:val="superscript"/>
              </w:rPr>
              <w:t>(15)</w:t>
            </w:r>
          </w:p>
        </w:tc>
        <w:tc>
          <w:tcPr>
            <w:tcW w:w="100" w:type="dxa"/>
            <w:vAlign w:val="bottom"/>
            <w:tcBorders>
              <w:bottom w:val="single" w:sz="8" w:color="auto"/>
            </w:tcBorders>
            <w:shd w:val="clear" w:color="auto" w:fill="F6FAFB"/>
          </w:tcPr>
          <w:p>
            <w:pPr>
              <w:spacing w:after="0"/>
              <w:rPr>
                <w:sz w:val="21"/>
                <w:szCs w:val="21"/>
                <w:color w:val="auto"/>
              </w:rPr>
            </w:pPr>
          </w:p>
        </w:tc>
        <w:tc>
          <w:tcPr>
            <w:tcW w:w="10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$911,895</w:t>
            </w:r>
          </w:p>
        </w:tc>
        <w:tc>
          <w:tcPr>
            <w:tcW w:w="80" w:type="dxa"/>
            <w:vAlign w:val="bottom"/>
            <w:tcBorders>
              <w:bottom w:val="single" w:sz="8" w:color="auto"/>
            </w:tcBorders>
            <w:shd w:val="clear" w:color="auto" w:fill="F6FAFB"/>
          </w:tcPr>
          <w:p>
            <w:pPr>
              <w:spacing w:after="0"/>
              <w:rPr>
                <w:sz w:val="21"/>
                <w:szCs w:val="21"/>
                <w:color w:val="auto"/>
              </w:rPr>
            </w:pPr>
          </w:p>
        </w:tc>
        <w:tc>
          <w:tcPr>
            <w:tcW w:w="600" w:type="dxa"/>
            <w:vAlign w:val="bottom"/>
            <w:tcBorders>
              <w:bottom w:val="single" w:sz="8" w:color="auto"/>
            </w:tcBorders>
            <w:shd w:val="clear" w:color="auto" w:fill="F6FAFB"/>
          </w:tcPr>
          <w:p>
            <w:pPr>
              <w:spacing w:after="0"/>
              <w:rPr>
                <w:sz w:val="21"/>
                <w:szCs w:val="21"/>
                <w:color w:val="auto"/>
              </w:rPr>
            </w:pPr>
          </w:p>
        </w:tc>
        <w:tc>
          <w:tcPr>
            <w:tcW w:w="6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21"/>
                <w:szCs w:val="21"/>
                <w:color w:val="auto"/>
              </w:rPr>
            </w:pPr>
          </w:p>
        </w:tc>
        <w:tc>
          <w:tcPr>
            <w:tcW w:w="320" w:type="dxa"/>
            <w:vAlign w:val="bottom"/>
            <w:tcBorders>
              <w:bottom w:val="single" w:sz="8" w:color="auto"/>
            </w:tcBorders>
            <w:shd w:val="clear" w:color="auto" w:fill="F6FAFB"/>
          </w:tcPr>
          <w:p>
            <w:pPr>
              <w:spacing w:after="0"/>
              <w:rPr>
                <w:sz w:val="21"/>
                <w:szCs w:val="21"/>
                <w:color w:val="auto"/>
              </w:rPr>
            </w:pPr>
          </w:p>
        </w:tc>
        <w:tc>
          <w:tcPr>
            <w:tcW w:w="180" w:type="dxa"/>
            <w:vAlign w:val="bottom"/>
            <w:tcBorders>
              <w:bottom w:val="single" w:sz="8" w:color="auto"/>
            </w:tcBorders>
            <w:shd w:val="clear" w:color="auto" w:fill="F6FAFB"/>
          </w:tcPr>
          <w:p>
            <w:pPr>
              <w:spacing w:after="0"/>
              <w:rPr>
                <w:sz w:val="21"/>
                <w:szCs w:val="21"/>
                <w:color w:val="auto"/>
              </w:rPr>
            </w:pPr>
          </w:p>
        </w:tc>
        <w:tc>
          <w:tcPr>
            <w:tcW w:w="680" w:type="dxa"/>
            <w:vAlign w:val="bottom"/>
            <w:tcBorders>
              <w:bottom w:val="single" w:sz="8" w:color="auto"/>
            </w:tcBorders>
            <w:shd w:val="clear" w:color="auto" w:fill="F6FAFB"/>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40" w:type="dxa"/>
            <w:vAlign w:val="bottom"/>
            <w:gridSpan w:val="12"/>
          </w:tcPr>
          <w:p>
            <w:pPr>
              <w:spacing w:after="0"/>
              <w:rPr>
                <w:sz w:val="20"/>
                <w:szCs w:val="20"/>
                <w:color w:val="auto"/>
              </w:rPr>
            </w:pPr>
          </w:p>
        </w:tc>
        <w:tc>
          <w:tcPr>
            <w:tcW w:w="18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40" w:type="dxa"/>
            <w:vAlign w:val="bottom"/>
            <w:gridSpan w:val="12"/>
          </w:tcPr>
          <w:p>
            <w:pPr>
              <w:ind w:left="340"/>
              <w:spacing w:after="0"/>
              <w:rPr>
                <w:sz w:val="20"/>
                <w:szCs w:val="20"/>
                <w:color w:val="auto"/>
              </w:rPr>
            </w:pPr>
            <w:r>
              <w:rPr>
                <w:rFonts w:ascii="Arial" w:cs="Arial" w:eastAsia="Arial" w:hAnsi="Arial"/>
                <w:sz w:val="14"/>
                <w:szCs w:val="14"/>
                <w:color w:val="0F94D8"/>
                <w:w w:val="96"/>
              </w:rPr>
              <w:t xml:space="preserve">United Technologies </w:t>
            </w:r>
            <w:r>
              <w:rPr>
                <w:rFonts w:ascii="Arial" w:cs="Arial" w:eastAsia="Arial" w:hAnsi="Arial"/>
                <w:sz w:val="14"/>
                <w:szCs w:val="14"/>
                <w:color w:val="000000"/>
                <w:w w:val="96"/>
              </w:rPr>
              <w:t>Notice of 2019 Annual Meeting of Shareowners and Proxy Statement</w:t>
            </w:r>
          </w:p>
        </w:tc>
        <w:tc>
          <w:tcPr>
            <w:tcW w:w="180" w:type="dxa"/>
            <w:vAlign w:val="bottom"/>
            <w:vMerge w:val="continue"/>
          </w:tcPr>
          <w:p>
            <w:pPr>
              <w:spacing w:after="0"/>
              <w:rPr>
                <w:sz w:val="21"/>
                <w:szCs w:val="21"/>
                <w:color w:val="auto"/>
              </w:rPr>
            </w:pPr>
          </w:p>
        </w:tc>
        <w:tc>
          <w:tcPr>
            <w:tcW w:w="680" w:type="dxa"/>
            <w:vAlign w:val="bottom"/>
            <w:shd w:val="clear" w:color="auto" w:fill="0F94D8"/>
          </w:tcPr>
          <w:p>
            <w:pPr>
              <w:jc w:val="right"/>
              <w:ind w:right="171"/>
              <w:spacing w:after="0"/>
              <w:rPr>
                <w:sz w:val="20"/>
                <w:szCs w:val="20"/>
                <w:color w:val="auto"/>
              </w:rPr>
            </w:pPr>
            <w:r>
              <w:rPr>
                <w:rFonts w:ascii="Arial" w:cs="Arial" w:eastAsia="Arial" w:hAnsi="Arial"/>
                <w:sz w:val="18"/>
                <w:szCs w:val="18"/>
                <w:b w:val="1"/>
                <w:bCs w:val="1"/>
                <w:color w:val="FFFFFF"/>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2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shd w:val="clear" w:color="auto" w:fill="80B8E7"/>
          </w:tcPr>
          <w:p>
            <w:pPr>
              <w:ind w:left="120"/>
              <w:spacing w:after="0"/>
              <w:rPr>
                <w:sz w:val="20"/>
                <w:szCs w:val="20"/>
                <w:color w:val="auto"/>
              </w:rPr>
            </w:pPr>
            <w:r>
              <w:rPr>
                <w:rFonts w:ascii="Arial" w:cs="Arial" w:eastAsia="Arial" w:hAnsi="Arial"/>
                <w:sz w:val="14"/>
                <w:szCs w:val="14"/>
                <w:b w:val="1"/>
                <w:bCs w:val="1"/>
                <w:color w:val="FFFFFF"/>
                <w:w w:val="99"/>
              </w:rPr>
              <w:t>COMPENSATION TABLES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0E93D8"/>
            </w:tcBorders>
          </w:tcPr>
          <w:p>
            <w:pPr>
              <w:spacing w:after="0"/>
              <w:rPr>
                <w:sz w:val="24"/>
                <w:szCs w:val="24"/>
                <w:color w:val="auto"/>
              </w:rPr>
            </w:pPr>
          </w:p>
        </w:tc>
        <w:tc>
          <w:tcPr>
            <w:tcW w:w="80" w:type="dxa"/>
            <w:vAlign w:val="bottom"/>
            <w:tcBorders>
              <w:bottom w:val="single" w:sz="8" w:color="0E93D8"/>
            </w:tcBorders>
          </w:tcPr>
          <w:p>
            <w:pPr>
              <w:spacing w:after="0"/>
              <w:rPr>
                <w:sz w:val="24"/>
                <w:szCs w:val="24"/>
                <w:color w:val="auto"/>
              </w:rPr>
            </w:pPr>
          </w:p>
        </w:tc>
        <w:tc>
          <w:tcPr>
            <w:tcW w:w="2080" w:type="dxa"/>
            <w:vAlign w:val="bottom"/>
            <w:tcBorders>
              <w:bottom w:val="single" w:sz="8" w:color="0E93D8"/>
            </w:tcBorders>
            <w:gridSpan w:val="4"/>
          </w:tcPr>
          <w:p>
            <w:pPr>
              <w:ind w:left="440"/>
              <w:spacing w:after="0"/>
              <w:rPr>
                <w:sz w:val="20"/>
                <w:szCs w:val="20"/>
                <w:color w:val="auto"/>
              </w:rPr>
            </w:pPr>
            <w:r>
              <w:rPr>
                <w:rFonts w:ascii="Arial" w:cs="Arial" w:eastAsia="Arial" w:hAnsi="Arial"/>
                <w:sz w:val="14"/>
                <w:szCs w:val="14"/>
                <w:b w:val="1"/>
                <w:bCs w:val="1"/>
                <w:color w:val="0E93D8"/>
              </w:rPr>
              <w:t>Option Awards</w:t>
            </w:r>
          </w:p>
        </w:tc>
        <w:tc>
          <w:tcPr>
            <w:tcW w:w="820" w:type="dxa"/>
            <w:vAlign w:val="bottom"/>
            <w:tcBorders>
              <w:bottom w:val="single" w:sz="8" w:color="0E93D8"/>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0E93D8"/>
            </w:tcBorders>
          </w:tcPr>
          <w:p>
            <w:pPr>
              <w:spacing w:after="0"/>
              <w:rPr>
                <w:sz w:val="24"/>
                <w:szCs w:val="24"/>
                <w:color w:val="auto"/>
              </w:rPr>
            </w:pPr>
          </w:p>
        </w:tc>
        <w:tc>
          <w:tcPr>
            <w:tcW w:w="100" w:type="dxa"/>
            <w:vAlign w:val="bottom"/>
            <w:tcBorders>
              <w:bottom w:val="single" w:sz="8" w:color="0E93D8"/>
            </w:tcBorders>
          </w:tcPr>
          <w:p>
            <w:pPr>
              <w:spacing w:after="0"/>
              <w:rPr>
                <w:sz w:val="24"/>
                <w:szCs w:val="24"/>
                <w:color w:val="auto"/>
              </w:rPr>
            </w:pPr>
          </w:p>
        </w:tc>
        <w:tc>
          <w:tcPr>
            <w:tcW w:w="2340" w:type="dxa"/>
            <w:vAlign w:val="bottom"/>
            <w:tcBorders>
              <w:bottom w:val="single" w:sz="8" w:color="0E93D8"/>
            </w:tcBorders>
            <w:gridSpan w:val="3"/>
          </w:tcPr>
          <w:p>
            <w:pPr>
              <w:jc w:val="right"/>
              <w:ind w:right="592"/>
              <w:spacing w:after="0"/>
              <w:rPr>
                <w:sz w:val="20"/>
                <w:szCs w:val="20"/>
                <w:color w:val="auto"/>
              </w:rPr>
            </w:pPr>
            <w:r>
              <w:rPr>
                <w:rFonts w:ascii="Arial" w:cs="Arial" w:eastAsia="Arial" w:hAnsi="Arial"/>
                <w:sz w:val="14"/>
                <w:szCs w:val="14"/>
                <w:b w:val="1"/>
                <w:bCs w:val="1"/>
                <w:color w:val="0E93D8"/>
              </w:rPr>
              <w:t>Stock Awards</w:t>
            </w:r>
          </w:p>
        </w:tc>
        <w:tc>
          <w:tcPr>
            <w:tcW w:w="100" w:type="dxa"/>
            <w:vAlign w:val="bottom"/>
            <w:tcBorders>
              <w:bottom w:val="single" w:sz="8" w:color="0E93D8"/>
            </w:tcBorders>
          </w:tcPr>
          <w:p>
            <w:pPr>
              <w:spacing w:after="0"/>
              <w:rPr>
                <w:sz w:val="24"/>
                <w:szCs w:val="24"/>
                <w:color w:val="auto"/>
              </w:rPr>
            </w:pPr>
          </w:p>
        </w:tc>
        <w:tc>
          <w:tcPr>
            <w:tcW w:w="1180" w:type="dxa"/>
            <w:vAlign w:val="bottom"/>
            <w:tcBorders>
              <w:bottom w:val="single" w:sz="8" w:color="0E93D8"/>
            </w:tcBorders>
          </w:tcPr>
          <w:p>
            <w:pPr>
              <w:spacing w:after="0"/>
              <w:rPr>
                <w:sz w:val="24"/>
                <w:szCs w:val="24"/>
                <w:color w:val="auto"/>
              </w:rPr>
            </w:pPr>
          </w:p>
        </w:tc>
      </w:tr>
      <w:tr>
        <w:trPr>
          <w:trHeight w:val="159"/>
        </w:trPr>
        <w:tc>
          <w:tcPr>
            <w:tcW w:w="1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shd w:val="clear" w:color="auto" w:fill="F6FAFB"/>
          </w:tcPr>
          <w:p>
            <w:pPr>
              <w:spacing w:after="0"/>
              <w:rPr>
                <w:sz w:val="13"/>
                <w:szCs w:val="13"/>
                <w:color w:val="auto"/>
              </w:rPr>
            </w:pPr>
          </w:p>
        </w:tc>
        <w:tc>
          <w:tcPr>
            <w:tcW w:w="100" w:type="dxa"/>
            <w:vAlign w:val="bottom"/>
            <w:shd w:val="clear" w:color="auto" w:fill="F6FAFB"/>
          </w:tcPr>
          <w:p>
            <w:pPr>
              <w:spacing w:after="0"/>
              <w:rPr>
                <w:sz w:val="13"/>
                <w:szCs w:val="13"/>
                <w:color w:val="auto"/>
              </w:rPr>
            </w:pPr>
          </w:p>
        </w:tc>
        <w:tc>
          <w:tcPr>
            <w:tcW w:w="1060" w:type="dxa"/>
            <w:vAlign w:val="bottom"/>
            <w:shd w:val="clear" w:color="auto" w:fill="F6FAFB"/>
          </w:tcPr>
          <w:p>
            <w:pPr>
              <w:spacing w:after="0"/>
              <w:rPr>
                <w:sz w:val="13"/>
                <w:szCs w:val="13"/>
                <w:color w:val="auto"/>
              </w:rPr>
            </w:pPr>
          </w:p>
        </w:tc>
        <w:tc>
          <w:tcPr>
            <w:tcW w:w="80" w:type="dxa"/>
            <w:vAlign w:val="bottom"/>
            <w:shd w:val="clear" w:color="auto" w:fill="F6FAFB"/>
          </w:tcPr>
          <w:p>
            <w:pPr>
              <w:spacing w:after="0"/>
              <w:rPr>
                <w:sz w:val="13"/>
                <w:szCs w:val="13"/>
                <w:color w:val="auto"/>
              </w:rPr>
            </w:pPr>
          </w:p>
        </w:tc>
        <w:tc>
          <w:tcPr>
            <w:tcW w:w="1200" w:type="dxa"/>
            <w:vAlign w:val="bottom"/>
            <w:shd w:val="clear" w:color="auto" w:fill="F6FAFB"/>
          </w:tcPr>
          <w:p>
            <w:pPr>
              <w:spacing w:after="0"/>
              <w:rPr>
                <w:sz w:val="13"/>
                <w:szCs w:val="13"/>
                <w:color w:val="auto"/>
              </w:rPr>
            </w:pPr>
          </w:p>
        </w:tc>
        <w:tc>
          <w:tcPr>
            <w:tcW w:w="100" w:type="dxa"/>
            <w:vAlign w:val="bottom"/>
            <w:shd w:val="clear" w:color="auto" w:fill="F6FAFB"/>
          </w:tcPr>
          <w:p>
            <w:pPr>
              <w:spacing w:after="0"/>
              <w:rPr>
                <w:sz w:val="13"/>
                <w:szCs w:val="13"/>
                <w:color w:val="auto"/>
              </w:rPr>
            </w:pPr>
          </w:p>
        </w:tc>
        <w:tc>
          <w:tcPr>
            <w:tcW w:w="1180" w:type="dxa"/>
            <w:vAlign w:val="bottom"/>
            <w:shd w:val="clear" w:color="auto" w:fill="F6FAFB"/>
          </w:tcPr>
          <w:p>
            <w:pPr>
              <w:jc w:val="right"/>
              <w:ind w:right="12"/>
              <w:spacing w:after="0" w:line="159" w:lineRule="exact"/>
              <w:rPr>
                <w:sz w:val="20"/>
                <w:szCs w:val="20"/>
                <w:color w:val="auto"/>
              </w:rPr>
            </w:pPr>
            <w:r>
              <w:rPr>
                <w:rFonts w:ascii="Arial" w:cs="Arial" w:eastAsia="Arial" w:hAnsi="Arial"/>
                <w:sz w:val="14"/>
                <w:szCs w:val="14"/>
                <w:b w:val="1"/>
                <w:bCs w:val="1"/>
                <w:i w:val="1"/>
                <w:iCs w:val="1"/>
                <w:color w:val="0E93D8"/>
              </w:rPr>
              <w:t>Equity Incentive</w:t>
            </w: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spacing w:after="0"/>
              <w:rPr>
                <w:sz w:val="12"/>
                <w:szCs w:val="12"/>
                <w:color w:val="auto"/>
              </w:rPr>
            </w:pP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spacing w:after="0"/>
              <w:rPr>
                <w:sz w:val="12"/>
                <w:szCs w:val="12"/>
                <w:color w:val="auto"/>
              </w:rPr>
            </w:pPr>
          </w:p>
        </w:tc>
        <w:tc>
          <w:tcPr>
            <w:tcW w:w="80" w:type="dxa"/>
            <w:vAlign w:val="bottom"/>
            <w:shd w:val="clear" w:color="auto" w:fill="F6FAFB"/>
          </w:tcPr>
          <w:p>
            <w:pPr>
              <w:spacing w:after="0"/>
              <w:rPr>
                <w:sz w:val="12"/>
                <w:szCs w:val="12"/>
                <w:color w:val="auto"/>
              </w:rPr>
            </w:pPr>
          </w:p>
        </w:tc>
        <w:tc>
          <w:tcPr>
            <w:tcW w:w="120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i w:val="1"/>
                <w:iCs w:val="1"/>
                <w:color w:val="0E93D8"/>
              </w:rPr>
              <w:t>Equity Incentive</w:t>
            </w:r>
          </w:p>
        </w:tc>
        <w:tc>
          <w:tcPr>
            <w:tcW w:w="100" w:type="dxa"/>
            <w:vAlign w:val="bottom"/>
            <w:shd w:val="clear" w:color="auto" w:fill="F6FAFB"/>
          </w:tcPr>
          <w:p>
            <w:pPr>
              <w:spacing w:after="0"/>
              <w:rPr>
                <w:sz w:val="12"/>
                <w:szCs w:val="12"/>
                <w:color w:val="auto"/>
              </w:rPr>
            </w:pPr>
          </w:p>
        </w:tc>
        <w:tc>
          <w:tcPr>
            <w:tcW w:w="118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i w:val="1"/>
                <w:iCs w:val="1"/>
                <w:color w:val="0E93D8"/>
              </w:rPr>
              <w:t>Plan Awards:</w:t>
            </w: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spacing w:after="0"/>
              <w:rPr>
                <w:sz w:val="12"/>
                <w:szCs w:val="12"/>
                <w:color w:val="auto"/>
              </w:rPr>
            </w:pP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spacing w:after="0"/>
              <w:rPr>
                <w:sz w:val="12"/>
                <w:szCs w:val="12"/>
                <w:color w:val="auto"/>
              </w:rPr>
            </w:pPr>
          </w:p>
        </w:tc>
        <w:tc>
          <w:tcPr>
            <w:tcW w:w="80" w:type="dxa"/>
            <w:vAlign w:val="bottom"/>
            <w:shd w:val="clear" w:color="auto" w:fill="F6FAFB"/>
          </w:tcPr>
          <w:p>
            <w:pPr>
              <w:spacing w:after="0"/>
              <w:rPr>
                <w:sz w:val="12"/>
                <w:szCs w:val="12"/>
                <w:color w:val="auto"/>
              </w:rPr>
            </w:pPr>
          </w:p>
        </w:tc>
        <w:tc>
          <w:tcPr>
            <w:tcW w:w="120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i w:val="1"/>
                <w:iCs w:val="1"/>
                <w:color w:val="0E93D8"/>
              </w:rPr>
              <w:t>Plan Awards:</w:t>
            </w:r>
          </w:p>
        </w:tc>
        <w:tc>
          <w:tcPr>
            <w:tcW w:w="100" w:type="dxa"/>
            <w:vAlign w:val="bottom"/>
            <w:shd w:val="clear" w:color="auto" w:fill="F6FAFB"/>
          </w:tcPr>
          <w:p>
            <w:pPr>
              <w:spacing w:after="0"/>
              <w:rPr>
                <w:sz w:val="12"/>
                <w:szCs w:val="12"/>
                <w:color w:val="auto"/>
              </w:rPr>
            </w:pPr>
          </w:p>
        </w:tc>
        <w:tc>
          <w:tcPr>
            <w:tcW w:w="118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Market or</w:t>
            </w:r>
          </w:p>
        </w:tc>
      </w:tr>
      <w:tr>
        <w:trPr>
          <w:trHeight w:val="179"/>
        </w:trPr>
        <w:tc>
          <w:tcPr>
            <w:tcW w:w="1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Number of</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Number of</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shd w:val="clear" w:color="auto" w:fill="F6FAFB"/>
          </w:tcPr>
          <w:p>
            <w:pPr>
              <w:spacing w:after="0"/>
              <w:rPr>
                <w:sz w:val="15"/>
                <w:szCs w:val="15"/>
                <w:color w:val="auto"/>
              </w:rPr>
            </w:pPr>
          </w:p>
        </w:tc>
        <w:tc>
          <w:tcPr>
            <w:tcW w:w="100" w:type="dxa"/>
            <w:vAlign w:val="bottom"/>
            <w:shd w:val="clear" w:color="auto" w:fill="F6FAFB"/>
          </w:tcPr>
          <w:p>
            <w:pPr>
              <w:spacing w:after="0"/>
              <w:rPr>
                <w:sz w:val="15"/>
                <w:szCs w:val="15"/>
                <w:color w:val="auto"/>
              </w:rPr>
            </w:pPr>
          </w:p>
        </w:tc>
        <w:tc>
          <w:tcPr>
            <w:tcW w:w="1060" w:type="dxa"/>
            <w:vAlign w:val="bottom"/>
            <w:shd w:val="clear" w:color="auto" w:fill="F6FAFB"/>
          </w:tcPr>
          <w:p>
            <w:pPr>
              <w:spacing w:after="0"/>
              <w:rPr>
                <w:sz w:val="15"/>
                <w:szCs w:val="15"/>
                <w:color w:val="auto"/>
              </w:rPr>
            </w:pPr>
          </w:p>
        </w:tc>
        <w:tc>
          <w:tcPr>
            <w:tcW w:w="80" w:type="dxa"/>
            <w:vAlign w:val="bottom"/>
            <w:shd w:val="clear" w:color="auto" w:fill="F6FAFB"/>
          </w:tcPr>
          <w:p>
            <w:pPr>
              <w:spacing w:after="0"/>
              <w:rPr>
                <w:sz w:val="15"/>
                <w:szCs w:val="15"/>
                <w:color w:val="auto"/>
              </w:rPr>
            </w:pPr>
          </w:p>
        </w:tc>
        <w:tc>
          <w:tcPr>
            <w:tcW w:w="1200" w:type="dxa"/>
            <w:vAlign w:val="bottom"/>
            <w:shd w:val="clear" w:color="auto" w:fill="F6FAFB"/>
          </w:tcPr>
          <w:p>
            <w:pPr>
              <w:jc w:val="right"/>
              <w:ind w:right="12"/>
              <w:spacing w:after="0"/>
              <w:rPr>
                <w:sz w:val="20"/>
                <w:szCs w:val="20"/>
                <w:color w:val="auto"/>
              </w:rPr>
            </w:pPr>
            <w:r>
              <w:rPr>
                <w:rFonts w:ascii="Arial" w:cs="Arial" w:eastAsia="Arial" w:hAnsi="Arial"/>
                <w:sz w:val="14"/>
                <w:szCs w:val="14"/>
                <w:b w:val="1"/>
                <w:bCs w:val="1"/>
                <w:color w:val="0E93D8"/>
              </w:rPr>
              <w:t>Number of</w:t>
            </w:r>
          </w:p>
        </w:tc>
        <w:tc>
          <w:tcPr>
            <w:tcW w:w="100" w:type="dxa"/>
            <w:vAlign w:val="bottom"/>
            <w:shd w:val="clear" w:color="auto" w:fill="F6FAFB"/>
          </w:tcPr>
          <w:p>
            <w:pPr>
              <w:spacing w:after="0"/>
              <w:rPr>
                <w:sz w:val="15"/>
                <w:szCs w:val="15"/>
                <w:color w:val="auto"/>
              </w:rPr>
            </w:pPr>
          </w:p>
        </w:tc>
        <w:tc>
          <w:tcPr>
            <w:tcW w:w="1180" w:type="dxa"/>
            <w:vAlign w:val="bottom"/>
            <w:shd w:val="clear" w:color="auto" w:fill="F6FAFB"/>
          </w:tcPr>
          <w:p>
            <w:pPr>
              <w:jc w:val="right"/>
              <w:ind w:right="12"/>
              <w:spacing w:after="0"/>
              <w:rPr>
                <w:sz w:val="20"/>
                <w:szCs w:val="20"/>
                <w:color w:val="auto"/>
              </w:rPr>
            </w:pPr>
            <w:r>
              <w:rPr>
                <w:rFonts w:ascii="Arial" w:cs="Arial" w:eastAsia="Arial" w:hAnsi="Arial"/>
                <w:sz w:val="14"/>
                <w:szCs w:val="14"/>
                <w:b w:val="1"/>
                <w:bCs w:val="1"/>
                <w:color w:val="0E93D8"/>
              </w:rPr>
              <w:t>Payout Value</w:t>
            </w: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Securities</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Securities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Number</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Market Value</w:t>
            </w:r>
          </w:p>
        </w:tc>
        <w:tc>
          <w:tcPr>
            <w:tcW w:w="80" w:type="dxa"/>
            <w:vAlign w:val="bottom"/>
            <w:shd w:val="clear" w:color="auto" w:fill="F6FAFB"/>
          </w:tcPr>
          <w:p>
            <w:pPr>
              <w:spacing w:after="0"/>
              <w:rPr>
                <w:sz w:val="12"/>
                <w:szCs w:val="12"/>
                <w:color w:val="auto"/>
              </w:rPr>
            </w:pPr>
          </w:p>
        </w:tc>
        <w:tc>
          <w:tcPr>
            <w:tcW w:w="120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Unearned</w:t>
            </w:r>
          </w:p>
        </w:tc>
        <w:tc>
          <w:tcPr>
            <w:tcW w:w="100" w:type="dxa"/>
            <w:vAlign w:val="bottom"/>
            <w:shd w:val="clear" w:color="auto" w:fill="F6FAFB"/>
          </w:tcPr>
          <w:p>
            <w:pPr>
              <w:spacing w:after="0"/>
              <w:rPr>
                <w:sz w:val="12"/>
                <w:szCs w:val="12"/>
                <w:color w:val="auto"/>
              </w:rPr>
            </w:pPr>
          </w:p>
        </w:tc>
        <w:tc>
          <w:tcPr>
            <w:tcW w:w="118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of Unearned</w:t>
            </w: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Underlying</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Underlying</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of Shares or</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of Shares or</w:t>
            </w:r>
          </w:p>
        </w:tc>
        <w:tc>
          <w:tcPr>
            <w:tcW w:w="80" w:type="dxa"/>
            <w:vAlign w:val="bottom"/>
            <w:shd w:val="clear" w:color="auto" w:fill="F6FAFB"/>
          </w:tcPr>
          <w:p>
            <w:pPr>
              <w:spacing w:after="0"/>
              <w:rPr>
                <w:sz w:val="12"/>
                <w:szCs w:val="12"/>
                <w:color w:val="auto"/>
              </w:rPr>
            </w:pPr>
          </w:p>
        </w:tc>
        <w:tc>
          <w:tcPr>
            <w:tcW w:w="120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Shares, Units</w:t>
            </w:r>
          </w:p>
        </w:tc>
        <w:tc>
          <w:tcPr>
            <w:tcW w:w="100" w:type="dxa"/>
            <w:vAlign w:val="bottom"/>
            <w:shd w:val="clear" w:color="auto" w:fill="F6FAFB"/>
          </w:tcPr>
          <w:p>
            <w:pPr>
              <w:spacing w:after="0"/>
              <w:rPr>
                <w:sz w:val="12"/>
                <w:szCs w:val="12"/>
                <w:color w:val="auto"/>
              </w:rPr>
            </w:pPr>
          </w:p>
        </w:tc>
        <w:tc>
          <w:tcPr>
            <w:tcW w:w="118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Shares, Units</w:t>
            </w: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Unexercised</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Unexercised</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Option</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0E93D8"/>
              </w:rPr>
              <w:t>Option</w:t>
            </w: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Units of Stock</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Units of Stock</w:t>
            </w:r>
          </w:p>
        </w:tc>
        <w:tc>
          <w:tcPr>
            <w:tcW w:w="80" w:type="dxa"/>
            <w:vAlign w:val="bottom"/>
            <w:shd w:val="clear" w:color="auto" w:fill="F6FAFB"/>
          </w:tcPr>
          <w:p>
            <w:pPr>
              <w:spacing w:after="0"/>
              <w:rPr>
                <w:sz w:val="12"/>
                <w:szCs w:val="12"/>
                <w:color w:val="auto"/>
              </w:rPr>
            </w:pPr>
          </w:p>
        </w:tc>
        <w:tc>
          <w:tcPr>
            <w:tcW w:w="120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or Other Rights</w:t>
            </w:r>
          </w:p>
        </w:tc>
        <w:tc>
          <w:tcPr>
            <w:tcW w:w="100" w:type="dxa"/>
            <w:vAlign w:val="bottom"/>
            <w:shd w:val="clear" w:color="auto" w:fill="F6FAFB"/>
          </w:tcPr>
          <w:p>
            <w:pPr>
              <w:spacing w:after="0"/>
              <w:rPr>
                <w:sz w:val="12"/>
                <w:szCs w:val="12"/>
                <w:color w:val="auto"/>
              </w:rPr>
            </w:pPr>
          </w:p>
        </w:tc>
        <w:tc>
          <w:tcPr>
            <w:tcW w:w="118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or Other Rights</w:t>
            </w: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Options (#)</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Options (#)</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0E93D8"/>
              </w:rPr>
              <w:t>Exercise</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0E93D8"/>
              </w:rPr>
              <w:t>Expiration</w:t>
            </w:r>
          </w:p>
        </w:tc>
        <w:tc>
          <w:tcPr>
            <w:tcW w:w="1040" w:type="dxa"/>
            <w:vAlign w:val="bottom"/>
            <w:shd w:val="clear" w:color="auto" w:fill="F6FAFB"/>
          </w:tcPr>
          <w:p>
            <w:pPr>
              <w:jc w:val="right"/>
              <w:spacing w:after="0" w:line="149" w:lineRule="exact"/>
              <w:rPr>
                <w:sz w:val="20"/>
                <w:szCs w:val="20"/>
                <w:color w:val="auto"/>
              </w:rPr>
            </w:pPr>
            <w:r>
              <w:rPr>
                <w:rFonts w:ascii="Arial" w:cs="Arial" w:eastAsia="Arial" w:hAnsi="Arial"/>
                <w:sz w:val="14"/>
                <w:szCs w:val="14"/>
                <w:b w:val="1"/>
                <w:bCs w:val="1"/>
                <w:color w:val="0E93D8"/>
              </w:rPr>
              <w:t>That Have Not</w:t>
            </w:r>
          </w:p>
        </w:tc>
        <w:tc>
          <w:tcPr>
            <w:tcW w:w="100" w:type="dxa"/>
            <w:vAlign w:val="bottom"/>
            <w:shd w:val="clear" w:color="auto" w:fill="F6FAFB"/>
          </w:tcPr>
          <w:p>
            <w:pPr>
              <w:spacing w:after="0"/>
              <w:rPr>
                <w:sz w:val="12"/>
                <w:szCs w:val="12"/>
                <w:color w:val="auto"/>
              </w:rPr>
            </w:pPr>
          </w:p>
        </w:tc>
        <w:tc>
          <w:tcPr>
            <w:tcW w:w="106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That Have Not</w:t>
            </w:r>
          </w:p>
        </w:tc>
        <w:tc>
          <w:tcPr>
            <w:tcW w:w="80" w:type="dxa"/>
            <w:vAlign w:val="bottom"/>
            <w:shd w:val="clear" w:color="auto" w:fill="F6FAFB"/>
          </w:tcPr>
          <w:p>
            <w:pPr>
              <w:spacing w:after="0"/>
              <w:rPr>
                <w:sz w:val="12"/>
                <w:szCs w:val="12"/>
                <w:color w:val="auto"/>
              </w:rPr>
            </w:pPr>
          </w:p>
        </w:tc>
        <w:tc>
          <w:tcPr>
            <w:tcW w:w="120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That Have Not</w:t>
            </w:r>
          </w:p>
        </w:tc>
        <w:tc>
          <w:tcPr>
            <w:tcW w:w="100" w:type="dxa"/>
            <w:vAlign w:val="bottom"/>
            <w:shd w:val="clear" w:color="auto" w:fill="F6FAFB"/>
          </w:tcPr>
          <w:p>
            <w:pPr>
              <w:spacing w:after="0"/>
              <w:rPr>
                <w:sz w:val="12"/>
                <w:szCs w:val="12"/>
                <w:color w:val="auto"/>
              </w:rPr>
            </w:pPr>
          </w:p>
        </w:tc>
        <w:tc>
          <w:tcPr>
            <w:tcW w:w="1180" w:type="dxa"/>
            <w:vAlign w:val="bottom"/>
            <w:shd w:val="clear" w:color="auto" w:fill="F6FAFB"/>
          </w:tcPr>
          <w:p>
            <w:pPr>
              <w:jc w:val="right"/>
              <w:ind w:right="12"/>
              <w:spacing w:after="0" w:line="149" w:lineRule="exact"/>
              <w:rPr>
                <w:sz w:val="20"/>
                <w:szCs w:val="20"/>
                <w:color w:val="auto"/>
              </w:rPr>
            </w:pPr>
            <w:r>
              <w:rPr>
                <w:rFonts w:ascii="Arial" w:cs="Arial" w:eastAsia="Arial" w:hAnsi="Arial"/>
                <w:sz w:val="14"/>
                <w:szCs w:val="14"/>
                <w:b w:val="1"/>
                <w:bCs w:val="1"/>
                <w:color w:val="0E93D8"/>
              </w:rPr>
              <w:t>That Have Not</w:t>
            </w:r>
          </w:p>
        </w:tc>
      </w:tr>
      <w:tr>
        <w:trPr>
          <w:trHeight w:val="210"/>
        </w:trPr>
        <w:tc>
          <w:tcPr>
            <w:tcW w:w="1880" w:type="dxa"/>
            <w:vAlign w:val="bottom"/>
          </w:tcPr>
          <w:p>
            <w:pPr>
              <w:ind w:left="80"/>
              <w:spacing w:after="0"/>
              <w:rPr>
                <w:sz w:val="20"/>
                <w:szCs w:val="20"/>
                <w:color w:val="auto"/>
              </w:rPr>
            </w:pPr>
            <w:r>
              <w:rPr>
                <w:rFonts w:ascii="Arial" w:cs="Arial" w:eastAsia="Arial" w:hAnsi="Arial"/>
                <w:sz w:val="14"/>
                <w:szCs w:val="14"/>
                <w:b w:val="1"/>
                <w:bCs w:val="1"/>
                <w:color w:val="0E93D8"/>
              </w:rPr>
              <w:t>Grant Date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Exercisable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E93D8"/>
              </w:rPr>
              <w:t>Unexercisable</w:t>
            </w:r>
          </w:p>
        </w:tc>
        <w:tc>
          <w:tcPr>
            <w:tcW w:w="920" w:type="dxa"/>
            <w:vAlign w:val="bottom"/>
            <w:gridSpan w:val="2"/>
          </w:tcPr>
          <w:p>
            <w:pPr>
              <w:jc w:val="right"/>
              <w:ind w:right="160"/>
              <w:spacing w:after="0" w:line="203" w:lineRule="exact"/>
              <w:rPr>
                <w:sz w:val="20"/>
                <w:szCs w:val="20"/>
                <w:color w:val="auto"/>
              </w:rPr>
            </w:pPr>
            <w:r>
              <w:rPr>
                <w:rFonts w:ascii="Arial" w:cs="Arial" w:eastAsia="Arial" w:hAnsi="Arial"/>
                <w:sz w:val="14"/>
                <w:szCs w:val="14"/>
                <w:b w:val="1"/>
                <w:bCs w:val="1"/>
                <w:color w:val="0E93D8"/>
              </w:rPr>
              <w:t>Price ($)</w:t>
            </w:r>
            <w:r>
              <w:rPr>
                <w:rFonts w:ascii="Arial" w:cs="Arial" w:eastAsia="Arial" w:hAnsi="Arial"/>
                <w:sz w:val="22"/>
                <w:szCs w:val="22"/>
                <w:b w:val="1"/>
                <w:bCs w:val="1"/>
                <w:color w:val="0E93D8"/>
                <w:vertAlign w:val="superscript"/>
              </w:rPr>
              <w:t>(1)</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Date</w:t>
            </w:r>
          </w:p>
        </w:tc>
        <w:tc>
          <w:tcPr>
            <w:tcW w:w="1040" w:type="dxa"/>
            <w:vAlign w:val="bottom"/>
            <w:shd w:val="clear" w:color="auto" w:fill="F6FAFB"/>
          </w:tcPr>
          <w:p>
            <w:pPr>
              <w:jc w:val="right"/>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(2)</w:t>
            </w:r>
          </w:p>
        </w:tc>
        <w:tc>
          <w:tcPr>
            <w:tcW w:w="100" w:type="dxa"/>
            <w:vAlign w:val="bottom"/>
            <w:shd w:val="clear" w:color="auto" w:fill="F6FAFB"/>
          </w:tcPr>
          <w:p>
            <w:pPr>
              <w:spacing w:after="0"/>
              <w:rPr>
                <w:sz w:val="18"/>
                <w:szCs w:val="18"/>
                <w:color w:val="auto"/>
              </w:rPr>
            </w:pPr>
          </w:p>
        </w:tc>
        <w:tc>
          <w:tcPr>
            <w:tcW w:w="1060" w:type="dxa"/>
            <w:vAlign w:val="bottom"/>
            <w:shd w:val="clear" w:color="auto" w:fill="F6FAFB"/>
          </w:tcPr>
          <w:p>
            <w:pPr>
              <w:jc w:val="right"/>
              <w:ind w:right="12"/>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(3)</w:t>
            </w:r>
          </w:p>
        </w:tc>
        <w:tc>
          <w:tcPr>
            <w:tcW w:w="80" w:type="dxa"/>
            <w:vAlign w:val="bottom"/>
            <w:shd w:val="clear" w:color="auto" w:fill="F6FAFB"/>
          </w:tcPr>
          <w:p>
            <w:pPr>
              <w:spacing w:after="0"/>
              <w:rPr>
                <w:sz w:val="18"/>
                <w:szCs w:val="18"/>
                <w:color w:val="auto"/>
              </w:rPr>
            </w:pPr>
          </w:p>
        </w:tc>
        <w:tc>
          <w:tcPr>
            <w:tcW w:w="1200" w:type="dxa"/>
            <w:vAlign w:val="bottom"/>
            <w:shd w:val="clear" w:color="auto" w:fill="F6FAFB"/>
          </w:tcPr>
          <w:p>
            <w:pPr>
              <w:jc w:val="right"/>
              <w:ind w:right="12"/>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(4)</w:t>
            </w:r>
          </w:p>
        </w:tc>
        <w:tc>
          <w:tcPr>
            <w:tcW w:w="100" w:type="dxa"/>
            <w:vAlign w:val="bottom"/>
            <w:shd w:val="clear" w:color="auto" w:fill="F6FAFB"/>
          </w:tcPr>
          <w:p>
            <w:pPr>
              <w:spacing w:after="0"/>
              <w:rPr>
                <w:sz w:val="18"/>
                <w:szCs w:val="18"/>
                <w:color w:val="auto"/>
              </w:rPr>
            </w:pPr>
          </w:p>
        </w:tc>
        <w:tc>
          <w:tcPr>
            <w:tcW w:w="1180" w:type="dxa"/>
            <w:vAlign w:val="bottom"/>
            <w:shd w:val="clear" w:color="auto" w:fill="F6FAFB"/>
          </w:tcPr>
          <w:p>
            <w:pPr>
              <w:jc w:val="right"/>
              <w:ind w:right="12"/>
              <w:spacing w:after="0" w:line="203" w:lineRule="exact"/>
              <w:rPr>
                <w:sz w:val="20"/>
                <w:szCs w:val="20"/>
                <w:color w:val="auto"/>
              </w:rPr>
            </w:pPr>
            <w:r>
              <w:rPr>
                <w:rFonts w:ascii="Arial" w:cs="Arial" w:eastAsia="Arial" w:hAnsi="Arial"/>
                <w:sz w:val="14"/>
                <w:szCs w:val="14"/>
                <w:b w:val="1"/>
                <w:bCs w:val="1"/>
                <w:color w:val="0E93D8"/>
              </w:rPr>
              <w:t>Vested ($)</w:t>
            </w:r>
            <w:r>
              <w:rPr>
                <w:rFonts w:ascii="Arial" w:cs="Arial" w:eastAsia="Arial" w:hAnsi="Arial"/>
                <w:sz w:val="22"/>
                <w:szCs w:val="22"/>
                <w:b w:val="1"/>
                <w:bCs w:val="1"/>
                <w:color w:val="0E93D8"/>
                <w:vertAlign w:val="superscript"/>
              </w:rPr>
              <w:t>(5)</w:t>
            </w:r>
          </w:p>
        </w:tc>
      </w:tr>
      <w:tr>
        <w:trPr>
          <w:trHeight w:val="412"/>
        </w:trPr>
        <w:tc>
          <w:tcPr>
            <w:tcW w:w="1880" w:type="dxa"/>
            <w:vAlign w:val="bottom"/>
            <w:tcBorders>
              <w:top w:val="single" w:sz="8" w:color="DAE9F7"/>
              <w:bottom w:val="single" w:sz="8" w:color="FDB03F"/>
            </w:tcBorders>
          </w:tcPr>
          <w:p>
            <w:pPr>
              <w:ind w:left="80"/>
              <w:spacing w:after="0"/>
              <w:rPr>
                <w:sz w:val="20"/>
                <w:szCs w:val="20"/>
                <w:color w:val="auto"/>
              </w:rPr>
            </w:pPr>
            <w:r>
              <w:rPr>
                <w:rFonts w:ascii="Arial" w:cs="Arial" w:eastAsia="Arial" w:hAnsi="Arial"/>
                <w:sz w:val="14"/>
                <w:szCs w:val="14"/>
                <w:b w:val="1"/>
                <w:bCs w:val="1"/>
                <w:color w:val="0E93D8"/>
              </w:rPr>
              <w:t>D. GITLIN</w:t>
            </w:r>
          </w:p>
        </w:tc>
        <w:tc>
          <w:tcPr>
            <w:tcW w:w="640" w:type="dxa"/>
            <w:vAlign w:val="bottom"/>
            <w:tcBorders>
              <w:top w:val="single" w:sz="8" w:color="DAE9F7"/>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960" w:type="dxa"/>
            <w:vAlign w:val="bottom"/>
            <w:tcBorders>
              <w:top w:val="single" w:sz="8" w:color="DAE9F7"/>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1080" w:type="dxa"/>
            <w:vAlign w:val="bottom"/>
            <w:tcBorders>
              <w:top w:val="single" w:sz="8" w:color="DAE9F7"/>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40" w:type="dxa"/>
            <w:vAlign w:val="bottom"/>
            <w:tcBorders>
              <w:top w:val="single" w:sz="8" w:color="DAE9F7"/>
              <w:bottom w:val="single" w:sz="8" w:color="FDB03F"/>
            </w:tcBorders>
          </w:tcPr>
          <w:p>
            <w:pPr>
              <w:spacing w:after="0"/>
              <w:rPr>
                <w:sz w:val="24"/>
                <w:szCs w:val="24"/>
                <w:color w:val="auto"/>
              </w:rPr>
            </w:pPr>
          </w:p>
        </w:tc>
        <w:tc>
          <w:tcPr>
            <w:tcW w:w="80" w:type="dxa"/>
            <w:vAlign w:val="bottom"/>
            <w:tcBorders>
              <w:bottom w:val="single" w:sz="8" w:color="FDB03F"/>
            </w:tcBorders>
          </w:tcPr>
          <w:p>
            <w:pPr>
              <w:spacing w:after="0"/>
              <w:rPr>
                <w:sz w:val="24"/>
                <w:szCs w:val="24"/>
                <w:color w:val="auto"/>
              </w:rPr>
            </w:pPr>
          </w:p>
        </w:tc>
        <w:tc>
          <w:tcPr>
            <w:tcW w:w="820" w:type="dxa"/>
            <w:vAlign w:val="bottom"/>
            <w:tcBorders>
              <w:top w:val="single" w:sz="8" w:color="DAE9F7"/>
              <w:bottom w:val="single" w:sz="8" w:color="FDB03F"/>
            </w:tcBorders>
          </w:tcPr>
          <w:p>
            <w:pPr>
              <w:spacing w:after="0"/>
              <w:rPr>
                <w:sz w:val="24"/>
                <w:szCs w:val="24"/>
                <w:color w:val="auto"/>
              </w:rPr>
            </w:pPr>
          </w:p>
        </w:tc>
        <w:tc>
          <w:tcPr>
            <w:tcW w:w="100" w:type="dxa"/>
            <w:vAlign w:val="bottom"/>
            <w:tcBorders>
              <w:bottom w:val="single" w:sz="8" w:color="FDB03F"/>
            </w:tcBorders>
          </w:tcPr>
          <w:p>
            <w:pPr>
              <w:spacing w:after="0"/>
              <w:rPr>
                <w:sz w:val="24"/>
                <w:szCs w:val="24"/>
                <w:color w:val="auto"/>
              </w:rPr>
            </w:pPr>
          </w:p>
        </w:tc>
        <w:tc>
          <w:tcPr>
            <w:tcW w:w="1040" w:type="dxa"/>
            <w:vAlign w:val="bottom"/>
            <w:tcBorders>
              <w:top w:val="single" w:sz="8" w:color="0E93D8"/>
              <w:bottom w:val="single" w:sz="8" w:color="FDB03F"/>
            </w:tcBorders>
          </w:tcPr>
          <w:p>
            <w:pPr>
              <w:spacing w:after="0"/>
              <w:rPr>
                <w:sz w:val="24"/>
                <w:szCs w:val="24"/>
                <w:color w:val="auto"/>
              </w:rPr>
            </w:pPr>
          </w:p>
        </w:tc>
        <w:tc>
          <w:tcPr>
            <w:tcW w:w="100" w:type="dxa"/>
            <w:vAlign w:val="bottom"/>
            <w:tcBorders>
              <w:top w:val="single" w:sz="8" w:color="F6FAFB"/>
              <w:bottom w:val="single" w:sz="8" w:color="FDB03F"/>
            </w:tcBorders>
          </w:tcPr>
          <w:p>
            <w:pPr>
              <w:spacing w:after="0"/>
              <w:rPr>
                <w:sz w:val="24"/>
                <w:szCs w:val="24"/>
                <w:color w:val="auto"/>
              </w:rPr>
            </w:pPr>
          </w:p>
        </w:tc>
        <w:tc>
          <w:tcPr>
            <w:tcW w:w="1060" w:type="dxa"/>
            <w:vAlign w:val="bottom"/>
            <w:tcBorders>
              <w:top w:val="single" w:sz="8" w:color="0E93D8"/>
              <w:bottom w:val="single" w:sz="8" w:color="FDB03F"/>
            </w:tcBorders>
          </w:tcPr>
          <w:p>
            <w:pPr>
              <w:spacing w:after="0"/>
              <w:rPr>
                <w:sz w:val="24"/>
                <w:szCs w:val="24"/>
                <w:color w:val="auto"/>
              </w:rPr>
            </w:pPr>
          </w:p>
        </w:tc>
        <w:tc>
          <w:tcPr>
            <w:tcW w:w="80" w:type="dxa"/>
            <w:vAlign w:val="bottom"/>
            <w:tcBorders>
              <w:top w:val="single" w:sz="8" w:color="F6FAFB"/>
              <w:bottom w:val="single" w:sz="8" w:color="FDB03F"/>
            </w:tcBorders>
          </w:tcPr>
          <w:p>
            <w:pPr>
              <w:spacing w:after="0"/>
              <w:rPr>
                <w:sz w:val="24"/>
                <w:szCs w:val="24"/>
                <w:color w:val="auto"/>
              </w:rPr>
            </w:pPr>
          </w:p>
        </w:tc>
        <w:tc>
          <w:tcPr>
            <w:tcW w:w="1200" w:type="dxa"/>
            <w:vAlign w:val="bottom"/>
            <w:tcBorders>
              <w:top w:val="single" w:sz="8" w:color="0E93D8"/>
              <w:bottom w:val="single" w:sz="8" w:color="FDB03F"/>
            </w:tcBorders>
          </w:tcPr>
          <w:p>
            <w:pPr>
              <w:spacing w:after="0"/>
              <w:rPr>
                <w:sz w:val="24"/>
                <w:szCs w:val="24"/>
                <w:color w:val="auto"/>
              </w:rPr>
            </w:pPr>
          </w:p>
        </w:tc>
        <w:tc>
          <w:tcPr>
            <w:tcW w:w="100" w:type="dxa"/>
            <w:vAlign w:val="bottom"/>
            <w:tcBorders>
              <w:top w:val="single" w:sz="8" w:color="F6FAFB"/>
              <w:bottom w:val="single" w:sz="8" w:color="FDB03F"/>
            </w:tcBorders>
          </w:tcPr>
          <w:p>
            <w:pPr>
              <w:spacing w:after="0"/>
              <w:rPr>
                <w:sz w:val="24"/>
                <w:szCs w:val="24"/>
                <w:color w:val="auto"/>
              </w:rPr>
            </w:pPr>
          </w:p>
        </w:tc>
        <w:tc>
          <w:tcPr>
            <w:tcW w:w="1180" w:type="dxa"/>
            <w:vAlign w:val="bottom"/>
            <w:tcBorders>
              <w:top w:val="single" w:sz="8" w:color="0E93D8"/>
              <w:bottom w:val="single" w:sz="8" w:color="FDB03F"/>
            </w:tcBorders>
          </w:tcPr>
          <w:p>
            <w:pPr>
              <w:spacing w:after="0"/>
              <w:rPr>
                <w:sz w:val="24"/>
                <w:szCs w:val="24"/>
                <w:color w:val="auto"/>
              </w:rPr>
            </w:pPr>
          </w:p>
        </w:tc>
      </w:tr>
      <w:tr>
        <w:trPr>
          <w:trHeight w:val="243"/>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1/2/2018</w:t>
            </w:r>
          </w:p>
        </w:tc>
        <w:tc>
          <w:tcPr>
            <w:tcW w:w="640" w:type="dxa"/>
            <w:vAlign w:val="bottom"/>
            <w:tcBorders>
              <w:bottom w:val="single" w:sz="8" w:color="7C7C7C"/>
            </w:tcBorders>
          </w:tcPr>
          <w:p>
            <w:pPr>
              <w:spacing w:after="0"/>
              <w:rPr>
                <w:sz w:val="21"/>
                <w:szCs w:val="21"/>
                <w:color w:val="auto"/>
              </w:rPr>
            </w:pP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7C7C7C"/>
            </w:tcBorders>
          </w:tcPr>
          <w:p>
            <w:pPr>
              <w:jc w:val="right"/>
              <w:ind w:right="12"/>
              <w:spacing w:after="0" w:line="243" w:lineRule="exact"/>
              <w:rPr>
                <w:sz w:val="20"/>
                <w:szCs w:val="20"/>
                <w:color w:val="auto"/>
              </w:rPr>
            </w:pPr>
            <w:r>
              <w:rPr>
                <w:rFonts w:ascii="Arial" w:cs="Arial" w:eastAsia="Arial" w:hAnsi="Arial"/>
                <w:sz w:val="14"/>
                <w:szCs w:val="14"/>
                <w:color w:val="auto"/>
              </w:rPr>
              <w:t>53,500</w:t>
            </w:r>
            <w:r>
              <w:rPr>
                <w:rFonts w:ascii="Arial" w:cs="Arial" w:eastAsia="Arial" w:hAnsi="Arial"/>
                <w:sz w:val="22"/>
                <w:szCs w:val="22"/>
                <w:color w:val="auto"/>
                <w:vertAlign w:val="superscript"/>
              </w:rPr>
              <w:t>(6)</w:t>
            </w:r>
          </w:p>
        </w:tc>
        <w:tc>
          <w:tcPr>
            <w:tcW w:w="80" w:type="dxa"/>
            <w:vAlign w:val="bottom"/>
            <w:tcBorders>
              <w:bottom w:val="single" w:sz="8" w:color="7C7C7C"/>
            </w:tcBorders>
          </w:tcPr>
          <w:p>
            <w:pPr>
              <w:spacing w:after="0"/>
              <w:rPr>
                <w:sz w:val="21"/>
                <w:szCs w:val="21"/>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$128.16</w:t>
            </w:r>
          </w:p>
        </w:tc>
        <w:tc>
          <w:tcPr>
            <w:tcW w:w="80" w:type="dxa"/>
            <w:vAlign w:val="bottom"/>
            <w:tcBorders>
              <w:bottom w:val="single" w:sz="8" w:color="7C7C7C"/>
            </w:tcBorders>
          </w:tcPr>
          <w:p>
            <w:pPr>
              <w:spacing w:after="0"/>
              <w:rPr>
                <w:sz w:val="21"/>
                <w:szCs w:val="21"/>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1/1/2028</w:t>
            </w: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shd w:val="clear" w:color="auto" w:fill="F6FAFB"/>
          </w:tcPr>
          <w:p>
            <w:pPr>
              <w:jc w:val="right"/>
              <w:spacing w:after="0" w:line="243" w:lineRule="exact"/>
              <w:rPr>
                <w:sz w:val="20"/>
                <w:szCs w:val="20"/>
                <w:color w:val="auto"/>
              </w:rPr>
            </w:pPr>
            <w:r>
              <w:rPr>
                <w:rFonts w:ascii="Arial" w:cs="Arial" w:eastAsia="Arial" w:hAnsi="Arial"/>
                <w:sz w:val="14"/>
                <w:szCs w:val="14"/>
                <w:color w:val="auto"/>
              </w:rPr>
              <w:t>6,645</w:t>
            </w:r>
            <w:r>
              <w:rPr>
                <w:rFonts w:ascii="Arial" w:cs="Arial" w:eastAsia="Arial" w:hAnsi="Arial"/>
                <w:sz w:val="22"/>
                <w:szCs w:val="22"/>
                <w:color w:val="auto"/>
                <w:vertAlign w:val="superscript"/>
              </w:rPr>
              <w:t>(9)</w:t>
            </w:r>
          </w:p>
        </w:tc>
        <w:tc>
          <w:tcPr>
            <w:tcW w:w="116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$707,560</w:t>
            </w:r>
          </w:p>
        </w:tc>
        <w:tc>
          <w:tcPr>
            <w:tcW w:w="128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32,200</w:t>
            </w:r>
          </w:p>
        </w:tc>
        <w:tc>
          <w:tcPr>
            <w:tcW w:w="128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$3,428,656</w:t>
            </w:r>
          </w:p>
        </w:tc>
      </w:tr>
      <w:tr>
        <w:trPr>
          <w:trHeight w:val="237"/>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10/11/2017</w:t>
            </w:r>
          </w:p>
        </w:tc>
        <w:tc>
          <w:tcPr>
            <w:tcW w:w="640" w:type="dxa"/>
            <w:vAlign w:val="bottom"/>
            <w:tcBorders>
              <w:bottom w:val="single" w:sz="8" w:color="7C7C7C"/>
            </w:tcBorders>
          </w:tcPr>
          <w:p>
            <w:pPr>
              <w:spacing w:after="0"/>
              <w:rPr>
                <w:sz w:val="20"/>
                <w:szCs w:val="20"/>
                <w:color w:val="auto"/>
              </w:rPr>
            </w:pPr>
          </w:p>
        </w:tc>
        <w:tc>
          <w:tcPr>
            <w:tcW w:w="100" w:type="dxa"/>
            <w:vAlign w:val="bottom"/>
            <w:tcBorders>
              <w:bottom w:val="single" w:sz="8" w:color="7C7C7C"/>
            </w:tcBorders>
          </w:tcPr>
          <w:p>
            <w:pPr>
              <w:spacing w:after="0"/>
              <w:rPr>
                <w:sz w:val="20"/>
                <w:szCs w:val="20"/>
                <w:color w:val="auto"/>
              </w:rPr>
            </w:pPr>
          </w:p>
        </w:tc>
        <w:tc>
          <w:tcPr>
            <w:tcW w:w="104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7C7C"/>
            </w:tcBorders>
            <w:shd w:val="clear" w:color="auto" w:fill="F6FAFB"/>
          </w:tcPr>
          <w:p>
            <w:pPr>
              <w:jc w:val="right"/>
              <w:spacing w:after="0" w:line="237" w:lineRule="exact"/>
              <w:rPr>
                <w:sz w:val="20"/>
                <w:szCs w:val="20"/>
                <w:color w:val="auto"/>
              </w:rPr>
            </w:pPr>
            <w:r>
              <w:rPr>
                <w:rFonts w:ascii="Arial" w:cs="Arial" w:eastAsia="Arial" w:hAnsi="Arial"/>
                <w:sz w:val="14"/>
                <w:szCs w:val="14"/>
                <w:color w:val="auto"/>
              </w:rPr>
              <w:t>34,957</w:t>
            </w:r>
            <w:r>
              <w:rPr>
                <w:rFonts w:ascii="Arial" w:cs="Arial" w:eastAsia="Arial" w:hAnsi="Arial"/>
                <w:sz w:val="22"/>
                <w:szCs w:val="22"/>
                <w:color w:val="auto"/>
                <w:vertAlign w:val="superscript"/>
              </w:rPr>
              <w:t>(16)</w:t>
            </w:r>
          </w:p>
        </w:tc>
        <w:tc>
          <w:tcPr>
            <w:tcW w:w="100" w:type="dxa"/>
            <w:vAlign w:val="bottom"/>
            <w:tcBorders>
              <w:bottom w:val="single" w:sz="8" w:color="7C7C7C"/>
            </w:tcBorders>
            <w:shd w:val="clear" w:color="auto" w:fill="F6FAFB"/>
          </w:tcPr>
          <w:p>
            <w:pPr>
              <w:spacing w:after="0"/>
              <w:rPr>
                <w:sz w:val="20"/>
                <w:szCs w:val="20"/>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$3,722,221</w:t>
            </w:r>
          </w:p>
        </w:tc>
        <w:tc>
          <w:tcPr>
            <w:tcW w:w="80" w:type="dxa"/>
            <w:vAlign w:val="bottom"/>
            <w:tcBorders>
              <w:bottom w:val="single" w:sz="8" w:color="7C7C7C"/>
            </w:tcBorders>
            <w:shd w:val="clear" w:color="auto" w:fill="F6FAFB"/>
          </w:tcPr>
          <w:p>
            <w:pPr>
              <w:spacing w:after="0"/>
              <w:rPr>
                <w:sz w:val="20"/>
                <w:szCs w:val="20"/>
                <w:color w:val="auto"/>
              </w:rPr>
            </w:pPr>
          </w:p>
        </w:tc>
        <w:tc>
          <w:tcPr>
            <w:tcW w:w="12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0"/>
                <w:szCs w:val="20"/>
                <w:color w:val="auto"/>
              </w:rPr>
            </w:pPr>
          </w:p>
        </w:tc>
        <w:tc>
          <w:tcPr>
            <w:tcW w:w="118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r>
      <w:tr>
        <w:trPr>
          <w:trHeight w:val="237"/>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1/3/2017</w:t>
            </w:r>
          </w:p>
        </w:tc>
        <w:tc>
          <w:tcPr>
            <w:tcW w:w="640" w:type="dxa"/>
            <w:vAlign w:val="bottom"/>
            <w:tcBorders>
              <w:bottom w:val="single" w:sz="8" w:color="7C7C7C"/>
            </w:tcBorders>
          </w:tcPr>
          <w:p>
            <w:pPr>
              <w:spacing w:after="0"/>
              <w:rPr>
                <w:sz w:val="20"/>
                <w:szCs w:val="20"/>
                <w:color w:val="auto"/>
              </w:rPr>
            </w:pPr>
          </w:p>
        </w:tc>
        <w:tc>
          <w:tcPr>
            <w:tcW w:w="100" w:type="dxa"/>
            <w:vAlign w:val="bottom"/>
            <w:tcBorders>
              <w:bottom w:val="single" w:sz="8" w:color="7C7C7C"/>
            </w:tcBorders>
          </w:tcPr>
          <w:p>
            <w:pPr>
              <w:spacing w:after="0"/>
              <w:rPr>
                <w:sz w:val="20"/>
                <w:szCs w:val="20"/>
                <w:color w:val="auto"/>
              </w:rPr>
            </w:pPr>
          </w:p>
        </w:tc>
        <w:tc>
          <w:tcPr>
            <w:tcW w:w="104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7C7C7C"/>
            </w:tcBorders>
          </w:tcPr>
          <w:p>
            <w:pPr>
              <w:jc w:val="right"/>
              <w:ind w:right="12"/>
              <w:spacing w:after="0" w:line="237" w:lineRule="exact"/>
              <w:rPr>
                <w:sz w:val="20"/>
                <w:szCs w:val="20"/>
                <w:color w:val="auto"/>
              </w:rPr>
            </w:pPr>
            <w:r>
              <w:rPr>
                <w:rFonts w:ascii="Arial" w:cs="Arial" w:eastAsia="Arial" w:hAnsi="Arial"/>
                <w:sz w:val="14"/>
                <w:szCs w:val="14"/>
                <w:color w:val="auto"/>
              </w:rPr>
              <w:t>55,000</w:t>
            </w:r>
            <w:r>
              <w:rPr>
                <w:rFonts w:ascii="Arial" w:cs="Arial" w:eastAsia="Arial" w:hAnsi="Arial"/>
                <w:sz w:val="22"/>
                <w:szCs w:val="22"/>
                <w:color w:val="auto"/>
                <w:vertAlign w:val="superscript"/>
              </w:rPr>
              <w:t>(7)</w:t>
            </w:r>
          </w:p>
        </w:tc>
        <w:tc>
          <w:tcPr>
            <w:tcW w:w="80" w:type="dxa"/>
            <w:vAlign w:val="bottom"/>
            <w:tcBorders>
              <w:bottom w:val="single" w:sz="8" w:color="7C7C7C"/>
            </w:tcBorders>
          </w:tcPr>
          <w:p>
            <w:pPr>
              <w:spacing w:after="0"/>
              <w:rPr>
                <w:sz w:val="20"/>
                <w:szCs w:val="20"/>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$110.83</w:t>
            </w:r>
          </w:p>
        </w:tc>
        <w:tc>
          <w:tcPr>
            <w:tcW w:w="80" w:type="dxa"/>
            <w:vAlign w:val="bottom"/>
            <w:tcBorders>
              <w:bottom w:val="single" w:sz="8" w:color="7C7C7C"/>
            </w:tcBorders>
          </w:tcPr>
          <w:p>
            <w:pPr>
              <w:spacing w:after="0"/>
              <w:rPr>
                <w:sz w:val="20"/>
                <w:szCs w:val="20"/>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1/2/2027</w:t>
            </w:r>
          </w:p>
        </w:tc>
        <w:tc>
          <w:tcPr>
            <w:tcW w:w="100" w:type="dxa"/>
            <w:vAlign w:val="bottom"/>
            <w:tcBorders>
              <w:bottom w:val="single" w:sz="8" w:color="7C7C7C"/>
            </w:tcBorders>
          </w:tcPr>
          <w:p>
            <w:pPr>
              <w:spacing w:after="0"/>
              <w:rPr>
                <w:sz w:val="20"/>
                <w:szCs w:val="20"/>
                <w:color w:val="auto"/>
              </w:rPr>
            </w:pPr>
          </w:p>
        </w:tc>
        <w:tc>
          <w:tcPr>
            <w:tcW w:w="1040" w:type="dxa"/>
            <w:vAlign w:val="bottom"/>
            <w:tcBorders>
              <w:bottom w:val="single" w:sz="8" w:color="7C7C7C"/>
            </w:tcBorders>
            <w:shd w:val="clear" w:color="auto" w:fill="F6FAFB"/>
          </w:tcPr>
          <w:p>
            <w:pPr>
              <w:jc w:val="right"/>
              <w:spacing w:after="0" w:line="237" w:lineRule="exact"/>
              <w:rPr>
                <w:sz w:val="20"/>
                <w:szCs w:val="20"/>
                <w:color w:val="auto"/>
              </w:rPr>
            </w:pPr>
            <w:r>
              <w:rPr>
                <w:rFonts w:ascii="Arial" w:cs="Arial" w:eastAsia="Arial" w:hAnsi="Arial"/>
                <w:sz w:val="14"/>
                <w:szCs w:val="14"/>
                <w:color w:val="auto"/>
              </w:rPr>
              <w:t>7,744</w:t>
            </w:r>
            <w:r>
              <w:rPr>
                <w:rFonts w:ascii="Arial" w:cs="Arial" w:eastAsia="Arial" w:hAnsi="Arial"/>
                <w:sz w:val="22"/>
                <w:szCs w:val="22"/>
                <w:color w:val="auto"/>
                <w:vertAlign w:val="superscript"/>
              </w:rPr>
              <w:t>(10)</w:t>
            </w:r>
          </w:p>
        </w:tc>
        <w:tc>
          <w:tcPr>
            <w:tcW w:w="100" w:type="dxa"/>
            <w:vAlign w:val="bottom"/>
            <w:tcBorders>
              <w:bottom w:val="single" w:sz="8" w:color="7C7C7C"/>
            </w:tcBorders>
            <w:shd w:val="clear" w:color="auto" w:fill="F6FAFB"/>
          </w:tcPr>
          <w:p>
            <w:pPr>
              <w:spacing w:after="0"/>
              <w:rPr>
                <w:sz w:val="20"/>
                <w:szCs w:val="20"/>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$824,581</w:t>
            </w:r>
          </w:p>
        </w:tc>
        <w:tc>
          <w:tcPr>
            <w:tcW w:w="128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36,600</w:t>
            </w:r>
          </w:p>
        </w:tc>
        <w:tc>
          <w:tcPr>
            <w:tcW w:w="128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$3,897,168</w:t>
            </w:r>
          </w:p>
        </w:tc>
      </w:tr>
      <w:tr>
        <w:trPr>
          <w:trHeight w:val="237"/>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1/4/2016</w:t>
            </w:r>
          </w:p>
        </w:tc>
        <w:tc>
          <w:tcPr>
            <w:tcW w:w="640" w:type="dxa"/>
            <w:vAlign w:val="bottom"/>
            <w:tcBorders>
              <w:bottom w:val="single" w:sz="8" w:color="7C7C7C"/>
            </w:tcBorders>
          </w:tcPr>
          <w:p>
            <w:pPr>
              <w:spacing w:after="0"/>
              <w:rPr>
                <w:sz w:val="20"/>
                <w:szCs w:val="20"/>
                <w:color w:val="auto"/>
              </w:rPr>
            </w:pPr>
          </w:p>
        </w:tc>
        <w:tc>
          <w:tcPr>
            <w:tcW w:w="100" w:type="dxa"/>
            <w:vAlign w:val="bottom"/>
            <w:tcBorders>
              <w:bottom w:val="single" w:sz="8" w:color="7C7C7C"/>
            </w:tcBorders>
          </w:tcPr>
          <w:p>
            <w:pPr>
              <w:spacing w:after="0"/>
              <w:rPr>
                <w:sz w:val="20"/>
                <w:szCs w:val="20"/>
                <w:color w:val="auto"/>
              </w:rPr>
            </w:pPr>
          </w:p>
        </w:tc>
        <w:tc>
          <w:tcPr>
            <w:tcW w:w="104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7C7C7C"/>
            </w:tcBorders>
          </w:tcPr>
          <w:p>
            <w:pPr>
              <w:jc w:val="right"/>
              <w:ind w:right="12"/>
              <w:spacing w:after="0" w:line="237" w:lineRule="exact"/>
              <w:rPr>
                <w:sz w:val="20"/>
                <w:szCs w:val="20"/>
                <w:color w:val="auto"/>
              </w:rPr>
            </w:pPr>
            <w:r>
              <w:rPr>
                <w:rFonts w:ascii="Arial" w:cs="Arial" w:eastAsia="Arial" w:hAnsi="Arial"/>
                <w:sz w:val="14"/>
                <w:szCs w:val="14"/>
                <w:color w:val="auto"/>
              </w:rPr>
              <w:t>79,000</w:t>
            </w:r>
            <w:r>
              <w:rPr>
                <w:rFonts w:ascii="Arial" w:cs="Arial" w:eastAsia="Arial" w:hAnsi="Arial"/>
                <w:sz w:val="22"/>
                <w:szCs w:val="22"/>
                <w:color w:val="auto"/>
                <w:vertAlign w:val="superscript"/>
              </w:rPr>
              <w:t>(8)</w:t>
            </w:r>
          </w:p>
        </w:tc>
        <w:tc>
          <w:tcPr>
            <w:tcW w:w="80" w:type="dxa"/>
            <w:vAlign w:val="bottom"/>
            <w:tcBorders>
              <w:bottom w:val="single" w:sz="8" w:color="7C7C7C"/>
            </w:tcBorders>
          </w:tcPr>
          <w:p>
            <w:pPr>
              <w:spacing w:after="0"/>
              <w:rPr>
                <w:sz w:val="20"/>
                <w:szCs w:val="20"/>
                <w:color w:val="auto"/>
              </w:rPr>
            </w:pP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$95.57</w:t>
            </w:r>
          </w:p>
        </w:tc>
        <w:tc>
          <w:tcPr>
            <w:tcW w:w="80" w:type="dxa"/>
            <w:vAlign w:val="bottom"/>
            <w:tcBorders>
              <w:bottom w:val="single" w:sz="8" w:color="7C7C7C"/>
            </w:tcBorders>
          </w:tcPr>
          <w:p>
            <w:pPr>
              <w:spacing w:after="0"/>
              <w:rPr>
                <w:sz w:val="20"/>
                <w:szCs w:val="20"/>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1/3/2026</w:t>
            </w:r>
          </w:p>
        </w:tc>
        <w:tc>
          <w:tcPr>
            <w:tcW w:w="100" w:type="dxa"/>
            <w:vAlign w:val="bottom"/>
            <w:tcBorders>
              <w:bottom w:val="single" w:sz="8" w:color="7C7C7C"/>
            </w:tcBorders>
          </w:tcPr>
          <w:p>
            <w:pPr>
              <w:spacing w:after="0"/>
              <w:rPr>
                <w:sz w:val="20"/>
                <w:szCs w:val="20"/>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0"/>
                <w:szCs w:val="20"/>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20"/>
                <w:szCs w:val="20"/>
                <w:color w:val="auto"/>
              </w:rPr>
            </w:pPr>
          </w:p>
        </w:tc>
        <w:tc>
          <w:tcPr>
            <w:tcW w:w="12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18,328</w:t>
            </w:r>
          </w:p>
        </w:tc>
        <w:tc>
          <w:tcPr>
            <w:tcW w:w="128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$1,951,565</w:t>
            </w:r>
          </w:p>
        </w:tc>
      </w:tr>
      <w:tr>
        <w:trPr>
          <w:trHeight w:val="190"/>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1/2/2015</w:t>
            </w:r>
          </w:p>
        </w:tc>
        <w:tc>
          <w:tcPr>
            <w:tcW w:w="170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46,000</w:t>
            </w:r>
          </w:p>
        </w:tc>
        <w:tc>
          <w:tcPr>
            <w:tcW w:w="80" w:type="dxa"/>
            <w:vAlign w:val="bottom"/>
            <w:tcBorders>
              <w:bottom w:val="single" w:sz="8" w:color="7C7C7C"/>
            </w:tcBorders>
          </w:tcPr>
          <w:p>
            <w:pPr>
              <w:spacing w:after="0"/>
              <w:rPr>
                <w:sz w:val="16"/>
                <w:szCs w:val="16"/>
                <w:color w:val="auto"/>
              </w:rPr>
            </w:pPr>
          </w:p>
        </w:tc>
        <w:tc>
          <w:tcPr>
            <w:tcW w:w="116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$115.04</w:t>
            </w:r>
          </w:p>
        </w:tc>
        <w:tc>
          <w:tcPr>
            <w:tcW w:w="80" w:type="dxa"/>
            <w:vAlign w:val="bottom"/>
            <w:tcBorders>
              <w:bottom w:val="single" w:sz="8" w:color="7C7C7C"/>
            </w:tcBorders>
          </w:tcPr>
          <w:p>
            <w:pPr>
              <w:spacing w:after="0"/>
              <w:rPr>
                <w:sz w:val="16"/>
                <w:szCs w:val="16"/>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1/1/2025</w:t>
            </w:r>
          </w:p>
        </w:tc>
        <w:tc>
          <w:tcPr>
            <w:tcW w:w="100" w:type="dxa"/>
            <w:vAlign w:val="bottom"/>
            <w:tcBorders>
              <w:bottom w:val="single" w:sz="8" w:color="7C7C7C"/>
            </w:tcBorders>
          </w:tcPr>
          <w:p>
            <w:pPr>
              <w:spacing w:after="0"/>
              <w:rPr>
                <w:sz w:val="16"/>
                <w:szCs w:val="16"/>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6"/>
                <w:szCs w:val="16"/>
                <w:color w:val="auto"/>
              </w:rPr>
            </w:pPr>
          </w:p>
        </w:tc>
        <w:tc>
          <w:tcPr>
            <w:tcW w:w="12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18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1/2/2014</w:t>
            </w:r>
          </w:p>
        </w:tc>
        <w:tc>
          <w:tcPr>
            <w:tcW w:w="170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24,500</w:t>
            </w:r>
          </w:p>
        </w:tc>
        <w:tc>
          <w:tcPr>
            <w:tcW w:w="80" w:type="dxa"/>
            <w:vAlign w:val="bottom"/>
            <w:tcBorders>
              <w:bottom w:val="single" w:sz="8" w:color="7C7C7C"/>
            </w:tcBorders>
          </w:tcPr>
          <w:p>
            <w:pPr>
              <w:spacing w:after="0"/>
              <w:rPr>
                <w:sz w:val="17"/>
                <w:szCs w:val="17"/>
                <w:color w:val="auto"/>
              </w:rPr>
            </w:pPr>
          </w:p>
        </w:tc>
        <w:tc>
          <w:tcPr>
            <w:tcW w:w="116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$112.49</w:t>
            </w:r>
          </w:p>
        </w:tc>
        <w:tc>
          <w:tcPr>
            <w:tcW w:w="80" w:type="dxa"/>
            <w:vAlign w:val="bottom"/>
            <w:tcBorders>
              <w:bottom w:val="single" w:sz="8" w:color="7C7C7C"/>
            </w:tcBorders>
          </w:tcPr>
          <w:p>
            <w:pPr>
              <w:spacing w:after="0"/>
              <w:rPr>
                <w:sz w:val="17"/>
                <w:szCs w:val="17"/>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1/1/2024</w:t>
            </w:r>
          </w:p>
        </w:tc>
        <w:tc>
          <w:tcPr>
            <w:tcW w:w="100" w:type="dxa"/>
            <w:vAlign w:val="bottom"/>
            <w:tcBorders>
              <w:bottom w:val="single" w:sz="8" w:color="7C7C7C"/>
            </w:tcBorders>
          </w:tcPr>
          <w:p>
            <w:pPr>
              <w:spacing w:after="0"/>
              <w:rPr>
                <w:sz w:val="17"/>
                <w:szCs w:val="17"/>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7"/>
                <w:szCs w:val="17"/>
                <w:color w:val="auto"/>
              </w:rPr>
            </w:pPr>
          </w:p>
        </w:tc>
        <w:tc>
          <w:tcPr>
            <w:tcW w:w="12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118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r>
      <w:tr>
        <w:trPr>
          <w:trHeight w:val="243"/>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11/12/2013</w:t>
            </w:r>
          </w:p>
        </w:tc>
        <w:tc>
          <w:tcPr>
            <w:tcW w:w="640" w:type="dxa"/>
            <w:vAlign w:val="bottom"/>
            <w:tcBorders>
              <w:bottom w:val="single" w:sz="8" w:color="7C7C7C"/>
            </w:tcBorders>
          </w:tcPr>
          <w:p>
            <w:pPr>
              <w:spacing w:after="0"/>
              <w:rPr>
                <w:sz w:val="21"/>
                <w:szCs w:val="21"/>
                <w:color w:val="auto"/>
              </w:rPr>
            </w:pPr>
          </w:p>
        </w:tc>
        <w:tc>
          <w:tcPr>
            <w:tcW w:w="100" w:type="dxa"/>
            <w:vAlign w:val="bottom"/>
            <w:tcBorders>
              <w:bottom w:val="single" w:sz="8" w:color="7C7C7C"/>
            </w:tcBorders>
          </w:tcPr>
          <w:p>
            <w:pPr>
              <w:spacing w:after="0"/>
              <w:rPr>
                <w:sz w:val="21"/>
                <w:szCs w:val="21"/>
                <w:color w:val="auto"/>
              </w:rPr>
            </w:pPr>
          </w:p>
        </w:tc>
        <w:tc>
          <w:tcPr>
            <w:tcW w:w="104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7C7C"/>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7C7C"/>
            </w:tcBorders>
            <w:shd w:val="clear" w:color="auto" w:fill="F6FAFB"/>
          </w:tcPr>
          <w:p>
            <w:pPr>
              <w:jc w:val="right"/>
              <w:spacing w:after="0" w:line="243" w:lineRule="exact"/>
              <w:rPr>
                <w:sz w:val="20"/>
                <w:szCs w:val="20"/>
                <w:color w:val="auto"/>
              </w:rPr>
            </w:pPr>
            <w:r>
              <w:rPr>
                <w:rFonts w:ascii="Arial" w:cs="Arial" w:eastAsia="Arial" w:hAnsi="Arial"/>
                <w:sz w:val="14"/>
                <w:szCs w:val="14"/>
                <w:color w:val="auto"/>
              </w:rPr>
              <w:t>15,753</w:t>
            </w:r>
            <w:r>
              <w:rPr>
                <w:rFonts w:ascii="Arial" w:cs="Arial" w:eastAsia="Arial" w:hAnsi="Arial"/>
                <w:sz w:val="22"/>
                <w:szCs w:val="22"/>
                <w:color w:val="auto"/>
                <w:vertAlign w:val="superscript"/>
              </w:rPr>
              <w:t>(11)</w:t>
            </w:r>
          </w:p>
        </w:tc>
        <w:tc>
          <w:tcPr>
            <w:tcW w:w="100" w:type="dxa"/>
            <w:vAlign w:val="bottom"/>
            <w:tcBorders>
              <w:bottom w:val="single" w:sz="8" w:color="7C7C7C"/>
            </w:tcBorders>
            <w:shd w:val="clear" w:color="auto" w:fill="F6FAFB"/>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$1,677,379</w:t>
            </w:r>
          </w:p>
        </w:tc>
        <w:tc>
          <w:tcPr>
            <w:tcW w:w="80" w:type="dxa"/>
            <w:vAlign w:val="bottom"/>
            <w:tcBorders>
              <w:bottom w:val="single" w:sz="8" w:color="7C7C7C"/>
            </w:tcBorders>
            <w:shd w:val="clear" w:color="auto" w:fill="F6FAFB"/>
          </w:tcPr>
          <w:p>
            <w:pPr>
              <w:spacing w:after="0"/>
              <w:rPr>
                <w:sz w:val="21"/>
                <w:szCs w:val="21"/>
                <w:color w:val="auto"/>
              </w:rPr>
            </w:pPr>
          </w:p>
        </w:tc>
        <w:tc>
          <w:tcPr>
            <w:tcW w:w="12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21"/>
                <w:szCs w:val="21"/>
                <w:color w:val="auto"/>
              </w:rPr>
            </w:pPr>
          </w:p>
        </w:tc>
        <w:tc>
          <w:tcPr>
            <w:tcW w:w="118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r>
      <w:tr>
        <w:trPr>
          <w:trHeight w:val="190"/>
        </w:trPr>
        <w:tc>
          <w:tcPr>
            <w:tcW w:w="188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1/2/2013</w:t>
            </w:r>
          </w:p>
        </w:tc>
        <w:tc>
          <w:tcPr>
            <w:tcW w:w="170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18,900</w:t>
            </w:r>
          </w:p>
        </w:tc>
        <w:tc>
          <w:tcPr>
            <w:tcW w:w="80" w:type="dxa"/>
            <w:vAlign w:val="bottom"/>
            <w:tcBorders>
              <w:bottom w:val="single" w:sz="8" w:color="7C7C7C"/>
            </w:tcBorders>
          </w:tcPr>
          <w:p>
            <w:pPr>
              <w:spacing w:after="0"/>
              <w:rPr>
                <w:sz w:val="16"/>
                <w:szCs w:val="16"/>
                <w:color w:val="auto"/>
              </w:rPr>
            </w:pPr>
          </w:p>
        </w:tc>
        <w:tc>
          <w:tcPr>
            <w:tcW w:w="1160" w:type="dxa"/>
            <w:vAlign w:val="bottom"/>
            <w:tcBorders>
              <w:bottom w:val="single" w:sz="8" w:color="7C7C7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$84.00</w:t>
            </w:r>
          </w:p>
        </w:tc>
        <w:tc>
          <w:tcPr>
            <w:tcW w:w="80" w:type="dxa"/>
            <w:vAlign w:val="bottom"/>
            <w:tcBorders>
              <w:bottom w:val="single" w:sz="8" w:color="7C7C7C"/>
            </w:tcBorders>
          </w:tcPr>
          <w:p>
            <w:pPr>
              <w:spacing w:after="0"/>
              <w:rPr>
                <w:sz w:val="16"/>
                <w:szCs w:val="16"/>
                <w:color w:val="auto"/>
              </w:rPr>
            </w:pPr>
          </w:p>
        </w:tc>
        <w:tc>
          <w:tcPr>
            <w:tcW w:w="8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1/1/2023</w:t>
            </w:r>
          </w:p>
        </w:tc>
        <w:tc>
          <w:tcPr>
            <w:tcW w:w="100" w:type="dxa"/>
            <w:vAlign w:val="bottom"/>
            <w:tcBorders>
              <w:bottom w:val="single" w:sz="8" w:color="7C7C7C"/>
            </w:tcBorders>
          </w:tcPr>
          <w:p>
            <w:pPr>
              <w:spacing w:after="0"/>
              <w:rPr>
                <w:sz w:val="16"/>
                <w:szCs w:val="16"/>
                <w:color w:val="auto"/>
              </w:rPr>
            </w:pPr>
          </w:p>
        </w:tc>
        <w:tc>
          <w:tcPr>
            <w:tcW w:w="1040" w:type="dxa"/>
            <w:vAlign w:val="bottom"/>
            <w:tcBorders>
              <w:bottom w:val="single" w:sz="8" w:color="7C7C7C"/>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C7C7C"/>
            </w:tcBorders>
            <w:shd w:val="clear" w:color="auto" w:fill="F6FAFB"/>
          </w:tcPr>
          <w:p>
            <w:pPr>
              <w:spacing w:after="0"/>
              <w:rPr>
                <w:sz w:val="16"/>
                <w:szCs w:val="16"/>
                <w:color w:val="auto"/>
              </w:rPr>
            </w:pPr>
          </w:p>
        </w:tc>
        <w:tc>
          <w:tcPr>
            <w:tcW w:w="120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6"/>
                <w:szCs w:val="16"/>
                <w:color w:val="auto"/>
              </w:rPr>
            </w:pPr>
          </w:p>
        </w:tc>
        <w:tc>
          <w:tcPr>
            <w:tcW w:w="118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8/1/2012</w:t>
            </w:r>
          </w:p>
        </w:tc>
        <w:tc>
          <w:tcPr>
            <w:tcW w:w="17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rPr>
              <w:t>45,036</w:t>
            </w: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$74.79</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7/31/2022</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shd w:val="clear" w:color="auto" w:fill="F6FAF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17"/>
                <w:szCs w:val="17"/>
                <w:color w:val="auto"/>
              </w:rPr>
            </w:pPr>
          </w:p>
        </w:tc>
        <w:tc>
          <w:tcPr>
            <w:tcW w:w="10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6FAFB"/>
          </w:tcPr>
          <w:p>
            <w:pPr>
              <w:spacing w:after="0"/>
              <w:rPr>
                <w:sz w:val="17"/>
                <w:szCs w:val="17"/>
                <w:color w:val="auto"/>
              </w:rPr>
            </w:pPr>
          </w:p>
        </w:tc>
        <w:tc>
          <w:tcPr>
            <w:tcW w:w="120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6FAFB"/>
          </w:tcPr>
          <w:p>
            <w:pPr>
              <w:spacing w:after="0"/>
              <w:rPr>
                <w:sz w:val="17"/>
                <w:szCs w:val="17"/>
                <w:color w:val="auto"/>
              </w:rPr>
            </w:pPr>
          </w:p>
        </w:tc>
        <w:tc>
          <w:tcPr>
            <w:tcW w:w="118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r>
    </w:tbl>
    <w:p>
      <w:pPr>
        <w:spacing w:after="0" w:line="242" w:lineRule="exact"/>
        <w:rPr>
          <w:sz w:val="20"/>
          <w:szCs w:val="20"/>
          <w:color w:val="auto"/>
        </w:rPr>
      </w:pPr>
    </w:p>
    <w:p>
      <w:pPr>
        <w:ind w:left="300" w:hanging="292"/>
        <w:spacing w:after="0"/>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exercise price of each SAR is equal to the NYSE closing price of UTC Common Stock on the grant date.</w:t>
      </w:r>
    </w:p>
    <w:p>
      <w:pPr>
        <w:spacing w:after="0" w:line="55" w:lineRule="exact"/>
        <w:rPr>
          <w:rFonts w:ascii="Arial" w:cs="Arial" w:eastAsia="Arial" w:hAnsi="Arial"/>
          <w:sz w:val="14"/>
          <w:szCs w:val="14"/>
          <w:color w:val="auto"/>
        </w:rPr>
      </w:pPr>
    </w:p>
    <w:p>
      <w:pPr>
        <w:ind w:left="300" w:right="20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RSUs which include dividend equivalents (if applicable) earned during the vesting period which are reinvested as additional RSUs each time UTC pays a dividend to shareowners. The reinvested RSUs vest on the same date as the underlying RSUs.</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Calculated by multiplying the number of unvested RSUs by $106.48, the NYSE closing price of UTC Common Stock on the last trading day of 2018.</w:t>
      </w:r>
    </w:p>
    <w:p>
      <w:pPr>
        <w:spacing w:after="0" w:line="55" w:lineRule="exact"/>
        <w:rPr>
          <w:rFonts w:ascii="Arial" w:cs="Arial" w:eastAsia="Arial" w:hAnsi="Arial"/>
          <w:sz w:val="14"/>
          <w:szCs w:val="14"/>
          <w:color w:val="auto"/>
        </w:rPr>
      </w:pPr>
    </w:p>
    <w:p>
      <w:pPr>
        <w:ind w:left="300" w:right="200" w:hanging="292"/>
        <w:spacing w:after="0" w:line="225"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PSUs that are subject to vesting contingent on Company performance relative to pre-established performance goals measured over a three-year period and the executive’s continued employment, except in certain limited circumstances as detailed in footnotes (2), (4) and (6) on pages 68-69. The number of shares shown with respect to PSU awards granted in 2018 and 2017 assumes maximum-level performance, based on vesting estimates as of December 31, 2018. Final payouts for the 2018 and 2017 PSU awards will be based on actual performance at the end of the three-year performance periods. The number of shares shown for the 2016 PSU awards reflect vesting at 116% of target based on actual performance through December 31, 2018. The service condition for this award was satisfied on January 2, 2019.</w:t>
      </w:r>
    </w:p>
    <w:p>
      <w:pPr>
        <w:spacing w:after="0" w:line="55"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Calculated by multiplying the number of unvested 2018 and 2017 PSUs and the number of vested 2016 PSUs by the NYSE closing price of UTC Common Stock on the last trading day of 2018.</w:t>
      </w:r>
    </w:p>
    <w:p>
      <w:pPr>
        <w:spacing w:after="0" w:line="54" w:lineRule="exact"/>
        <w:rPr>
          <w:rFonts w:ascii="Arial" w:cs="Arial" w:eastAsia="Arial" w:hAnsi="Arial"/>
          <w:sz w:val="14"/>
          <w:szCs w:val="14"/>
          <w:color w:val="auto"/>
        </w:rPr>
      </w:pPr>
    </w:p>
    <w:p>
      <w:pPr>
        <w:ind w:left="300" w:right="20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SARs scheduled to vest on January 2, 2021, subject to the executive’s continued employment, except in certain limited circumstances as detailed in footnotes (2), (4) and (6) on pages 68-69.</w:t>
      </w:r>
    </w:p>
    <w:p>
      <w:pPr>
        <w:spacing w:after="0" w:line="54" w:lineRule="exact"/>
        <w:rPr>
          <w:rFonts w:ascii="Arial" w:cs="Arial" w:eastAsia="Arial" w:hAnsi="Arial"/>
          <w:sz w:val="14"/>
          <w:szCs w:val="14"/>
          <w:color w:val="auto"/>
        </w:rPr>
      </w:pPr>
    </w:p>
    <w:p>
      <w:pPr>
        <w:ind w:left="300" w:right="20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SARs scheduled to vest on January 3, 2020, subject to the executive’s continued employment, except in certain limited circumstances as detailed in footnotes (2), (4) and (6) on pages 68-69.</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SARs that vested on January 4, 2019.</w:t>
      </w:r>
    </w:p>
    <w:p>
      <w:pPr>
        <w:spacing w:after="0" w:line="55" w:lineRule="exact"/>
        <w:rPr>
          <w:rFonts w:ascii="Arial" w:cs="Arial" w:eastAsia="Arial" w:hAnsi="Arial"/>
          <w:sz w:val="14"/>
          <w:szCs w:val="14"/>
          <w:color w:val="auto"/>
        </w:rPr>
      </w:pPr>
    </w:p>
    <w:p>
      <w:pPr>
        <w:ind w:left="300" w:right="20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RSUs scheduled to vest on January 2, 2021, subject to the executive’s continued employment, except in certain limited circumstances as detailed in footnotes (2), (4) and (6) on pages 68-69. These RSU awards earn dividend equivalents during the vesting period.</w:t>
      </w:r>
    </w:p>
    <w:p>
      <w:pPr>
        <w:spacing w:after="0" w:line="54" w:lineRule="exact"/>
        <w:rPr>
          <w:rFonts w:ascii="Arial" w:cs="Arial" w:eastAsia="Arial" w:hAnsi="Arial"/>
          <w:sz w:val="14"/>
          <w:szCs w:val="14"/>
          <w:color w:val="auto"/>
        </w:rPr>
      </w:pPr>
    </w:p>
    <w:p>
      <w:pPr>
        <w:ind w:left="300" w:right="20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RSUs scheduled to vest on January 3, 2020, subject to the executive’s continued employment, except in certain limited circumstances as detailed in footnotes (2), (4) and (6) on pages 68-69. These RSU awards earn dividend equivalents during the vesting period.</w:t>
      </w:r>
    </w:p>
    <w:p>
      <w:pPr>
        <w:spacing w:after="0" w:line="54" w:lineRule="exact"/>
        <w:rPr>
          <w:rFonts w:ascii="Arial" w:cs="Arial" w:eastAsia="Arial" w:hAnsi="Arial"/>
          <w:sz w:val="14"/>
          <w:szCs w:val="14"/>
          <w:color w:val="auto"/>
        </w:rPr>
      </w:pPr>
    </w:p>
    <w:p>
      <w:pPr>
        <w:ind w:left="300" w:right="6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ELG RSUs granted upon the executive’s appointment to the ELG which vest in the event of a mutually agreeable separation (as defined on page 66) following three years of ELG service or upon death, disability or change-in-control. These RSU awards earn dividend equivalents during the vesting period.</w:t>
      </w:r>
    </w:p>
    <w:p>
      <w:pPr>
        <w:spacing w:after="0" w:line="54" w:lineRule="exact"/>
        <w:rPr>
          <w:rFonts w:ascii="Arial" w:cs="Arial" w:eastAsia="Arial" w:hAnsi="Arial"/>
          <w:sz w:val="14"/>
          <w:szCs w:val="14"/>
          <w:color w:val="auto"/>
        </w:rPr>
      </w:pPr>
    </w:p>
    <w:p>
      <w:pPr>
        <w:ind w:left="300" w:right="200" w:hanging="292"/>
        <w:spacing w:after="0" w:line="228"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One-time retention RSU award granted to Mr. Ortberg in accordance with his agreement to waive his rights and benefits under his Rockwell Collins change-in-control agreement and to assume certain post-employment restrictive covenants. This RSU award will vest on the third anniversary of the Rockwell Collins acquisition, subject to continued UTC employment, except in certain circumstances as detailed in footnotes (2), (4) and (6) on pages 68-69. This RSU award earns dividend equivalents during the vesting period.</w:t>
      </w:r>
    </w:p>
    <w:p>
      <w:pPr>
        <w:spacing w:after="0" w:line="54" w:lineRule="exact"/>
        <w:rPr>
          <w:rFonts w:ascii="Arial" w:cs="Arial" w:eastAsia="Arial" w:hAnsi="Arial"/>
          <w:sz w:val="14"/>
          <w:szCs w:val="14"/>
          <w:color w:val="auto"/>
        </w:rPr>
      </w:pPr>
    </w:p>
    <w:p>
      <w:pPr>
        <w:ind w:left="300" w:right="40" w:hanging="292"/>
        <w:spacing w:after="0" w:line="228"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Rockwell Collins PSUs that converted to UTC RSUs on November 26, 2018 (the closing date of the acquisition), in accordance with the terms of the merger agreement between UTC and Rockwell Collins. The award was converted at the target performance level and will vest on October 2, 2020, subject to continued employment with UTC, except in certain circumstances as detailed in footnotes (2), (4) and (6) on pages 68-69. This RSU award does not earn dividend equivalents during the vesting period.</w:t>
      </w:r>
    </w:p>
    <w:p>
      <w:pPr>
        <w:spacing w:after="0" w:line="54" w:lineRule="exact"/>
        <w:rPr>
          <w:rFonts w:ascii="Arial" w:cs="Arial" w:eastAsia="Arial" w:hAnsi="Arial"/>
          <w:sz w:val="14"/>
          <w:szCs w:val="14"/>
          <w:color w:val="auto"/>
        </w:rPr>
      </w:pPr>
    </w:p>
    <w:p>
      <w:pPr>
        <w:ind w:left="300" w:right="20" w:hanging="292"/>
        <w:spacing w:after="0" w:line="226"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Rockwell Collins RSUs that were converted to UTC RSUs on November 26, 2018 (the close date of the acquisition), in accordance with the terms of the merger agreement between UTC and Rockwell Collins. This award vests in three equal annual installments on the anniversary of the grant date. At the time these awards were converted to UTC RSUs, two tranches were unvested, and remain subject to continued service vesting requirements, except in certain circumstances as detailed in footnotes (2), (4) and (6) on pages 68-69. This RSU award does not earn dividend equivalents during the vesting period.</w:t>
      </w:r>
    </w:p>
    <w:p>
      <w:pPr>
        <w:spacing w:after="0" w:line="55" w:lineRule="exact"/>
        <w:rPr>
          <w:rFonts w:ascii="Arial" w:cs="Arial" w:eastAsia="Arial" w:hAnsi="Arial"/>
          <w:sz w:val="14"/>
          <w:szCs w:val="14"/>
          <w:color w:val="auto"/>
        </w:rPr>
      </w:pPr>
    </w:p>
    <w:p>
      <w:pPr>
        <w:ind w:left="300" w:right="44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RSUs granted to Ms. Marks to offset the value of compensation forfeited upon her departure from her former employer. This award vests three years from the grant date, subject to continued service with the Company or upon death, disability or change-in-control. This RSU award earns dividend equivalents during the vesting period.</w:t>
      </w:r>
    </w:p>
    <w:p>
      <w:pPr>
        <w:spacing w:after="0" w:line="54" w:lineRule="exact"/>
        <w:rPr>
          <w:rFonts w:ascii="Arial" w:cs="Arial" w:eastAsia="Arial" w:hAnsi="Arial"/>
          <w:sz w:val="14"/>
          <w:szCs w:val="14"/>
          <w:color w:val="auto"/>
        </w:rPr>
      </w:pPr>
    </w:p>
    <w:p>
      <w:pPr>
        <w:ind w:left="300" w:right="120" w:hanging="292"/>
        <w:spacing w:after="0" w:line="231" w:lineRule="auto"/>
        <w:tabs>
          <w:tab w:leader="none" w:pos="3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Retention RSU award granted to Mr. Gitlin which will vest on October 11, 2020, subject to continued employment or earlier in the case of death, disability or change-in-control. This RSU award earns dividend equivalents during the vesting period.</w:t>
      </w:r>
    </w:p>
    <w:p>
      <w:pPr>
        <w:spacing w:after="0" w:line="226" w:lineRule="exact"/>
        <w:rPr>
          <w:sz w:val="20"/>
          <w:szCs w:val="20"/>
          <w:color w:val="auto"/>
        </w:rPr>
      </w:pPr>
    </w:p>
    <w:p>
      <w:pPr>
        <w:ind w:left="880" w:hanging="628"/>
        <w:spacing w:after="0"/>
        <w:tabs>
          <w:tab w:leader="none" w:pos="880" w:val="left"/>
        </w:tabs>
        <w:numPr>
          <w:ilvl w:val="0"/>
          <w:numId w:val="144"/>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gridSpan w:val="4"/>
            <w:shd w:val="clear" w:color="auto" w:fill="80B8E7"/>
          </w:tcPr>
          <w:p>
            <w:pPr>
              <w:jc w:val="right"/>
              <w:ind w:right="32"/>
              <w:spacing w:after="0"/>
              <w:rPr>
                <w:sz w:val="20"/>
                <w:szCs w:val="20"/>
                <w:color w:val="auto"/>
              </w:rPr>
            </w:pPr>
            <w:r>
              <w:rPr>
                <w:rFonts w:ascii="Arial" w:cs="Arial" w:eastAsia="Arial" w:hAnsi="Arial"/>
                <w:sz w:val="14"/>
                <w:szCs w:val="14"/>
                <w:b w:val="1"/>
                <w:bCs w:val="1"/>
                <w:color w:val="FFFFFF"/>
              </w:rPr>
              <w:t>COMPENSATION TABLES</w:t>
            </w:r>
          </w:p>
        </w:tc>
        <w:tc>
          <w:tcPr>
            <w:tcW w:w="0" w:type="dxa"/>
            <w:vAlign w:val="bottom"/>
          </w:tcPr>
          <w:p>
            <w:pPr>
              <w:spacing w:after="0"/>
              <w:rPr>
                <w:sz w:val="1"/>
                <w:szCs w:val="1"/>
                <w:color w:val="auto"/>
              </w:rPr>
            </w:pPr>
          </w:p>
        </w:tc>
      </w:tr>
      <w:tr>
        <w:trPr>
          <w:trHeight w:val="243"/>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0E93D8"/>
                <w:w w:val="98"/>
              </w:rPr>
              <w:t>OPTIONS EXERCISED AND STOCK VESTED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20" w:type="dxa"/>
            <w:vAlign w:val="bottom"/>
            <w:vMerge w:val="continue"/>
          </w:tcPr>
          <w:p>
            <w:pPr>
              <w:spacing w:after="0"/>
              <w:rPr>
                <w:sz w:val="12"/>
                <w:szCs w:val="12"/>
                <w:color w:val="auto"/>
              </w:rPr>
            </w:pPr>
          </w:p>
        </w:tc>
        <w:tc>
          <w:tcPr>
            <w:tcW w:w="1200" w:type="dxa"/>
            <w:vAlign w:val="bottom"/>
            <w:shd w:val="clear" w:color="auto" w:fill="D0E4F5"/>
          </w:tcPr>
          <w:p>
            <w:pPr>
              <w:spacing w:after="0"/>
              <w:rPr>
                <w:sz w:val="12"/>
                <w:szCs w:val="12"/>
                <w:color w:val="auto"/>
              </w:rPr>
            </w:pPr>
          </w:p>
        </w:tc>
        <w:tc>
          <w:tcPr>
            <w:tcW w:w="100" w:type="dxa"/>
            <w:vAlign w:val="bottom"/>
            <w:shd w:val="clear" w:color="auto" w:fill="D0E4F5"/>
          </w:tcPr>
          <w:p>
            <w:pPr>
              <w:spacing w:after="0"/>
              <w:rPr>
                <w:sz w:val="12"/>
                <w:szCs w:val="12"/>
                <w:color w:val="auto"/>
              </w:rPr>
            </w:pPr>
          </w:p>
        </w:tc>
        <w:tc>
          <w:tcPr>
            <w:tcW w:w="2060" w:type="dxa"/>
            <w:vAlign w:val="bottom"/>
            <w:shd w:val="clear" w:color="auto" w:fill="D0E4F5"/>
          </w:tcPr>
          <w:p>
            <w:pPr>
              <w:spacing w:after="0"/>
              <w:rPr>
                <w:sz w:val="12"/>
                <w:szCs w:val="12"/>
                <w:color w:val="auto"/>
              </w:rPr>
            </w:pPr>
          </w:p>
        </w:tc>
        <w:tc>
          <w:tcPr>
            <w:tcW w:w="100" w:type="dxa"/>
            <w:vAlign w:val="bottom"/>
            <w:shd w:val="clear" w:color="auto" w:fill="D0E4F5"/>
          </w:tcPr>
          <w:p>
            <w:pPr>
              <w:spacing w:after="0"/>
              <w:rPr>
                <w:sz w:val="12"/>
                <w:szCs w:val="12"/>
                <w:color w:val="auto"/>
              </w:rPr>
            </w:pPr>
          </w:p>
        </w:tc>
        <w:tc>
          <w:tcPr>
            <w:tcW w:w="260" w:type="dxa"/>
            <w:vAlign w:val="bottom"/>
            <w:shd w:val="clear" w:color="auto" w:fill="D0E4F5"/>
          </w:tcPr>
          <w:p>
            <w:pPr>
              <w:spacing w:after="0"/>
              <w:rPr>
                <w:sz w:val="12"/>
                <w:szCs w:val="12"/>
                <w:color w:val="auto"/>
              </w:rPr>
            </w:pPr>
          </w:p>
        </w:tc>
        <w:tc>
          <w:tcPr>
            <w:tcW w:w="1260" w:type="dxa"/>
            <w:vAlign w:val="bottom"/>
            <w:shd w:val="clear" w:color="auto" w:fill="D0E4F5"/>
          </w:tcPr>
          <w:p>
            <w:pPr>
              <w:spacing w:after="0"/>
              <w:rPr>
                <w:sz w:val="12"/>
                <w:szCs w:val="12"/>
                <w:color w:val="auto"/>
              </w:rPr>
            </w:pPr>
          </w:p>
        </w:tc>
        <w:tc>
          <w:tcPr>
            <w:tcW w:w="180" w:type="dxa"/>
            <w:vAlign w:val="bottom"/>
            <w:shd w:val="clear" w:color="auto" w:fill="D0E4F5"/>
          </w:tcPr>
          <w:p>
            <w:pPr>
              <w:spacing w:after="0"/>
              <w:rPr>
                <w:sz w:val="12"/>
                <w:szCs w:val="12"/>
                <w:color w:val="auto"/>
              </w:rPr>
            </w:pPr>
          </w:p>
        </w:tc>
        <w:tc>
          <w:tcPr>
            <w:tcW w:w="1460" w:type="dxa"/>
            <w:vAlign w:val="bottom"/>
            <w:shd w:val="clear" w:color="auto" w:fill="D0E4F5"/>
          </w:tcPr>
          <w:p>
            <w:pPr>
              <w:spacing w:after="0"/>
              <w:rPr>
                <w:sz w:val="12"/>
                <w:szCs w:val="12"/>
                <w:color w:val="auto"/>
              </w:rPr>
            </w:pPr>
          </w:p>
        </w:tc>
        <w:tc>
          <w:tcPr>
            <w:tcW w:w="340" w:type="dxa"/>
            <w:vAlign w:val="bottom"/>
            <w:shd w:val="clear" w:color="auto" w:fill="D0E4F5"/>
          </w:tcPr>
          <w:p>
            <w:pPr>
              <w:spacing w:after="0"/>
              <w:rPr>
                <w:sz w:val="12"/>
                <w:szCs w:val="12"/>
                <w:color w:val="auto"/>
              </w:rPr>
            </w:pPr>
          </w:p>
        </w:tc>
        <w:tc>
          <w:tcPr>
            <w:tcW w:w="100" w:type="dxa"/>
            <w:vAlign w:val="bottom"/>
            <w:shd w:val="clear" w:color="auto" w:fill="D0E4F5"/>
          </w:tcPr>
          <w:p>
            <w:pPr>
              <w:spacing w:after="0"/>
              <w:rPr>
                <w:sz w:val="12"/>
                <w:szCs w:val="12"/>
                <w:color w:val="auto"/>
              </w:rPr>
            </w:pPr>
          </w:p>
        </w:tc>
        <w:tc>
          <w:tcPr>
            <w:tcW w:w="280" w:type="dxa"/>
            <w:vAlign w:val="bottom"/>
            <w:shd w:val="clear" w:color="auto" w:fill="D0E4F5"/>
          </w:tcPr>
          <w:p>
            <w:pPr>
              <w:spacing w:after="0"/>
              <w:rPr>
                <w:sz w:val="12"/>
                <w:szCs w:val="12"/>
                <w:color w:val="auto"/>
              </w:rPr>
            </w:pPr>
          </w:p>
        </w:tc>
        <w:tc>
          <w:tcPr>
            <w:tcW w:w="1160" w:type="dxa"/>
            <w:vAlign w:val="bottom"/>
            <w:shd w:val="clear" w:color="auto" w:fill="D0E4F5"/>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Borders>
              <w:bottom w:val="single" w:sz="8" w:color="0E93D8"/>
            </w:tcBorders>
            <w:gridSpan w:val="3"/>
          </w:tcPr>
          <w:p>
            <w:pPr>
              <w:ind w:left="1360"/>
              <w:spacing w:after="0"/>
              <w:rPr>
                <w:sz w:val="20"/>
                <w:szCs w:val="20"/>
                <w:color w:val="auto"/>
              </w:rPr>
            </w:pPr>
            <w:r>
              <w:rPr>
                <w:rFonts w:ascii="Arial" w:cs="Arial" w:eastAsia="Arial" w:hAnsi="Arial"/>
                <w:sz w:val="14"/>
                <w:szCs w:val="14"/>
                <w:b w:val="1"/>
                <w:bCs w:val="1"/>
                <w:color w:val="0E93D8"/>
              </w:rPr>
              <w:t>Option Awards</w:t>
            </w:r>
          </w:p>
        </w:tc>
        <w:tc>
          <w:tcPr>
            <w:tcW w:w="1260" w:type="dxa"/>
            <w:vAlign w:val="bottom"/>
            <w:tcBorders>
              <w:bottom w:val="single" w:sz="8" w:color="0E93D8"/>
            </w:tcBorders>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Borders>
              <w:bottom w:val="single" w:sz="8" w:color="0E93D8"/>
            </w:tcBorders>
            <w:gridSpan w:val="4"/>
          </w:tcPr>
          <w:p>
            <w:pPr>
              <w:ind w:left="1220"/>
              <w:spacing w:after="0"/>
              <w:rPr>
                <w:sz w:val="20"/>
                <w:szCs w:val="20"/>
                <w:color w:val="auto"/>
              </w:rPr>
            </w:pPr>
            <w:r>
              <w:rPr>
                <w:rFonts w:ascii="Arial" w:cs="Arial" w:eastAsia="Arial" w:hAnsi="Arial"/>
                <w:sz w:val="14"/>
                <w:szCs w:val="14"/>
                <w:b w:val="1"/>
                <w:bCs w:val="1"/>
                <w:color w:val="0E93D8"/>
              </w:rPr>
              <w:t>Stock Awards</w:t>
            </w:r>
          </w:p>
        </w:tc>
        <w:tc>
          <w:tcPr>
            <w:tcW w:w="1160" w:type="dxa"/>
            <w:vAlign w:val="bottom"/>
            <w:tcBorders>
              <w:bottom w:val="single" w:sz="8" w:color="0E93D8"/>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ind w:left="780"/>
              <w:spacing w:after="0"/>
              <w:rPr>
                <w:sz w:val="20"/>
                <w:szCs w:val="20"/>
                <w:color w:val="auto"/>
              </w:rPr>
            </w:pPr>
            <w:r>
              <w:rPr>
                <w:rFonts w:ascii="Arial" w:cs="Arial" w:eastAsia="Arial" w:hAnsi="Arial"/>
                <w:sz w:val="14"/>
                <w:szCs w:val="14"/>
                <w:b w:val="1"/>
                <w:bCs w:val="1"/>
                <w:color w:val="0E93D8"/>
              </w:rPr>
              <w:t>Number of Shares</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0E93D8"/>
              </w:rPr>
              <w:t>Value Realized</w:t>
            </w:r>
          </w:p>
        </w:tc>
        <w:tc>
          <w:tcPr>
            <w:tcW w:w="1800" w:type="dxa"/>
            <w:vAlign w:val="bottom"/>
            <w:gridSpan w:val="2"/>
            <w:shd w:val="clear" w:color="auto" w:fill="F6FAFB"/>
          </w:tcPr>
          <w:p>
            <w:pPr>
              <w:jc w:val="right"/>
              <w:ind w:right="12"/>
              <w:spacing w:after="0"/>
              <w:rPr>
                <w:sz w:val="20"/>
                <w:szCs w:val="20"/>
                <w:color w:val="auto"/>
              </w:rPr>
            </w:pPr>
            <w:r>
              <w:rPr>
                <w:rFonts w:ascii="Arial" w:cs="Arial" w:eastAsia="Arial" w:hAnsi="Arial"/>
                <w:sz w:val="14"/>
                <w:szCs w:val="14"/>
                <w:b w:val="1"/>
                <w:bCs w:val="1"/>
                <w:color w:val="0E93D8"/>
              </w:rPr>
              <w:t>Number of Shares</w:t>
            </w:r>
          </w:p>
        </w:tc>
        <w:tc>
          <w:tcPr>
            <w:tcW w:w="100" w:type="dxa"/>
            <w:vAlign w:val="bottom"/>
            <w:shd w:val="clear" w:color="auto" w:fill="F6FAFB"/>
          </w:tcPr>
          <w:p>
            <w:pPr>
              <w:spacing w:after="0"/>
              <w:rPr>
                <w:sz w:val="14"/>
                <w:szCs w:val="14"/>
                <w:color w:val="auto"/>
              </w:rPr>
            </w:pPr>
          </w:p>
        </w:tc>
        <w:tc>
          <w:tcPr>
            <w:tcW w:w="280" w:type="dxa"/>
            <w:vAlign w:val="bottom"/>
            <w:shd w:val="clear" w:color="auto" w:fill="F6FAFB"/>
          </w:tcPr>
          <w:p>
            <w:pPr>
              <w:spacing w:after="0"/>
              <w:rPr>
                <w:sz w:val="14"/>
                <w:szCs w:val="14"/>
                <w:color w:val="auto"/>
              </w:rPr>
            </w:pPr>
          </w:p>
        </w:tc>
        <w:tc>
          <w:tcPr>
            <w:tcW w:w="1160" w:type="dxa"/>
            <w:vAlign w:val="bottom"/>
            <w:shd w:val="clear" w:color="auto" w:fill="F6FAFB"/>
          </w:tcPr>
          <w:p>
            <w:pPr>
              <w:jc w:val="right"/>
              <w:ind w:right="12"/>
              <w:spacing w:after="0"/>
              <w:rPr>
                <w:sz w:val="20"/>
                <w:szCs w:val="20"/>
                <w:color w:val="auto"/>
              </w:rPr>
            </w:pPr>
            <w:r>
              <w:rPr>
                <w:rFonts w:ascii="Arial" w:cs="Arial" w:eastAsia="Arial" w:hAnsi="Arial"/>
                <w:sz w:val="14"/>
                <w:szCs w:val="14"/>
                <w:b w:val="1"/>
                <w:bCs w:val="1"/>
                <w:color w:val="0E93D8"/>
              </w:rPr>
              <w:t>Value Realized</w:t>
            </w:r>
          </w:p>
        </w:tc>
        <w:tc>
          <w:tcPr>
            <w:tcW w:w="0" w:type="dxa"/>
            <w:vAlign w:val="bottom"/>
          </w:tcPr>
          <w:p>
            <w:pPr>
              <w:spacing w:after="0"/>
              <w:rPr>
                <w:sz w:val="1"/>
                <w:szCs w:val="1"/>
                <w:color w:val="auto"/>
              </w:rPr>
            </w:pPr>
          </w:p>
        </w:tc>
      </w:tr>
      <w:tr>
        <w:trPr>
          <w:trHeight w:val="258"/>
        </w:trPr>
        <w:tc>
          <w:tcPr>
            <w:tcW w:w="292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Name</w:t>
            </w:r>
          </w:p>
        </w:tc>
        <w:tc>
          <w:tcPr>
            <w:tcW w:w="1200" w:type="dxa"/>
            <w:vAlign w:val="bottom"/>
            <w:tcBorders>
              <w:bottom w:val="single" w:sz="8" w:color="DAE9F7"/>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bottom w:val="single" w:sz="8" w:color="DAE9F7"/>
            </w:tcBorders>
          </w:tcPr>
          <w:p>
            <w:pPr>
              <w:jc w:val="right"/>
              <w:ind w:right="12"/>
              <w:spacing w:after="0" w:line="224" w:lineRule="exact"/>
              <w:rPr>
                <w:sz w:val="20"/>
                <w:szCs w:val="20"/>
                <w:color w:val="auto"/>
              </w:rPr>
            </w:pPr>
            <w:r>
              <w:rPr>
                <w:rFonts w:ascii="Arial" w:cs="Arial" w:eastAsia="Arial" w:hAnsi="Arial"/>
                <w:sz w:val="14"/>
                <w:szCs w:val="14"/>
                <w:b w:val="1"/>
                <w:bCs w:val="1"/>
                <w:color w:val="0E93D8"/>
              </w:rPr>
              <w:t>Acquired on Exercise (#)</w:t>
            </w:r>
            <w:r>
              <w:rPr>
                <w:rFonts w:ascii="Arial" w:cs="Arial" w:eastAsia="Arial" w:hAnsi="Arial"/>
                <w:sz w:val="22"/>
                <w:szCs w:val="22"/>
                <w:b w:val="1"/>
                <w:bCs w:val="1"/>
                <w:color w:val="0E93D8"/>
                <w:vertAlign w:val="superscript"/>
              </w:rPr>
              <w:t>(1)</w:t>
            </w:r>
          </w:p>
        </w:tc>
        <w:tc>
          <w:tcPr>
            <w:tcW w:w="100" w:type="dxa"/>
            <w:vAlign w:val="bottom"/>
          </w:tcPr>
          <w:p>
            <w:pPr>
              <w:spacing w:after="0"/>
              <w:rPr>
                <w:sz w:val="22"/>
                <w:szCs w:val="22"/>
                <w:color w:val="auto"/>
              </w:rPr>
            </w:pPr>
          </w:p>
        </w:tc>
        <w:tc>
          <w:tcPr>
            <w:tcW w:w="260" w:type="dxa"/>
            <w:vAlign w:val="bottom"/>
            <w:tcBorders>
              <w:bottom w:val="single" w:sz="8" w:color="DAE9F7"/>
            </w:tcBorders>
          </w:tcPr>
          <w:p>
            <w:pPr>
              <w:spacing w:after="0"/>
              <w:rPr>
                <w:sz w:val="22"/>
                <w:szCs w:val="22"/>
                <w:color w:val="auto"/>
              </w:rPr>
            </w:pPr>
          </w:p>
        </w:tc>
        <w:tc>
          <w:tcPr>
            <w:tcW w:w="1260" w:type="dxa"/>
            <w:vAlign w:val="bottom"/>
            <w:tcBorders>
              <w:bottom w:val="single" w:sz="8" w:color="DAE9F7"/>
            </w:tcBorders>
          </w:tcPr>
          <w:p>
            <w:pPr>
              <w:jc w:val="right"/>
              <w:ind w:right="12"/>
              <w:spacing w:after="0" w:line="224" w:lineRule="exact"/>
              <w:rPr>
                <w:sz w:val="20"/>
                <w:szCs w:val="20"/>
                <w:color w:val="auto"/>
              </w:rPr>
            </w:pPr>
            <w:r>
              <w:rPr>
                <w:rFonts w:ascii="Arial" w:cs="Arial" w:eastAsia="Arial" w:hAnsi="Arial"/>
                <w:sz w:val="14"/>
                <w:szCs w:val="14"/>
                <w:b w:val="1"/>
                <w:bCs w:val="1"/>
                <w:color w:val="0E93D8"/>
                <w:w w:val="98"/>
              </w:rPr>
              <w:t>on Exercise ($)</w:t>
            </w:r>
            <w:r>
              <w:rPr>
                <w:rFonts w:ascii="Arial" w:cs="Arial" w:eastAsia="Arial" w:hAnsi="Arial"/>
                <w:sz w:val="22"/>
                <w:szCs w:val="22"/>
                <w:b w:val="1"/>
                <w:bCs w:val="1"/>
                <w:color w:val="0E93D8"/>
                <w:w w:val="98"/>
                <w:vertAlign w:val="superscript"/>
              </w:rPr>
              <w:t>(2)</w:t>
            </w:r>
          </w:p>
        </w:tc>
        <w:tc>
          <w:tcPr>
            <w:tcW w:w="180" w:type="dxa"/>
            <w:vAlign w:val="bottom"/>
          </w:tcPr>
          <w:p>
            <w:pPr>
              <w:spacing w:after="0"/>
              <w:rPr>
                <w:sz w:val="22"/>
                <w:szCs w:val="22"/>
                <w:color w:val="auto"/>
              </w:rPr>
            </w:pPr>
          </w:p>
        </w:tc>
        <w:tc>
          <w:tcPr>
            <w:tcW w:w="1800" w:type="dxa"/>
            <w:vAlign w:val="bottom"/>
            <w:tcBorders>
              <w:bottom w:val="single" w:sz="8" w:color="0E93D8"/>
            </w:tcBorders>
            <w:gridSpan w:val="2"/>
            <w:shd w:val="clear" w:color="auto" w:fill="F6FAFB"/>
          </w:tcPr>
          <w:p>
            <w:pPr>
              <w:jc w:val="right"/>
              <w:ind w:right="12"/>
              <w:spacing w:after="0" w:line="224" w:lineRule="exact"/>
              <w:rPr>
                <w:sz w:val="20"/>
                <w:szCs w:val="20"/>
                <w:color w:val="auto"/>
              </w:rPr>
            </w:pPr>
            <w:r>
              <w:rPr>
                <w:rFonts w:ascii="Arial" w:cs="Arial" w:eastAsia="Arial" w:hAnsi="Arial"/>
                <w:sz w:val="14"/>
                <w:szCs w:val="14"/>
                <w:b w:val="1"/>
                <w:bCs w:val="1"/>
                <w:color w:val="0E93D8"/>
                <w:w w:val="97"/>
              </w:rPr>
              <w:t>Acquired on Vesting (#)</w:t>
            </w:r>
            <w:r>
              <w:rPr>
                <w:rFonts w:ascii="Arial" w:cs="Arial" w:eastAsia="Arial" w:hAnsi="Arial"/>
                <w:sz w:val="22"/>
                <w:szCs w:val="22"/>
                <w:b w:val="1"/>
                <w:bCs w:val="1"/>
                <w:color w:val="0E93D8"/>
                <w:w w:val="97"/>
                <w:vertAlign w:val="superscript"/>
              </w:rPr>
              <w:t>(3)</w:t>
            </w:r>
          </w:p>
        </w:tc>
        <w:tc>
          <w:tcPr>
            <w:tcW w:w="100" w:type="dxa"/>
            <w:vAlign w:val="bottom"/>
            <w:tcBorders>
              <w:bottom w:val="single" w:sz="8" w:color="F6FAFB"/>
            </w:tcBorders>
            <w:shd w:val="clear" w:color="auto" w:fill="F6FAFB"/>
          </w:tcPr>
          <w:p>
            <w:pPr>
              <w:spacing w:after="0"/>
              <w:rPr>
                <w:sz w:val="22"/>
                <w:szCs w:val="22"/>
                <w:color w:val="auto"/>
              </w:rPr>
            </w:pPr>
          </w:p>
        </w:tc>
        <w:tc>
          <w:tcPr>
            <w:tcW w:w="280" w:type="dxa"/>
            <w:vAlign w:val="bottom"/>
            <w:tcBorders>
              <w:bottom w:val="single" w:sz="8" w:color="0E93D8"/>
            </w:tcBorders>
            <w:shd w:val="clear" w:color="auto" w:fill="F6FAFB"/>
          </w:tcPr>
          <w:p>
            <w:pPr>
              <w:spacing w:after="0"/>
              <w:rPr>
                <w:sz w:val="22"/>
                <w:szCs w:val="22"/>
                <w:color w:val="auto"/>
              </w:rPr>
            </w:pPr>
          </w:p>
        </w:tc>
        <w:tc>
          <w:tcPr>
            <w:tcW w:w="1160" w:type="dxa"/>
            <w:vAlign w:val="bottom"/>
            <w:tcBorders>
              <w:bottom w:val="single" w:sz="8" w:color="0E93D8"/>
            </w:tcBorders>
            <w:shd w:val="clear" w:color="auto" w:fill="F6FAFB"/>
          </w:tcPr>
          <w:p>
            <w:pPr>
              <w:jc w:val="right"/>
              <w:ind w:right="12"/>
              <w:spacing w:after="0" w:line="224" w:lineRule="exact"/>
              <w:rPr>
                <w:sz w:val="20"/>
                <w:szCs w:val="20"/>
                <w:color w:val="auto"/>
              </w:rPr>
            </w:pPr>
            <w:r>
              <w:rPr>
                <w:rFonts w:ascii="Arial" w:cs="Arial" w:eastAsia="Arial" w:hAnsi="Arial"/>
                <w:sz w:val="14"/>
                <w:szCs w:val="14"/>
                <w:b w:val="1"/>
                <w:bCs w:val="1"/>
                <w:color w:val="0E93D8"/>
                <w:w w:val="95"/>
              </w:rPr>
              <w:t>on Vesting ($)</w:t>
            </w:r>
            <w:r>
              <w:rPr>
                <w:rFonts w:ascii="Arial" w:cs="Arial" w:eastAsia="Arial" w:hAnsi="Arial"/>
                <w:sz w:val="22"/>
                <w:szCs w:val="22"/>
                <w:b w:val="1"/>
                <w:bCs w:val="1"/>
                <w:color w:val="0E93D8"/>
                <w:w w:val="95"/>
                <w:vertAlign w:val="superscript"/>
              </w:rPr>
              <w:t>(4)</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G. Hayes</w:t>
            </w:r>
          </w:p>
        </w:tc>
        <w:tc>
          <w:tcPr>
            <w:tcW w:w="1200" w:type="dxa"/>
            <w:vAlign w:val="bottom"/>
            <w:tcBorders>
              <w:bottom w:val="single" w:sz="8" w:color="7C7C7C"/>
            </w:tcBorders>
          </w:tcPr>
          <w:p>
            <w:pPr>
              <w:spacing w:after="0"/>
              <w:rPr>
                <w:sz w:val="17"/>
                <w:szCs w:val="17"/>
                <w:color w:val="auto"/>
              </w:rPr>
            </w:pPr>
          </w:p>
        </w:tc>
        <w:tc>
          <w:tcPr>
            <w:tcW w:w="100" w:type="dxa"/>
            <w:vAlign w:val="bottom"/>
            <w:tcBorders>
              <w:bottom w:val="single" w:sz="8" w:color="7C7C7C"/>
            </w:tcBorders>
          </w:tcPr>
          <w:p>
            <w:pPr>
              <w:spacing w:after="0"/>
              <w:rPr>
                <w:sz w:val="17"/>
                <w:szCs w:val="17"/>
                <w:color w:val="auto"/>
              </w:rPr>
            </w:pPr>
          </w:p>
        </w:tc>
        <w:tc>
          <w:tcPr>
            <w:tcW w:w="2420" w:type="dxa"/>
            <w:vAlign w:val="bottom"/>
            <w:tcBorders>
              <w:bottom w:val="single" w:sz="8" w:color="7C7C7C"/>
            </w:tcBorders>
            <w:gridSpan w:val="3"/>
          </w:tcPr>
          <w:p>
            <w:pPr>
              <w:jc w:val="right"/>
              <w:ind w:right="4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7C7C7C"/>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11,060</w:t>
            </w:r>
          </w:p>
        </w:tc>
        <w:tc>
          <w:tcPr>
            <w:tcW w:w="100" w:type="dxa"/>
            <w:vAlign w:val="bottom"/>
            <w:tcBorders>
              <w:bottom w:val="single" w:sz="8" w:color="7C7C7C"/>
            </w:tcBorders>
            <w:shd w:val="clear" w:color="auto" w:fill="F6FAFB"/>
          </w:tcPr>
          <w:p>
            <w:pPr>
              <w:spacing w:after="0"/>
              <w:rPr>
                <w:sz w:val="17"/>
                <w:szCs w:val="17"/>
                <w:color w:val="auto"/>
              </w:rPr>
            </w:pPr>
          </w:p>
        </w:tc>
        <w:tc>
          <w:tcPr>
            <w:tcW w:w="280" w:type="dxa"/>
            <w:vAlign w:val="bottom"/>
            <w:tcBorders>
              <w:bottom w:val="single" w:sz="8" w:color="7C7C7C"/>
            </w:tcBorders>
            <w:shd w:val="clear" w:color="auto" w:fill="F6FAFB"/>
          </w:tcPr>
          <w:p>
            <w:pPr>
              <w:spacing w:after="0"/>
              <w:rPr>
                <w:sz w:val="17"/>
                <w:szCs w:val="17"/>
                <w:color w:val="auto"/>
              </w:rPr>
            </w:pPr>
          </w:p>
        </w:tc>
        <w:tc>
          <w:tcPr>
            <w:tcW w:w="11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$1,408,823</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A. Johri</w:t>
            </w:r>
          </w:p>
        </w:tc>
        <w:tc>
          <w:tcPr>
            <w:tcW w:w="3360" w:type="dxa"/>
            <w:vAlign w:val="bottom"/>
            <w:tcBorders>
              <w:bottom w:val="single" w:sz="8" w:color="7C7C7C"/>
            </w:tcBorders>
            <w:gridSpan w:val="3"/>
          </w:tcPr>
          <w:p>
            <w:pPr>
              <w:jc w:val="right"/>
              <w:ind w:right="12"/>
              <w:spacing w:after="0"/>
              <w:rPr>
                <w:sz w:val="20"/>
                <w:szCs w:val="20"/>
                <w:color w:val="auto"/>
              </w:rPr>
            </w:pPr>
            <w:r>
              <w:rPr>
                <w:rFonts w:ascii="Arial" w:cs="Arial" w:eastAsia="Arial" w:hAnsi="Arial"/>
                <w:sz w:val="14"/>
                <w:szCs w:val="14"/>
                <w:color w:val="auto"/>
              </w:rPr>
              <w:t>18,200</w:t>
            </w:r>
          </w:p>
        </w:tc>
        <w:tc>
          <w:tcPr>
            <w:tcW w:w="100" w:type="dxa"/>
            <w:vAlign w:val="bottom"/>
            <w:tcBorders>
              <w:bottom w:val="single" w:sz="8" w:color="7C7C7C"/>
            </w:tcBorders>
          </w:tcPr>
          <w:p>
            <w:pPr>
              <w:spacing w:after="0"/>
              <w:rPr>
                <w:sz w:val="17"/>
                <w:szCs w:val="17"/>
                <w:color w:val="auto"/>
              </w:rPr>
            </w:pPr>
          </w:p>
        </w:tc>
        <w:tc>
          <w:tcPr>
            <w:tcW w:w="260" w:type="dxa"/>
            <w:vAlign w:val="bottom"/>
            <w:tcBorders>
              <w:bottom w:val="single" w:sz="8" w:color="7C7C7C"/>
            </w:tcBorders>
          </w:tcPr>
          <w:p>
            <w:pPr>
              <w:spacing w:after="0"/>
              <w:rPr>
                <w:sz w:val="17"/>
                <w:szCs w:val="17"/>
                <w:color w:val="auto"/>
              </w:rPr>
            </w:pPr>
          </w:p>
        </w:tc>
        <w:tc>
          <w:tcPr>
            <w:tcW w:w="12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$1,268,542</w:t>
            </w:r>
          </w:p>
        </w:tc>
        <w:tc>
          <w:tcPr>
            <w:tcW w:w="180" w:type="dxa"/>
            <w:vAlign w:val="bottom"/>
            <w:tcBorders>
              <w:bottom w:val="single" w:sz="8" w:color="7C7C7C"/>
            </w:tcBorders>
          </w:tcPr>
          <w:p>
            <w:pPr>
              <w:spacing w:after="0"/>
              <w:rPr>
                <w:sz w:val="17"/>
                <w:szCs w:val="17"/>
                <w:color w:val="auto"/>
              </w:rPr>
            </w:pPr>
          </w:p>
        </w:tc>
        <w:tc>
          <w:tcPr>
            <w:tcW w:w="1800" w:type="dxa"/>
            <w:vAlign w:val="bottom"/>
            <w:tcBorders>
              <w:bottom w:val="single" w:sz="8" w:color="7C7C7C"/>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42,006</w:t>
            </w:r>
          </w:p>
        </w:tc>
        <w:tc>
          <w:tcPr>
            <w:tcW w:w="100" w:type="dxa"/>
            <w:vAlign w:val="bottom"/>
            <w:tcBorders>
              <w:bottom w:val="single" w:sz="8" w:color="7C7C7C"/>
            </w:tcBorders>
            <w:shd w:val="clear" w:color="auto" w:fill="F6FAFB"/>
          </w:tcPr>
          <w:p>
            <w:pPr>
              <w:spacing w:after="0"/>
              <w:rPr>
                <w:sz w:val="17"/>
                <w:szCs w:val="17"/>
                <w:color w:val="auto"/>
              </w:rPr>
            </w:pPr>
          </w:p>
        </w:tc>
        <w:tc>
          <w:tcPr>
            <w:tcW w:w="280" w:type="dxa"/>
            <w:vAlign w:val="bottom"/>
            <w:tcBorders>
              <w:bottom w:val="single" w:sz="8" w:color="7C7C7C"/>
            </w:tcBorders>
            <w:shd w:val="clear" w:color="auto" w:fill="F6FAFB"/>
          </w:tcPr>
          <w:p>
            <w:pPr>
              <w:spacing w:after="0"/>
              <w:rPr>
                <w:sz w:val="17"/>
                <w:szCs w:val="17"/>
                <w:color w:val="auto"/>
              </w:rPr>
            </w:pPr>
          </w:p>
        </w:tc>
        <w:tc>
          <w:tcPr>
            <w:tcW w:w="11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$5,381,370</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R. Ortberg</w:t>
            </w:r>
          </w:p>
        </w:tc>
        <w:tc>
          <w:tcPr>
            <w:tcW w:w="1200" w:type="dxa"/>
            <w:vAlign w:val="bottom"/>
            <w:tcBorders>
              <w:bottom w:val="single" w:sz="8" w:color="7C7C7C"/>
            </w:tcBorders>
          </w:tcPr>
          <w:p>
            <w:pPr>
              <w:spacing w:after="0"/>
              <w:rPr>
                <w:sz w:val="17"/>
                <w:szCs w:val="17"/>
                <w:color w:val="auto"/>
              </w:rPr>
            </w:pPr>
          </w:p>
        </w:tc>
        <w:tc>
          <w:tcPr>
            <w:tcW w:w="100" w:type="dxa"/>
            <w:vAlign w:val="bottom"/>
            <w:tcBorders>
              <w:bottom w:val="single" w:sz="8" w:color="7C7C7C"/>
            </w:tcBorders>
          </w:tcPr>
          <w:p>
            <w:pPr>
              <w:spacing w:after="0"/>
              <w:rPr>
                <w:sz w:val="17"/>
                <w:szCs w:val="17"/>
                <w:color w:val="auto"/>
              </w:rPr>
            </w:pPr>
          </w:p>
        </w:tc>
        <w:tc>
          <w:tcPr>
            <w:tcW w:w="2420" w:type="dxa"/>
            <w:vAlign w:val="bottom"/>
            <w:tcBorders>
              <w:bottom w:val="single" w:sz="8" w:color="7C7C7C"/>
            </w:tcBorders>
            <w:gridSpan w:val="3"/>
          </w:tcPr>
          <w:p>
            <w:pPr>
              <w:jc w:val="right"/>
              <w:ind w:right="4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7C7C7C"/>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7C7C7C"/>
            </w:tcBorders>
            <w:shd w:val="clear" w:color="auto" w:fill="F6FAFB"/>
          </w:tcPr>
          <w:p>
            <w:pPr>
              <w:spacing w:after="0"/>
              <w:rPr>
                <w:sz w:val="17"/>
                <w:szCs w:val="17"/>
                <w:color w:val="auto"/>
              </w:rPr>
            </w:pPr>
          </w:p>
        </w:tc>
        <w:tc>
          <w:tcPr>
            <w:tcW w:w="34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280" w:type="dxa"/>
            <w:vAlign w:val="bottom"/>
            <w:tcBorders>
              <w:bottom w:val="single" w:sz="8" w:color="7C7C7C"/>
            </w:tcBorders>
            <w:shd w:val="clear" w:color="auto" w:fill="F6FAFB"/>
          </w:tcPr>
          <w:p>
            <w:pPr>
              <w:spacing w:after="0"/>
              <w:rPr>
                <w:sz w:val="17"/>
                <w:szCs w:val="17"/>
                <w:color w:val="auto"/>
              </w:rPr>
            </w:pPr>
          </w:p>
        </w:tc>
        <w:tc>
          <w:tcPr>
            <w:tcW w:w="11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J. Marks</w:t>
            </w:r>
          </w:p>
        </w:tc>
        <w:tc>
          <w:tcPr>
            <w:tcW w:w="1200" w:type="dxa"/>
            <w:vAlign w:val="bottom"/>
            <w:tcBorders>
              <w:bottom w:val="single" w:sz="8" w:color="7C7C7C"/>
            </w:tcBorders>
          </w:tcPr>
          <w:p>
            <w:pPr>
              <w:spacing w:after="0"/>
              <w:rPr>
                <w:sz w:val="17"/>
                <w:szCs w:val="17"/>
                <w:color w:val="auto"/>
              </w:rPr>
            </w:pPr>
          </w:p>
        </w:tc>
        <w:tc>
          <w:tcPr>
            <w:tcW w:w="100" w:type="dxa"/>
            <w:vAlign w:val="bottom"/>
            <w:tcBorders>
              <w:bottom w:val="single" w:sz="8" w:color="7C7C7C"/>
            </w:tcBorders>
          </w:tcPr>
          <w:p>
            <w:pPr>
              <w:spacing w:after="0"/>
              <w:rPr>
                <w:sz w:val="17"/>
                <w:szCs w:val="17"/>
                <w:color w:val="auto"/>
              </w:rPr>
            </w:pPr>
          </w:p>
        </w:tc>
        <w:tc>
          <w:tcPr>
            <w:tcW w:w="2420" w:type="dxa"/>
            <w:vAlign w:val="bottom"/>
            <w:tcBorders>
              <w:bottom w:val="single" w:sz="8" w:color="7C7C7C"/>
            </w:tcBorders>
            <w:gridSpan w:val="3"/>
          </w:tcPr>
          <w:p>
            <w:pPr>
              <w:jc w:val="right"/>
              <w:ind w:right="4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7C7C7C"/>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7C7C7C"/>
            </w:tcBorders>
            <w:shd w:val="clear" w:color="auto" w:fill="F6FAFB"/>
          </w:tcPr>
          <w:p>
            <w:pPr>
              <w:spacing w:after="0"/>
              <w:rPr>
                <w:sz w:val="17"/>
                <w:szCs w:val="17"/>
                <w:color w:val="auto"/>
              </w:rPr>
            </w:pPr>
          </w:p>
        </w:tc>
        <w:tc>
          <w:tcPr>
            <w:tcW w:w="34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C7C7C"/>
            </w:tcBorders>
            <w:shd w:val="clear" w:color="auto" w:fill="F6FAFB"/>
          </w:tcPr>
          <w:p>
            <w:pPr>
              <w:spacing w:after="0"/>
              <w:rPr>
                <w:sz w:val="17"/>
                <w:szCs w:val="17"/>
                <w:color w:val="auto"/>
              </w:rPr>
            </w:pPr>
          </w:p>
        </w:tc>
        <w:tc>
          <w:tcPr>
            <w:tcW w:w="280" w:type="dxa"/>
            <w:vAlign w:val="bottom"/>
            <w:tcBorders>
              <w:bottom w:val="single" w:sz="8" w:color="7C7C7C"/>
            </w:tcBorders>
            <w:shd w:val="clear" w:color="auto" w:fill="F6FAFB"/>
          </w:tcPr>
          <w:p>
            <w:pPr>
              <w:spacing w:after="0"/>
              <w:rPr>
                <w:sz w:val="17"/>
                <w:szCs w:val="17"/>
                <w:color w:val="auto"/>
              </w:rPr>
            </w:pPr>
          </w:p>
        </w:tc>
        <w:tc>
          <w:tcPr>
            <w:tcW w:w="11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 Gitlin</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gridSpan w:val="2"/>
            <w:shd w:val="clear" w:color="auto" w:fill="F6FAFB"/>
          </w:tcPr>
          <w:p>
            <w:pPr>
              <w:jc w:val="right"/>
              <w:ind w:right="12"/>
              <w:spacing w:after="0"/>
              <w:rPr>
                <w:sz w:val="20"/>
                <w:szCs w:val="20"/>
                <w:color w:val="auto"/>
              </w:rPr>
            </w:pPr>
            <w:r>
              <w:rPr>
                <w:rFonts w:ascii="Arial" w:cs="Arial" w:eastAsia="Arial" w:hAnsi="Arial"/>
                <w:sz w:val="14"/>
                <w:szCs w:val="14"/>
                <w:color w:val="auto"/>
              </w:rPr>
              <w:t>3,080</w:t>
            </w:r>
          </w:p>
        </w:tc>
        <w:tc>
          <w:tcPr>
            <w:tcW w:w="100" w:type="dxa"/>
            <w:vAlign w:val="bottom"/>
            <w:tcBorders>
              <w:bottom w:val="single" w:sz="8" w:color="auto"/>
            </w:tcBorders>
            <w:shd w:val="clear" w:color="auto" w:fill="F6FAFB"/>
          </w:tcPr>
          <w:p>
            <w:pPr>
              <w:spacing w:after="0"/>
              <w:rPr>
                <w:sz w:val="17"/>
                <w:szCs w:val="17"/>
                <w:color w:val="auto"/>
              </w:rPr>
            </w:pPr>
          </w:p>
        </w:tc>
        <w:tc>
          <w:tcPr>
            <w:tcW w:w="280" w:type="dxa"/>
            <w:vAlign w:val="bottom"/>
            <w:tcBorders>
              <w:bottom w:val="single" w:sz="8" w:color="auto"/>
            </w:tcBorders>
            <w:shd w:val="clear" w:color="auto" w:fill="F6FAFB"/>
          </w:tcPr>
          <w:p>
            <w:pPr>
              <w:spacing w:after="0"/>
              <w:rPr>
                <w:sz w:val="17"/>
                <w:szCs w:val="17"/>
                <w:color w:val="auto"/>
              </w:rPr>
            </w:pPr>
          </w:p>
        </w:tc>
        <w:tc>
          <w:tcPr>
            <w:tcW w:w="11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$392,330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0" w:hanging="212"/>
        <w:spacing w:after="0"/>
        <w:tabs>
          <w:tab w:leader="none" w:pos="2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SARs exercised during 2018.</w:t>
      </w:r>
    </w:p>
    <w:p>
      <w:pPr>
        <w:spacing w:after="0" w:line="55" w:lineRule="exact"/>
        <w:rPr>
          <w:rFonts w:ascii="Arial" w:cs="Arial" w:eastAsia="Arial" w:hAnsi="Arial"/>
          <w:sz w:val="14"/>
          <w:szCs w:val="14"/>
          <w:color w:val="auto"/>
        </w:rPr>
      </w:pPr>
    </w:p>
    <w:p>
      <w:pPr>
        <w:ind w:left="220" w:right="180" w:hanging="212"/>
        <w:spacing w:after="0" w:line="231" w:lineRule="auto"/>
        <w:tabs>
          <w:tab w:leader="none" w:pos="2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Calculated by multiplying the number of shares acquired upon exercise by the difference between the market price of UTC Common Stock on the exercise date and the grant price of the award.</w:t>
      </w:r>
    </w:p>
    <w:p>
      <w:pPr>
        <w:spacing w:after="0" w:line="54" w:lineRule="exact"/>
        <w:rPr>
          <w:rFonts w:ascii="Arial" w:cs="Arial" w:eastAsia="Arial" w:hAnsi="Arial"/>
          <w:sz w:val="14"/>
          <w:szCs w:val="14"/>
          <w:color w:val="auto"/>
        </w:rPr>
      </w:pPr>
    </w:p>
    <w:p>
      <w:pPr>
        <w:jc w:val="both"/>
        <w:ind w:left="220" w:right="100" w:hanging="212"/>
        <w:spacing w:after="0" w:line="228" w:lineRule="auto"/>
        <w:tabs>
          <w:tab w:leader="none" w:pos="2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PSUs and RSUs that converted to shares of UTC Common Stock on a one-for-one basis upon vesting in 2018. PSUs granted on January 2, 2015 vested at 28% of target on February 12, 2018, based on performance through December 31, 2017. Mr. Johri elected to defer the receipt of his vested PSUs in the amount of $337,834 into the UTC PSU Deferral Plan, as detailed on pages 65-66.</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Calculated by multiplying the number of vested PSUs and RSUs by the market price of UTC Common Stock on the vesting date.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-90805</wp:posOffset>
            </wp:positionV>
            <wp:extent cx="6363335" cy="946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363335" cy="94615"/>
                    </a:xfrm>
                    <a:prstGeom prst="rect">
                      <a:avLst/>
                    </a:prstGeom>
                    <a:noFill/>
                  </pic:spPr>
                </pic:pic>
              </a:graphicData>
            </a:graphic>
          </wp:anchor>
        </w:drawing>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0E93D8"/>
        </w:rPr>
        <w:t xml:space="preserve">Overview of Plans. </w:t>
      </w:r>
      <w:r>
        <w:rPr>
          <w:rFonts w:ascii="Arial" w:cs="Arial" w:eastAsia="Arial" w:hAnsi="Arial"/>
          <w:sz w:val="18"/>
          <w:szCs w:val="18"/>
          <w:color w:val="000000"/>
        </w:rPr>
        <w:t>Salaried employees hired before January 1, 2010, participate in the UTC Employee Retirement Plan (“ERP”) and the UTC</w:t>
      </w:r>
      <w:r>
        <w:rPr>
          <w:rFonts w:ascii="Arial" w:cs="Arial" w:eastAsia="Arial" w:hAnsi="Arial"/>
          <w:sz w:val="18"/>
          <w:szCs w:val="18"/>
          <w:color w:val="0E93D8"/>
        </w:rPr>
        <w:t xml:space="preserve"> </w:t>
      </w:r>
      <w:r>
        <w:rPr>
          <w:rFonts w:ascii="Arial" w:cs="Arial" w:eastAsia="Arial" w:hAnsi="Arial"/>
          <w:sz w:val="18"/>
          <w:szCs w:val="18"/>
          <w:color w:val="000000"/>
        </w:rPr>
        <w:t>Pension Preservation Plan (“PPP”), as described below. The ERP is a tax-qualified plan subject to Internal Revenue Code (“IRC”) provisions that, as of December 31, 2018, limit recognized annual compensation to $275,000 and annual retirement benefits to $220,000.</w:t>
      </w:r>
    </w:p>
    <w:p>
      <w:pPr>
        <w:spacing w:after="0" w:line="20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PPP is an unfunded, nonqualified retirement plan that utilizes the same benefit formula, retirement eligibility and vesting provisions as the ERP, but provides benefits that cannot be accrued under the ERP due to the IRC limits described above.</w:t>
      </w:r>
    </w:p>
    <w:p>
      <w:pPr>
        <w:spacing w:after="0" w:line="209"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0E93D8"/>
        </w:rPr>
        <w:t xml:space="preserve">Pension Benefit Formula. </w:t>
      </w:r>
      <w:r>
        <w:rPr>
          <w:rFonts w:ascii="Arial" w:cs="Arial" w:eastAsia="Arial" w:hAnsi="Arial"/>
          <w:sz w:val="16"/>
          <w:szCs w:val="16"/>
          <w:color w:val="000000"/>
        </w:rPr>
        <w:t>Through the end of 2014, both the ERP and PPP used a traditional final average earnings (“FAE”) retirement benefit</w:t>
      </w:r>
      <w:r>
        <w:rPr>
          <w:rFonts w:ascii="Arial" w:cs="Arial" w:eastAsia="Arial" w:hAnsi="Arial"/>
          <w:sz w:val="16"/>
          <w:szCs w:val="16"/>
          <w:color w:val="0E93D8"/>
        </w:rPr>
        <w:t xml:space="preserve"> </w:t>
      </w:r>
      <w:r>
        <w:rPr>
          <w:rFonts w:ascii="Arial" w:cs="Arial" w:eastAsia="Arial" w:hAnsi="Arial"/>
          <w:sz w:val="16"/>
          <w:szCs w:val="16"/>
          <w:color w:val="000000"/>
        </w:rPr>
        <w:t>formula for salaried employees hired prior to July 1, 2002. Under this formula, the plans provided an annual benefit equal to 2% of the executive’s earnings (defined below) for each year of service up to a maximum of 20 years, plus 1% of earnings for each year of service thereafter, minus 1.5% of the executive’s Social Security benefit for each year of service (up to a maximum 50% offset of the annual Social Security benefit). Earnings recognized under this formula consist of the highest average annual base salary and annual bonus received over any consecutive five calendar-year period ending on or before December 31, 2014. The FAE formula does not recognize long-term incentive compensation.</w:t>
      </w:r>
    </w:p>
    <w:p>
      <w:pPr>
        <w:spacing w:after="0" w:line="185"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Effective December 31, 2014, for employees hired prior to July 1, 2002, the FAE formula was replaced by a cash balance formula. Employees hired after June 30, 2002, but prior to January 1, 2010, accrue benefits under this cash balance formula. The cash balance formula credits a participant’s account with amounts that grow each month through two types of credits — pay credits and interest credits. Pay credits range from 3% to 8% of base salary and annual bonus, depending on the participant’s age. Interest credits are based on 30-year U.S. Treasury Bond yields and are subject to annual adjustments but cannot fall below 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0E93D8"/>
        </w:rPr>
        <w:t xml:space="preserve">Distribution Options. </w:t>
      </w:r>
      <w:r>
        <w:rPr>
          <w:rFonts w:ascii="Arial" w:cs="Arial" w:eastAsia="Arial" w:hAnsi="Arial"/>
          <w:sz w:val="18"/>
          <w:szCs w:val="18"/>
          <w:color w:val="000000"/>
        </w:rPr>
        <w:t>The following distribution options are available for election by Plan participants: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Plan</w:t>
            </w:r>
          </w:p>
        </w:tc>
        <w:tc>
          <w:tcPr>
            <w:tcW w:w="3880" w:type="dxa"/>
            <w:vAlign w:val="bottom"/>
            <w:gridSpan w:val="3"/>
          </w:tcPr>
          <w:p>
            <w:pPr>
              <w:ind w:left="60"/>
              <w:spacing w:after="0"/>
              <w:rPr>
                <w:sz w:val="20"/>
                <w:szCs w:val="20"/>
                <w:color w:val="auto"/>
              </w:rPr>
            </w:pPr>
            <w:r>
              <w:rPr>
                <w:rFonts w:ascii="Arial" w:cs="Arial" w:eastAsia="Arial" w:hAnsi="Arial"/>
                <w:sz w:val="14"/>
                <w:szCs w:val="14"/>
                <w:b w:val="1"/>
                <w:bCs w:val="1"/>
                <w:color w:val="0E93D8"/>
              </w:rPr>
              <w:t>FAE Benefit Formula</w:t>
            </w:r>
          </w:p>
        </w:tc>
        <w:tc>
          <w:tcPr>
            <w:tcW w:w="3640" w:type="dxa"/>
            <w:vAlign w:val="bottom"/>
            <w:gridSpan w:val="2"/>
          </w:tcPr>
          <w:p>
            <w:pPr>
              <w:ind w:left="60"/>
              <w:spacing w:after="0"/>
              <w:rPr>
                <w:sz w:val="20"/>
                <w:szCs w:val="20"/>
                <w:color w:val="auto"/>
              </w:rPr>
            </w:pPr>
            <w:r>
              <w:rPr>
                <w:rFonts w:ascii="Arial" w:cs="Arial" w:eastAsia="Arial" w:hAnsi="Arial"/>
                <w:sz w:val="14"/>
                <w:szCs w:val="14"/>
                <w:b w:val="1"/>
                <w:bCs w:val="1"/>
                <w:color w:val="0E93D8"/>
              </w:rPr>
              <w:t>Cash Balance Benefit Formula</w:t>
            </w:r>
          </w:p>
        </w:tc>
      </w:tr>
      <w:tr>
        <w:trPr>
          <w:trHeight w:val="61"/>
        </w:trPr>
        <w:tc>
          <w:tcPr>
            <w:tcW w:w="378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0E93D8"/>
          </w:tcPr>
          <w:p>
            <w:pPr>
              <w:spacing w:after="0"/>
              <w:rPr>
                <w:sz w:val="5"/>
                <w:szCs w:val="5"/>
                <w:color w:val="auto"/>
              </w:rPr>
            </w:pPr>
          </w:p>
        </w:tc>
        <w:tc>
          <w:tcPr>
            <w:tcW w:w="3540" w:type="dxa"/>
            <w:vAlign w:val="bottom"/>
            <w:shd w:val="clear" w:color="auto" w:fill="0E93D8"/>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0E93D8"/>
          </w:tcPr>
          <w:p>
            <w:pPr>
              <w:spacing w:after="0"/>
              <w:rPr>
                <w:sz w:val="5"/>
                <w:szCs w:val="5"/>
                <w:color w:val="auto"/>
              </w:rPr>
            </w:pPr>
          </w:p>
        </w:tc>
        <w:tc>
          <w:tcPr>
            <w:tcW w:w="3440" w:type="dxa"/>
            <w:vAlign w:val="bottom"/>
            <w:shd w:val="clear" w:color="auto" w:fill="0E93D8"/>
          </w:tcPr>
          <w:p>
            <w:pPr>
              <w:spacing w:after="0"/>
              <w:rPr>
                <w:sz w:val="5"/>
                <w:szCs w:val="5"/>
                <w:color w:val="auto"/>
              </w:rPr>
            </w:pPr>
          </w:p>
        </w:tc>
      </w:tr>
      <w:tr>
        <w:trPr>
          <w:trHeight w:val="175"/>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Employee Retirement Plan</w:t>
            </w:r>
          </w:p>
        </w:tc>
        <w:tc>
          <w:tcPr>
            <w:tcW w:w="220" w:type="dxa"/>
            <w:vAlign w:val="bottom"/>
          </w:tcPr>
          <w:p>
            <w:pPr>
              <w:ind w:left="60"/>
              <w:spacing w:after="0"/>
              <w:rPr>
                <w:sz w:val="20"/>
                <w:szCs w:val="20"/>
                <w:color w:val="auto"/>
              </w:rPr>
            </w:pPr>
            <w:r>
              <w:rPr>
                <w:rFonts w:ascii="Arial" w:cs="Arial" w:eastAsia="Arial" w:hAnsi="Arial"/>
                <w:sz w:val="13"/>
                <w:szCs w:val="13"/>
                <w:color w:val="FDB03F"/>
              </w:rPr>
              <w:t>●</w:t>
            </w:r>
          </w:p>
        </w:tc>
        <w:tc>
          <w:tcPr>
            <w:tcW w:w="3660" w:type="dxa"/>
            <w:vAlign w:val="bottom"/>
            <w:gridSpan w:val="2"/>
          </w:tcPr>
          <w:p>
            <w:pPr>
              <w:ind w:left="60"/>
              <w:spacing w:after="0"/>
              <w:rPr>
                <w:sz w:val="20"/>
                <w:szCs w:val="20"/>
                <w:color w:val="auto"/>
              </w:rPr>
            </w:pPr>
            <w:r>
              <w:rPr>
                <w:rFonts w:ascii="Arial" w:cs="Arial" w:eastAsia="Arial" w:hAnsi="Arial"/>
                <w:sz w:val="14"/>
                <w:szCs w:val="14"/>
                <w:color w:val="auto"/>
              </w:rPr>
              <w:t>Lump-sum payment</w:t>
            </w:r>
          </w:p>
        </w:tc>
        <w:tc>
          <w:tcPr>
            <w:tcW w:w="200" w:type="dxa"/>
            <w:vAlign w:val="bottom"/>
          </w:tcPr>
          <w:p>
            <w:pPr>
              <w:ind w:left="60"/>
              <w:spacing w:after="0"/>
              <w:rPr>
                <w:sz w:val="20"/>
                <w:szCs w:val="20"/>
                <w:color w:val="auto"/>
              </w:rPr>
            </w:pPr>
            <w:r>
              <w:rPr>
                <w:rFonts w:ascii="Arial" w:cs="Arial" w:eastAsia="Arial" w:hAnsi="Arial"/>
                <w:sz w:val="13"/>
                <w:szCs w:val="13"/>
                <w:color w:val="FDB03F"/>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Lump-sum payment</w:t>
            </w:r>
          </w:p>
        </w:tc>
      </w:tr>
      <w:tr>
        <w:trPr>
          <w:trHeight w:val="170"/>
        </w:trPr>
        <w:tc>
          <w:tcPr>
            <w:tcW w:w="3780" w:type="dxa"/>
            <w:vAlign w:val="bottom"/>
            <w:tcBorders>
              <w:bottom w:val="single" w:sz="8" w:color="7C7C7C"/>
            </w:tcBorders>
          </w:tcPr>
          <w:p>
            <w:pPr>
              <w:spacing w:after="0"/>
              <w:rPr>
                <w:sz w:val="14"/>
                <w:szCs w:val="14"/>
                <w:color w:val="auto"/>
              </w:rPr>
            </w:pPr>
          </w:p>
        </w:tc>
        <w:tc>
          <w:tcPr>
            <w:tcW w:w="120" w:type="dxa"/>
            <w:vAlign w:val="bottom"/>
            <w:tcBorders>
              <w:bottom w:val="single" w:sz="8" w:color="7C7C7C"/>
            </w:tcBorders>
          </w:tcPr>
          <w:p>
            <w:pPr>
              <w:spacing w:after="0"/>
              <w:rPr>
                <w:sz w:val="14"/>
                <w:szCs w:val="14"/>
                <w:color w:val="auto"/>
              </w:rPr>
            </w:pPr>
          </w:p>
        </w:tc>
        <w:tc>
          <w:tcPr>
            <w:tcW w:w="220" w:type="dxa"/>
            <w:vAlign w:val="bottom"/>
            <w:tcBorders>
              <w:bottom w:val="single" w:sz="8" w:color="7C7C7C"/>
            </w:tcBorders>
          </w:tcPr>
          <w:p>
            <w:pPr>
              <w:ind w:left="60"/>
              <w:spacing w:after="0"/>
              <w:rPr>
                <w:sz w:val="20"/>
                <w:szCs w:val="20"/>
                <w:color w:val="auto"/>
              </w:rPr>
            </w:pPr>
            <w:r>
              <w:rPr>
                <w:rFonts w:ascii="Arial" w:cs="Arial" w:eastAsia="Arial" w:hAnsi="Arial"/>
                <w:sz w:val="13"/>
                <w:szCs w:val="13"/>
                <w:color w:val="FDB03F"/>
              </w:rPr>
              <w:t>●</w:t>
            </w:r>
          </w:p>
        </w:tc>
        <w:tc>
          <w:tcPr>
            <w:tcW w:w="3660" w:type="dxa"/>
            <w:vAlign w:val="bottom"/>
            <w:tcBorders>
              <w:bottom w:val="single" w:sz="8" w:color="7C7C7C"/>
            </w:tcBorders>
            <w:gridSpan w:val="2"/>
          </w:tcPr>
          <w:p>
            <w:pPr>
              <w:ind w:left="60"/>
              <w:spacing w:after="0"/>
              <w:rPr>
                <w:sz w:val="20"/>
                <w:szCs w:val="20"/>
                <w:color w:val="auto"/>
              </w:rPr>
            </w:pPr>
            <w:r>
              <w:rPr>
                <w:rFonts w:ascii="Arial" w:cs="Arial" w:eastAsia="Arial" w:hAnsi="Arial"/>
                <w:sz w:val="14"/>
                <w:szCs w:val="14"/>
                <w:color w:val="auto"/>
              </w:rPr>
              <w:t>Annuity payments</w:t>
            </w:r>
          </w:p>
        </w:tc>
        <w:tc>
          <w:tcPr>
            <w:tcW w:w="200" w:type="dxa"/>
            <w:vAlign w:val="bottom"/>
            <w:tcBorders>
              <w:bottom w:val="single" w:sz="8" w:color="7C7C7C"/>
            </w:tcBorders>
          </w:tcPr>
          <w:p>
            <w:pPr>
              <w:ind w:left="60"/>
              <w:spacing w:after="0"/>
              <w:rPr>
                <w:sz w:val="20"/>
                <w:szCs w:val="20"/>
                <w:color w:val="auto"/>
              </w:rPr>
            </w:pPr>
            <w:r>
              <w:rPr>
                <w:rFonts w:ascii="Arial" w:cs="Arial" w:eastAsia="Arial" w:hAnsi="Arial"/>
                <w:sz w:val="13"/>
                <w:szCs w:val="13"/>
                <w:color w:val="FDB03F"/>
              </w:rPr>
              <w:t>●</w:t>
            </w:r>
          </w:p>
        </w:tc>
        <w:tc>
          <w:tcPr>
            <w:tcW w:w="3440" w:type="dxa"/>
            <w:vAlign w:val="bottom"/>
            <w:tcBorders>
              <w:bottom w:val="single" w:sz="8" w:color="7C7C7C"/>
            </w:tcBorders>
          </w:tcPr>
          <w:p>
            <w:pPr>
              <w:ind w:left="80"/>
              <w:spacing w:after="0"/>
              <w:rPr>
                <w:sz w:val="20"/>
                <w:szCs w:val="20"/>
                <w:color w:val="auto"/>
              </w:rPr>
            </w:pPr>
            <w:r>
              <w:rPr>
                <w:rFonts w:ascii="Arial" w:cs="Arial" w:eastAsia="Arial" w:hAnsi="Arial"/>
                <w:sz w:val="14"/>
                <w:szCs w:val="14"/>
                <w:color w:val="auto"/>
              </w:rPr>
              <w:t>Annuity payments</w:t>
            </w:r>
          </w:p>
        </w:tc>
      </w:tr>
      <w:tr>
        <w:trPr>
          <w:trHeight w:val="175"/>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0E93D8"/>
              </w:rPr>
              <w:t>Pension Preservation Plan</w:t>
            </w:r>
          </w:p>
        </w:tc>
        <w:tc>
          <w:tcPr>
            <w:tcW w:w="220" w:type="dxa"/>
            <w:vAlign w:val="bottom"/>
          </w:tcPr>
          <w:p>
            <w:pPr>
              <w:ind w:left="60"/>
              <w:spacing w:after="0"/>
              <w:rPr>
                <w:sz w:val="20"/>
                <w:szCs w:val="20"/>
                <w:color w:val="auto"/>
              </w:rPr>
            </w:pPr>
            <w:r>
              <w:rPr>
                <w:rFonts w:ascii="Arial" w:cs="Arial" w:eastAsia="Arial" w:hAnsi="Arial"/>
                <w:sz w:val="13"/>
                <w:szCs w:val="13"/>
                <w:color w:val="FDB03F"/>
              </w:rPr>
              <w:t>●</w:t>
            </w:r>
          </w:p>
        </w:tc>
        <w:tc>
          <w:tcPr>
            <w:tcW w:w="3660" w:type="dxa"/>
            <w:vAlign w:val="bottom"/>
            <w:gridSpan w:val="2"/>
          </w:tcPr>
          <w:p>
            <w:pPr>
              <w:ind w:left="60"/>
              <w:spacing w:after="0"/>
              <w:rPr>
                <w:sz w:val="20"/>
                <w:szCs w:val="20"/>
                <w:color w:val="auto"/>
              </w:rPr>
            </w:pPr>
            <w:r>
              <w:rPr>
                <w:rFonts w:ascii="Arial" w:cs="Arial" w:eastAsia="Arial" w:hAnsi="Arial"/>
                <w:sz w:val="14"/>
                <w:szCs w:val="14"/>
                <w:color w:val="auto"/>
              </w:rPr>
              <w:t>Lump-sum* payment</w:t>
            </w:r>
          </w:p>
        </w:tc>
        <w:tc>
          <w:tcPr>
            <w:tcW w:w="200" w:type="dxa"/>
            <w:vAlign w:val="bottom"/>
          </w:tcPr>
          <w:p>
            <w:pPr>
              <w:ind w:left="60"/>
              <w:spacing w:after="0"/>
              <w:rPr>
                <w:sz w:val="20"/>
                <w:szCs w:val="20"/>
                <w:color w:val="auto"/>
              </w:rPr>
            </w:pPr>
            <w:r>
              <w:rPr>
                <w:rFonts w:ascii="Arial" w:cs="Arial" w:eastAsia="Arial" w:hAnsi="Arial"/>
                <w:sz w:val="13"/>
                <w:szCs w:val="13"/>
                <w:color w:val="FDB03F"/>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Lump-sum payment</w:t>
            </w: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Arial" w:cs="Arial" w:eastAsia="Arial" w:hAnsi="Arial"/>
                <w:sz w:val="13"/>
                <w:szCs w:val="13"/>
                <w:color w:val="FDB03F"/>
              </w:rPr>
              <w:t>●</w:t>
            </w:r>
          </w:p>
        </w:tc>
        <w:tc>
          <w:tcPr>
            <w:tcW w:w="36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Annuity payments</w:t>
            </w:r>
          </w:p>
        </w:tc>
        <w:tc>
          <w:tcPr>
            <w:tcW w:w="200" w:type="dxa"/>
            <w:vAlign w:val="bottom"/>
          </w:tcPr>
          <w:p>
            <w:pPr>
              <w:ind w:left="60"/>
              <w:spacing w:after="0"/>
              <w:rPr>
                <w:sz w:val="20"/>
                <w:szCs w:val="20"/>
                <w:color w:val="auto"/>
              </w:rPr>
            </w:pPr>
            <w:r>
              <w:rPr>
                <w:rFonts w:ascii="Arial" w:cs="Arial" w:eastAsia="Arial" w:hAnsi="Arial"/>
                <w:sz w:val="13"/>
                <w:szCs w:val="13"/>
                <w:color w:val="FDB03F"/>
              </w:rPr>
              <w:t>●</w:t>
            </w: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rPr>
              <w:t>Annuity payments</w:t>
            </w:r>
          </w:p>
        </w:tc>
      </w:tr>
      <w:tr>
        <w:trPr>
          <w:trHeight w:val="170"/>
        </w:trPr>
        <w:tc>
          <w:tcPr>
            <w:tcW w:w="3780" w:type="dxa"/>
            <w:vAlign w:val="bottom"/>
            <w:tcBorders>
              <w:bottom w:val="single" w:sz="8" w:color="7C7C7C"/>
            </w:tcBorders>
          </w:tcPr>
          <w:p>
            <w:pPr>
              <w:spacing w:after="0"/>
              <w:rPr>
                <w:sz w:val="14"/>
                <w:szCs w:val="14"/>
                <w:color w:val="auto"/>
              </w:rPr>
            </w:pPr>
          </w:p>
        </w:tc>
        <w:tc>
          <w:tcPr>
            <w:tcW w:w="120" w:type="dxa"/>
            <w:vAlign w:val="bottom"/>
            <w:tcBorders>
              <w:bottom w:val="single" w:sz="8" w:color="7C7C7C"/>
            </w:tcBorders>
          </w:tcPr>
          <w:p>
            <w:pPr>
              <w:spacing w:after="0"/>
              <w:rPr>
                <w:sz w:val="14"/>
                <w:szCs w:val="14"/>
                <w:color w:val="auto"/>
              </w:rPr>
            </w:pPr>
          </w:p>
        </w:tc>
        <w:tc>
          <w:tcPr>
            <w:tcW w:w="3880" w:type="dxa"/>
            <w:vAlign w:val="bottom"/>
            <w:tcBorders>
              <w:bottom w:val="single" w:sz="8" w:color="7C7C7C"/>
            </w:tcBorders>
            <w:gridSpan w:val="3"/>
          </w:tcPr>
          <w:p>
            <w:pPr>
              <w:ind w:left="6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Two- to 10-year annual installments</w:t>
            </w:r>
          </w:p>
        </w:tc>
        <w:tc>
          <w:tcPr>
            <w:tcW w:w="3640" w:type="dxa"/>
            <w:vAlign w:val="bottom"/>
            <w:tcBorders>
              <w:bottom w:val="single" w:sz="8" w:color="7C7C7C"/>
            </w:tcBorders>
            <w:gridSpan w:val="2"/>
          </w:tcPr>
          <w:p>
            <w:pPr>
              <w:ind w:left="6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Two- to 10-year annual installments</w:t>
            </w:r>
          </w:p>
        </w:tc>
      </w:tr>
    </w:tbl>
    <w:p>
      <w:pPr>
        <w:spacing w:after="0" w:line="242" w:lineRule="exact"/>
        <w:rPr>
          <w:sz w:val="20"/>
          <w:szCs w:val="20"/>
          <w:color w:val="auto"/>
        </w:rPr>
      </w:pPr>
    </w:p>
    <w:p>
      <w:pPr>
        <w:ind w:left="120" w:right="300" w:hanging="112"/>
        <w:spacing w:after="0" w:line="231" w:lineRule="auto"/>
        <w:tabs>
          <w:tab w:leader="none" w:pos="1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Uses a discount rate equal to the Barclay’s Capital Municipal Bond Index averaged over five years (currently 2.304%). This non-taxable investment index is intended to yield an after-tax income stream on the net after-tax proceeds reinvested in tax-free bonds that are comparable to a more tax efficient annuity distribution.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63</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191895" cy="1289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COMPENSATION TABLES</w:t>
      </w:r>
    </w:p>
    <w:p>
      <w:pPr>
        <w:spacing w:after="0" w:line="200" w:lineRule="exact"/>
        <w:rPr>
          <w:sz w:val="20"/>
          <w:szCs w:val="20"/>
          <w:color w:val="auto"/>
        </w:rPr>
      </w:pPr>
    </w:p>
    <w:p>
      <w:pPr>
        <w:spacing w:after="0" w:line="29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0E93D8"/>
        </w:rPr>
        <w:t xml:space="preserve">Vesting and Retirement. </w:t>
      </w:r>
      <w:r>
        <w:rPr>
          <w:rFonts w:ascii="Arial" w:cs="Arial" w:eastAsia="Arial" w:hAnsi="Arial"/>
          <w:sz w:val="16"/>
          <w:szCs w:val="16"/>
          <w:color w:val="000000"/>
        </w:rPr>
        <w:t>Under both the ERP and the PPP, vesting requires three years of service. The normal retirement age under both the FAE</w:t>
      </w:r>
      <w:r>
        <w:rPr>
          <w:rFonts w:ascii="Arial" w:cs="Arial" w:eastAsia="Arial" w:hAnsi="Arial"/>
          <w:sz w:val="16"/>
          <w:szCs w:val="16"/>
          <w:color w:val="0E93D8"/>
        </w:rPr>
        <w:t xml:space="preserve"> </w:t>
      </w:r>
      <w:r>
        <w:rPr>
          <w:rFonts w:ascii="Arial" w:cs="Arial" w:eastAsia="Arial" w:hAnsi="Arial"/>
          <w:sz w:val="16"/>
          <w:szCs w:val="16"/>
          <w:color w:val="000000"/>
        </w:rPr>
        <w:t>and the cash balance benefit formulas is 65, but the FAE formula also provides full retirement benefits at age 62 for a participant who retires with at least 10 years of service. Early retirement benefits also are available under the FAE formula beginning at age 55 with at least 10 years of service, reduced by 0.2% for each month by which retirement precedes age 62. The value of the cash balance account is not impacted by an employee’s age at retirement. As of December 31, 2018, Messrs. Hayes and Johri were eligible for early retirement under the FAE formula.</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0E93D8"/>
        </w:rPr>
        <w:t xml:space="preserve">Other Formulas Used. </w:t>
      </w:r>
      <w:r>
        <w:rPr>
          <w:rFonts w:ascii="Arial" w:cs="Arial" w:eastAsia="Arial" w:hAnsi="Arial"/>
          <w:sz w:val="18"/>
          <w:szCs w:val="18"/>
          <w:color w:val="000000"/>
        </w:rPr>
        <w:t>Benefits shown below for Mr. Hayes also include amounts accrued under a different formula used in a predecessor</w:t>
      </w:r>
      <w:r>
        <w:rPr>
          <w:rFonts w:ascii="Arial" w:cs="Arial" w:eastAsia="Arial" w:hAnsi="Arial"/>
          <w:sz w:val="18"/>
          <w:szCs w:val="18"/>
          <w:color w:val="0E93D8"/>
        </w:rPr>
        <w:t xml:space="preserve"> </w:t>
      </w:r>
      <w:r>
        <w:rPr>
          <w:rFonts w:ascii="Arial" w:cs="Arial" w:eastAsia="Arial" w:hAnsi="Arial"/>
          <w:sz w:val="18"/>
          <w:szCs w:val="18"/>
          <w:color w:val="000000"/>
        </w:rPr>
        <w:t>Sundstrand pension plan that was merged into UTC’s pension plans, upon the acquisition of Sundstrand Corporation. Benefits shown for Mr. Ortberg are based on the formula under the frozen Rockwell Collins qualified and nonqualified pension plans which merged into the UTC ERP and PPP, respectively, as of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E93D8"/>
              </w:rPr>
              <w:t>Number of Years of</w:t>
            </w:r>
          </w:p>
        </w:tc>
        <w:tc>
          <w:tcPr>
            <w:tcW w:w="1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E93D8"/>
              </w:rPr>
              <w:t>Present Value of</w:t>
            </w:r>
          </w:p>
        </w:tc>
        <w:tc>
          <w:tcPr>
            <w:tcW w:w="1580" w:type="dxa"/>
            <w:vAlign w:val="bottom"/>
          </w:tcPr>
          <w:p>
            <w:pPr>
              <w:jc w:val="right"/>
              <w:ind w:right="12"/>
              <w:spacing w:after="0"/>
              <w:rPr>
                <w:sz w:val="20"/>
                <w:szCs w:val="20"/>
                <w:color w:val="auto"/>
              </w:rPr>
            </w:pPr>
            <w:r>
              <w:rPr>
                <w:rFonts w:ascii="Arial" w:cs="Arial" w:eastAsia="Arial" w:hAnsi="Arial"/>
                <w:sz w:val="14"/>
                <w:szCs w:val="14"/>
                <w:b w:val="1"/>
                <w:bCs w:val="1"/>
                <w:color w:val="0E93D8"/>
              </w:rPr>
              <w:t>Payments During Last</w:t>
            </w:r>
          </w:p>
        </w:tc>
      </w:tr>
      <w:tr>
        <w:trPr>
          <w:trHeight w:val="237"/>
        </w:trPr>
        <w:tc>
          <w:tcPr>
            <w:tcW w:w="198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Name</w:t>
            </w:r>
          </w:p>
        </w:tc>
        <w:tc>
          <w:tcPr>
            <w:tcW w:w="100" w:type="dxa"/>
            <w:vAlign w:val="bottom"/>
          </w:tcPr>
          <w:p>
            <w:pPr>
              <w:spacing w:after="0"/>
              <w:rPr>
                <w:sz w:val="20"/>
                <w:szCs w:val="20"/>
                <w:color w:val="auto"/>
              </w:rPr>
            </w:pPr>
          </w:p>
        </w:tc>
        <w:tc>
          <w:tcPr>
            <w:tcW w:w="4140" w:type="dxa"/>
            <w:vAlign w:val="bottom"/>
            <w:tcBorders>
              <w:bottom w:val="single" w:sz="8" w:color="DAE9F7"/>
            </w:tcBorders>
          </w:tcPr>
          <w:p>
            <w:pPr>
              <w:ind w:left="60"/>
              <w:spacing w:after="0"/>
              <w:rPr>
                <w:sz w:val="20"/>
                <w:szCs w:val="20"/>
                <w:color w:val="auto"/>
              </w:rPr>
            </w:pPr>
            <w:r>
              <w:rPr>
                <w:rFonts w:ascii="Arial" w:cs="Arial" w:eastAsia="Arial" w:hAnsi="Arial"/>
                <w:sz w:val="14"/>
                <w:szCs w:val="14"/>
                <w:b w:val="1"/>
                <w:bCs w:val="1"/>
                <w:color w:val="0E93D8"/>
              </w:rPr>
              <w:t>Plan Name</w:t>
            </w:r>
          </w:p>
        </w:tc>
        <w:tc>
          <w:tcPr>
            <w:tcW w:w="120" w:type="dxa"/>
            <w:vAlign w:val="bottom"/>
          </w:tcPr>
          <w:p>
            <w:pPr>
              <w:spacing w:after="0"/>
              <w:rPr>
                <w:sz w:val="20"/>
                <w:szCs w:val="20"/>
                <w:color w:val="auto"/>
              </w:rPr>
            </w:pPr>
          </w:p>
        </w:tc>
        <w:tc>
          <w:tcPr>
            <w:tcW w:w="1420" w:type="dxa"/>
            <w:vAlign w:val="bottom"/>
            <w:tcBorders>
              <w:bottom w:val="single" w:sz="8" w:color="0E93D8"/>
            </w:tcBorders>
          </w:tcPr>
          <w:p>
            <w:pPr>
              <w:jc w:val="right"/>
              <w:ind w:right="12"/>
              <w:spacing w:after="0"/>
              <w:rPr>
                <w:sz w:val="20"/>
                <w:szCs w:val="20"/>
                <w:color w:val="auto"/>
              </w:rPr>
            </w:pPr>
            <w:r>
              <w:rPr>
                <w:rFonts w:ascii="Arial" w:cs="Arial" w:eastAsia="Arial" w:hAnsi="Arial"/>
                <w:sz w:val="14"/>
                <w:szCs w:val="14"/>
                <w:b w:val="1"/>
                <w:bCs w:val="1"/>
                <w:color w:val="0E93D8"/>
              </w:rPr>
              <w:t>Credited Service (#)</w:t>
            </w:r>
          </w:p>
        </w:tc>
        <w:tc>
          <w:tcPr>
            <w:tcW w:w="120" w:type="dxa"/>
            <w:vAlign w:val="bottom"/>
          </w:tcPr>
          <w:p>
            <w:pPr>
              <w:spacing w:after="0"/>
              <w:rPr>
                <w:sz w:val="20"/>
                <w:szCs w:val="20"/>
                <w:color w:val="auto"/>
              </w:rPr>
            </w:pPr>
          </w:p>
        </w:tc>
        <w:tc>
          <w:tcPr>
            <w:tcW w:w="1840" w:type="dxa"/>
            <w:vAlign w:val="bottom"/>
            <w:tcBorders>
              <w:bottom w:val="single" w:sz="8" w:color="0E93D8"/>
            </w:tcBorders>
          </w:tcPr>
          <w:p>
            <w:pPr>
              <w:jc w:val="right"/>
              <w:ind w:right="12"/>
              <w:spacing w:after="0" w:line="203" w:lineRule="exact"/>
              <w:rPr>
                <w:sz w:val="20"/>
                <w:szCs w:val="20"/>
                <w:color w:val="auto"/>
              </w:rPr>
            </w:pPr>
            <w:r>
              <w:rPr>
                <w:rFonts w:ascii="Arial" w:cs="Arial" w:eastAsia="Arial" w:hAnsi="Arial"/>
                <w:sz w:val="14"/>
                <w:szCs w:val="14"/>
                <w:b w:val="1"/>
                <w:bCs w:val="1"/>
                <w:color w:val="0E93D8"/>
                <w:w w:val="97"/>
              </w:rPr>
              <w:t>Accumulated Benefit ($)</w:t>
            </w:r>
            <w:r>
              <w:rPr>
                <w:rFonts w:ascii="Arial" w:cs="Arial" w:eastAsia="Arial" w:hAnsi="Arial"/>
                <w:sz w:val="22"/>
                <w:szCs w:val="22"/>
                <w:b w:val="1"/>
                <w:bCs w:val="1"/>
                <w:color w:val="0E93D8"/>
                <w:w w:val="97"/>
                <w:vertAlign w:val="superscript"/>
              </w:rPr>
              <w:t>(1)</w:t>
            </w:r>
          </w:p>
        </w:tc>
        <w:tc>
          <w:tcPr>
            <w:tcW w:w="120" w:type="dxa"/>
            <w:vAlign w:val="bottom"/>
          </w:tcPr>
          <w:p>
            <w:pPr>
              <w:spacing w:after="0"/>
              <w:rPr>
                <w:sz w:val="20"/>
                <w:szCs w:val="20"/>
                <w:color w:val="auto"/>
              </w:rPr>
            </w:pPr>
          </w:p>
        </w:tc>
        <w:tc>
          <w:tcPr>
            <w:tcW w:w="1580" w:type="dxa"/>
            <w:vAlign w:val="bottom"/>
            <w:tcBorders>
              <w:bottom w:val="single" w:sz="8" w:color="0E93D8"/>
            </w:tcBorders>
          </w:tcPr>
          <w:p>
            <w:pPr>
              <w:jc w:val="right"/>
              <w:ind w:right="12"/>
              <w:spacing w:after="0"/>
              <w:rPr>
                <w:sz w:val="20"/>
                <w:szCs w:val="20"/>
                <w:color w:val="auto"/>
              </w:rPr>
            </w:pPr>
            <w:r>
              <w:rPr>
                <w:rFonts w:ascii="Arial" w:cs="Arial" w:eastAsia="Arial" w:hAnsi="Arial"/>
                <w:sz w:val="14"/>
                <w:szCs w:val="14"/>
                <w:b w:val="1"/>
                <w:bCs w:val="1"/>
                <w:color w:val="0E93D8"/>
              </w:rPr>
              <w:t>Fiscal Year ($)</w:t>
            </w:r>
          </w:p>
        </w:tc>
      </w:tr>
      <w:tr>
        <w:trPr>
          <w:trHeight w:val="196"/>
        </w:trPr>
        <w:tc>
          <w:tcPr>
            <w:tcW w:w="2080" w:type="dxa"/>
            <w:vAlign w:val="bottom"/>
            <w:gridSpan w:val="2"/>
          </w:tcPr>
          <w:p>
            <w:pPr>
              <w:ind w:left="80"/>
              <w:spacing w:after="0"/>
              <w:rPr>
                <w:sz w:val="20"/>
                <w:szCs w:val="20"/>
                <w:color w:val="auto"/>
              </w:rPr>
            </w:pPr>
            <w:r>
              <w:rPr>
                <w:rFonts w:ascii="Arial" w:cs="Arial" w:eastAsia="Arial" w:hAnsi="Arial"/>
                <w:sz w:val="14"/>
                <w:szCs w:val="14"/>
                <w:color w:val="auto"/>
              </w:rPr>
              <w:t>G. Hayes</w:t>
            </w:r>
          </w:p>
        </w:tc>
        <w:tc>
          <w:tcPr>
            <w:tcW w:w="4260" w:type="dxa"/>
            <w:vAlign w:val="bottom"/>
            <w:tcBorders>
              <w:bottom w:val="single" w:sz="8" w:color="7C7C7C"/>
            </w:tcBorders>
            <w:gridSpan w:val="2"/>
          </w:tcPr>
          <w:p>
            <w:pPr>
              <w:ind w:left="60"/>
              <w:spacing w:after="0"/>
              <w:rPr>
                <w:sz w:val="20"/>
                <w:szCs w:val="20"/>
                <w:color w:val="auto"/>
              </w:rPr>
            </w:pPr>
            <w:r>
              <w:rPr>
                <w:rFonts w:ascii="Arial" w:cs="Arial" w:eastAsia="Arial" w:hAnsi="Arial"/>
                <w:sz w:val="14"/>
                <w:szCs w:val="14"/>
                <w:color w:val="auto"/>
              </w:rPr>
              <w:t>UTC Employee Retirement Plan</w:t>
            </w:r>
          </w:p>
        </w:tc>
        <w:tc>
          <w:tcPr>
            <w:tcW w:w="14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7C7C7C"/>
            </w:tcBorders>
          </w:tcPr>
          <w:p>
            <w:pPr>
              <w:spacing w:after="0"/>
              <w:rPr>
                <w:sz w:val="17"/>
                <w:szCs w:val="17"/>
                <w:color w:val="auto"/>
              </w:rPr>
            </w:pPr>
          </w:p>
        </w:tc>
        <w:tc>
          <w:tcPr>
            <w:tcW w:w="1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$1,355,349</w:t>
            </w:r>
          </w:p>
        </w:tc>
        <w:tc>
          <w:tcPr>
            <w:tcW w:w="120" w:type="dxa"/>
            <w:vAlign w:val="bottom"/>
            <w:tcBorders>
              <w:bottom w:val="single" w:sz="8" w:color="7C7C7C"/>
            </w:tcBorders>
          </w:tcPr>
          <w:p>
            <w:pPr>
              <w:spacing w:after="0"/>
              <w:rPr>
                <w:sz w:val="17"/>
                <w:szCs w:val="17"/>
                <w:color w:val="auto"/>
              </w:rPr>
            </w:pPr>
          </w:p>
        </w:tc>
        <w:tc>
          <w:tcPr>
            <w:tcW w:w="15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Borders>
              <w:bottom w:val="single" w:sz="8" w:color="8BBEE9"/>
            </w:tcBorders>
            <w:gridSpan w:val="2"/>
          </w:tcPr>
          <w:p>
            <w:pPr>
              <w:ind w:left="60"/>
              <w:spacing w:after="0"/>
              <w:rPr>
                <w:sz w:val="20"/>
                <w:szCs w:val="20"/>
                <w:color w:val="auto"/>
              </w:rPr>
            </w:pPr>
            <w:r>
              <w:rPr>
                <w:rFonts w:ascii="Arial" w:cs="Arial" w:eastAsia="Arial" w:hAnsi="Arial"/>
                <w:sz w:val="14"/>
                <w:szCs w:val="14"/>
                <w:color w:val="auto"/>
              </w:rPr>
              <w:t>UTC Pension Preservation Plan</w:t>
            </w:r>
          </w:p>
        </w:tc>
        <w:tc>
          <w:tcPr>
            <w:tcW w:w="142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8BBEE9"/>
            </w:tcBorders>
          </w:tcPr>
          <w:p>
            <w:pPr>
              <w:spacing w:after="0"/>
              <w:rPr>
                <w:sz w:val="18"/>
                <w:szCs w:val="18"/>
                <w:color w:val="auto"/>
              </w:rPr>
            </w:pPr>
          </w:p>
        </w:tc>
        <w:tc>
          <w:tcPr>
            <w:tcW w:w="184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$10,526,882</w:t>
            </w:r>
          </w:p>
        </w:tc>
        <w:tc>
          <w:tcPr>
            <w:tcW w:w="120" w:type="dxa"/>
            <w:vAlign w:val="bottom"/>
            <w:tcBorders>
              <w:bottom w:val="single" w:sz="8" w:color="8BBEE9"/>
            </w:tcBorders>
          </w:tcPr>
          <w:p>
            <w:pPr>
              <w:spacing w:after="0"/>
              <w:rPr>
                <w:sz w:val="18"/>
                <w:szCs w:val="18"/>
                <w:color w:val="auto"/>
              </w:rPr>
            </w:pPr>
          </w:p>
        </w:tc>
        <w:tc>
          <w:tcPr>
            <w:tcW w:w="158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0"/>
        </w:trPr>
        <w:tc>
          <w:tcPr>
            <w:tcW w:w="1980" w:type="dxa"/>
            <w:vAlign w:val="bottom"/>
            <w:tcBorders>
              <w:bottom w:val="single" w:sz="8" w:color="FDB03F"/>
            </w:tcBorders>
          </w:tcPr>
          <w:p>
            <w:pPr>
              <w:spacing w:after="0"/>
              <w:rPr>
                <w:sz w:val="18"/>
                <w:szCs w:val="18"/>
                <w:color w:val="auto"/>
              </w:rPr>
            </w:pPr>
          </w:p>
        </w:tc>
        <w:tc>
          <w:tcPr>
            <w:tcW w:w="100" w:type="dxa"/>
            <w:vAlign w:val="bottom"/>
            <w:tcBorders>
              <w:bottom w:val="single" w:sz="8" w:color="FDB03F"/>
            </w:tcBorders>
          </w:tcPr>
          <w:p>
            <w:pPr>
              <w:spacing w:after="0"/>
              <w:rPr>
                <w:sz w:val="18"/>
                <w:szCs w:val="18"/>
                <w:color w:val="auto"/>
              </w:rPr>
            </w:pPr>
          </w:p>
        </w:tc>
        <w:tc>
          <w:tcPr>
            <w:tcW w:w="4260" w:type="dxa"/>
            <w:vAlign w:val="bottom"/>
            <w:tcBorders>
              <w:bottom w:val="single" w:sz="8" w:color="FDB03F"/>
            </w:tcBorders>
            <w:gridSpan w:val="2"/>
            <w:shd w:val="clear" w:color="auto" w:fill="F6FAFB"/>
          </w:tcPr>
          <w:p>
            <w:pPr>
              <w:ind w:left="60"/>
              <w:spacing w:after="0"/>
              <w:rPr>
                <w:sz w:val="20"/>
                <w:szCs w:val="20"/>
                <w:color w:val="auto"/>
              </w:rPr>
            </w:pPr>
            <w:r>
              <w:rPr>
                <w:rFonts w:ascii="Arial" w:cs="Arial" w:eastAsia="Arial" w:hAnsi="Arial"/>
                <w:sz w:val="14"/>
                <w:szCs w:val="14"/>
                <w:color w:val="0E93D8"/>
              </w:rPr>
              <w:t>Total</w:t>
            </w:r>
          </w:p>
        </w:tc>
        <w:tc>
          <w:tcPr>
            <w:tcW w:w="1420" w:type="dxa"/>
            <w:vAlign w:val="bottom"/>
            <w:tcBorders>
              <w:bottom w:val="single" w:sz="8" w:color="FDB03F"/>
            </w:tcBorders>
            <w:shd w:val="clear" w:color="auto" w:fill="F6FAFB"/>
          </w:tcPr>
          <w:p>
            <w:pPr>
              <w:spacing w:after="0"/>
              <w:rPr>
                <w:sz w:val="18"/>
                <w:szCs w:val="18"/>
                <w:color w:val="auto"/>
              </w:rPr>
            </w:pPr>
          </w:p>
        </w:tc>
        <w:tc>
          <w:tcPr>
            <w:tcW w:w="120" w:type="dxa"/>
            <w:vAlign w:val="bottom"/>
            <w:tcBorders>
              <w:bottom w:val="single" w:sz="8" w:color="FDB03F"/>
            </w:tcBorders>
            <w:shd w:val="clear" w:color="auto" w:fill="F6FAFB"/>
          </w:tcPr>
          <w:p>
            <w:pPr>
              <w:spacing w:after="0"/>
              <w:rPr>
                <w:sz w:val="18"/>
                <w:szCs w:val="18"/>
                <w:color w:val="auto"/>
              </w:rPr>
            </w:pPr>
          </w:p>
        </w:tc>
        <w:tc>
          <w:tcPr>
            <w:tcW w:w="184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$11,882,231</w:t>
            </w:r>
          </w:p>
        </w:tc>
        <w:tc>
          <w:tcPr>
            <w:tcW w:w="120" w:type="dxa"/>
            <w:vAlign w:val="bottom"/>
            <w:tcBorders>
              <w:bottom w:val="single" w:sz="8" w:color="FDB03F"/>
            </w:tcBorders>
            <w:shd w:val="clear" w:color="auto" w:fill="F6FAFB"/>
          </w:tcPr>
          <w:p>
            <w:pPr>
              <w:spacing w:after="0"/>
              <w:rPr>
                <w:sz w:val="18"/>
                <w:szCs w:val="18"/>
                <w:color w:val="auto"/>
              </w:rPr>
            </w:pPr>
          </w:p>
        </w:tc>
        <w:tc>
          <w:tcPr>
            <w:tcW w:w="158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w:t>
            </w:r>
          </w:p>
        </w:tc>
      </w:tr>
      <w:tr>
        <w:trPr>
          <w:trHeight w:val="243"/>
        </w:trPr>
        <w:tc>
          <w:tcPr>
            <w:tcW w:w="2080" w:type="dxa"/>
            <w:vAlign w:val="bottom"/>
            <w:gridSpan w:val="2"/>
          </w:tcPr>
          <w:p>
            <w:pPr>
              <w:ind w:left="80"/>
              <w:spacing w:after="0" w:line="243" w:lineRule="exact"/>
              <w:rPr>
                <w:sz w:val="20"/>
                <w:szCs w:val="20"/>
                <w:color w:val="auto"/>
              </w:rPr>
            </w:pPr>
            <w:r>
              <w:rPr>
                <w:rFonts w:ascii="Arial" w:cs="Arial" w:eastAsia="Arial" w:hAnsi="Arial"/>
                <w:sz w:val="14"/>
                <w:szCs w:val="14"/>
                <w:color w:val="auto"/>
              </w:rPr>
              <w:t>A. Johri</w:t>
            </w:r>
            <w:r>
              <w:rPr>
                <w:rFonts w:ascii="Arial" w:cs="Arial" w:eastAsia="Arial" w:hAnsi="Arial"/>
                <w:sz w:val="22"/>
                <w:szCs w:val="22"/>
                <w:color w:val="auto"/>
                <w:vertAlign w:val="superscript"/>
              </w:rPr>
              <w:t>(2)</w:t>
            </w:r>
          </w:p>
        </w:tc>
        <w:tc>
          <w:tcPr>
            <w:tcW w:w="4260" w:type="dxa"/>
            <w:vAlign w:val="bottom"/>
            <w:tcBorders>
              <w:bottom w:val="single" w:sz="8" w:color="7C7C7C"/>
            </w:tcBorders>
            <w:gridSpan w:val="2"/>
          </w:tcPr>
          <w:p>
            <w:pPr>
              <w:ind w:left="60"/>
              <w:spacing w:after="0"/>
              <w:rPr>
                <w:sz w:val="20"/>
                <w:szCs w:val="20"/>
                <w:color w:val="auto"/>
              </w:rPr>
            </w:pPr>
            <w:r>
              <w:rPr>
                <w:rFonts w:ascii="Arial" w:cs="Arial" w:eastAsia="Arial" w:hAnsi="Arial"/>
                <w:sz w:val="14"/>
                <w:szCs w:val="14"/>
                <w:color w:val="auto"/>
              </w:rPr>
              <w:t>UTC Employee Retirement Plan</w:t>
            </w:r>
          </w:p>
        </w:tc>
        <w:tc>
          <w:tcPr>
            <w:tcW w:w="14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7C7C7C"/>
            </w:tcBorders>
          </w:tcPr>
          <w:p>
            <w:pPr>
              <w:spacing w:after="0"/>
              <w:rPr>
                <w:sz w:val="21"/>
                <w:szCs w:val="21"/>
                <w:color w:val="auto"/>
              </w:rPr>
            </w:pPr>
          </w:p>
        </w:tc>
        <w:tc>
          <w:tcPr>
            <w:tcW w:w="1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$756,700</w:t>
            </w:r>
          </w:p>
        </w:tc>
        <w:tc>
          <w:tcPr>
            <w:tcW w:w="120" w:type="dxa"/>
            <w:vAlign w:val="bottom"/>
            <w:tcBorders>
              <w:bottom w:val="single" w:sz="8" w:color="7C7C7C"/>
            </w:tcBorders>
          </w:tcPr>
          <w:p>
            <w:pPr>
              <w:spacing w:after="0"/>
              <w:rPr>
                <w:sz w:val="21"/>
                <w:szCs w:val="21"/>
                <w:color w:val="auto"/>
              </w:rPr>
            </w:pPr>
          </w:p>
        </w:tc>
        <w:tc>
          <w:tcPr>
            <w:tcW w:w="15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0"/>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Borders>
              <w:bottom w:val="single" w:sz="8" w:color="8BBEE9"/>
            </w:tcBorders>
            <w:gridSpan w:val="2"/>
          </w:tcPr>
          <w:p>
            <w:pPr>
              <w:ind w:left="60"/>
              <w:spacing w:after="0"/>
              <w:rPr>
                <w:sz w:val="20"/>
                <w:szCs w:val="20"/>
                <w:color w:val="auto"/>
              </w:rPr>
            </w:pPr>
            <w:r>
              <w:rPr>
                <w:rFonts w:ascii="Arial" w:cs="Arial" w:eastAsia="Arial" w:hAnsi="Arial"/>
                <w:sz w:val="14"/>
                <w:szCs w:val="14"/>
                <w:color w:val="auto"/>
              </w:rPr>
              <w:t>UTC Pension Preservation Plan</w:t>
            </w:r>
          </w:p>
        </w:tc>
        <w:tc>
          <w:tcPr>
            <w:tcW w:w="142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8BBEE9"/>
            </w:tcBorders>
          </w:tcPr>
          <w:p>
            <w:pPr>
              <w:spacing w:after="0"/>
              <w:rPr>
                <w:sz w:val="16"/>
                <w:szCs w:val="16"/>
                <w:color w:val="auto"/>
              </w:rPr>
            </w:pPr>
          </w:p>
        </w:tc>
        <w:tc>
          <w:tcPr>
            <w:tcW w:w="184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$1,699,475</w:t>
            </w:r>
          </w:p>
        </w:tc>
        <w:tc>
          <w:tcPr>
            <w:tcW w:w="120" w:type="dxa"/>
            <w:vAlign w:val="bottom"/>
            <w:tcBorders>
              <w:bottom w:val="single" w:sz="8" w:color="8BBEE9"/>
            </w:tcBorders>
          </w:tcPr>
          <w:p>
            <w:pPr>
              <w:spacing w:after="0"/>
              <w:rPr>
                <w:sz w:val="16"/>
                <w:szCs w:val="16"/>
                <w:color w:val="auto"/>
              </w:rPr>
            </w:pPr>
          </w:p>
        </w:tc>
        <w:tc>
          <w:tcPr>
            <w:tcW w:w="158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0"/>
        </w:trPr>
        <w:tc>
          <w:tcPr>
            <w:tcW w:w="1980" w:type="dxa"/>
            <w:vAlign w:val="bottom"/>
            <w:tcBorders>
              <w:bottom w:val="single" w:sz="8" w:color="FDB03F"/>
            </w:tcBorders>
          </w:tcPr>
          <w:p>
            <w:pPr>
              <w:spacing w:after="0"/>
              <w:rPr>
                <w:sz w:val="18"/>
                <w:szCs w:val="18"/>
                <w:color w:val="auto"/>
              </w:rPr>
            </w:pPr>
          </w:p>
        </w:tc>
        <w:tc>
          <w:tcPr>
            <w:tcW w:w="100" w:type="dxa"/>
            <w:vAlign w:val="bottom"/>
            <w:tcBorders>
              <w:bottom w:val="single" w:sz="8" w:color="FDB03F"/>
            </w:tcBorders>
          </w:tcPr>
          <w:p>
            <w:pPr>
              <w:spacing w:after="0"/>
              <w:rPr>
                <w:sz w:val="18"/>
                <w:szCs w:val="18"/>
                <w:color w:val="auto"/>
              </w:rPr>
            </w:pPr>
          </w:p>
        </w:tc>
        <w:tc>
          <w:tcPr>
            <w:tcW w:w="4260" w:type="dxa"/>
            <w:vAlign w:val="bottom"/>
            <w:tcBorders>
              <w:bottom w:val="single" w:sz="8" w:color="FDB03F"/>
            </w:tcBorders>
            <w:gridSpan w:val="2"/>
            <w:shd w:val="clear" w:color="auto" w:fill="F6FAFB"/>
          </w:tcPr>
          <w:p>
            <w:pPr>
              <w:ind w:left="60"/>
              <w:spacing w:after="0"/>
              <w:rPr>
                <w:sz w:val="20"/>
                <w:szCs w:val="20"/>
                <w:color w:val="auto"/>
              </w:rPr>
            </w:pPr>
            <w:r>
              <w:rPr>
                <w:rFonts w:ascii="Arial" w:cs="Arial" w:eastAsia="Arial" w:hAnsi="Arial"/>
                <w:sz w:val="14"/>
                <w:szCs w:val="14"/>
                <w:color w:val="0E93D8"/>
              </w:rPr>
              <w:t>Total</w:t>
            </w:r>
          </w:p>
        </w:tc>
        <w:tc>
          <w:tcPr>
            <w:tcW w:w="1420" w:type="dxa"/>
            <w:vAlign w:val="bottom"/>
            <w:tcBorders>
              <w:bottom w:val="single" w:sz="8" w:color="FDB03F"/>
            </w:tcBorders>
            <w:shd w:val="clear" w:color="auto" w:fill="F6FAFB"/>
          </w:tcPr>
          <w:p>
            <w:pPr>
              <w:spacing w:after="0"/>
              <w:rPr>
                <w:sz w:val="18"/>
                <w:szCs w:val="18"/>
                <w:color w:val="auto"/>
              </w:rPr>
            </w:pPr>
          </w:p>
        </w:tc>
        <w:tc>
          <w:tcPr>
            <w:tcW w:w="120" w:type="dxa"/>
            <w:vAlign w:val="bottom"/>
            <w:tcBorders>
              <w:bottom w:val="single" w:sz="8" w:color="FDB03F"/>
            </w:tcBorders>
            <w:shd w:val="clear" w:color="auto" w:fill="F6FAFB"/>
          </w:tcPr>
          <w:p>
            <w:pPr>
              <w:spacing w:after="0"/>
              <w:rPr>
                <w:sz w:val="18"/>
                <w:szCs w:val="18"/>
                <w:color w:val="auto"/>
              </w:rPr>
            </w:pPr>
          </w:p>
        </w:tc>
        <w:tc>
          <w:tcPr>
            <w:tcW w:w="184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$2,456,175</w:t>
            </w:r>
          </w:p>
        </w:tc>
        <w:tc>
          <w:tcPr>
            <w:tcW w:w="120" w:type="dxa"/>
            <w:vAlign w:val="bottom"/>
            <w:tcBorders>
              <w:bottom w:val="single" w:sz="8" w:color="FDB03F"/>
            </w:tcBorders>
            <w:shd w:val="clear" w:color="auto" w:fill="F6FAFB"/>
          </w:tcPr>
          <w:p>
            <w:pPr>
              <w:spacing w:after="0"/>
              <w:rPr>
                <w:sz w:val="18"/>
                <w:szCs w:val="18"/>
                <w:color w:val="auto"/>
              </w:rPr>
            </w:pPr>
          </w:p>
        </w:tc>
        <w:tc>
          <w:tcPr>
            <w:tcW w:w="158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w:t>
            </w:r>
          </w:p>
        </w:tc>
      </w:tr>
      <w:tr>
        <w:trPr>
          <w:trHeight w:val="243"/>
        </w:trPr>
        <w:tc>
          <w:tcPr>
            <w:tcW w:w="2080" w:type="dxa"/>
            <w:vAlign w:val="bottom"/>
            <w:gridSpan w:val="2"/>
          </w:tcPr>
          <w:p>
            <w:pPr>
              <w:ind w:left="80"/>
              <w:spacing w:after="0"/>
              <w:rPr>
                <w:sz w:val="20"/>
                <w:szCs w:val="20"/>
                <w:color w:val="auto"/>
              </w:rPr>
            </w:pPr>
            <w:r>
              <w:rPr>
                <w:rFonts w:ascii="Arial" w:cs="Arial" w:eastAsia="Arial" w:hAnsi="Arial"/>
                <w:sz w:val="14"/>
                <w:szCs w:val="14"/>
                <w:color w:val="auto"/>
              </w:rPr>
              <w:t>R. Ortberg</w:t>
            </w:r>
          </w:p>
        </w:tc>
        <w:tc>
          <w:tcPr>
            <w:tcW w:w="4260" w:type="dxa"/>
            <w:vAlign w:val="bottom"/>
            <w:tcBorders>
              <w:bottom w:val="single" w:sz="8" w:color="7C7C7C"/>
            </w:tcBorders>
            <w:gridSpan w:val="2"/>
          </w:tcPr>
          <w:p>
            <w:pPr>
              <w:ind w:left="60"/>
              <w:spacing w:after="0" w:line="243" w:lineRule="exact"/>
              <w:rPr>
                <w:sz w:val="20"/>
                <w:szCs w:val="20"/>
                <w:color w:val="auto"/>
              </w:rPr>
            </w:pPr>
            <w:r>
              <w:rPr>
                <w:rFonts w:ascii="Arial" w:cs="Arial" w:eastAsia="Arial" w:hAnsi="Arial"/>
                <w:sz w:val="14"/>
                <w:szCs w:val="14"/>
                <w:color w:val="auto"/>
              </w:rPr>
              <w:t>UTC Employee Retirement Plan</w:t>
            </w:r>
            <w:r>
              <w:rPr>
                <w:rFonts w:ascii="Arial" w:cs="Arial" w:eastAsia="Arial" w:hAnsi="Arial"/>
                <w:sz w:val="22"/>
                <w:szCs w:val="22"/>
                <w:color w:val="auto"/>
                <w:vertAlign w:val="superscript"/>
              </w:rPr>
              <w:t>(3)</w:t>
            </w:r>
          </w:p>
        </w:tc>
        <w:tc>
          <w:tcPr>
            <w:tcW w:w="14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7C7C7C"/>
            </w:tcBorders>
          </w:tcPr>
          <w:p>
            <w:pPr>
              <w:spacing w:after="0"/>
              <w:rPr>
                <w:sz w:val="21"/>
                <w:szCs w:val="21"/>
                <w:color w:val="auto"/>
              </w:rPr>
            </w:pPr>
          </w:p>
        </w:tc>
        <w:tc>
          <w:tcPr>
            <w:tcW w:w="1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$718,044</w:t>
            </w:r>
          </w:p>
        </w:tc>
        <w:tc>
          <w:tcPr>
            <w:tcW w:w="120" w:type="dxa"/>
            <w:vAlign w:val="bottom"/>
            <w:tcBorders>
              <w:bottom w:val="single" w:sz="8" w:color="7C7C7C"/>
            </w:tcBorders>
          </w:tcPr>
          <w:p>
            <w:pPr>
              <w:spacing w:after="0"/>
              <w:rPr>
                <w:sz w:val="21"/>
                <w:szCs w:val="21"/>
                <w:color w:val="auto"/>
              </w:rPr>
            </w:pPr>
          </w:p>
        </w:tc>
        <w:tc>
          <w:tcPr>
            <w:tcW w:w="15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w:t>
            </w:r>
          </w:p>
        </w:tc>
      </w:tr>
      <w:tr>
        <w:trPr>
          <w:trHeight w:val="244"/>
        </w:trPr>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tcBorders>
              <w:bottom w:val="single" w:sz="8" w:color="8BBEE9"/>
            </w:tcBorders>
            <w:gridSpan w:val="2"/>
          </w:tcPr>
          <w:p>
            <w:pPr>
              <w:ind w:left="60"/>
              <w:spacing w:after="0" w:line="237" w:lineRule="exact"/>
              <w:rPr>
                <w:sz w:val="20"/>
                <w:szCs w:val="20"/>
                <w:color w:val="auto"/>
              </w:rPr>
            </w:pPr>
            <w:r>
              <w:rPr>
                <w:rFonts w:ascii="Arial" w:cs="Arial" w:eastAsia="Arial" w:hAnsi="Arial"/>
                <w:sz w:val="14"/>
                <w:szCs w:val="14"/>
                <w:color w:val="auto"/>
              </w:rPr>
              <w:t>UTC Pension Preservation Plan</w:t>
            </w:r>
            <w:r>
              <w:rPr>
                <w:rFonts w:ascii="Arial" w:cs="Arial" w:eastAsia="Arial" w:hAnsi="Arial"/>
                <w:sz w:val="22"/>
                <w:szCs w:val="22"/>
                <w:color w:val="auto"/>
                <w:vertAlign w:val="superscript"/>
              </w:rPr>
              <w:t>(3)</w:t>
            </w:r>
          </w:p>
        </w:tc>
        <w:tc>
          <w:tcPr>
            <w:tcW w:w="142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8BBEE9"/>
            </w:tcBorders>
          </w:tcPr>
          <w:p>
            <w:pPr>
              <w:spacing w:after="0"/>
              <w:rPr>
                <w:sz w:val="21"/>
                <w:szCs w:val="21"/>
                <w:color w:val="auto"/>
              </w:rPr>
            </w:pPr>
          </w:p>
        </w:tc>
        <w:tc>
          <w:tcPr>
            <w:tcW w:w="184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$381,077</w:t>
            </w:r>
          </w:p>
        </w:tc>
        <w:tc>
          <w:tcPr>
            <w:tcW w:w="120" w:type="dxa"/>
            <w:vAlign w:val="bottom"/>
            <w:tcBorders>
              <w:bottom w:val="single" w:sz="8" w:color="8BBEE9"/>
            </w:tcBorders>
          </w:tcPr>
          <w:p>
            <w:pPr>
              <w:spacing w:after="0"/>
              <w:rPr>
                <w:sz w:val="21"/>
                <w:szCs w:val="21"/>
                <w:color w:val="auto"/>
              </w:rPr>
            </w:pPr>
          </w:p>
        </w:tc>
        <w:tc>
          <w:tcPr>
            <w:tcW w:w="158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980" w:type="dxa"/>
            <w:vAlign w:val="bottom"/>
            <w:tcBorders>
              <w:bottom w:val="single" w:sz="8" w:color="FDB03F"/>
            </w:tcBorders>
          </w:tcPr>
          <w:p>
            <w:pPr>
              <w:spacing w:after="0"/>
              <w:rPr>
                <w:sz w:val="17"/>
                <w:szCs w:val="17"/>
                <w:color w:val="auto"/>
              </w:rPr>
            </w:pPr>
          </w:p>
        </w:tc>
        <w:tc>
          <w:tcPr>
            <w:tcW w:w="100" w:type="dxa"/>
            <w:vAlign w:val="bottom"/>
            <w:tcBorders>
              <w:bottom w:val="single" w:sz="8" w:color="FDB03F"/>
            </w:tcBorders>
          </w:tcPr>
          <w:p>
            <w:pPr>
              <w:spacing w:after="0"/>
              <w:rPr>
                <w:sz w:val="17"/>
                <w:szCs w:val="17"/>
                <w:color w:val="auto"/>
              </w:rPr>
            </w:pPr>
          </w:p>
        </w:tc>
        <w:tc>
          <w:tcPr>
            <w:tcW w:w="4260" w:type="dxa"/>
            <w:vAlign w:val="bottom"/>
            <w:tcBorders>
              <w:bottom w:val="single" w:sz="8" w:color="FDB03F"/>
            </w:tcBorders>
            <w:gridSpan w:val="2"/>
            <w:shd w:val="clear" w:color="auto" w:fill="F6FAFB"/>
          </w:tcPr>
          <w:p>
            <w:pPr>
              <w:ind w:left="60"/>
              <w:spacing w:after="0"/>
              <w:rPr>
                <w:sz w:val="20"/>
                <w:szCs w:val="20"/>
                <w:color w:val="auto"/>
              </w:rPr>
            </w:pPr>
            <w:r>
              <w:rPr>
                <w:rFonts w:ascii="Arial" w:cs="Arial" w:eastAsia="Arial" w:hAnsi="Arial"/>
                <w:sz w:val="14"/>
                <w:szCs w:val="14"/>
                <w:color w:val="0E93D8"/>
              </w:rPr>
              <w:t>Total</w:t>
            </w:r>
          </w:p>
        </w:tc>
        <w:tc>
          <w:tcPr>
            <w:tcW w:w="1420" w:type="dxa"/>
            <w:vAlign w:val="bottom"/>
            <w:tcBorders>
              <w:bottom w:val="single" w:sz="8" w:color="FDB03F"/>
            </w:tcBorders>
            <w:shd w:val="clear" w:color="auto" w:fill="F6FAFB"/>
          </w:tcPr>
          <w:p>
            <w:pPr>
              <w:spacing w:after="0"/>
              <w:rPr>
                <w:sz w:val="17"/>
                <w:szCs w:val="17"/>
                <w:color w:val="auto"/>
              </w:rPr>
            </w:pPr>
          </w:p>
        </w:tc>
        <w:tc>
          <w:tcPr>
            <w:tcW w:w="120" w:type="dxa"/>
            <w:vAlign w:val="bottom"/>
            <w:tcBorders>
              <w:bottom w:val="single" w:sz="8" w:color="FDB03F"/>
            </w:tcBorders>
            <w:shd w:val="clear" w:color="auto" w:fill="F6FAFB"/>
          </w:tcPr>
          <w:p>
            <w:pPr>
              <w:spacing w:after="0"/>
              <w:rPr>
                <w:sz w:val="17"/>
                <w:szCs w:val="17"/>
                <w:color w:val="auto"/>
              </w:rPr>
            </w:pPr>
          </w:p>
        </w:tc>
        <w:tc>
          <w:tcPr>
            <w:tcW w:w="184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$1,099,121</w:t>
            </w:r>
          </w:p>
        </w:tc>
        <w:tc>
          <w:tcPr>
            <w:tcW w:w="120" w:type="dxa"/>
            <w:vAlign w:val="bottom"/>
            <w:tcBorders>
              <w:bottom w:val="single" w:sz="8" w:color="FDB03F"/>
            </w:tcBorders>
            <w:shd w:val="clear" w:color="auto" w:fill="F6FAFB"/>
          </w:tcPr>
          <w:p>
            <w:pPr>
              <w:spacing w:after="0"/>
              <w:rPr>
                <w:sz w:val="17"/>
                <w:szCs w:val="17"/>
                <w:color w:val="auto"/>
              </w:rPr>
            </w:pPr>
          </w:p>
        </w:tc>
        <w:tc>
          <w:tcPr>
            <w:tcW w:w="158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w:t>
            </w:r>
          </w:p>
        </w:tc>
      </w:tr>
      <w:tr>
        <w:trPr>
          <w:trHeight w:val="243"/>
        </w:trPr>
        <w:tc>
          <w:tcPr>
            <w:tcW w:w="2080" w:type="dxa"/>
            <w:vAlign w:val="bottom"/>
            <w:gridSpan w:val="2"/>
          </w:tcPr>
          <w:p>
            <w:pPr>
              <w:ind w:left="80"/>
              <w:spacing w:after="0" w:line="243" w:lineRule="exact"/>
              <w:rPr>
                <w:sz w:val="20"/>
                <w:szCs w:val="20"/>
                <w:color w:val="auto"/>
              </w:rPr>
            </w:pPr>
            <w:r>
              <w:rPr>
                <w:rFonts w:ascii="Arial" w:cs="Arial" w:eastAsia="Arial" w:hAnsi="Arial"/>
                <w:sz w:val="14"/>
                <w:szCs w:val="14"/>
                <w:color w:val="auto"/>
              </w:rPr>
              <w:t>J. Marks</w:t>
            </w:r>
            <w:r>
              <w:rPr>
                <w:rFonts w:ascii="Arial" w:cs="Arial" w:eastAsia="Arial" w:hAnsi="Arial"/>
                <w:sz w:val="22"/>
                <w:szCs w:val="22"/>
                <w:color w:val="auto"/>
                <w:vertAlign w:val="superscript"/>
              </w:rPr>
              <w:t>(4)</w:t>
            </w:r>
          </w:p>
        </w:tc>
        <w:tc>
          <w:tcPr>
            <w:tcW w:w="4260" w:type="dxa"/>
            <w:vAlign w:val="bottom"/>
            <w:tcBorders>
              <w:bottom w:val="single" w:sz="8" w:color="7C7C7C"/>
            </w:tcBorders>
            <w:gridSpan w:val="2"/>
          </w:tcPr>
          <w:p>
            <w:pPr>
              <w:ind w:left="60"/>
              <w:spacing w:after="0"/>
              <w:rPr>
                <w:sz w:val="20"/>
                <w:szCs w:val="20"/>
                <w:color w:val="auto"/>
              </w:rPr>
            </w:pPr>
            <w:r>
              <w:rPr>
                <w:rFonts w:ascii="Arial" w:cs="Arial" w:eastAsia="Arial" w:hAnsi="Arial"/>
                <w:sz w:val="14"/>
                <w:szCs w:val="14"/>
                <w:color w:val="auto"/>
              </w:rPr>
              <w:t>UTC Employee Retirement Plan</w:t>
            </w:r>
          </w:p>
        </w:tc>
        <w:tc>
          <w:tcPr>
            <w:tcW w:w="1540" w:type="dxa"/>
            <w:vAlign w:val="bottom"/>
            <w:tcBorders>
              <w:bottom w:val="single" w:sz="8" w:color="7C7C7C"/>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7C7C7C"/>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w:t>
            </w: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8BBEE9"/>
            </w:tcBorders>
            <w:gridSpan w:val="2"/>
          </w:tcPr>
          <w:p>
            <w:pPr>
              <w:ind w:left="60"/>
              <w:spacing w:after="0"/>
              <w:rPr>
                <w:sz w:val="20"/>
                <w:szCs w:val="20"/>
                <w:color w:val="auto"/>
              </w:rPr>
            </w:pPr>
            <w:r>
              <w:rPr>
                <w:rFonts w:ascii="Arial" w:cs="Arial" w:eastAsia="Arial" w:hAnsi="Arial"/>
                <w:sz w:val="14"/>
                <w:szCs w:val="14"/>
                <w:color w:val="auto"/>
              </w:rPr>
              <w:t>UTC Pension Preservation Plan</w:t>
            </w:r>
          </w:p>
        </w:tc>
        <w:tc>
          <w:tcPr>
            <w:tcW w:w="1540" w:type="dxa"/>
            <w:vAlign w:val="bottom"/>
            <w:tcBorders>
              <w:bottom w:val="single" w:sz="8" w:color="8BBEE9"/>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8BBEE9"/>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0"/>
        </w:trPr>
        <w:tc>
          <w:tcPr>
            <w:tcW w:w="1980" w:type="dxa"/>
            <w:vAlign w:val="bottom"/>
            <w:tcBorders>
              <w:bottom w:val="single" w:sz="8" w:color="FDB03F"/>
            </w:tcBorders>
          </w:tcPr>
          <w:p>
            <w:pPr>
              <w:spacing w:after="0"/>
              <w:rPr>
                <w:sz w:val="18"/>
                <w:szCs w:val="18"/>
                <w:color w:val="auto"/>
              </w:rPr>
            </w:pPr>
          </w:p>
        </w:tc>
        <w:tc>
          <w:tcPr>
            <w:tcW w:w="100" w:type="dxa"/>
            <w:vAlign w:val="bottom"/>
            <w:tcBorders>
              <w:bottom w:val="single" w:sz="8" w:color="FDB03F"/>
            </w:tcBorders>
          </w:tcPr>
          <w:p>
            <w:pPr>
              <w:spacing w:after="0"/>
              <w:rPr>
                <w:sz w:val="18"/>
                <w:szCs w:val="18"/>
                <w:color w:val="auto"/>
              </w:rPr>
            </w:pPr>
          </w:p>
        </w:tc>
        <w:tc>
          <w:tcPr>
            <w:tcW w:w="4260" w:type="dxa"/>
            <w:vAlign w:val="bottom"/>
            <w:tcBorders>
              <w:bottom w:val="single" w:sz="8" w:color="FDB03F"/>
            </w:tcBorders>
            <w:gridSpan w:val="2"/>
            <w:shd w:val="clear" w:color="auto" w:fill="F6FAFB"/>
          </w:tcPr>
          <w:p>
            <w:pPr>
              <w:ind w:left="60"/>
              <w:spacing w:after="0"/>
              <w:rPr>
                <w:sz w:val="20"/>
                <w:szCs w:val="20"/>
                <w:color w:val="auto"/>
              </w:rPr>
            </w:pPr>
            <w:r>
              <w:rPr>
                <w:rFonts w:ascii="Arial" w:cs="Arial" w:eastAsia="Arial" w:hAnsi="Arial"/>
                <w:sz w:val="14"/>
                <w:szCs w:val="14"/>
                <w:color w:val="0E93D8"/>
              </w:rPr>
              <w:t>Total</w:t>
            </w:r>
          </w:p>
        </w:tc>
        <w:tc>
          <w:tcPr>
            <w:tcW w:w="1420" w:type="dxa"/>
            <w:vAlign w:val="bottom"/>
            <w:tcBorders>
              <w:bottom w:val="single" w:sz="8" w:color="FDB03F"/>
            </w:tcBorders>
            <w:shd w:val="clear" w:color="auto" w:fill="F6FAFB"/>
          </w:tcPr>
          <w:p>
            <w:pPr>
              <w:spacing w:after="0"/>
              <w:rPr>
                <w:sz w:val="18"/>
                <w:szCs w:val="18"/>
                <w:color w:val="auto"/>
              </w:rPr>
            </w:pPr>
          </w:p>
        </w:tc>
        <w:tc>
          <w:tcPr>
            <w:tcW w:w="120" w:type="dxa"/>
            <w:vAlign w:val="bottom"/>
            <w:tcBorders>
              <w:bottom w:val="single" w:sz="8" w:color="FDB03F"/>
            </w:tcBorders>
            <w:shd w:val="clear" w:color="auto" w:fill="F6FAFB"/>
          </w:tcPr>
          <w:p>
            <w:pPr>
              <w:spacing w:after="0"/>
              <w:rPr>
                <w:sz w:val="18"/>
                <w:szCs w:val="18"/>
                <w:color w:val="auto"/>
              </w:rPr>
            </w:pPr>
          </w:p>
        </w:tc>
        <w:tc>
          <w:tcPr>
            <w:tcW w:w="1960" w:type="dxa"/>
            <w:vAlign w:val="bottom"/>
            <w:tcBorders>
              <w:bottom w:val="single" w:sz="8" w:color="FDB03F"/>
            </w:tcBorders>
            <w:gridSpan w:val="2"/>
            <w:shd w:val="clear" w:color="auto" w:fill="F6FAFB"/>
          </w:tcPr>
          <w:p>
            <w:pPr>
              <w:jc w:val="right"/>
              <w:ind w:right="200"/>
              <w:spacing w:after="0"/>
              <w:rPr>
                <w:sz w:val="20"/>
                <w:szCs w:val="20"/>
                <w:color w:val="auto"/>
              </w:rPr>
            </w:pPr>
            <w:r>
              <w:rPr>
                <w:rFonts w:ascii="Arial" w:cs="Arial" w:eastAsia="Arial" w:hAnsi="Arial"/>
                <w:sz w:val="14"/>
                <w:szCs w:val="14"/>
                <w:color w:val="0E93D8"/>
              </w:rPr>
              <w:t>—</w:t>
            </w:r>
          </w:p>
        </w:tc>
        <w:tc>
          <w:tcPr>
            <w:tcW w:w="158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0E93D8"/>
              </w:rPr>
              <w:t>—</w:t>
            </w:r>
          </w:p>
        </w:tc>
      </w:tr>
      <w:tr>
        <w:trPr>
          <w:trHeight w:val="196"/>
        </w:trPr>
        <w:tc>
          <w:tcPr>
            <w:tcW w:w="2080" w:type="dxa"/>
            <w:vAlign w:val="bottom"/>
            <w:gridSpan w:val="2"/>
          </w:tcPr>
          <w:p>
            <w:pPr>
              <w:ind w:left="80"/>
              <w:spacing w:after="0"/>
              <w:rPr>
                <w:sz w:val="20"/>
                <w:szCs w:val="20"/>
                <w:color w:val="auto"/>
              </w:rPr>
            </w:pPr>
            <w:r>
              <w:rPr>
                <w:rFonts w:ascii="Arial" w:cs="Arial" w:eastAsia="Arial" w:hAnsi="Arial"/>
                <w:sz w:val="14"/>
                <w:szCs w:val="14"/>
                <w:color w:val="auto"/>
              </w:rPr>
              <w:t>D. Gitlin</w:t>
            </w:r>
          </w:p>
        </w:tc>
        <w:tc>
          <w:tcPr>
            <w:tcW w:w="4260" w:type="dxa"/>
            <w:vAlign w:val="bottom"/>
            <w:tcBorders>
              <w:bottom w:val="single" w:sz="8" w:color="7C7C7C"/>
            </w:tcBorders>
            <w:gridSpan w:val="2"/>
          </w:tcPr>
          <w:p>
            <w:pPr>
              <w:ind w:left="60"/>
              <w:spacing w:after="0"/>
              <w:rPr>
                <w:sz w:val="20"/>
                <w:szCs w:val="20"/>
                <w:color w:val="auto"/>
              </w:rPr>
            </w:pPr>
            <w:r>
              <w:rPr>
                <w:rFonts w:ascii="Arial" w:cs="Arial" w:eastAsia="Arial" w:hAnsi="Arial"/>
                <w:sz w:val="14"/>
                <w:szCs w:val="14"/>
                <w:color w:val="auto"/>
              </w:rPr>
              <w:t>UTC Employee Retirement Plan</w:t>
            </w:r>
          </w:p>
        </w:tc>
        <w:tc>
          <w:tcPr>
            <w:tcW w:w="142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7C7C7C"/>
            </w:tcBorders>
          </w:tcPr>
          <w:p>
            <w:pPr>
              <w:spacing w:after="0"/>
              <w:rPr>
                <w:sz w:val="17"/>
                <w:szCs w:val="17"/>
                <w:color w:val="auto"/>
              </w:rPr>
            </w:pPr>
          </w:p>
        </w:tc>
        <w:tc>
          <w:tcPr>
            <w:tcW w:w="18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$633,872</w:t>
            </w:r>
          </w:p>
        </w:tc>
        <w:tc>
          <w:tcPr>
            <w:tcW w:w="120" w:type="dxa"/>
            <w:vAlign w:val="bottom"/>
            <w:tcBorders>
              <w:bottom w:val="single" w:sz="8" w:color="7C7C7C"/>
            </w:tcBorders>
          </w:tcPr>
          <w:p>
            <w:pPr>
              <w:spacing w:after="0"/>
              <w:rPr>
                <w:sz w:val="17"/>
                <w:szCs w:val="17"/>
                <w:color w:val="auto"/>
              </w:rPr>
            </w:pPr>
          </w:p>
        </w:tc>
        <w:tc>
          <w:tcPr>
            <w:tcW w:w="158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Borders>
              <w:bottom w:val="single" w:sz="8" w:color="8BBEE9"/>
            </w:tcBorders>
            <w:gridSpan w:val="2"/>
          </w:tcPr>
          <w:p>
            <w:pPr>
              <w:ind w:left="60"/>
              <w:spacing w:after="0"/>
              <w:rPr>
                <w:sz w:val="20"/>
                <w:szCs w:val="20"/>
                <w:color w:val="auto"/>
              </w:rPr>
            </w:pPr>
            <w:r>
              <w:rPr>
                <w:rFonts w:ascii="Arial" w:cs="Arial" w:eastAsia="Arial" w:hAnsi="Arial"/>
                <w:sz w:val="14"/>
                <w:szCs w:val="14"/>
                <w:color w:val="auto"/>
              </w:rPr>
              <w:t>UTC Pension Preservation Plan</w:t>
            </w:r>
          </w:p>
        </w:tc>
        <w:tc>
          <w:tcPr>
            <w:tcW w:w="142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8BBEE9"/>
            </w:tcBorders>
          </w:tcPr>
          <w:p>
            <w:pPr>
              <w:spacing w:after="0"/>
              <w:rPr>
                <w:sz w:val="18"/>
                <w:szCs w:val="18"/>
                <w:color w:val="auto"/>
              </w:rPr>
            </w:pPr>
          </w:p>
        </w:tc>
        <w:tc>
          <w:tcPr>
            <w:tcW w:w="184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$1,306,345</w:t>
            </w:r>
          </w:p>
        </w:tc>
        <w:tc>
          <w:tcPr>
            <w:tcW w:w="120" w:type="dxa"/>
            <w:vAlign w:val="bottom"/>
            <w:tcBorders>
              <w:bottom w:val="single" w:sz="8" w:color="8BBEE9"/>
            </w:tcBorders>
          </w:tcPr>
          <w:p>
            <w:pPr>
              <w:spacing w:after="0"/>
              <w:rPr>
                <w:sz w:val="18"/>
                <w:szCs w:val="18"/>
                <w:color w:val="auto"/>
              </w:rPr>
            </w:pPr>
          </w:p>
        </w:tc>
        <w:tc>
          <w:tcPr>
            <w:tcW w:w="1580" w:type="dxa"/>
            <w:vAlign w:val="bottom"/>
            <w:tcBorders>
              <w:bottom w:val="single" w:sz="8" w:color="8BBEE9"/>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2"/>
            <w:shd w:val="clear" w:color="auto" w:fill="F6FAFB"/>
          </w:tcPr>
          <w:p>
            <w:pPr>
              <w:ind w:left="60"/>
              <w:spacing w:after="0"/>
              <w:rPr>
                <w:sz w:val="20"/>
                <w:szCs w:val="20"/>
                <w:color w:val="auto"/>
              </w:rPr>
            </w:pPr>
            <w:r>
              <w:rPr>
                <w:rFonts w:ascii="Arial" w:cs="Arial" w:eastAsia="Arial" w:hAnsi="Arial"/>
                <w:sz w:val="14"/>
                <w:szCs w:val="14"/>
                <w:color w:val="0E93D8"/>
              </w:rPr>
              <w:t>Total</w:t>
            </w:r>
          </w:p>
        </w:tc>
        <w:tc>
          <w:tcPr>
            <w:tcW w:w="1420" w:type="dxa"/>
            <w:vAlign w:val="bottom"/>
            <w:tcBorders>
              <w:bottom w:val="single" w:sz="8" w:color="auto"/>
            </w:tcBorders>
            <w:shd w:val="clear" w:color="auto" w:fill="F6FAFB"/>
          </w:tcPr>
          <w:p>
            <w:pPr>
              <w:spacing w:after="0"/>
              <w:rPr>
                <w:sz w:val="17"/>
                <w:szCs w:val="17"/>
                <w:color w:val="auto"/>
              </w:rPr>
            </w:pPr>
          </w:p>
        </w:tc>
        <w:tc>
          <w:tcPr>
            <w:tcW w:w="120" w:type="dxa"/>
            <w:vAlign w:val="bottom"/>
            <w:tcBorders>
              <w:bottom w:val="single" w:sz="8" w:color="auto"/>
            </w:tcBorders>
            <w:shd w:val="clear" w:color="auto" w:fill="F6FAFB"/>
          </w:tcPr>
          <w:p>
            <w:pPr>
              <w:spacing w:after="0"/>
              <w:rPr>
                <w:sz w:val="17"/>
                <w:szCs w:val="17"/>
                <w:color w:val="auto"/>
              </w:rPr>
            </w:pPr>
          </w:p>
        </w:tc>
        <w:tc>
          <w:tcPr>
            <w:tcW w:w="184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0E93D8"/>
              </w:rPr>
              <w:t>$1,940,217</w:t>
            </w:r>
          </w:p>
        </w:tc>
        <w:tc>
          <w:tcPr>
            <w:tcW w:w="120" w:type="dxa"/>
            <w:vAlign w:val="bottom"/>
            <w:tcBorders>
              <w:bottom w:val="single" w:sz="8" w:color="auto"/>
            </w:tcBorders>
            <w:shd w:val="clear" w:color="auto" w:fill="F6FAFB"/>
          </w:tcPr>
          <w:p>
            <w:pPr>
              <w:spacing w:after="0"/>
              <w:rPr>
                <w:sz w:val="17"/>
                <w:szCs w:val="17"/>
                <w:color w:val="auto"/>
              </w:rPr>
            </w:pPr>
          </w:p>
        </w:tc>
        <w:tc>
          <w:tcPr>
            <w:tcW w:w="158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0E93D8"/>
              </w:rPr>
              <w:t>—</w:t>
            </w:r>
          </w:p>
        </w:tc>
      </w:tr>
    </w:tbl>
    <w:p>
      <w:pPr>
        <w:spacing w:after="0" w:line="242" w:lineRule="exact"/>
        <w:rPr>
          <w:sz w:val="20"/>
          <w:szCs w:val="20"/>
          <w:color w:val="auto"/>
        </w:rPr>
      </w:pPr>
    </w:p>
    <w:p>
      <w:pPr>
        <w:ind w:left="220" w:hanging="212"/>
        <w:spacing w:after="0"/>
        <w:tabs>
          <w:tab w:leader="none" w:pos="2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assumptions used to determine the present value of the accumulated pension benefit are described in the pension expense assumptions of Note 12: Employee Benefit Plans, to the</w:t>
      </w:r>
    </w:p>
    <w:p>
      <w:pPr>
        <w:spacing w:after="0" w:line="10" w:lineRule="exact"/>
        <w:rPr>
          <w:rFonts w:ascii="Arial" w:cs="Arial" w:eastAsia="Arial" w:hAnsi="Arial"/>
          <w:sz w:val="12"/>
          <w:szCs w:val="12"/>
          <w:color w:val="auto"/>
        </w:rPr>
      </w:pPr>
    </w:p>
    <w:p>
      <w:pPr>
        <w:ind w:left="220" w:right="120"/>
        <w:spacing w:after="0" w:line="264" w:lineRule="auto"/>
        <w:rPr>
          <w:rFonts w:ascii="Arial" w:cs="Arial" w:eastAsia="Arial" w:hAnsi="Arial"/>
          <w:sz w:val="12"/>
          <w:szCs w:val="12"/>
          <w:color w:val="auto"/>
        </w:rPr>
      </w:pPr>
      <w:r>
        <w:rPr>
          <w:rFonts w:ascii="Arial" w:cs="Arial" w:eastAsia="Arial" w:hAnsi="Arial"/>
          <w:sz w:val="12"/>
          <w:szCs w:val="12"/>
          <w:color w:val="auto"/>
        </w:rPr>
        <w:t>Consolidated Financial Statements in Exhibit 13 to UTC’s 2018 Form 10-K. The following additional assumptions also are used: (i) the NEOs are assumed to retire at age 62, the earliest date the NEOs can retire without a reduction of benefits due to age; (ii) projected lump-sum payments under the UTC Pension Preservation Plan (“PPP”) are calculated using a lump-sum interest rate of 3.5% (for Mr. Hayes) or 4.0% (for other NEOs who will receive a lump-sum payment). The PPP lump-sum interest rate used for Mr. Hayes differs from the other NEOs because he will reach age 62 in 2022 and the current low interest rate environment will still have an influence on his PPP lump-sum interest rate. The other NEOs who will receive PPP lump-sum payments will not reach age 62 until after 2023, by which time it is assumed the PPP lump-sum interest rate will return to the historic norm of 4.0%; (iii) unless an NEO elected another form of benefit payment, the amounts shown assume the following form of payment: (a) 70% in a monthly annuity and 30% in a lump-sum payment for benefits earned under the final average earnings (“FAE”) formula of the UTC Employee Retirement Plan (“ERP”); (b) a lump-sum payment for benefits earned under the cash balance formula of the ERP; and (c) a lump-sum payment for benefits accrued under the PPP (with the exception of a monthly life annuity for Mr. Ortberg’s PPP benefit, consistent with his election).</w:t>
      </w:r>
    </w:p>
    <w:p>
      <w:pPr>
        <w:spacing w:after="0" w:line="193" w:lineRule="exact"/>
        <w:rPr>
          <w:rFonts w:ascii="Arial" w:cs="Arial" w:eastAsia="Arial" w:hAnsi="Arial"/>
          <w:sz w:val="12"/>
          <w:szCs w:val="12"/>
          <w:color w:val="auto"/>
        </w:rPr>
      </w:pPr>
    </w:p>
    <w:p>
      <w:pPr>
        <w:ind w:left="220" w:right="40" w:hanging="212"/>
        <w:spacing w:after="0" w:line="226" w:lineRule="auto"/>
        <w:tabs>
          <w:tab w:leader="none" w:pos="2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Mr. Johri was first employed by UTC in November 1986 and later separated from UTC service before returning to the Company in 2015. Mr. Johri had accrued pension benefits under the FAE formula of the ERP and the PPP. However, he was not eligible for early retirement upon his departure and distribution of his previously accrued benefit did not occur. Upon rejoining UTC, Mr. Johri was no longer eligible to participate in UTC’s pension plans, and now receives age-based Company automatic contributions under the UTC Employee Savings Plan and the UTC Company Automatic Contribution Excess Plan (detailed in footnotes (5(d)) and (5(e)) on page 59).</w:t>
      </w:r>
    </w:p>
    <w:p>
      <w:pPr>
        <w:spacing w:after="0" w:line="55" w:lineRule="exact"/>
        <w:rPr>
          <w:rFonts w:ascii="Arial" w:cs="Arial" w:eastAsia="Arial" w:hAnsi="Arial"/>
          <w:sz w:val="14"/>
          <w:szCs w:val="14"/>
          <w:color w:val="auto"/>
        </w:rPr>
      </w:pPr>
    </w:p>
    <w:p>
      <w:pPr>
        <w:ind w:left="220" w:right="20" w:hanging="212"/>
        <w:spacing w:after="0" w:line="225" w:lineRule="auto"/>
        <w:tabs>
          <w:tab w:leader="none" w:pos="2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present value of the accumulated benefits shown for Mr. Ortberg are based on benefits earned under the legacy Rockwell Collins qualified and nonqualified defined benefit pension plans which were frozen in 2006 and have since merged into the equivalent UTC pension plans. The number of years of credited service for Mr. Ortberg reflects the years of service he had when the plans were frozen. Benefit calculations are based on age, years of service, and average annual base salary and annual bonus. Payments to Mr. Ortberg from the legacy Rockwell Collins nonqualified pension plan are payable upon separation from service as a monthly life annuity. A portion of Mr. Ortberg’s accrued nonqualified pension benefits were previously distributed to him in a lump-sum payment in accordance with the change-in-control provisions in that plan.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Ms. Marks was hired by UTC after January 1, 2010, and therefore does not participate in UTC’s legacy pension plans.</w:t>
      </w:r>
    </w:p>
    <w:p>
      <w:pPr>
        <w:spacing w:after="0" w:line="226" w:lineRule="exact"/>
        <w:rPr>
          <w:sz w:val="20"/>
          <w:szCs w:val="20"/>
          <w:color w:val="auto"/>
        </w:rPr>
      </w:pPr>
    </w:p>
    <w:p>
      <w:pPr>
        <w:ind w:left="880" w:hanging="628"/>
        <w:spacing w:after="0"/>
        <w:tabs>
          <w:tab w:leader="none" w:pos="880" w:val="left"/>
        </w:tabs>
        <w:numPr>
          <w:ilvl w:val="0"/>
          <w:numId w:val="148"/>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146685</wp:posOffset>
            </wp:positionV>
            <wp:extent cx="1191895" cy="1289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FFFFFF"/>
        </w:rPr>
        <w:t>COMPENSATION TABLES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-90805</wp:posOffset>
            </wp:positionV>
            <wp:extent cx="5325745" cy="946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325745" cy="946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UTC offers the following nonqualified deferred compensation programs: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Plan Name</w:t>
            </w:r>
          </w:p>
        </w:tc>
        <w:tc>
          <w:tcPr>
            <w:tcW w:w="9000" w:type="dxa"/>
            <w:vAlign w:val="bottom"/>
          </w:tcPr>
          <w:p>
            <w:pPr>
              <w:ind w:left="60"/>
              <w:spacing w:after="0"/>
              <w:rPr>
                <w:sz w:val="20"/>
                <w:szCs w:val="20"/>
                <w:color w:val="auto"/>
              </w:rPr>
            </w:pPr>
            <w:r>
              <w:rPr>
                <w:rFonts w:ascii="Arial" w:cs="Arial" w:eastAsia="Arial" w:hAnsi="Arial"/>
                <w:sz w:val="14"/>
                <w:szCs w:val="14"/>
                <w:b w:val="1"/>
                <w:bCs w:val="1"/>
                <w:color w:val="0E93D8"/>
              </w:rPr>
              <w:t>Description</w:t>
            </w:r>
          </w:p>
        </w:tc>
      </w:tr>
      <w:tr>
        <w:trPr>
          <w:trHeight w:val="89"/>
        </w:trPr>
        <w:tc>
          <w:tcPr>
            <w:tcW w:w="2300" w:type="dxa"/>
            <w:vAlign w:val="bottom"/>
            <w:tcBorders>
              <w:bottom w:val="single" w:sz="8" w:color="DAE9F7"/>
            </w:tcBorders>
          </w:tcPr>
          <w:p>
            <w:pPr>
              <w:spacing w:after="0"/>
              <w:rPr>
                <w:sz w:val="7"/>
                <w:szCs w:val="7"/>
                <w:color w:val="auto"/>
              </w:rPr>
            </w:pPr>
          </w:p>
        </w:tc>
        <w:tc>
          <w:tcPr>
            <w:tcW w:w="120" w:type="dxa"/>
            <w:vAlign w:val="bottom"/>
          </w:tcPr>
          <w:p>
            <w:pPr>
              <w:spacing w:after="0"/>
              <w:rPr>
                <w:sz w:val="7"/>
                <w:szCs w:val="7"/>
                <w:color w:val="auto"/>
              </w:rPr>
            </w:pPr>
          </w:p>
        </w:tc>
        <w:tc>
          <w:tcPr>
            <w:tcW w:w="9000" w:type="dxa"/>
            <w:vAlign w:val="bottom"/>
            <w:tcBorders>
              <w:bottom w:val="single" w:sz="8" w:color="0F94D8"/>
            </w:tcBorders>
          </w:tcPr>
          <w:p>
            <w:pPr>
              <w:spacing w:after="0"/>
              <w:rPr>
                <w:sz w:val="7"/>
                <w:szCs w:val="7"/>
                <w:color w:val="auto"/>
              </w:rPr>
            </w:pPr>
          </w:p>
        </w:tc>
      </w:tr>
      <w:tr>
        <w:trPr>
          <w:trHeight w:val="199"/>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UTC Savings</w:t>
            </w:r>
          </w:p>
        </w:tc>
        <w:tc>
          <w:tcPr>
            <w:tcW w:w="9000" w:type="dxa"/>
            <w:vAlign w:val="bottom"/>
          </w:tcPr>
          <w:p>
            <w:pPr>
              <w:ind w:left="60"/>
              <w:spacing w:after="0"/>
              <w:rPr>
                <w:sz w:val="20"/>
                <w:szCs w:val="20"/>
                <w:color w:val="auto"/>
              </w:rPr>
            </w:pPr>
            <w:r>
              <w:rPr>
                <w:rFonts w:ascii="Arial" w:cs="Arial" w:eastAsia="Arial" w:hAnsi="Arial"/>
                <w:sz w:val="14"/>
                <w:szCs w:val="14"/>
                <w:color w:val="auto"/>
              </w:rPr>
              <w:t>The SRP is a nonqualified, unfunded deferred compensation arrangement that offers participants the opportunity to defer up to 6% of pay (base</w:t>
            </w:r>
          </w:p>
        </w:tc>
      </w:tr>
      <w:tr>
        <w:trPr>
          <w:trHeight w:val="149"/>
        </w:trPr>
        <w:tc>
          <w:tcPr>
            <w:tcW w:w="2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0E93D8"/>
              </w:rPr>
              <w:t>Restoration Plan</w:t>
            </w: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rPr>
              <w:t>salary plus annual bonus) above the annual Internal Revenue Code compensation limit ($275,000 in 2018) applicable to the tax-qualified UTC</w:t>
            </w:r>
          </w:p>
        </w:tc>
      </w:tr>
      <w:tr>
        <w:trPr>
          <w:trHeight w:val="165"/>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(“SRP”)</w:t>
            </w:r>
          </w:p>
        </w:tc>
        <w:tc>
          <w:tcPr>
            <w:tcW w:w="9000" w:type="dxa"/>
            <w:vAlign w:val="bottom"/>
          </w:tcPr>
          <w:p>
            <w:pPr>
              <w:ind w:left="60"/>
              <w:spacing w:after="0"/>
              <w:rPr>
                <w:sz w:val="20"/>
                <w:szCs w:val="20"/>
                <w:color w:val="auto"/>
              </w:rPr>
            </w:pPr>
            <w:r>
              <w:rPr>
                <w:rFonts w:ascii="Arial" w:cs="Arial" w:eastAsia="Arial" w:hAnsi="Arial"/>
                <w:sz w:val="14"/>
                <w:szCs w:val="14"/>
                <w:color w:val="auto"/>
                <w:w w:val="99"/>
              </w:rPr>
              <w:t>Employee Savings Plan. Using the UTC Employee Savings Plan’s matching contribution formula, the SRP credits matching contributions equal to</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w w:val="98"/>
              </w:rPr>
              <w:t>60% of the amount deferred by the executive in the form of UTC deferred stock units. Participants are vested in their own deferrals and vest in the</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w w:val="97"/>
              </w:rPr>
              <w:t>UTC match upon the earlier of three years of service or two years in the Plan. SRP balances may be distributed at the election of the participant in a</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rPr>
              <w:t>lump-sum payment or in annual installments over periods ranging from two to 15 years. Employee deferrals are distributed in cash and the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Pr>
          <w:p>
            <w:pPr>
              <w:ind w:left="60"/>
              <w:spacing w:after="0"/>
              <w:rPr>
                <w:sz w:val="20"/>
                <w:szCs w:val="20"/>
                <w:color w:val="auto"/>
              </w:rPr>
            </w:pPr>
            <w:r>
              <w:rPr>
                <w:rFonts w:ascii="Arial" w:cs="Arial" w:eastAsia="Arial" w:hAnsi="Arial"/>
                <w:sz w:val="14"/>
                <w:szCs w:val="14"/>
                <w:color w:val="auto"/>
              </w:rPr>
              <w:t>Company match is distributed in shares of UTC Common Stock.</w:t>
            </w:r>
          </w:p>
        </w:tc>
      </w:tr>
      <w:tr>
        <w:trPr>
          <w:trHeight w:val="55"/>
        </w:trPr>
        <w:tc>
          <w:tcPr>
            <w:tcW w:w="230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9000" w:type="dxa"/>
            <w:vAlign w:val="bottom"/>
            <w:tcBorders>
              <w:bottom w:val="single" w:sz="8" w:color="7C7C7C"/>
            </w:tcBorders>
          </w:tcPr>
          <w:p>
            <w:pPr>
              <w:spacing w:after="0"/>
              <w:rPr>
                <w:sz w:val="4"/>
                <w:szCs w:val="4"/>
                <w:color w:val="auto"/>
              </w:rPr>
            </w:pPr>
          </w:p>
        </w:tc>
      </w:tr>
      <w:tr>
        <w:trPr>
          <w:trHeight w:val="193"/>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Company Automatic</w:t>
            </w:r>
          </w:p>
        </w:tc>
        <w:tc>
          <w:tcPr>
            <w:tcW w:w="9000" w:type="dxa"/>
            <w:vAlign w:val="bottom"/>
          </w:tcPr>
          <w:p>
            <w:pPr>
              <w:ind w:left="60"/>
              <w:spacing w:after="0"/>
              <w:rPr>
                <w:sz w:val="20"/>
                <w:szCs w:val="20"/>
                <w:color w:val="auto"/>
              </w:rPr>
            </w:pPr>
            <w:r>
              <w:rPr>
                <w:rFonts w:ascii="Arial" w:cs="Arial" w:eastAsia="Arial" w:hAnsi="Arial"/>
                <w:sz w:val="14"/>
                <w:szCs w:val="14"/>
                <w:color w:val="auto"/>
                <w:w w:val="98"/>
              </w:rPr>
              <w:t>Salaried employees, including NEOs, hired on or after January 1, 2010, do not participate in UTC’s pension plans. These employees do, however,</w:t>
            </w:r>
          </w:p>
        </w:tc>
      </w:tr>
      <w:tr>
        <w:trPr>
          <w:trHeight w:val="149"/>
        </w:trPr>
        <w:tc>
          <w:tcPr>
            <w:tcW w:w="2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0E93D8"/>
              </w:rPr>
              <w:t>Contribution Excess</w:t>
            </w: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rPr>
              <w:t>receive age-based Company automatic contributions (ranging from 3% to 5.5% of salary and annual bonus) to their tax-qualified UTC Employee</w:t>
            </w:r>
          </w:p>
        </w:tc>
      </w:tr>
      <w:tr>
        <w:trPr>
          <w:trHeight w:val="165"/>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Plan (“CACEP”)</w:t>
            </w:r>
          </w:p>
        </w:tc>
        <w:tc>
          <w:tcPr>
            <w:tcW w:w="9000" w:type="dxa"/>
            <w:vAlign w:val="bottom"/>
          </w:tcPr>
          <w:p>
            <w:pPr>
              <w:ind w:left="60"/>
              <w:spacing w:after="0"/>
              <w:rPr>
                <w:sz w:val="20"/>
                <w:szCs w:val="20"/>
                <w:color w:val="auto"/>
              </w:rPr>
            </w:pPr>
            <w:r>
              <w:rPr>
                <w:rFonts w:ascii="Arial" w:cs="Arial" w:eastAsia="Arial" w:hAnsi="Arial"/>
                <w:sz w:val="14"/>
                <w:szCs w:val="14"/>
                <w:color w:val="auto"/>
                <w:w w:val="97"/>
              </w:rPr>
              <w:t>Savings Plan account. The purpose of the unfunded, nonqualified CACEP is to continue to credit these age-based Company automatic contributions</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w w:val="99"/>
              </w:rPr>
              <w:t>on compensation that exceeds the IRC limit applicable to the tax-qualified UTC Employee Savings Plan. Participants receiving benefits under the</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w w:val="96"/>
              </w:rPr>
              <w:t>CACEP do not accrue a benefit under the PPP. Participants are vested in UTC contributions upon the earlier of three years of service or two years in</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rPr>
              <w:t>the Plan. CACEP balances may be distributed at the election of the participant in a lump-sum payment or in annual installments over periods</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Pr>
          <w:p>
            <w:pPr>
              <w:ind w:left="60"/>
              <w:spacing w:after="0"/>
              <w:rPr>
                <w:sz w:val="20"/>
                <w:szCs w:val="20"/>
                <w:color w:val="auto"/>
              </w:rPr>
            </w:pPr>
            <w:r>
              <w:rPr>
                <w:rFonts w:ascii="Arial" w:cs="Arial" w:eastAsia="Arial" w:hAnsi="Arial"/>
                <w:sz w:val="14"/>
                <w:szCs w:val="14"/>
                <w:color w:val="auto"/>
              </w:rPr>
              <w:t>ranging from two to 15 years.</w:t>
            </w:r>
          </w:p>
        </w:tc>
      </w:tr>
      <w:tr>
        <w:trPr>
          <w:trHeight w:val="55"/>
        </w:trPr>
        <w:tc>
          <w:tcPr>
            <w:tcW w:w="230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9000" w:type="dxa"/>
            <w:vAlign w:val="bottom"/>
            <w:tcBorders>
              <w:bottom w:val="single" w:sz="8" w:color="7C7C7C"/>
            </w:tcBorders>
          </w:tcPr>
          <w:p>
            <w:pPr>
              <w:spacing w:after="0"/>
              <w:rPr>
                <w:sz w:val="4"/>
                <w:szCs w:val="4"/>
                <w:color w:val="auto"/>
              </w:rPr>
            </w:pPr>
          </w:p>
        </w:tc>
      </w:tr>
      <w:tr>
        <w:trPr>
          <w:trHeight w:val="193"/>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UTC Deferred</w:t>
            </w:r>
          </w:p>
        </w:tc>
        <w:tc>
          <w:tcPr>
            <w:tcW w:w="9000" w:type="dxa"/>
            <w:vAlign w:val="bottom"/>
          </w:tcPr>
          <w:p>
            <w:pPr>
              <w:ind w:left="60"/>
              <w:spacing w:after="0"/>
              <w:rPr>
                <w:sz w:val="20"/>
                <w:szCs w:val="20"/>
                <w:color w:val="auto"/>
              </w:rPr>
            </w:pPr>
            <w:r>
              <w:rPr>
                <w:rFonts w:ascii="Arial" w:cs="Arial" w:eastAsia="Arial" w:hAnsi="Arial"/>
                <w:sz w:val="14"/>
                <w:szCs w:val="14"/>
                <w:color w:val="auto"/>
                <w:w w:val="98"/>
              </w:rPr>
              <w:t>The DCP is a nonqualified, unfunded deferred compensation arrangement that offers participants the opportunity to defer up to 50% of base salary</w:t>
            </w:r>
          </w:p>
        </w:tc>
      </w:tr>
      <w:tr>
        <w:trPr>
          <w:trHeight w:val="149"/>
        </w:trPr>
        <w:tc>
          <w:tcPr>
            <w:tcW w:w="2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0E93D8"/>
              </w:rPr>
              <w:t>Compensation Plan</w:t>
            </w: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w w:val="99"/>
              </w:rPr>
              <w:t>and up to 70% of annual bonus until retirement or for a fixed period, selected by the participant, of at least five years. All distributions are made in</w:t>
            </w:r>
          </w:p>
        </w:tc>
      </w:tr>
      <w:tr>
        <w:trPr>
          <w:trHeight w:val="165"/>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(“DCP”)</w:t>
            </w:r>
          </w:p>
        </w:tc>
        <w:tc>
          <w:tcPr>
            <w:tcW w:w="9000" w:type="dxa"/>
            <w:vAlign w:val="bottom"/>
          </w:tcPr>
          <w:p>
            <w:pPr>
              <w:ind w:left="60"/>
              <w:spacing w:after="0"/>
              <w:rPr>
                <w:sz w:val="20"/>
                <w:szCs w:val="20"/>
                <w:color w:val="auto"/>
              </w:rPr>
            </w:pPr>
            <w:r>
              <w:rPr>
                <w:rFonts w:ascii="Arial" w:cs="Arial" w:eastAsia="Arial" w:hAnsi="Arial"/>
                <w:sz w:val="14"/>
                <w:szCs w:val="14"/>
                <w:color w:val="auto"/>
                <w:w w:val="97"/>
              </w:rPr>
              <w:t>cash, either in a lump-sum or in two to 15 annual installments per the participant’s election. If a participant’s employment terminates before he or she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Pr>
          <w:p>
            <w:pPr>
              <w:ind w:left="60"/>
              <w:spacing w:after="0"/>
              <w:rPr>
                <w:sz w:val="20"/>
                <w:szCs w:val="20"/>
                <w:color w:val="auto"/>
              </w:rPr>
            </w:pPr>
            <w:r>
              <w:rPr>
                <w:rFonts w:ascii="Arial" w:cs="Arial" w:eastAsia="Arial" w:hAnsi="Arial"/>
                <w:sz w:val="14"/>
                <w:szCs w:val="14"/>
                <w:color w:val="auto"/>
              </w:rPr>
              <w:t>is eligible to retire, all balances are paid as a lump-sum in the April following termination.</w:t>
            </w:r>
          </w:p>
        </w:tc>
      </w:tr>
      <w:tr>
        <w:trPr>
          <w:trHeight w:val="55"/>
        </w:trPr>
        <w:tc>
          <w:tcPr>
            <w:tcW w:w="230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9000" w:type="dxa"/>
            <w:vAlign w:val="bottom"/>
            <w:tcBorders>
              <w:bottom w:val="single" w:sz="8" w:color="7C7C7C"/>
            </w:tcBorders>
          </w:tcPr>
          <w:p>
            <w:pPr>
              <w:spacing w:after="0"/>
              <w:rPr>
                <w:sz w:val="4"/>
                <w:szCs w:val="4"/>
                <w:color w:val="auto"/>
              </w:rPr>
            </w:pPr>
          </w:p>
        </w:tc>
      </w:tr>
      <w:tr>
        <w:trPr>
          <w:trHeight w:val="193"/>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UTC PSU</w:t>
            </w:r>
          </w:p>
        </w:tc>
        <w:tc>
          <w:tcPr>
            <w:tcW w:w="9000" w:type="dxa"/>
            <w:vAlign w:val="bottom"/>
          </w:tcPr>
          <w:p>
            <w:pPr>
              <w:ind w:left="60"/>
              <w:spacing w:after="0"/>
              <w:rPr>
                <w:sz w:val="20"/>
                <w:szCs w:val="20"/>
                <w:color w:val="auto"/>
              </w:rPr>
            </w:pPr>
            <w:r>
              <w:rPr>
                <w:rFonts w:ascii="Arial" w:cs="Arial" w:eastAsia="Arial" w:hAnsi="Arial"/>
                <w:sz w:val="14"/>
                <w:szCs w:val="14"/>
                <w:color w:val="auto"/>
              </w:rPr>
              <w:t>The PSU Deferral Plan allows executives to defer between 10% and 100% of their vested PSU awards that would otherwise be settled in</w:t>
            </w:r>
          </w:p>
        </w:tc>
      </w:tr>
      <w:tr>
        <w:trPr>
          <w:trHeight w:val="165"/>
        </w:trPr>
        <w:tc>
          <w:tcPr>
            <w:tcW w:w="2420" w:type="dxa"/>
            <w:vAlign w:val="bottom"/>
            <w:gridSpan w:val="2"/>
          </w:tcPr>
          <w:p>
            <w:pPr>
              <w:ind w:left="80"/>
              <w:spacing w:after="0"/>
              <w:rPr>
                <w:sz w:val="20"/>
                <w:szCs w:val="20"/>
                <w:color w:val="auto"/>
              </w:rPr>
            </w:pPr>
            <w:r>
              <w:rPr>
                <w:rFonts w:ascii="Arial" w:cs="Arial" w:eastAsia="Arial" w:hAnsi="Arial"/>
                <w:sz w:val="14"/>
                <w:szCs w:val="14"/>
                <w:b w:val="1"/>
                <w:bCs w:val="1"/>
                <w:color w:val="0E93D8"/>
              </w:rPr>
              <w:t>Deferral Plan</w:t>
            </w:r>
          </w:p>
        </w:tc>
        <w:tc>
          <w:tcPr>
            <w:tcW w:w="9000" w:type="dxa"/>
            <w:vAlign w:val="bottom"/>
          </w:tcPr>
          <w:p>
            <w:pPr>
              <w:ind w:left="60"/>
              <w:spacing w:after="0"/>
              <w:rPr>
                <w:sz w:val="20"/>
                <w:szCs w:val="20"/>
                <w:color w:val="auto"/>
              </w:rPr>
            </w:pPr>
            <w:r>
              <w:rPr>
                <w:rFonts w:ascii="Arial" w:cs="Arial" w:eastAsia="Arial" w:hAnsi="Arial"/>
                <w:sz w:val="14"/>
                <w:szCs w:val="14"/>
                <w:color w:val="auto"/>
              </w:rPr>
              <w:t>unrestricted shares of UTC Common Stock. The deferred portion of the PSU award is converted into deferred stock units that accrue dividend</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rPr>
              <w:t>equivalents. Distributions from the plan are made in a lump-sum or in two to 15 annual installments, either upon retirement or at a future date</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0" w:type="dxa"/>
            <w:vAlign w:val="bottom"/>
          </w:tcPr>
          <w:p>
            <w:pPr>
              <w:ind w:left="60"/>
              <w:spacing w:after="0" w:line="149" w:lineRule="exact"/>
              <w:rPr>
                <w:sz w:val="20"/>
                <w:szCs w:val="20"/>
                <w:color w:val="auto"/>
              </w:rPr>
            </w:pPr>
            <w:r>
              <w:rPr>
                <w:rFonts w:ascii="Arial" w:cs="Arial" w:eastAsia="Arial" w:hAnsi="Arial"/>
                <w:sz w:val="14"/>
                <w:szCs w:val="14"/>
                <w:color w:val="auto"/>
                <w:w w:val="98"/>
              </w:rPr>
              <w:t>selected by the executive (which may be no earlier than five years from the year the PSUs are deferred). Distributions are made in whole shares of</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Pr>
          <w:p>
            <w:pPr>
              <w:ind w:left="60"/>
              <w:spacing w:after="0"/>
              <w:rPr>
                <w:sz w:val="20"/>
                <w:szCs w:val="20"/>
                <w:color w:val="auto"/>
              </w:rPr>
            </w:pPr>
            <w:r>
              <w:rPr>
                <w:rFonts w:ascii="Arial" w:cs="Arial" w:eastAsia="Arial" w:hAnsi="Arial"/>
                <w:sz w:val="14"/>
                <w:szCs w:val="14"/>
                <w:color w:val="auto"/>
              </w:rPr>
              <w:t>Common Stock with any fractional units paid in cash.</w:t>
            </w:r>
          </w:p>
        </w:tc>
      </w:tr>
      <w:tr>
        <w:trPr>
          <w:trHeight w:val="55"/>
        </w:trPr>
        <w:tc>
          <w:tcPr>
            <w:tcW w:w="230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9000" w:type="dxa"/>
            <w:vAlign w:val="bottom"/>
            <w:tcBorders>
              <w:bottom w:val="single" w:sz="8" w:color="7C7C7C"/>
            </w:tcBorders>
          </w:tcPr>
          <w:p>
            <w:pPr>
              <w:spacing w:after="0"/>
              <w:rPr>
                <w:sz w:val="4"/>
                <w:szCs w:val="4"/>
                <w:color w:val="auto"/>
              </w:rPr>
            </w:pP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Executive</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Registrant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Aggregate</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Aggregate</w:t>
            </w: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0E93D8"/>
              </w:rPr>
              <w:t>Aggregate</w:t>
            </w:r>
          </w:p>
        </w:tc>
      </w:tr>
      <w:tr>
        <w:trPr>
          <w:trHeight w:val="163"/>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Contributions</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Contributions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Earnings in</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E93D8"/>
              </w:rPr>
              <w:t>Withdrawals/</w:t>
            </w: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0E93D8"/>
              </w:rPr>
              <w:t>Balance at</w:t>
            </w:r>
          </w:p>
        </w:tc>
      </w:tr>
      <w:tr>
        <w:trPr>
          <w:trHeight w:val="237"/>
        </w:trPr>
        <w:tc>
          <w:tcPr>
            <w:tcW w:w="86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Name</w:t>
            </w:r>
          </w:p>
        </w:tc>
        <w:tc>
          <w:tcPr>
            <w:tcW w:w="100" w:type="dxa"/>
            <w:vAlign w:val="bottom"/>
          </w:tcPr>
          <w:p>
            <w:pPr>
              <w:spacing w:after="0"/>
              <w:rPr>
                <w:sz w:val="20"/>
                <w:szCs w:val="20"/>
                <w:color w:val="auto"/>
              </w:rPr>
            </w:pPr>
          </w:p>
        </w:tc>
        <w:tc>
          <w:tcPr>
            <w:tcW w:w="4420" w:type="dxa"/>
            <w:vAlign w:val="bottom"/>
            <w:tcBorders>
              <w:bottom w:val="single" w:sz="8" w:color="DAE9F7"/>
            </w:tcBorders>
          </w:tcPr>
          <w:p>
            <w:pPr>
              <w:ind w:left="80"/>
              <w:spacing w:after="0"/>
              <w:rPr>
                <w:sz w:val="20"/>
                <w:szCs w:val="20"/>
                <w:color w:val="auto"/>
              </w:rPr>
            </w:pPr>
            <w:r>
              <w:rPr>
                <w:rFonts w:ascii="Arial" w:cs="Arial" w:eastAsia="Arial" w:hAnsi="Arial"/>
                <w:sz w:val="14"/>
                <w:szCs w:val="14"/>
                <w:b w:val="1"/>
                <w:bCs w:val="1"/>
                <w:color w:val="0E93D8"/>
              </w:rPr>
              <w:t>Plan</w:t>
            </w:r>
          </w:p>
        </w:tc>
        <w:tc>
          <w:tcPr>
            <w:tcW w:w="120" w:type="dxa"/>
            <w:vAlign w:val="bottom"/>
          </w:tcPr>
          <w:p>
            <w:pPr>
              <w:spacing w:after="0"/>
              <w:rPr>
                <w:sz w:val="20"/>
                <w:szCs w:val="20"/>
                <w:color w:val="auto"/>
              </w:rPr>
            </w:pPr>
          </w:p>
        </w:tc>
        <w:tc>
          <w:tcPr>
            <w:tcW w:w="1120" w:type="dxa"/>
            <w:vAlign w:val="bottom"/>
            <w:tcBorders>
              <w:bottom w:val="single" w:sz="8" w:color="DAE9F7"/>
            </w:tcBorders>
          </w:tcPr>
          <w:p>
            <w:pPr>
              <w:jc w:val="right"/>
              <w:spacing w:after="0" w:line="203" w:lineRule="exact"/>
              <w:rPr>
                <w:sz w:val="20"/>
                <w:szCs w:val="20"/>
                <w:color w:val="auto"/>
              </w:rPr>
            </w:pPr>
            <w:r>
              <w:rPr>
                <w:rFonts w:ascii="Arial" w:cs="Arial" w:eastAsia="Arial" w:hAnsi="Arial"/>
                <w:sz w:val="14"/>
                <w:szCs w:val="14"/>
                <w:b w:val="1"/>
                <w:bCs w:val="1"/>
                <w:color w:val="0E93D8"/>
                <w:w w:val="98"/>
              </w:rPr>
              <w:t>in Last FY ($)</w:t>
            </w:r>
            <w:r>
              <w:rPr>
                <w:rFonts w:ascii="Arial" w:cs="Arial" w:eastAsia="Arial" w:hAnsi="Arial"/>
                <w:sz w:val="22"/>
                <w:szCs w:val="22"/>
                <w:b w:val="1"/>
                <w:bCs w:val="1"/>
                <w:color w:val="0E93D8"/>
                <w:w w:val="98"/>
                <w:vertAlign w:val="superscript"/>
              </w:rPr>
              <w:t>(1)</w:t>
            </w:r>
          </w:p>
        </w:tc>
        <w:tc>
          <w:tcPr>
            <w:tcW w:w="120" w:type="dxa"/>
            <w:vAlign w:val="bottom"/>
          </w:tcPr>
          <w:p>
            <w:pPr>
              <w:spacing w:after="0"/>
              <w:rPr>
                <w:sz w:val="20"/>
                <w:szCs w:val="20"/>
                <w:color w:val="auto"/>
              </w:rPr>
            </w:pPr>
          </w:p>
        </w:tc>
        <w:tc>
          <w:tcPr>
            <w:tcW w:w="1120" w:type="dxa"/>
            <w:vAlign w:val="bottom"/>
            <w:tcBorders>
              <w:bottom w:val="single" w:sz="8" w:color="DAE9F7"/>
            </w:tcBorders>
          </w:tcPr>
          <w:p>
            <w:pPr>
              <w:jc w:val="right"/>
              <w:spacing w:after="0" w:line="203" w:lineRule="exact"/>
              <w:rPr>
                <w:sz w:val="20"/>
                <w:szCs w:val="20"/>
                <w:color w:val="auto"/>
              </w:rPr>
            </w:pPr>
            <w:r>
              <w:rPr>
                <w:rFonts w:ascii="Arial" w:cs="Arial" w:eastAsia="Arial" w:hAnsi="Arial"/>
                <w:sz w:val="14"/>
                <w:szCs w:val="14"/>
                <w:b w:val="1"/>
                <w:bCs w:val="1"/>
                <w:color w:val="0E93D8"/>
                <w:w w:val="98"/>
              </w:rPr>
              <w:t>in Last FY ($)</w:t>
            </w:r>
            <w:r>
              <w:rPr>
                <w:rFonts w:ascii="Arial" w:cs="Arial" w:eastAsia="Arial" w:hAnsi="Arial"/>
                <w:sz w:val="22"/>
                <w:szCs w:val="22"/>
                <w:b w:val="1"/>
                <w:bCs w:val="1"/>
                <w:color w:val="0E93D8"/>
                <w:w w:val="98"/>
                <w:vertAlign w:val="superscript"/>
              </w:rPr>
              <w:t>(2)</w:t>
            </w:r>
          </w:p>
        </w:tc>
        <w:tc>
          <w:tcPr>
            <w:tcW w:w="120" w:type="dxa"/>
            <w:vAlign w:val="bottom"/>
          </w:tcPr>
          <w:p>
            <w:pPr>
              <w:spacing w:after="0"/>
              <w:rPr>
                <w:sz w:val="20"/>
                <w:szCs w:val="20"/>
                <w:color w:val="auto"/>
              </w:rPr>
            </w:pPr>
          </w:p>
        </w:tc>
        <w:tc>
          <w:tcPr>
            <w:tcW w:w="960" w:type="dxa"/>
            <w:vAlign w:val="bottom"/>
            <w:tcBorders>
              <w:bottom w:val="single" w:sz="8" w:color="DAE9F7"/>
            </w:tcBorders>
          </w:tcPr>
          <w:p>
            <w:pPr>
              <w:jc w:val="right"/>
              <w:spacing w:after="0" w:line="203" w:lineRule="exact"/>
              <w:rPr>
                <w:sz w:val="20"/>
                <w:szCs w:val="20"/>
                <w:color w:val="auto"/>
              </w:rPr>
            </w:pPr>
            <w:r>
              <w:rPr>
                <w:rFonts w:ascii="Arial" w:cs="Arial" w:eastAsia="Arial" w:hAnsi="Arial"/>
                <w:sz w:val="14"/>
                <w:szCs w:val="14"/>
                <w:b w:val="1"/>
                <w:bCs w:val="1"/>
                <w:color w:val="0E93D8"/>
                <w:w w:val="98"/>
              </w:rPr>
              <w:t>Last FY ($)</w:t>
            </w:r>
            <w:r>
              <w:rPr>
                <w:rFonts w:ascii="Arial" w:cs="Arial" w:eastAsia="Arial" w:hAnsi="Arial"/>
                <w:sz w:val="22"/>
                <w:szCs w:val="22"/>
                <w:b w:val="1"/>
                <w:bCs w:val="1"/>
                <w:color w:val="0E93D8"/>
                <w:w w:val="98"/>
                <w:vertAlign w:val="superscript"/>
              </w:rPr>
              <w:t>(3)</w:t>
            </w:r>
          </w:p>
        </w:tc>
        <w:tc>
          <w:tcPr>
            <w:tcW w:w="120" w:type="dxa"/>
            <w:vAlign w:val="bottom"/>
          </w:tcPr>
          <w:p>
            <w:pPr>
              <w:spacing w:after="0"/>
              <w:rPr>
                <w:sz w:val="20"/>
                <w:szCs w:val="20"/>
                <w:color w:val="auto"/>
              </w:rPr>
            </w:pPr>
          </w:p>
        </w:tc>
        <w:tc>
          <w:tcPr>
            <w:tcW w:w="1180" w:type="dxa"/>
            <w:vAlign w:val="bottom"/>
            <w:tcBorders>
              <w:bottom w:val="single" w:sz="8" w:color="DAE9F7"/>
            </w:tcBorders>
          </w:tcPr>
          <w:p>
            <w:pPr>
              <w:jc w:val="right"/>
              <w:spacing w:after="0"/>
              <w:rPr>
                <w:sz w:val="20"/>
                <w:szCs w:val="20"/>
                <w:color w:val="auto"/>
              </w:rPr>
            </w:pPr>
            <w:r>
              <w:rPr>
                <w:rFonts w:ascii="Arial" w:cs="Arial" w:eastAsia="Arial" w:hAnsi="Arial"/>
                <w:sz w:val="14"/>
                <w:szCs w:val="14"/>
                <w:b w:val="1"/>
                <w:bCs w:val="1"/>
                <w:color w:val="0E93D8"/>
              </w:rPr>
              <w:t>Distributions ($)</w:t>
            </w:r>
          </w:p>
        </w:tc>
        <w:tc>
          <w:tcPr>
            <w:tcW w:w="120" w:type="dxa"/>
            <w:vAlign w:val="bottom"/>
          </w:tcPr>
          <w:p>
            <w:pPr>
              <w:spacing w:after="0"/>
              <w:rPr>
                <w:sz w:val="20"/>
                <w:szCs w:val="20"/>
                <w:color w:val="auto"/>
              </w:rPr>
            </w:pPr>
          </w:p>
        </w:tc>
        <w:tc>
          <w:tcPr>
            <w:tcW w:w="1060" w:type="dxa"/>
            <w:vAlign w:val="bottom"/>
            <w:tcBorders>
              <w:bottom w:val="single" w:sz="8" w:color="0F94D8"/>
            </w:tcBorders>
          </w:tcPr>
          <w:p>
            <w:pPr>
              <w:jc w:val="right"/>
              <w:ind w:right="12"/>
              <w:spacing w:after="0" w:line="203" w:lineRule="exact"/>
              <w:rPr>
                <w:sz w:val="20"/>
                <w:szCs w:val="20"/>
                <w:color w:val="auto"/>
              </w:rPr>
            </w:pPr>
            <w:r>
              <w:rPr>
                <w:rFonts w:ascii="Arial" w:cs="Arial" w:eastAsia="Arial" w:hAnsi="Arial"/>
                <w:sz w:val="14"/>
                <w:szCs w:val="14"/>
                <w:b w:val="1"/>
                <w:bCs w:val="1"/>
                <w:color w:val="0E93D8"/>
                <w:w w:val="97"/>
              </w:rPr>
              <w:t>Last FYE ($)</w:t>
            </w:r>
            <w:r>
              <w:rPr>
                <w:rFonts w:ascii="Arial" w:cs="Arial" w:eastAsia="Arial" w:hAnsi="Arial"/>
                <w:sz w:val="22"/>
                <w:szCs w:val="22"/>
                <w:b w:val="1"/>
                <w:bCs w:val="1"/>
                <w:color w:val="0E93D8"/>
                <w:w w:val="97"/>
                <w:vertAlign w:val="superscript"/>
              </w:rPr>
              <w:t>(4)</w:t>
            </w:r>
          </w:p>
        </w:tc>
      </w:tr>
      <w:tr>
        <w:trPr>
          <w:trHeight w:val="196"/>
        </w:trPr>
        <w:tc>
          <w:tcPr>
            <w:tcW w:w="960" w:type="dxa"/>
            <w:vAlign w:val="bottom"/>
            <w:gridSpan w:val="2"/>
          </w:tcPr>
          <w:p>
            <w:pPr>
              <w:ind w:left="80"/>
              <w:spacing w:after="0"/>
              <w:rPr>
                <w:sz w:val="20"/>
                <w:szCs w:val="20"/>
                <w:color w:val="auto"/>
              </w:rPr>
            </w:pPr>
            <w:r>
              <w:rPr>
                <w:rFonts w:ascii="Arial" w:cs="Arial" w:eastAsia="Arial" w:hAnsi="Arial"/>
                <w:sz w:val="14"/>
                <w:szCs w:val="14"/>
                <w:color w:val="auto"/>
              </w:rPr>
              <w:t>G. Hayes</w:t>
            </w:r>
          </w:p>
        </w:tc>
        <w:tc>
          <w:tcPr>
            <w:tcW w:w="454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UTC Deferred Compensation Plan</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-$134,093</w:t>
            </w:r>
          </w:p>
        </w:tc>
        <w:tc>
          <w:tcPr>
            <w:tcW w:w="120" w:type="dxa"/>
            <w:vAlign w:val="bottom"/>
            <w:tcBorders>
              <w:bottom w:val="single" w:sz="8" w:color="7C7C7C"/>
            </w:tcBorders>
          </w:tcPr>
          <w:p>
            <w:pPr>
              <w:spacing w:after="0"/>
              <w:rPr>
                <w:sz w:val="17"/>
                <w:szCs w:val="17"/>
                <w:color w:val="auto"/>
              </w:rPr>
            </w:pPr>
          </w:p>
        </w:tc>
        <w:tc>
          <w:tcPr>
            <w:tcW w:w="11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$780,248</w:t>
            </w: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UTC Savings Restoration Plan</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$276,000</w:t>
            </w:r>
          </w:p>
        </w:tc>
        <w:tc>
          <w:tcPr>
            <w:tcW w:w="120" w:type="dxa"/>
            <w:vAlign w:val="bottom"/>
            <w:tcBorders>
              <w:bottom w:val="single" w:sz="8" w:color="7C7C7C"/>
            </w:tcBorders>
          </w:tcPr>
          <w:p>
            <w:pPr>
              <w:spacing w:after="0"/>
              <w:rPr>
                <w:sz w:val="17"/>
                <w:szCs w:val="17"/>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$165,600</w:t>
            </w:r>
          </w:p>
        </w:tc>
        <w:tc>
          <w:tcPr>
            <w:tcW w:w="12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-$238,031</w:t>
            </w:r>
          </w:p>
        </w:tc>
        <w:tc>
          <w:tcPr>
            <w:tcW w:w="120" w:type="dxa"/>
            <w:vAlign w:val="bottom"/>
            <w:tcBorders>
              <w:bottom w:val="single" w:sz="8" w:color="7C7C7C"/>
            </w:tcBorders>
          </w:tcPr>
          <w:p>
            <w:pPr>
              <w:spacing w:after="0"/>
              <w:rPr>
                <w:sz w:val="17"/>
                <w:szCs w:val="17"/>
                <w:color w:val="auto"/>
              </w:rPr>
            </w:pPr>
          </w:p>
        </w:tc>
        <w:tc>
          <w:tcPr>
            <w:tcW w:w="11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$2,574,933</w:t>
            </w:r>
          </w:p>
        </w:tc>
      </w:tr>
      <w:tr>
        <w:trPr>
          <w:trHeight w:val="210"/>
        </w:trPr>
        <w:tc>
          <w:tcPr>
            <w:tcW w:w="860" w:type="dxa"/>
            <w:vAlign w:val="bottom"/>
            <w:tcBorders>
              <w:bottom w:val="single" w:sz="8" w:color="FDB03F"/>
            </w:tcBorders>
          </w:tcPr>
          <w:p>
            <w:pPr>
              <w:spacing w:after="0"/>
              <w:rPr>
                <w:sz w:val="18"/>
                <w:szCs w:val="18"/>
                <w:color w:val="auto"/>
              </w:rPr>
            </w:pPr>
          </w:p>
        </w:tc>
        <w:tc>
          <w:tcPr>
            <w:tcW w:w="100" w:type="dxa"/>
            <w:vAlign w:val="bottom"/>
            <w:tcBorders>
              <w:bottom w:val="single" w:sz="8" w:color="FDB03F"/>
            </w:tcBorders>
          </w:tcPr>
          <w:p>
            <w:pPr>
              <w:spacing w:after="0"/>
              <w:rPr>
                <w:sz w:val="18"/>
                <w:szCs w:val="18"/>
                <w:color w:val="auto"/>
              </w:rPr>
            </w:pPr>
          </w:p>
        </w:tc>
        <w:tc>
          <w:tcPr>
            <w:tcW w:w="4540" w:type="dxa"/>
            <w:vAlign w:val="bottom"/>
            <w:tcBorders>
              <w:bottom w:val="single" w:sz="8" w:color="FDB03F"/>
            </w:tcBorders>
            <w:gridSpan w:val="2"/>
          </w:tcPr>
          <w:p>
            <w:pPr>
              <w:ind w:left="80"/>
              <w:spacing w:after="0"/>
              <w:rPr>
                <w:sz w:val="20"/>
                <w:szCs w:val="20"/>
                <w:color w:val="auto"/>
              </w:rPr>
            </w:pPr>
            <w:r>
              <w:rPr>
                <w:rFonts w:ascii="Arial" w:cs="Arial" w:eastAsia="Arial" w:hAnsi="Arial"/>
                <w:sz w:val="14"/>
                <w:szCs w:val="14"/>
                <w:color w:val="auto"/>
              </w:rPr>
              <w:t>Sundstrand Corporation Deferred Compensation Plan</w:t>
            </w: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18"/>
                <w:szCs w:val="18"/>
                <w:color w:val="auto"/>
              </w:rPr>
            </w:pP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18"/>
                <w:szCs w:val="18"/>
                <w:color w:val="auto"/>
              </w:rPr>
            </w:pPr>
          </w:p>
        </w:tc>
        <w:tc>
          <w:tcPr>
            <w:tcW w:w="96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$27,959</w:t>
            </w:r>
          </w:p>
        </w:tc>
        <w:tc>
          <w:tcPr>
            <w:tcW w:w="120" w:type="dxa"/>
            <w:vAlign w:val="bottom"/>
            <w:tcBorders>
              <w:bottom w:val="single" w:sz="8" w:color="FDB03F"/>
            </w:tcBorders>
          </w:tcPr>
          <w:p>
            <w:pPr>
              <w:spacing w:after="0"/>
              <w:rPr>
                <w:sz w:val="18"/>
                <w:szCs w:val="18"/>
                <w:color w:val="auto"/>
              </w:rPr>
            </w:pPr>
          </w:p>
        </w:tc>
        <w:tc>
          <w:tcPr>
            <w:tcW w:w="118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18"/>
                <w:szCs w:val="18"/>
                <w:color w:val="auto"/>
              </w:rPr>
            </w:pPr>
          </w:p>
        </w:tc>
        <w:tc>
          <w:tcPr>
            <w:tcW w:w="106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auto"/>
              </w:rPr>
              <w:t>$580,509</w:t>
            </w:r>
          </w:p>
        </w:tc>
      </w:tr>
      <w:tr>
        <w:trPr>
          <w:trHeight w:val="196"/>
        </w:trPr>
        <w:tc>
          <w:tcPr>
            <w:tcW w:w="960" w:type="dxa"/>
            <w:vAlign w:val="bottom"/>
            <w:gridSpan w:val="2"/>
          </w:tcPr>
          <w:p>
            <w:pPr>
              <w:ind w:left="80"/>
              <w:spacing w:after="0"/>
              <w:rPr>
                <w:sz w:val="20"/>
                <w:szCs w:val="20"/>
                <w:color w:val="auto"/>
              </w:rPr>
            </w:pPr>
            <w:r>
              <w:rPr>
                <w:rFonts w:ascii="Arial" w:cs="Arial" w:eastAsia="Arial" w:hAnsi="Arial"/>
                <w:sz w:val="14"/>
                <w:szCs w:val="14"/>
                <w:color w:val="auto"/>
              </w:rPr>
              <w:t>A. Johri</w:t>
            </w:r>
          </w:p>
        </w:tc>
        <w:tc>
          <w:tcPr>
            <w:tcW w:w="454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UTC Deferred Compensation Plan</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-$39,194</w:t>
            </w:r>
          </w:p>
        </w:tc>
        <w:tc>
          <w:tcPr>
            <w:tcW w:w="120" w:type="dxa"/>
            <w:vAlign w:val="bottom"/>
            <w:tcBorders>
              <w:bottom w:val="single" w:sz="8" w:color="7C7C7C"/>
            </w:tcBorders>
          </w:tcPr>
          <w:p>
            <w:pPr>
              <w:spacing w:after="0"/>
              <w:rPr>
                <w:sz w:val="17"/>
                <w:szCs w:val="17"/>
                <w:color w:val="auto"/>
              </w:rPr>
            </w:pPr>
          </w:p>
        </w:tc>
        <w:tc>
          <w:tcPr>
            <w:tcW w:w="11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$769,789</w:t>
            </w:r>
          </w:p>
        </w:tc>
      </w:tr>
      <w:tr>
        <w:trPr>
          <w:trHeight w:val="243"/>
        </w:trPr>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4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UTC Savings Restoration Plan</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$102,900</w:t>
            </w:r>
          </w:p>
        </w:tc>
        <w:tc>
          <w:tcPr>
            <w:tcW w:w="120" w:type="dxa"/>
            <w:vAlign w:val="bottom"/>
            <w:tcBorders>
              <w:bottom w:val="single" w:sz="8" w:color="7C7C7C"/>
            </w:tcBorders>
          </w:tcPr>
          <w:p>
            <w:pPr>
              <w:spacing w:after="0"/>
              <w:rPr>
                <w:sz w:val="21"/>
                <w:szCs w:val="21"/>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$61,740</w:t>
            </w:r>
          </w:p>
        </w:tc>
        <w:tc>
          <w:tcPr>
            <w:tcW w:w="120" w:type="dxa"/>
            <w:vAlign w:val="bottom"/>
            <w:tcBorders>
              <w:bottom w:val="single" w:sz="8" w:color="7C7C7C"/>
            </w:tcBorders>
          </w:tcPr>
          <w:p>
            <w:pPr>
              <w:spacing w:after="0"/>
              <w:rPr>
                <w:sz w:val="21"/>
                <w:szCs w:val="21"/>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-$48,385</w:t>
            </w:r>
          </w:p>
        </w:tc>
        <w:tc>
          <w:tcPr>
            <w:tcW w:w="120" w:type="dxa"/>
            <w:vAlign w:val="bottom"/>
            <w:tcBorders>
              <w:bottom w:val="single" w:sz="8" w:color="7C7C7C"/>
            </w:tcBorders>
          </w:tcPr>
          <w:p>
            <w:pPr>
              <w:spacing w:after="0"/>
              <w:rPr>
                <w:sz w:val="21"/>
                <w:szCs w:val="21"/>
                <w:color w:val="auto"/>
              </w:rPr>
            </w:pPr>
          </w:p>
        </w:tc>
        <w:tc>
          <w:tcPr>
            <w:tcW w:w="1180" w:type="dxa"/>
            <w:vAlign w:val="bottom"/>
            <w:tcBorders>
              <w:bottom w:val="single" w:sz="8" w:color="7C7C7C"/>
            </w:tcBorders>
          </w:tcPr>
          <w:p>
            <w:pPr>
              <w:jc w:val="right"/>
              <w:spacing w:after="0" w:line="243" w:lineRule="exact"/>
              <w:rPr>
                <w:sz w:val="20"/>
                <w:szCs w:val="20"/>
                <w:color w:val="auto"/>
              </w:rPr>
            </w:pPr>
            <w:r>
              <w:rPr>
                <w:rFonts w:ascii="Arial" w:cs="Arial" w:eastAsia="Arial" w:hAnsi="Arial"/>
                <w:sz w:val="14"/>
                <w:szCs w:val="14"/>
                <w:color w:val="auto"/>
              </w:rPr>
              <w:t>-$28,622</w:t>
            </w:r>
            <w:r>
              <w:rPr>
                <w:rFonts w:ascii="Arial" w:cs="Arial" w:eastAsia="Arial" w:hAnsi="Arial"/>
                <w:sz w:val="22"/>
                <w:szCs w:val="22"/>
                <w:color w:val="auto"/>
                <w:vertAlign w:val="superscript"/>
              </w:rPr>
              <w:t>(5)</w:t>
            </w:r>
          </w:p>
        </w:tc>
        <w:tc>
          <w:tcPr>
            <w:tcW w:w="120" w:type="dxa"/>
            <w:vAlign w:val="bottom"/>
            <w:tcBorders>
              <w:bottom w:val="single" w:sz="8" w:color="7C7C7C"/>
            </w:tcBorders>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$463,356</w:t>
            </w:r>
          </w:p>
        </w:tc>
      </w:tr>
      <w:tr>
        <w:trPr>
          <w:trHeight w:val="190"/>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UTC Company Automatic Contribution Excess Plan</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6"/>
                <w:szCs w:val="16"/>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$94,325</w:t>
            </w:r>
          </w:p>
        </w:tc>
        <w:tc>
          <w:tcPr>
            <w:tcW w:w="120" w:type="dxa"/>
            <w:vAlign w:val="bottom"/>
            <w:tcBorders>
              <w:bottom w:val="single" w:sz="8" w:color="7C7C7C"/>
            </w:tcBorders>
          </w:tcPr>
          <w:p>
            <w:pPr>
              <w:spacing w:after="0"/>
              <w:rPr>
                <w:sz w:val="16"/>
                <w:szCs w:val="16"/>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$8,711</w:t>
            </w:r>
          </w:p>
        </w:tc>
        <w:tc>
          <w:tcPr>
            <w:tcW w:w="120" w:type="dxa"/>
            <w:vAlign w:val="bottom"/>
            <w:tcBorders>
              <w:bottom w:val="single" w:sz="8" w:color="7C7C7C"/>
            </w:tcBorders>
          </w:tcPr>
          <w:p>
            <w:pPr>
              <w:spacing w:after="0"/>
              <w:rPr>
                <w:sz w:val="16"/>
                <w:szCs w:val="16"/>
                <w:color w:val="auto"/>
              </w:rPr>
            </w:pPr>
          </w:p>
        </w:tc>
        <w:tc>
          <w:tcPr>
            <w:tcW w:w="11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6"/>
                <w:szCs w:val="16"/>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$275,171</w:t>
            </w:r>
          </w:p>
        </w:tc>
      </w:tr>
      <w:tr>
        <w:trPr>
          <w:trHeight w:val="250"/>
        </w:trPr>
        <w:tc>
          <w:tcPr>
            <w:tcW w:w="860" w:type="dxa"/>
            <w:vAlign w:val="bottom"/>
            <w:tcBorders>
              <w:bottom w:val="single" w:sz="8" w:color="FDB03F"/>
            </w:tcBorders>
          </w:tcPr>
          <w:p>
            <w:pPr>
              <w:spacing w:after="0"/>
              <w:rPr>
                <w:sz w:val="21"/>
                <w:szCs w:val="21"/>
                <w:color w:val="auto"/>
              </w:rPr>
            </w:pPr>
          </w:p>
        </w:tc>
        <w:tc>
          <w:tcPr>
            <w:tcW w:w="100" w:type="dxa"/>
            <w:vAlign w:val="bottom"/>
            <w:tcBorders>
              <w:bottom w:val="single" w:sz="8" w:color="FDB03F"/>
            </w:tcBorders>
          </w:tcPr>
          <w:p>
            <w:pPr>
              <w:spacing w:after="0"/>
              <w:rPr>
                <w:sz w:val="21"/>
                <w:szCs w:val="21"/>
                <w:color w:val="auto"/>
              </w:rPr>
            </w:pPr>
          </w:p>
        </w:tc>
        <w:tc>
          <w:tcPr>
            <w:tcW w:w="4540" w:type="dxa"/>
            <w:vAlign w:val="bottom"/>
            <w:tcBorders>
              <w:bottom w:val="single" w:sz="8" w:color="FDB03F"/>
            </w:tcBorders>
            <w:gridSpan w:val="2"/>
          </w:tcPr>
          <w:p>
            <w:pPr>
              <w:ind w:left="80"/>
              <w:spacing w:after="0" w:line="243" w:lineRule="exact"/>
              <w:rPr>
                <w:sz w:val="20"/>
                <w:szCs w:val="20"/>
                <w:color w:val="auto"/>
              </w:rPr>
            </w:pPr>
            <w:r>
              <w:rPr>
                <w:rFonts w:ascii="Arial" w:cs="Arial" w:eastAsia="Arial" w:hAnsi="Arial"/>
                <w:sz w:val="14"/>
                <w:szCs w:val="14"/>
                <w:color w:val="auto"/>
              </w:rPr>
              <w:t>UTC PSU Deferral Plan</w:t>
            </w:r>
            <w:r>
              <w:rPr>
                <w:rFonts w:ascii="Arial" w:cs="Arial" w:eastAsia="Arial" w:hAnsi="Arial"/>
                <w:sz w:val="22"/>
                <w:szCs w:val="22"/>
                <w:color w:val="auto"/>
                <w:vertAlign w:val="superscript"/>
              </w:rPr>
              <w:t>(6)</w:t>
            </w: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$337,834</w:t>
            </w:r>
          </w:p>
        </w:tc>
        <w:tc>
          <w:tcPr>
            <w:tcW w:w="120" w:type="dxa"/>
            <w:vAlign w:val="bottom"/>
            <w:tcBorders>
              <w:bottom w:val="single" w:sz="8" w:color="FDB03F"/>
            </w:tcBorders>
          </w:tcPr>
          <w:p>
            <w:pPr>
              <w:spacing w:after="0"/>
              <w:rPr>
                <w:sz w:val="21"/>
                <w:szCs w:val="21"/>
                <w:color w:val="auto"/>
              </w:rPr>
            </w:pP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21"/>
                <w:szCs w:val="21"/>
                <w:color w:val="auto"/>
              </w:rPr>
            </w:pPr>
          </w:p>
        </w:tc>
        <w:tc>
          <w:tcPr>
            <w:tcW w:w="96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-$49,115</w:t>
            </w:r>
          </w:p>
        </w:tc>
        <w:tc>
          <w:tcPr>
            <w:tcW w:w="120" w:type="dxa"/>
            <w:vAlign w:val="bottom"/>
            <w:tcBorders>
              <w:bottom w:val="single" w:sz="8" w:color="FDB03F"/>
            </w:tcBorders>
          </w:tcPr>
          <w:p>
            <w:pPr>
              <w:spacing w:after="0"/>
              <w:rPr>
                <w:sz w:val="21"/>
                <w:szCs w:val="21"/>
                <w:color w:val="auto"/>
              </w:rPr>
            </w:pPr>
          </w:p>
        </w:tc>
        <w:tc>
          <w:tcPr>
            <w:tcW w:w="118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21"/>
                <w:szCs w:val="21"/>
                <w:color w:val="auto"/>
              </w:rPr>
            </w:pPr>
          </w:p>
        </w:tc>
        <w:tc>
          <w:tcPr>
            <w:tcW w:w="106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auto"/>
              </w:rPr>
              <w:t>$288,719</w:t>
            </w:r>
          </w:p>
        </w:tc>
      </w:tr>
      <w:tr>
        <w:trPr>
          <w:trHeight w:val="243"/>
        </w:trPr>
        <w:tc>
          <w:tcPr>
            <w:tcW w:w="960" w:type="dxa"/>
            <w:vAlign w:val="bottom"/>
            <w:gridSpan w:val="2"/>
          </w:tcPr>
          <w:p>
            <w:pPr>
              <w:ind w:left="80"/>
              <w:spacing w:after="0"/>
              <w:rPr>
                <w:sz w:val="20"/>
                <w:szCs w:val="20"/>
                <w:color w:val="auto"/>
              </w:rPr>
            </w:pPr>
            <w:r>
              <w:rPr>
                <w:rFonts w:ascii="Arial" w:cs="Arial" w:eastAsia="Arial" w:hAnsi="Arial"/>
                <w:sz w:val="14"/>
                <w:szCs w:val="14"/>
                <w:color w:val="auto"/>
              </w:rPr>
              <w:t>R. Ortberg</w:t>
            </w:r>
          </w:p>
        </w:tc>
        <w:tc>
          <w:tcPr>
            <w:tcW w:w="4540" w:type="dxa"/>
            <w:vAlign w:val="bottom"/>
            <w:tcBorders>
              <w:bottom w:val="single" w:sz="8" w:color="7C7C7C"/>
            </w:tcBorders>
            <w:gridSpan w:val="2"/>
          </w:tcPr>
          <w:p>
            <w:pPr>
              <w:ind w:left="80"/>
              <w:spacing w:after="0" w:line="243" w:lineRule="exact"/>
              <w:rPr>
                <w:sz w:val="20"/>
                <w:szCs w:val="20"/>
                <w:color w:val="auto"/>
              </w:rPr>
            </w:pPr>
            <w:r>
              <w:rPr>
                <w:rFonts w:ascii="Arial" w:cs="Arial" w:eastAsia="Arial" w:hAnsi="Arial"/>
                <w:sz w:val="14"/>
                <w:szCs w:val="14"/>
                <w:color w:val="auto"/>
              </w:rPr>
              <w:t>Rockwell Collins Deferred Compensation Plan</w:t>
            </w:r>
            <w:r>
              <w:rPr>
                <w:rFonts w:ascii="Arial" w:cs="Arial" w:eastAsia="Arial" w:hAnsi="Arial"/>
                <w:sz w:val="22"/>
                <w:szCs w:val="22"/>
                <w:color w:val="auto"/>
                <w:vertAlign w:val="superscript"/>
              </w:rPr>
              <w:t>(7)</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21"/>
                <w:szCs w:val="21"/>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21"/>
                <w:szCs w:val="21"/>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-$46,219</w:t>
            </w:r>
          </w:p>
        </w:tc>
        <w:tc>
          <w:tcPr>
            <w:tcW w:w="120" w:type="dxa"/>
            <w:vAlign w:val="bottom"/>
            <w:tcBorders>
              <w:bottom w:val="single" w:sz="8" w:color="7C7C7C"/>
            </w:tcBorders>
          </w:tcPr>
          <w:p>
            <w:pPr>
              <w:spacing w:after="0"/>
              <w:rPr>
                <w:sz w:val="21"/>
                <w:szCs w:val="21"/>
                <w:color w:val="auto"/>
              </w:rPr>
            </w:pPr>
          </w:p>
        </w:tc>
        <w:tc>
          <w:tcPr>
            <w:tcW w:w="11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21"/>
                <w:szCs w:val="21"/>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$624,488</w:t>
            </w:r>
          </w:p>
        </w:tc>
      </w:tr>
      <w:tr>
        <w:trPr>
          <w:trHeight w:val="244"/>
        </w:trPr>
        <w:tc>
          <w:tcPr>
            <w:tcW w:w="860" w:type="dxa"/>
            <w:vAlign w:val="bottom"/>
            <w:tcBorders>
              <w:bottom w:val="single" w:sz="8" w:color="FDB03F"/>
            </w:tcBorders>
          </w:tcPr>
          <w:p>
            <w:pPr>
              <w:spacing w:after="0"/>
              <w:rPr>
                <w:sz w:val="21"/>
                <w:szCs w:val="21"/>
                <w:color w:val="auto"/>
              </w:rPr>
            </w:pPr>
          </w:p>
        </w:tc>
        <w:tc>
          <w:tcPr>
            <w:tcW w:w="100" w:type="dxa"/>
            <w:vAlign w:val="bottom"/>
            <w:tcBorders>
              <w:bottom w:val="single" w:sz="8" w:color="FDB03F"/>
            </w:tcBorders>
          </w:tcPr>
          <w:p>
            <w:pPr>
              <w:spacing w:after="0"/>
              <w:rPr>
                <w:sz w:val="21"/>
                <w:szCs w:val="21"/>
                <w:color w:val="auto"/>
              </w:rPr>
            </w:pPr>
          </w:p>
        </w:tc>
        <w:tc>
          <w:tcPr>
            <w:tcW w:w="4540" w:type="dxa"/>
            <w:vAlign w:val="bottom"/>
            <w:tcBorders>
              <w:bottom w:val="single" w:sz="8" w:color="FDB03F"/>
            </w:tcBorders>
            <w:gridSpan w:val="2"/>
          </w:tcPr>
          <w:p>
            <w:pPr>
              <w:ind w:left="80"/>
              <w:spacing w:after="0" w:line="237" w:lineRule="exact"/>
              <w:rPr>
                <w:sz w:val="20"/>
                <w:szCs w:val="20"/>
                <w:color w:val="auto"/>
              </w:rPr>
            </w:pPr>
            <w:r>
              <w:rPr>
                <w:rFonts w:ascii="Arial" w:cs="Arial" w:eastAsia="Arial" w:hAnsi="Arial"/>
                <w:sz w:val="14"/>
                <w:szCs w:val="14"/>
                <w:color w:val="auto"/>
              </w:rPr>
              <w:t>Rockwell Collins Non-Qualified Savings Plan</w:t>
            </w:r>
            <w:r>
              <w:rPr>
                <w:rFonts w:ascii="Arial" w:cs="Arial" w:eastAsia="Arial" w:hAnsi="Arial"/>
                <w:sz w:val="22"/>
                <w:szCs w:val="22"/>
                <w:color w:val="auto"/>
                <w:vertAlign w:val="superscript"/>
              </w:rPr>
              <w:t>(8)</w:t>
            </w: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$7,203</w:t>
            </w:r>
          </w:p>
        </w:tc>
        <w:tc>
          <w:tcPr>
            <w:tcW w:w="120" w:type="dxa"/>
            <w:vAlign w:val="bottom"/>
            <w:tcBorders>
              <w:bottom w:val="single" w:sz="8" w:color="FDB03F"/>
            </w:tcBorders>
          </w:tcPr>
          <w:p>
            <w:pPr>
              <w:spacing w:after="0"/>
              <w:rPr>
                <w:sz w:val="21"/>
                <w:szCs w:val="21"/>
                <w:color w:val="auto"/>
              </w:rPr>
            </w:pP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$9,904</w:t>
            </w:r>
          </w:p>
        </w:tc>
        <w:tc>
          <w:tcPr>
            <w:tcW w:w="120" w:type="dxa"/>
            <w:vAlign w:val="bottom"/>
            <w:tcBorders>
              <w:bottom w:val="single" w:sz="8" w:color="FDB03F"/>
            </w:tcBorders>
          </w:tcPr>
          <w:p>
            <w:pPr>
              <w:spacing w:after="0"/>
              <w:rPr>
                <w:sz w:val="21"/>
                <w:szCs w:val="21"/>
                <w:color w:val="auto"/>
              </w:rPr>
            </w:pPr>
          </w:p>
        </w:tc>
        <w:tc>
          <w:tcPr>
            <w:tcW w:w="96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Borders>
              <w:bottom w:val="single" w:sz="8" w:color="FDB03F"/>
            </w:tcBorders>
          </w:tcPr>
          <w:p>
            <w:pPr>
              <w:spacing w:after="0"/>
              <w:rPr>
                <w:sz w:val="21"/>
                <w:szCs w:val="21"/>
                <w:color w:val="auto"/>
              </w:rPr>
            </w:pPr>
          </w:p>
        </w:tc>
        <w:tc>
          <w:tcPr>
            <w:tcW w:w="118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21"/>
                <w:szCs w:val="21"/>
                <w:color w:val="auto"/>
              </w:rPr>
            </w:pPr>
          </w:p>
        </w:tc>
        <w:tc>
          <w:tcPr>
            <w:tcW w:w="106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auto"/>
              </w:rPr>
              <w:t>$20,382</w:t>
            </w:r>
          </w:p>
        </w:tc>
      </w:tr>
      <w:tr>
        <w:trPr>
          <w:trHeight w:val="196"/>
        </w:trPr>
        <w:tc>
          <w:tcPr>
            <w:tcW w:w="960" w:type="dxa"/>
            <w:vAlign w:val="bottom"/>
            <w:gridSpan w:val="2"/>
          </w:tcPr>
          <w:p>
            <w:pPr>
              <w:ind w:left="80"/>
              <w:spacing w:after="0"/>
              <w:rPr>
                <w:sz w:val="20"/>
                <w:szCs w:val="20"/>
                <w:color w:val="auto"/>
              </w:rPr>
            </w:pPr>
            <w:r>
              <w:rPr>
                <w:rFonts w:ascii="Arial" w:cs="Arial" w:eastAsia="Arial" w:hAnsi="Arial"/>
                <w:sz w:val="14"/>
                <w:szCs w:val="14"/>
                <w:color w:val="auto"/>
              </w:rPr>
              <w:t>J. Marks</w:t>
            </w:r>
          </w:p>
        </w:tc>
        <w:tc>
          <w:tcPr>
            <w:tcW w:w="454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UTC Savings Restoration Plan</w:t>
            </w: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$43,625</w:t>
            </w:r>
          </w:p>
        </w:tc>
        <w:tc>
          <w:tcPr>
            <w:tcW w:w="120" w:type="dxa"/>
            <w:vAlign w:val="bottom"/>
            <w:tcBorders>
              <w:bottom w:val="single" w:sz="8" w:color="7C7C7C"/>
            </w:tcBorders>
          </w:tcPr>
          <w:p>
            <w:pPr>
              <w:spacing w:after="0"/>
              <w:rPr>
                <w:sz w:val="17"/>
                <w:szCs w:val="17"/>
                <w:color w:val="auto"/>
              </w:rPr>
            </w:pPr>
          </w:p>
        </w:tc>
        <w:tc>
          <w:tcPr>
            <w:tcW w:w="112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$6,563</w:t>
            </w:r>
          </w:p>
        </w:tc>
        <w:tc>
          <w:tcPr>
            <w:tcW w:w="120" w:type="dxa"/>
            <w:vAlign w:val="bottom"/>
            <w:tcBorders>
              <w:bottom w:val="single" w:sz="8" w:color="7C7C7C"/>
            </w:tcBorders>
          </w:tcPr>
          <w:p>
            <w:pPr>
              <w:spacing w:after="0"/>
              <w:rPr>
                <w:sz w:val="17"/>
                <w:szCs w:val="17"/>
                <w:color w:val="auto"/>
              </w:rPr>
            </w:pPr>
          </w:p>
        </w:tc>
        <w:tc>
          <w:tcPr>
            <w:tcW w:w="96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-$3,462</w:t>
            </w:r>
          </w:p>
        </w:tc>
        <w:tc>
          <w:tcPr>
            <w:tcW w:w="120" w:type="dxa"/>
            <w:vAlign w:val="bottom"/>
            <w:tcBorders>
              <w:bottom w:val="single" w:sz="8" w:color="7C7C7C"/>
            </w:tcBorders>
          </w:tcPr>
          <w:p>
            <w:pPr>
              <w:spacing w:after="0"/>
              <w:rPr>
                <w:sz w:val="17"/>
                <w:szCs w:val="17"/>
                <w:color w:val="auto"/>
              </w:rPr>
            </w:pPr>
          </w:p>
        </w:tc>
        <w:tc>
          <w:tcPr>
            <w:tcW w:w="118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17"/>
                <w:szCs w:val="17"/>
                <w:color w:val="auto"/>
              </w:rPr>
            </w:pPr>
          </w:p>
        </w:tc>
        <w:tc>
          <w:tcPr>
            <w:tcW w:w="1060" w:type="dxa"/>
            <w:vAlign w:val="bottom"/>
            <w:tcBorders>
              <w:bottom w:val="single" w:sz="8" w:color="7C7C7C"/>
            </w:tcBorders>
            <w:shd w:val="clear" w:color="auto" w:fill="F6FAFB"/>
          </w:tcPr>
          <w:p>
            <w:pPr>
              <w:jc w:val="right"/>
              <w:ind w:right="12"/>
              <w:spacing w:after="0"/>
              <w:rPr>
                <w:sz w:val="20"/>
                <w:szCs w:val="20"/>
                <w:color w:val="auto"/>
              </w:rPr>
            </w:pPr>
            <w:r>
              <w:rPr>
                <w:rFonts w:ascii="Arial" w:cs="Arial" w:eastAsia="Arial" w:hAnsi="Arial"/>
                <w:sz w:val="14"/>
                <w:szCs w:val="14"/>
                <w:color w:val="auto"/>
              </w:rPr>
              <w:t>$46,726</w:t>
            </w:r>
          </w:p>
        </w:tc>
      </w:tr>
      <w:tr>
        <w:trPr>
          <w:trHeight w:val="210"/>
        </w:trPr>
        <w:tc>
          <w:tcPr>
            <w:tcW w:w="860" w:type="dxa"/>
            <w:vAlign w:val="bottom"/>
            <w:tcBorders>
              <w:bottom w:val="single" w:sz="8" w:color="FDB03F"/>
            </w:tcBorders>
          </w:tcPr>
          <w:p>
            <w:pPr>
              <w:spacing w:after="0"/>
              <w:rPr>
                <w:sz w:val="18"/>
                <w:szCs w:val="18"/>
                <w:color w:val="auto"/>
              </w:rPr>
            </w:pPr>
          </w:p>
        </w:tc>
        <w:tc>
          <w:tcPr>
            <w:tcW w:w="100" w:type="dxa"/>
            <w:vAlign w:val="bottom"/>
            <w:tcBorders>
              <w:bottom w:val="single" w:sz="8" w:color="FDB03F"/>
            </w:tcBorders>
          </w:tcPr>
          <w:p>
            <w:pPr>
              <w:spacing w:after="0"/>
              <w:rPr>
                <w:sz w:val="18"/>
                <w:szCs w:val="18"/>
                <w:color w:val="auto"/>
              </w:rPr>
            </w:pPr>
          </w:p>
        </w:tc>
        <w:tc>
          <w:tcPr>
            <w:tcW w:w="4540" w:type="dxa"/>
            <w:vAlign w:val="bottom"/>
            <w:tcBorders>
              <w:bottom w:val="single" w:sz="8" w:color="FDB03F"/>
            </w:tcBorders>
            <w:gridSpan w:val="2"/>
          </w:tcPr>
          <w:p>
            <w:pPr>
              <w:ind w:left="80"/>
              <w:spacing w:after="0"/>
              <w:rPr>
                <w:sz w:val="20"/>
                <w:szCs w:val="20"/>
                <w:color w:val="auto"/>
              </w:rPr>
            </w:pPr>
            <w:r>
              <w:rPr>
                <w:rFonts w:ascii="Arial" w:cs="Arial" w:eastAsia="Arial" w:hAnsi="Arial"/>
                <w:sz w:val="14"/>
                <w:szCs w:val="14"/>
                <w:color w:val="auto"/>
              </w:rPr>
              <w:t>UTC Company Automatic Contribution Excess Plan</w:t>
            </w: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18"/>
                <w:szCs w:val="18"/>
                <w:color w:val="auto"/>
              </w:rPr>
            </w:pPr>
          </w:p>
        </w:tc>
        <w:tc>
          <w:tcPr>
            <w:tcW w:w="112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$49,156</w:t>
            </w:r>
          </w:p>
        </w:tc>
        <w:tc>
          <w:tcPr>
            <w:tcW w:w="120" w:type="dxa"/>
            <w:vAlign w:val="bottom"/>
            <w:tcBorders>
              <w:bottom w:val="single" w:sz="8" w:color="FDB03F"/>
            </w:tcBorders>
          </w:tcPr>
          <w:p>
            <w:pPr>
              <w:spacing w:after="0"/>
              <w:rPr>
                <w:sz w:val="18"/>
                <w:szCs w:val="18"/>
                <w:color w:val="auto"/>
              </w:rPr>
            </w:pPr>
          </w:p>
        </w:tc>
        <w:tc>
          <w:tcPr>
            <w:tcW w:w="96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Borders>
              <w:bottom w:val="single" w:sz="8" w:color="FDB03F"/>
            </w:tcBorders>
          </w:tcPr>
          <w:p>
            <w:pPr>
              <w:spacing w:after="0"/>
              <w:rPr>
                <w:sz w:val="18"/>
                <w:szCs w:val="18"/>
                <w:color w:val="auto"/>
              </w:rPr>
            </w:pPr>
          </w:p>
        </w:tc>
        <w:tc>
          <w:tcPr>
            <w:tcW w:w="1180" w:type="dxa"/>
            <w:vAlign w:val="bottom"/>
            <w:tcBorders>
              <w:bottom w:val="single" w:sz="8" w:color="FDB03F"/>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DB03F"/>
            </w:tcBorders>
          </w:tcPr>
          <w:p>
            <w:pPr>
              <w:spacing w:after="0"/>
              <w:rPr>
                <w:sz w:val="18"/>
                <w:szCs w:val="18"/>
                <w:color w:val="auto"/>
              </w:rPr>
            </w:pPr>
          </w:p>
        </w:tc>
        <w:tc>
          <w:tcPr>
            <w:tcW w:w="1060" w:type="dxa"/>
            <w:vAlign w:val="bottom"/>
            <w:tcBorders>
              <w:bottom w:val="single" w:sz="8" w:color="FDB03F"/>
            </w:tcBorders>
            <w:shd w:val="clear" w:color="auto" w:fill="F6FAFB"/>
          </w:tcPr>
          <w:p>
            <w:pPr>
              <w:jc w:val="right"/>
              <w:ind w:right="12"/>
              <w:spacing w:after="0"/>
              <w:rPr>
                <w:sz w:val="20"/>
                <w:szCs w:val="20"/>
                <w:color w:val="auto"/>
              </w:rPr>
            </w:pPr>
            <w:r>
              <w:rPr>
                <w:rFonts w:ascii="Arial" w:cs="Arial" w:eastAsia="Arial" w:hAnsi="Arial"/>
                <w:sz w:val="14"/>
                <w:szCs w:val="14"/>
                <w:color w:val="auto"/>
              </w:rPr>
              <w:t>$50,049</w:t>
            </w:r>
          </w:p>
        </w:tc>
      </w:tr>
      <w:tr>
        <w:trPr>
          <w:trHeight w:val="196"/>
        </w:trPr>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 Gitlin</w:t>
            </w:r>
          </w:p>
        </w:tc>
        <w:tc>
          <w:tcPr>
            <w:tcW w:w="4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UTC Savings Restoration Plan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$103,500</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$62,100</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-$82,834</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shd w:val="clear" w:color="auto" w:fill="F6FAFB"/>
          </w:tcPr>
          <w:p>
            <w:pPr>
              <w:jc w:val="right"/>
              <w:ind w:right="12"/>
              <w:spacing w:after="0"/>
              <w:rPr>
                <w:sz w:val="20"/>
                <w:szCs w:val="20"/>
                <w:color w:val="auto"/>
              </w:rPr>
            </w:pPr>
            <w:r>
              <w:rPr>
                <w:rFonts w:ascii="Arial" w:cs="Arial" w:eastAsia="Arial" w:hAnsi="Arial"/>
                <w:sz w:val="14"/>
                <w:szCs w:val="14"/>
                <w:color w:val="auto"/>
              </w:rPr>
              <w:t>$732,783</w:t>
            </w:r>
          </w:p>
        </w:tc>
      </w:tr>
    </w:tbl>
    <w:p>
      <w:pPr>
        <w:spacing w:after="0" w:line="242" w:lineRule="exact"/>
        <w:rPr>
          <w:sz w:val="20"/>
          <w:szCs w:val="20"/>
          <w:color w:val="auto"/>
        </w:rPr>
      </w:pPr>
    </w:p>
    <w:p>
      <w:pPr>
        <w:ind w:left="220" w:right="100" w:hanging="212"/>
        <w:spacing w:after="0" w:line="231" w:lineRule="auto"/>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Amounts shown in this column are included in the Salary and Bonus columns of the Summary Compensation Table on page 58, with the exception of Mr. Johri’s contributions into the UTC PSU Deferral Plan.</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Amounts shown in this column are included in the All Other Compensation column of the Summary Compensation Table on page 58.</w:t>
      </w:r>
    </w:p>
    <w:p>
      <w:pPr>
        <w:spacing w:after="0" w:line="55" w:lineRule="exact"/>
        <w:rPr>
          <w:rFonts w:ascii="Arial" w:cs="Arial" w:eastAsia="Arial" w:hAnsi="Arial"/>
          <w:sz w:val="14"/>
          <w:szCs w:val="14"/>
          <w:color w:val="auto"/>
        </w:rPr>
      </w:pPr>
    </w:p>
    <w:p>
      <w:pPr>
        <w:ind w:left="220" w:right="60" w:hanging="212"/>
        <w:spacing w:after="0" w:line="226" w:lineRule="auto"/>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Amounts shown reflect hypothetical investment returns to accounts based on fixed income, bond and equity indices selected by the participant. Participants also may elect UTC stock units with dividend reinvestments (except for the CACEP). These returns do not constitute above-market earnings, except for $10,723 credited to Mr. Hayes under the frozen Sundstrand Corporation Deferred Compensation Plan. This amount is included in the Change in Pension Value and Nonqualified Deferred Compensation Earnings column of the Summary Compensation Table on page 58.</w:t>
      </w:r>
    </w:p>
    <w:p>
      <w:pPr>
        <w:spacing w:after="0" w:line="55" w:lineRule="exact"/>
        <w:rPr>
          <w:rFonts w:ascii="Arial" w:cs="Arial" w:eastAsia="Arial" w:hAnsi="Arial"/>
          <w:sz w:val="14"/>
          <w:szCs w:val="14"/>
          <w:color w:val="auto"/>
        </w:rPr>
      </w:pPr>
    </w:p>
    <w:p>
      <w:pPr>
        <w:ind w:left="220" w:right="360" w:hanging="212"/>
        <w:spacing w:after="0" w:line="231" w:lineRule="auto"/>
        <w:tabs>
          <w:tab w:leader="none" w:pos="2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sum of contributions (both by the executive and UTC) and credited earnings on those deferrals, less withdrawals. Of these totals, the following amounts have been included in the Summary Compensation Table in prior years: $1,883,697 (Mr. Hayes), $1,019,019 (Mr. Johri) and $138,480 (Mr. Gitlin).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65</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191895" cy="1289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COMPENSATION TABLES</w:t>
      </w:r>
    </w:p>
    <w:p>
      <w:pPr>
        <w:spacing w:after="0" w:line="274" w:lineRule="exact"/>
        <w:rPr>
          <w:sz w:val="20"/>
          <w:szCs w:val="20"/>
          <w:color w:val="auto"/>
        </w:rPr>
      </w:pPr>
    </w:p>
    <w:p>
      <w:pPr>
        <w:ind w:left="220" w:right="320" w:hanging="212"/>
        <w:spacing w:after="0" w:line="231" w:lineRule="auto"/>
        <w:tabs>
          <w:tab w:leader="none" w:pos="2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Mr. Johri’s 2013 separation from service triggered distributions of his previously accrued SRP benefit in 10 annual installments which will continue through 2023. Benefits Mr. Johri has earned under the Plan since he was rehired in 2015 are not included in these distributions.</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Mr. Johri elected to defer the receipt of his 2015 PSU vesting under the UTC PSU Deferral Plan, as reported in the Options Exercised and Stock Vested table on page 63.</w:t>
      </w:r>
    </w:p>
    <w:p>
      <w:pPr>
        <w:spacing w:after="0" w:line="55" w:lineRule="exact"/>
        <w:rPr>
          <w:rFonts w:ascii="Arial" w:cs="Arial" w:eastAsia="Arial" w:hAnsi="Arial"/>
          <w:sz w:val="14"/>
          <w:szCs w:val="14"/>
          <w:color w:val="auto"/>
        </w:rPr>
      </w:pPr>
    </w:p>
    <w:p>
      <w:pPr>
        <w:ind w:left="220" w:right="260" w:hanging="212"/>
        <w:spacing w:after="0" w:line="279" w:lineRule="auto"/>
        <w:tabs>
          <w:tab w:leader="none" w:pos="22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Mr. Ortberg participates in the legacy Rockwell Collins Deferred Compensation Plan which allows executives to defer up to 50% of their base salaries and/or as much as 100% of their annual bonus. With respect to distributions, participants may elect to receive their balances at a future specified date while in-service, at retirement (up to 15 annual installments or as a lump-sum) or upon termination (lump-sum only). All deferrals of base salary and/or annual bonus made in a calendar year are subject to the same distribution election.</w:t>
      </w:r>
    </w:p>
    <w:p>
      <w:pPr>
        <w:spacing w:after="0" w:line="31" w:lineRule="exact"/>
        <w:rPr>
          <w:rFonts w:ascii="Arial" w:cs="Arial" w:eastAsia="Arial" w:hAnsi="Arial"/>
          <w:sz w:val="12"/>
          <w:szCs w:val="12"/>
          <w:color w:val="auto"/>
        </w:rPr>
      </w:pPr>
    </w:p>
    <w:p>
      <w:pPr>
        <w:ind w:left="220" w:right="380" w:hanging="212"/>
        <w:spacing w:after="0" w:line="279" w:lineRule="auto"/>
        <w:tabs>
          <w:tab w:leader="none" w:pos="22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Mr. Ortberg participates in the legacy Rockwell Collins Non-Qualified Savings Plan which provides an employer match and Company automatic retirement contribution that were not contributed to the Rockwell Collins tax-qualified retirement savings plan due to IRC limits. Company matching contributions equal 62.5% of the first 8% of employee contributions and company automatic retirement contributions range from 0.5% to 6% of base salary and annual bonus, based on the sum of the employee’s age and years of service.</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0E93D8"/>
        </w:rPr>
        <w:t xml:space="preserve">POTENTIAL PAYMENTS ON TERMINATION OR CHANGE-IN-CONTROL </w:t>
      </w:r>
      <w:r>
        <w:rPr>
          <w:sz w:val="1"/>
          <w:szCs w:val="1"/>
          <w:color w:val="auto"/>
        </w:rPr>
        <w:drawing>
          <wp:inline distT="0" distB="0" distL="0" distR="0">
            <wp:extent cx="4347845" cy="9461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347845" cy="94615"/>
                    </a:xfrm>
                    <a:prstGeom prst="rect">
                      <a:avLst/>
                    </a:prstGeom>
                    <a:noFill/>
                    <a:ln>
                      <a:noFill/>
                    </a:ln>
                  </pic:spPr>
                </pic:pic>
              </a:graphicData>
            </a:graphic>
          </wp:inline>
        </w:drawing>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SEVERANCE BENEFITS</w:t>
      </w:r>
    </w:p>
    <w:p>
      <w:pPr>
        <w:spacing w:after="0" w:line="22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Over the last 10 years, the Committee has made a number of modifications to the ELG severance program to align with market best practices and to serve the evolving needs of the Company. These changes were applied prospectively due to existing contractual commitments. Therefore, benefit eligibility depends on when the executive was appointed to the ELG, as shown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8BBEE9"/>
            </w:tcBorders>
          </w:tcPr>
          <w:p>
            <w:pPr>
              <w:spacing w:after="0"/>
              <w:rPr>
                <w:sz w:val="17"/>
                <w:szCs w:val="17"/>
                <w:color w:val="auto"/>
              </w:rPr>
            </w:pPr>
          </w:p>
        </w:tc>
        <w:tc>
          <w:tcPr>
            <w:tcW w:w="100" w:type="dxa"/>
            <w:vAlign w:val="bottom"/>
            <w:tcBorders>
              <w:bottom w:val="single" w:sz="8" w:color="8BBEE9"/>
            </w:tcBorders>
          </w:tcPr>
          <w:p>
            <w:pPr>
              <w:spacing w:after="0"/>
              <w:rPr>
                <w:sz w:val="17"/>
                <w:szCs w:val="17"/>
                <w:color w:val="auto"/>
              </w:rPr>
            </w:pPr>
          </w:p>
        </w:tc>
        <w:tc>
          <w:tcPr>
            <w:tcW w:w="2880" w:type="dxa"/>
            <w:vAlign w:val="bottom"/>
            <w:tcBorders>
              <w:bottom w:val="single" w:sz="8" w:color="8BBEE9"/>
            </w:tcBorders>
            <w:gridSpan w:val="2"/>
          </w:tcPr>
          <w:p>
            <w:pPr>
              <w:ind w:left="660"/>
              <w:spacing w:after="0"/>
              <w:rPr>
                <w:sz w:val="20"/>
                <w:szCs w:val="20"/>
                <w:color w:val="auto"/>
              </w:rPr>
            </w:pPr>
            <w:r>
              <w:rPr>
                <w:rFonts w:ascii="Arial" w:cs="Arial" w:eastAsia="Arial" w:hAnsi="Arial"/>
                <w:sz w:val="14"/>
                <w:szCs w:val="14"/>
                <w:b w:val="1"/>
                <w:bCs w:val="1"/>
                <w:color w:val="0E93D8"/>
              </w:rPr>
              <w:t>ELG Appointment Date</w:t>
            </w:r>
          </w:p>
        </w:tc>
        <w:tc>
          <w:tcPr>
            <w:tcW w:w="2780" w:type="dxa"/>
            <w:vAlign w:val="bottom"/>
            <w:tcBorders>
              <w:bottom w:val="single" w:sz="8" w:color="8BBEE9"/>
            </w:tcBorders>
          </w:tcPr>
          <w:p>
            <w:pPr>
              <w:spacing w:after="0"/>
              <w:rPr>
                <w:sz w:val="17"/>
                <w:szCs w:val="17"/>
                <w:color w:val="auto"/>
              </w:rPr>
            </w:pPr>
          </w:p>
        </w:tc>
      </w:tr>
      <w:tr>
        <w:trPr>
          <w:trHeight w:val="159"/>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0E93D8"/>
              </w:rPr>
              <w:t>Between January 2006 and</w:t>
            </w:r>
          </w:p>
        </w:tc>
        <w:tc>
          <w:tcPr>
            <w:tcW w:w="2780" w:type="dxa"/>
            <w:vAlign w:val="bottom"/>
          </w:tcPr>
          <w:p>
            <w:pPr>
              <w:spacing w:after="0"/>
              <w:rPr>
                <w:sz w:val="13"/>
                <w:szCs w:val="13"/>
                <w:color w:val="auto"/>
              </w:rPr>
            </w:pPr>
          </w:p>
        </w:tc>
      </w:tr>
      <w:tr>
        <w:trPr>
          <w:trHeight w:val="185"/>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Prior to January 2006</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April 2013</w:t>
            </w:r>
          </w:p>
        </w:tc>
        <w:tc>
          <w:tcPr>
            <w:tcW w:w="2780" w:type="dxa"/>
            <w:vAlign w:val="bottom"/>
          </w:tcPr>
          <w:p>
            <w:pPr>
              <w:ind w:left="60"/>
              <w:spacing w:after="0"/>
              <w:rPr>
                <w:sz w:val="20"/>
                <w:szCs w:val="20"/>
                <w:color w:val="auto"/>
              </w:rPr>
            </w:pPr>
            <w:r>
              <w:rPr>
                <w:rFonts w:ascii="Arial" w:cs="Arial" w:eastAsia="Arial" w:hAnsi="Arial"/>
                <w:sz w:val="14"/>
                <w:szCs w:val="14"/>
                <w:b w:val="1"/>
                <w:bCs w:val="1"/>
                <w:color w:val="0E93D8"/>
              </w:rPr>
              <w:t>On or after May 2013</w:t>
            </w:r>
          </w:p>
        </w:tc>
      </w:tr>
      <w:tr>
        <w:trPr>
          <w:trHeight w:val="61"/>
        </w:trPr>
        <w:tc>
          <w:tcPr>
            <w:tcW w:w="2780" w:type="dxa"/>
            <w:vAlign w:val="bottom"/>
            <w:shd w:val="clear" w:color="auto" w:fill="DAE9F7"/>
          </w:tcPr>
          <w:p>
            <w:pPr>
              <w:spacing w:after="0"/>
              <w:rPr>
                <w:sz w:val="5"/>
                <w:szCs w:val="5"/>
                <w:color w:val="auto"/>
              </w:rPr>
            </w:pPr>
          </w:p>
        </w:tc>
        <w:tc>
          <w:tcPr>
            <w:tcW w:w="100" w:type="dxa"/>
            <w:vAlign w:val="bottom"/>
          </w:tcPr>
          <w:p>
            <w:pPr>
              <w:spacing w:after="0"/>
              <w:rPr>
                <w:sz w:val="5"/>
                <w:szCs w:val="5"/>
                <w:color w:val="auto"/>
              </w:rPr>
            </w:pPr>
          </w:p>
        </w:tc>
        <w:tc>
          <w:tcPr>
            <w:tcW w:w="278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2760" w:type="dxa"/>
            <w:vAlign w:val="bottom"/>
            <w:shd w:val="clear" w:color="auto" w:fill="0F94D8"/>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shd w:val="clear" w:color="auto" w:fill="0F94D8"/>
          </w:tcPr>
          <w:p>
            <w:pPr>
              <w:spacing w:after="0"/>
              <w:rPr>
                <w:sz w:val="5"/>
                <w:szCs w:val="5"/>
                <w:color w:val="auto"/>
              </w:rPr>
            </w:pPr>
          </w:p>
        </w:tc>
      </w:tr>
      <w:tr>
        <w:trPr>
          <w:trHeight w:val="199"/>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ELG Cash Separation</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2.5x base salary</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2.5x base salary</w:t>
            </w:r>
          </w:p>
        </w:tc>
        <w:tc>
          <w:tcPr>
            <w:tcW w:w="2780" w:type="dxa"/>
            <w:vAlign w:val="bottom"/>
          </w:tcPr>
          <w:p>
            <w:pPr>
              <w:ind w:left="60"/>
              <w:spacing w:after="0"/>
              <w:rPr>
                <w:sz w:val="20"/>
                <w:szCs w:val="20"/>
                <w:color w:val="auto"/>
              </w:rPr>
            </w:pPr>
            <w:r>
              <w:rPr>
                <w:rFonts w:ascii="Arial" w:cs="Arial" w:eastAsia="Arial" w:hAnsi="Arial"/>
                <w:sz w:val="14"/>
                <w:szCs w:val="14"/>
                <w:color w:val="auto"/>
              </w:rPr>
              <w:t>No cash benefit</w:t>
            </w:r>
          </w:p>
        </w:tc>
      </w:tr>
      <w:tr>
        <w:trPr>
          <w:trHeight w:val="178"/>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Benefit</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55"/>
        </w:trPr>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6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r>
      <w:tr>
        <w:trPr>
          <w:trHeight w:val="193"/>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Conditions to Receive</w:t>
            </w: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Mutually agreeable separation, and</w:t>
            </w: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Mutually agreeable separation prior to</w:t>
            </w:r>
          </w:p>
        </w:tc>
        <w:tc>
          <w:tcPr>
            <w:tcW w:w="2780" w:type="dxa"/>
            <w:vAlign w:val="bottom"/>
          </w:tcPr>
          <w:p>
            <w:pPr>
              <w:ind w:left="60"/>
              <w:spacing w:after="0"/>
              <w:rPr>
                <w:sz w:val="20"/>
                <w:szCs w:val="20"/>
                <w:color w:val="auto"/>
              </w:rPr>
            </w:pPr>
            <w:r>
              <w:rPr>
                <w:rFonts w:ascii="Arial" w:cs="Arial" w:eastAsia="Arial" w:hAnsi="Arial"/>
                <w:sz w:val="14"/>
                <w:szCs w:val="14"/>
                <w:color w:val="auto"/>
              </w:rPr>
              <w:t>N/A</w:t>
            </w:r>
          </w:p>
        </w:tc>
      </w:tr>
      <w:tr>
        <w:trPr>
          <w:trHeight w:val="149"/>
        </w:trPr>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0E93D8"/>
              </w:rPr>
              <w:t>Cash Separation</w:t>
            </w: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3+ years as an ELG member</w:t>
            </w: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age 62, and</w:t>
            </w:r>
          </w:p>
        </w:tc>
        <w:tc>
          <w:tcPr>
            <w:tcW w:w="2780" w:type="dxa"/>
            <w:vAlign w:val="bottom"/>
          </w:tcPr>
          <w:p>
            <w:pPr>
              <w:spacing w:after="0"/>
              <w:rPr>
                <w:sz w:val="12"/>
                <w:szCs w:val="12"/>
                <w:color w:val="auto"/>
              </w:rPr>
            </w:pPr>
          </w:p>
        </w:tc>
      </w:tr>
      <w:tr>
        <w:trPr>
          <w:trHeight w:val="165"/>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Benefit</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3+ years as an ELG member, or</w:t>
            </w:r>
          </w:p>
        </w:tc>
        <w:tc>
          <w:tcPr>
            <w:tcW w:w="278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Change-in-control</w:t>
            </w:r>
          </w:p>
        </w:tc>
        <w:tc>
          <w:tcPr>
            <w:tcW w:w="2780" w:type="dxa"/>
            <w:vAlign w:val="bottom"/>
          </w:tcPr>
          <w:p>
            <w:pPr>
              <w:spacing w:after="0"/>
              <w:rPr>
                <w:sz w:val="14"/>
                <w:szCs w:val="14"/>
                <w:color w:val="auto"/>
              </w:rPr>
            </w:pPr>
          </w:p>
        </w:tc>
      </w:tr>
      <w:tr>
        <w:trPr>
          <w:trHeight w:val="55"/>
        </w:trPr>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6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r>
      <w:tr>
        <w:trPr>
          <w:trHeight w:val="209"/>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ELG RSU Award*</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No award granted</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Grant value equal to 2x base salary at time</w:t>
            </w:r>
          </w:p>
        </w:tc>
        <w:tc>
          <w:tcPr>
            <w:tcW w:w="2780" w:type="dxa"/>
            <w:vAlign w:val="bottom"/>
          </w:tcPr>
          <w:p>
            <w:pPr>
              <w:ind w:left="60"/>
              <w:spacing w:after="0"/>
              <w:rPr>
                <w:sz w:val="20"/>
                <w:szCs w:val="20"/>
                <w:color w:val="auto"/>
              </w:rPr>
            </w:pPr>
            <w:r>
              <w:rPr>
                <w:rFonts w:ascii="Arial" w:cs="Arial" w:eastAsia="Arial" w:hAnsi="Arial"/>
                <w:sz w:val="14"/>
                <w:szCs w:val="14"/>
                <w:color w:val="auto"/>
              </w:rPr>
              <w:t>Grant value up to $2 million, depending on</w:t>
            </w: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of grant</w:t>
            </w:r>
          </w:p>
        </w:tc>
        <w:tc>
          <w:tcPr>
            <w:tcW w:w="2780" w:type="dxa"/>
            <w:vAlign w:val="bottom"/>
          </w:tcPr>
          <w:p>
            <w:pPr>
              <w:ind w:left="60"/>
              <w:spacing w:after="0"/>
              <w:rPr>
                <w:sz w:val="20"/>
                <w:szCs w:val="20"/>
                <w:color w:val="auto"/>
              </w:rPr>
            </w:pPr>
            <w:r>
              <w:rPr>
                <w:rFonts w:ascii="Arial" w:cs="Arial" w:eastAsia="Arial" w:hAnsi="Arial"/>
                <w:sz w:val="14"/>
                <w:szCs w:val="14"/>
                <w:color w:val="auto"/>
              </w:rPr>
              <w:t>role</w:t>
            </w:r>
          </w:p>
        </w:tc>
      </w:tr>
      <w:tr>
        <w:trPr>
          <w:trHeight w:val="55"/>
        </w:trPr>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6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r>
      <w:tr>
        <w:trPr>
          <w:trHeight w:val="193"/>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Conditions to Vest in</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N/A</w:t>
            </w: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Mutually agreeable separation on or</w:t>
            </w:r>
          </w:p>
        </w:tc>
        <w:tc>
          <w:tcPr>
            <w:tcW w:w="2780" w:type="dxa"/>
            <w:vAlign w:val="bottom"/>
          </w:tcPr>
          <w:p>
            <w:pPr>
              <w:ind w:left="6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Mutually agreeable separation, and</w:t>
            </w:r>
          </w:p>
        </w:tc>
      </w:tr>
      <w:tr>
        <w:trPr>
          <w:trHeight w:val="165"/>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the ELG RSU Award</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2"/>
          </w:tcPr>
          <w:p>
            <w:pPr>
              <w:ind w:left="280"/>
              <w:spacing w:after="0"/>
              <w:rPr>
                <w:sz w:val="20"/>
                <w:szCs w:val="20"/>
                <w:color w:val="auto"/>
              </w:rPr>
            </w:pPr>
            <w:r>
              <w:rPr>
                <w:rFonts w:ascii="Arial" w:cs="Arial" w:eastAsia="Arial" w:hAnsi="Arial"/>
                <w:sz w:val="14"/>
                <w:szCs w:val="14"/>
                <w:color w:val="auto"/>
              </w:rPr>
              <w:t>after age 62, and</w:t>
            </w:r>
          </w:p>
        </w:tc>
        <w:tc>
          <w:tcPr>
            <w:tcW w:w="2780" w:type="dxa"/>
            <w:vAlign w:val="bottom"/>
          </w:tcPr>
          <w:p>
            <w:pPr>
              <w:ind w:left="6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3+ years as an ELG member, or</w:t>
            </w:r>
          </w:p>
        </w:tc>
      </w:tr>
      <w:tr>
        <w:trPr>
          <w:trHeight w:val="14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3+ years as an ELG member, or</w:t>
            </w:r>
          </w:p>
        </w:tc>
        <w:tc>
          <w:tcPr>
            <w:tcW w:w="2780" w:type="dxa"/>
            <w:vAlign w:val="bottom"/>
          </w:tcPr>
          <w:p>
            <w:pPr>
              <w:ind w:left="6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Change-in-control</w:t>
            </w: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3"/>
                <w:szCs w:val="13"/>
                <w:color w:val="FDB03F"/>
              </w:rPr>
              <w:t xml:space="preserve">●   </w:t>
            </w:r>
            <w:r>
              <w:rPr>
                <w:rFonts w:ascii="Arial" w:cs="Arial" w:eastAsia="Arial" w:hAnsi="Arial"/>
                <w:sz w:val="13"/>
                <w:szCs w:val="13"/>
                <w:color w:val="000000"/>
              </w:rPr>
              <w:t>Change-in-control</w:t>
            </w:r>
          </w:p>
        </w:tc>
        <w:tc>
          <w:tcPr>
            <w:tcW w:w="2780" w:type="dxa"/>
            <w:vAlign w:val="bottom"/>
          </w:tcPr>
          <w:p>
            <w:pPr>
              <w:spacing w:after="0"/>
              <w:rPr>
                <w:sz w:val="14"/>
                <w:szCs w:val="14"/>
                <w:color w:val="auto"/>
              </w:rPr>
            </w:pPr>
          </w:p>
        </w:tc>
      </w:tr>
      <w:tr>
        <w:trPr>
          <w:trHeight w:val="55"/>
        </w:trPr>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6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r>
      <w:tr>
        <w:trPr>
          <w:trHeight w:val="209"/>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0E93D8"/>
              </w:rPr>
              <w:t>NEO Participation</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Gregory Hayes</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N/A</w:t>
            </w:r>
          </w:p>
        </w:tc>
        <w:tc>
          <w:tcPr>
            <w:tcW w:w="2780" w:type="dxa"/>
            <w:vAlign w:val="bottom"/>
          </w:tcPr>
          <w:p>
            <w:pPr>
              <w:ind w:left="60"/>
              <w:spacing w:after="0"/>
              <w:rPr>
                <w:sz w:val="20"/>
                <w:szCs w:val="20"/>
                <w:color w:val="auto"/>
              </w:rPr>
            </w:pPr>
            <w:r>
              <w:rPr>
                <w:rFonts w:ascii="Arial" w:cs="Arial" w:eastAsia="Arial" w:hAnsi="Arial"/>
                <w:sz w:val="14"/>
                <w:szCs w:val="14"/>
                <w:color w:val="auto"/>
              </w:rPr>
              <w:t>Akhil Johri</w:t>
            </w:r>
          </w:p>
        </w:tc>
      </w:tr>
      <w:tr>
        <w:trPr>
          <w:trHeight w:val="14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tcPr>
          <w:p>
            <w:pPr>
              <w:ind w:left="60"/>
              <w:spacing w:after="0" w:line="149" w:lineRule="exact"/>
              <w:rPr>
                <w:sz w:val="20"/>
                <w:szCs w:val="20"/>
                <w:color w:val="auto"/>
              </w:rPr>
            </w:pPr>
            <w:r>
              <w:rPr>
                <w:rFonts w:ascii="Arial" w:cs="Arial" w:eastAsia="Arial" w:hAnsi="Arial"/>
                <w:sz w:val="14"/>
                <w:szCs w:val="14"/>
                <w:color w:val="auto"/>
              </w:rPr>
              <w:t>David Gitlin</w:t>
            </w: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4"/>
                <w:szCs w:val="14"/>
                <w:color w:val="auto"/>
              </w:rPr>
              <w:t>Judith Marks</w:t>
            </w:r>
          </w:p>
        </w:tc>
      </w:tr>
      <w:tr>
        <w:trPr>
          <w:trHeight w:val="55"/>
        </w:trPr>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276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2780" w:type="dxa"/>
            <w:vAlign w:val="bottom"/>
            <w:tcBorders>
              <w:bottom w:val="single" w:sz="8" w:color="7C7C7C"/>
            </w:tcBorders>
          </w:tcPr>
          <w:p>
            <w:pPr>
              <w:spacing w:after="0"/>
              <w:rPr>
                <w:sz w:val="4"/>
                <w:szCs w:val="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 ELG RSUs receive dividend equivalents during the vesting period that are reinvested as additional RSUs and are subject to the same vesting conditions as the underlying award.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0E93D8"/>
        </w:rPr>
        <w:t>A mutually agreeable separation occurs when:</w:t>
      </w:r>
    </w:p>
    <w:p>
      <w:pPr>
        <w:spacing w:after="0" w:line="208" w:lineRule="exact"/>
        <w:rPr>
          <w:sz w:val="20"/>
          <w:szCs w:val="20"/>
          <w:color w:val="auto"/>
        </w:rPr>
      </w:pPr>
    </w:p>
    <w:p>
      <w:pPr>
        <w:ind w:left="420" w:hanging="255"/>
        <w:spacing w:after="0"/>
        <w:tabs>
          <w:tab w:leader="none" w:pos="420" w:val="left"/>
        </w:tabs>
        <w:numPr>
          <w:ilvl w:val="0"/>
          <w:numId w:val="151"/>
        </w:numPr>
        <w:rPr>
          <w:rFonts w:ascii="Arial" w:cs="Arial" w:eastAsia="Arial" w:hAnsi="Arial"/>
          <w:sz w:val="17"/>
          <w:szCs w:val="17"/>
          <w:color w:val="FDB03F"/>
        </w:rPr>
      </w:pPr>
      <w:r>
        <w:rPr>
          <w:rFonts w:ascii="Arial" w:cs="Arial" w:eastAsia="Arial" w:hAnsi="Arial"/>
          <w:sz w:val="18"/>
          <w:szCs w:val="18"/>
          <w:color w:val="auto"/>
        </w:rPr>
        <w:t>An ELG member’s position with UTC has been eliminated or diminished by a divestiture, restructuring, shift in priorities or similar event;</w:t>
      </w:r>
    </w:p>
    <w:p>
      <w:pPr>
        <w:spacing w:after="0" w:line="198" w:lineRule="exact"/>
        <w:rPr>
          <w:rFonts w:ascii="Arial" w:cs="Arial" w:eastAsia="Arial" w:hAnsi="Arial"/>
          <w:sz w:val="17"/>
          <w:szCs w:val="17"/>
          <w:color w:val="FDB03F"/>
        </w:rPr>
      </w:pPr>
    </w:p>
    <w:p>
      <w:pPr>
        <w:ind w:left="420" w:hanging="255"/>
        <w:spacing w:after="0"/>
        <w:tabs>
          <w:tab w:leader="none" w:pos="420" w:val="left"/>
        </w:tabs>
        <w:numPr>
          <w:ilvl w:val="0"/>
          <w:numId w:val="151"/>
        </w:numPr>
        <w:rPr>
          <w:rFonts w:ascii="Arial" w:cs="Arial" w:eastAsia="Arial" w:hAnsi="Arial"/>
          <w:sz w:val="17"/>
          <w:szCs w:val="17"/>
          <w:color w:val="FDB03F"/>
        </w:rPr>
      </w:pPr>
      <w:r>
        <w:rPr>
          <w:rFonts w:ascii="Arial" w:cs="Arial" w:eastAsia="Arial" w:hAnsi="Arial"/>
          <w:sz w:val="18"/>
          <w:szCs w:val="18"/>
          <w:color w:val="auto"/>
        </w:rPr>
        <w:t>An ELG member retires between age 62 and 65 with the Company’s consent; or</w:t>
      </w:r>
    </w:p>
    <w:p>
      <w:pPr>
        <w:spacing w:after="0" w:line="198" w:lineRule="exact"/>
        <w:rPr>
          <w:rFonts w:ascii="Arial" w:cs="Arial" w:eastAsia="Arial" w:hAnsi="Arial"/>
          <w:sz w:val="17"/>
          <w:szCs w:val="17"/>
          <w:color w:val="FDB03F"/>
        </w:rPr>
      </w:pPr>
    </w:p>
    <w:p>
      <w:pPr>
        <w:ind w:left="420" w:hanging="255"/>
        <w:spacing w:after="0"/>
        <w:tabs>
          <w:tab w:leader="none" w:pos="420" w:val="left"/>
        </w:tabs>
        <w:numPr>
          <w:ilvl w:val="0"/>
          <w:numId w:val="151"/>
        </w:numPr>
        <w:rPr>
          <w:rFonts w:ascii="Arial" w:cs="Arial" w:eastAsia="Arial" w:hAnsi="Arial"/>
          <w:sz w:val="17"/>
          <w:szCs w:val="17"/>
          <w:color w:val="FDB03F"/>
        </w:rPr>
      </w:pPr>
      <w:r>
        <w:rPr>
          <w:rFonts w:ascii="Arial" w:cs="Arial" w:eastAsia="Arial" w:hAnsi="Arial"/>
          <w:sz w:val="18"/>
          <w:szCs w:val="18"/>
          <w:color w:val="auto"/>
        </w:rPr>
        <w:t>An executive retires at age 65 or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8890" cy="643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643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Voluntary terminations prior to age 62 or terminations related to misconduct do not qualify as mutually agreeable separations.</w:t>
      </w:r>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Receipt of the ELG cash separation benefit and the ELG RSU award is contingent upon the executive entering into an agreement containing the following restrictive covenants for the protection of UTC: (i) non-competition; (ii) employee non-solicitation; (iii) non-disparagement; (iv) protection of confidential, sensitive and proprietary information; and (v) post-termination cooperation. The ELG separation benefit is not treated as compensation for purposes of determining benefits under UTC’s pension plans or any other benefit programs. Distributions are subject to certain restrictions imposed by Internal Revenue Code Section 409A.</w:t>
      </w:r>
    </w:p>
    <w:p>
      <w:pPr>
        <w:spacing w:after="0" w:line="203" w:lineRule="exact"/>
        <w:rPr>
          <w:sz w:val="20"/>
          <w:szCs w:val="20"/>
          <w:color w:val="auto"/>
        </w:rPr>
      </w:pPr>
    </w:p>
    <w:p>
      <w:pPr>
        <w:ind w:left="880" w:hanging="628"/>
        <w:spacing w:after="0"/>
        <w:tabs>
          <w:tab w:leader="none" w:pos="880" w:val="left"/>
        </w:tabs>
        <w:numPr>
          <w:ilvl w:val="0"/>
          <w:numId w:val="152"/>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146685</wp:posOffset>
            </wp:positionV>
            <wp:extent cx="1191895" cy="1289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FFFFFF"/>
        </w:rPr>
        <w:t>COMPENSATION TABLES</w:t>
      </w:r>
    </w:p>
    <w:p>
      <w:pPr>
        <w:spacing w:after="0" w:line="25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0E93D8"/>
        </w:rPr>
        <w:t xml:space="preserve">Agreement with Robert K. Ortberg. </w:t>
      </w:r>
      <w:r>
        <w:rPr>
          <w:rFonts w:ascii="Arial" w:cs="Arial" w:eastAsia="Arial" w:hAnsi="Arial"/>
          <w:sz w:val="18"/>
          <w:szCs w:val="18"/>
          <w:color w:val="000000"/>
        </w:rPr>
        <w:t>In anticipation of Mr. Ortberg’s continuing role with the Company following the acquisition of Rockwell Collins,</w:t>
      </w:r>
      <w:r>
        <w:rPr>
          <w:rFonts w:ascii="Arial" w:cs="Arial" w:eastAsia="Arial" w:hAnsi="Arial"/>
          <w:sz w:val="18"/>
          <w:szCs w:val="18"/>
          <w:color w:val="0E93D8"/>
        </w:rPr>
        <w:t xml:space="preserve"> </w:t>
      </w:r>
      <w:r>
        <w:rPr>
          <w:rFonts w:ascii="Arial" w:cs="Arial" w:eastAsia="Arial" w:hAnsi="Arial"/>
          <w:sz w:val="18"/>
          <w:szCs w:val="18"/>
          <w:color w:val="000000"/>
        </w:rPr>
        <w:t>Mr. Ortberg agreed to waive his rights and benefits under his Rockwell Collins change-in-control agreement. UTC then granted Mr. Ortberg a one-time, retention RSU award valued at $9,875,022. The award vests three years from the acquisition date, subject to Mr. Ortberg’s continued employment with UTC. Vesting will accelerate in the event of an adverse change to the terms and conditions of his employment, as detailed on pages 68-69. Under the terms of this agreement, Mr. Ortberg is subject to post-termination restrictive covenants that protect UTC, including restrictions on competitive activities, customer and employee solicitation and disclosure of Company information and intellectual property. This compensation strategy focuses on retaining Mr. Ortberg and better serves UTC’s interests.</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Mr. Ortberg was appointed to the ELG upon the close of the Rockwell Collins acquisition. However, he did not receive an ELG RSU award in connection with his appointment. His retention RSU award described above includes restrictive covenants substantially similar to those applicable to the ELG RSU award.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CHANGE-IN-CONTROL BENEFITS</w:t>
      </w:r>
    </w:p>
    <w:p>
      <w:pPr>
        <w:spacing w:after="0" w:line="2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Change-in-control severance protection under our legacy Senior Executive Severance Plan (“SESP”) was designed to ensure continuity of management in potential change-in-control situations. In response to changing market practices, we closed this program to new participants effective June 2009. Accordingly, Mr. Hayes is the only NEO who remains eligible for the SESP benefit. NEOs appointed to the ELG on or after June 2009 do not participate in the SESP and are instead covered by the ELG RSU award which would vest in the event of a qualifying termination following a change-in-control.</w:t>
      </w:r>
    </w:p>
    <w:p>
      <w:pPr>
        <w:spacing w:after="0" w:line="211" w:lineRule="exact"/>
        <w:rPr>
          <w:sz w:val="20"/>
          <w:szCs w:val="20"/>
          <w:color w:val="auto"/>
        </w:rPr>
      </w:pPr>
    </w:p>
    <w:p>
      <w:pPr>
        <w:ind w:right="580"/>
        <w:spacing w:after="0" w:line="238" w:lineRule="auto"/>
        <w:rPr>
          <w:sz w:val="20"/>
          <w:szCs w:val="20"/>
          <w:color w:val="auto"/>
        </w:rPr>
      </w:pPr>
      <w:r>
        <w:rPr>
          <w:rFonts w:ascii="Arial" w:cs="Arial" w:eastAsia="Arial" w:hAnsi="Arial"/>
          <w:sz w:val="18"/>
          <w:szCs w:val="18"/>
          <w:color w:val="auto"/>
        </w:rPr>
        <w:t>For Mr. Hayes, the SESP provides a cash severance benefit of 2.99x the sum of base salary and target annual bonus for the year in which termination occurs, subject to various restrictive covenants. The SESP cash severance is reduced by 1/36th for each month that termination occurs after age 62 and, accordingly, is completely phased out at age 65.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0E93D8"/>
        </w:rPr>
        <w:t>A change-in-control generally occurs upon:</w:t>
      </w:r>
    </w:p>
    <w:p>
      <w:pPr>
        <w:spacing w:after="0" w:line="208" w:lineRule="exact"/>
        <w:rPr>
          <w:sz w:val="20"/>
          <w:szCs w:val="20"/>
          <w:color w:val="auto"/>
        </w:rPr>
      </w:pPr>
    </w:p>
    <w:p>
      <w:pPr>
        <w:ind w:left="420" w:hanging="255"/>
        <w:spacing w:after="0"/>
        <w:tabs>
          <w:tab w:leader="none" w:pos="420" w:val="left"/>
        </w:tabs>
        <w:numPr>
          <w:ilvl w:val="0"/>
          <w:numId w:val="153"/>
        </w:numPr>
        <w:rPr>
          <w:rFonts w:ascii="Arial" w:cs="Arial" w:eastAsia="Arial" w:hAnsi="Arial"/>
          <w:sz w:val="17"/>
          <w:szCs w:val="17"/>
          <w:color w:val="FDB03F"/>
        </w:rPr>
      </w:pPr>
      <w:r>
        <w:rPr>
          <w:rFonts w:ascii="Arial" w:cs="Arial" w:eastAsia="Arial" w:hAnsi="Arial"/>
          <w:sz w:val="18"/>
          <w:szCs w:val="18"/>
          <w:color w:val="auto"/>
        </w:rPr>
        <w:t>The acquisition of 20% of UTC’s outstanding shares by a person or a group;</w:t>
      </w:r>
    </w:p>
    <w:p>
      <w:pPr>
        <w:spacing w:after="0" w:line="198" w:lineRule="exact"/>
        <w:rPr>
          <w:rFonts w:ascii="Arial" w:cs="Arial" w:eastAsia="Arial" w:hAnsi="Arial"/>
          <w:sz w:val="17"/>
          <w:szCs w:val="17"/>
          <w:color w:val="FDB03F"/>
        </w:rPr>
      </w:pPr>
    </w:p>
    <w:p>
      <w:pPr>
        <w:ind w:left="420" w:hanging="255"/>
        <w:spacing w:after="0"/>
        <w:tabs>
          <w:tab w:leader="none" w:pos="420" w:val="left"/>
        </w:tabs>
        <w:numPr>
          <w:ilvl w:val="0"/>
          <w:numId w:val="153"/>
        </w:numPr>
        <w:rPr>
          <w:rFonts w:ascii="Arial" w:cs="Arial" w:eastAsia="Arial" w:hAnsi="Arial"/>
          <w:sz w:val="17"/>
          <w:szCs w:val="17"/>
          <w:color w:val="FDB03F"/>
        </w:rPr>
      </w:pPr>
      <w:r>
        <w:rPr>
          <w:rFonts w:ascii="Arial" w:cs="Arial" w:eastAsia="Arial" w:hAnsi="Arial"/>
          <w:sz w:val="18"/>
          <w:szCs w:val="18"/>
          <w:color w:val="auto"/>
        </w:rPr>
        <w:t>Incumbent directors no longer constitute a majority of the Board; or</w:t>
      </w:r>
    </w:p>
    <w:p>
      <w:pPr>
        <w:spacing w:after="0" w:line="198" w:lineRule="exact"/>
        <w:rPr>
          <w:rFonts w:ascii="Arial" w:cs="Arial" w:eastAsia="Arial" w:hAnsi="Arial"/>
          <w:sz w:val="17"/>
          <w:szCs w:val="17"/>
          <w:color w:val="FDB03F"/>
        </w:rPr>
      </w:pPr>
    </w:p>
    <w:p>
      <w:pPr>
        <w:ind w:left="420" w:hanging="255"/>
        <w:spacing w:after="0"/>
        <w:tabs>
          <w:tab w:leader="none" w:pos="420" w:val="left"/>
        </w:tabs>
        <w:numPr>
          <w:ilvl w:val="0"/>
          <w:numId w:val="153"/>
        </w:numPr>
        <w:rPr>
          <w:rFonts w:ascii="Arial" w:cs="Arial" w:eastAsia="Arial" w:hAnsi="Arial"/>
          <w:sz w:val="17"/>
          <w:szCs w:val="17"/>
          <w:color w:val="FDB03F"/>
        </w:rPr>
      </w:pPr>
      <w:r>
        <w:rPr>
          <w:rFonts w:ascii="Arial" w:cs="Arial" w:eastAsia="Arial" w:hAnsi="Arial"/>
          <w:sz w:val="18"/>
          <w:szCs w:val="18"/>
          <w:color w:val="auto"/>
        </w:rPr>
        <w:t>A merger or similar event where UTC shareowners own less than 50% of the voting shares of the new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8890" cy="643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643255"/>
                    </a:xfrm>
                    <a:prstGeom prst="rect">
                      <a:avLst/>
                    </a:prstGeom>
                    <a:noFill/>
                  </pic:spPr>
                </pic:pic>
              </a:graphicData>
            </a:graphic>
          </wp:anchor>
        </w:drawing>
      </w:r>
    </w:p>
    <w:p>
      <w:pPr>
        <w:spacing w:after="0" w:line="19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Benefits under the legacy SESP, the UTC 2018 Long-Term Incentive Plan and the predecessor long-term incentive plan are subject to a “double trigger” where benefits are provided only if a change-in-control is followed by an involuntary termination or termination by the executive for “good reason” within two years following a change-in-control. “Good reason” generally includes material adverse changes in an executive’s compensation, responsibilities, authority, reporting relationship or work location. Under the LTIP, upon a qualifying termination following a change-in-control or in the event of death, the vesting of outstanding equity awards will be accelerated. For performance-based awards, acceleration will occur at either the greater of actual or target performance levels (for the 2018 LTIP) or at target performance (for the predecessor plan).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67</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191895" cy="1289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COMPENSATION TABLES</w:t>
      </w:r>
    </w:p>
    <w:p>
      <w:pPr>
        <w:spacing w:after="0" w:line="25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The table below estimates the value of payments and benefits that each NEO would have been entitled to receive had employment terminated on December 31, 2018, under various hypothetical circumstances. Under UTC’s programs, benefit eligibility and the value of benefits an executive may receive vary depending on the reason for termination and whether the executive is eligible for retirement at that time.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gridSpan w:val="2"/>
          </w:tcPr>
          <w:p>
            <w:pPr>
              <w:ind w:left="80"/>
              <w:spacing w:after="0"/>
              <w:rPr>
                <w:sz w:val="20"/>
                <w:szCs w:val="20"/>
                <w:color w:val="auto"/>
              </w:rPr>
            </w:pPr>
            <w:r>
              <w:rPr>
                <w:rFonts w:ascii="Arial" w:cs="Arial" w:eastAsia="Arial" w:hAnsi="Arial"/>
                <w:sz w:val="14"/>
                <w:szCs w:val="14"/>
                <w:b w:val="1"/>
                <w:bCs w:val="1"/>
                <w:color w:val="0E93D8"/>
              </w:rPr>
              <w:t>Payment Type</w:t>
            </w:r>
          </w:p>
        </w:tc>
        <w:tc>
          <w:tcPr>
            <w:tcW w:w="1260" w:type="dxa"/>
            <w:vAlign w:val="bottom"/>
            <w:gridSpan w:val="2"/>
          </w:tcPr>
          <w:p>
            <w:pPr>
              <w:ind w:left="500"/>
              <w:spacing w:after="0"/>
              <w:rPr>
                <w:sz w:val="20"/>
                <w:szCs w:val="20"/>
                <w:color w:val="auto"/>
              </w:rPr>
            </w:pPr>
            <w:r>
              <w:rPr>
                <w:rFonts w:ascii="Arial" w:cs="Arial" w:eastAsia="Arial" w:hAnsi="Arial"/>
                <w:sz w:val="14"/>
                <w:szCs w:val="14"/>
                <w:b w:val="1"/>
                <w:bCs w:val="1"/>
                <w:color w:val="0E93D8"/>
              </w:rPr>
              <w:t>G. Hayes</w:t>
            </w:r>
          </w:p>
        </w:tc>
        <w:tc>
          <w:tcPr>
            <w:tcW w:w="1260" w:type="dxa"/>
            <w:vAlign w:val="bottom"/>
            <w:gridSpan w:val="2"/>
          </w:tcPr>
          <w:p>
            <w:pPr>
              <w:ind w:left="580"/>
              <w:spacing w:after="0"/>
              <w:rPr>
                <w:sz w:val="20"/>
                <w:szCs w:val="20"/>
                <w:color w:val="auto"/>
              </w:rPr>
            </w:pPr>
            <w:r>
              <w:rPr>
                <w:rFonts w:ascii="Arial" w:cs="Arial" w:eastAsia="Arial" w:hAnsi="Arial"/>
                <w:sz w:val="14"/>
                <w:szCs w:val="14"/>
                <w:b w:val="1"/>
                <w:bCs w:val="1"/>
                <w:color w:val="0E93D8"/>
              </w:rPr>
              <w:t>A. Johri</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0E93D8"/>
              </w:rPr>
              <w:t>R. Ortberg</w:t>
            </w:r>
          </w:p>
        </w:tc>
        <w:tc>
          <w:tcPr>
            <w:tcW w:w="1240" w:type="dxa"/>
            <w:vAlign w:val="bottom"/>
            <w:gridSpan w:val="2"/>
          </w:tcPr>
          <w:p>
            <w:pPr>
              <w:ind w:left="520"/>
              <w:spacing w:after="0"/>
              <w:rPr>
                <w:sz w:val="20"/>
                <w:szCs w:val="20"/>
                <w:color w:val="auto"/>
              </w:rPr>
            </w:pPr>
            <w:r>
              <w:rPr>
                <w:rFonts w:ascii="Arial" w:cs="Arial" w:eastAsia="Arial" w:hAnsi="Arial"/>
                <w:sz w:val="14"/>
                <w:szCs w:val="14"/>
                <w:b w:val="1"/>
                <w:bCs w:val="1"/>
                <w:color w:val="0E93D8"/>
              </w:rPr>
              <w:t>J. Marks</w:t>
            </w:r>
          </w:p>
        </w:tc>
        <w:tc>
          <w:tcPr>
            <w:tcW w:w="1140" w:type="dxa"/>
            <w:vAlign w:val="bottom"/>
          </w:tcPr>
          <w:p>
            <w:pPr>
              <w:jc w:val="right"/>
              <w:ind w:right="12"/>
              <w:spacing w:after="0"/>
              <w:rPr>
                <w:sz w:val="20"/>
                <w:szCs w:val="20"/>
                <w:color w:val="auto"/>
              </w:rPr>
            </w:pPr>
            <w:r>
              <w:rPr>
                <w:rFonts w:ascii="Arial" w:cs="Arial" w:eastAsia="Arial" w:hAnsi="Arial"/>
                <w:sz w:val="14"/>
                <w:szCs w:val="14"/>
                <w:b w:val="1"/>
                <w:bCs w:val="1"/>
                <w:color w:val="0E93D8"/>
              </w:rPr>
              <w:t>D. Gitlin</w:t>
            </w:r>
          </w:p>
        </w:tc>
      </w:tr>
      <w:tr>
        <w:trPr>
          <w:trHeight w:val="61"/>
        </w:trPr>
        <w:tc>
          <w:tcPr>
            <w:tcW w:w="516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shd w:val="clear" w:color="auto" w:fill="0F94D8"/>
          </w:tcPr>
          <w:p>
            <w:pPr>
              <w:spacing w:after="0"/>
              <w:rPr>
                <w:sz w:val="5"/>
                <w:szCs w:val="5"/>
                <w:color w:val="auto"/>
              </w:rPr>
            </w:pP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b w:val="1"/>
                <w:bCs w:val="1"/>
                <w:color w:val="0E93D8"/>
              </w:rPr>
              <w:t>Involuntary Termination (for cause)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516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color w:val="auto"/>
              </w:rPr>
              <w:t>Cash Payment</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Pension Benefit</w:t>
            </w:r>
            <w:r>
              <w:rPr>
                <w:rFonts w:ascii="Arial" w:cs="Arial" w:eastAsia="Arial" w:hAnsi="Arial"/>
                <w:sz w:val="22"/>
                <w:szCs w:val="22"/>
                <w:color w:val="auto"/>
                <w:vertAlign w:val="superscript"/>
              </w:rPr>
              <w:t>(1)</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$13,546,111</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$2,482,139</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$513,095</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$1,500,390</w:t>
            </w: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SAR Award Value</w:t>
            </w:r>
            <w:r>
              <w:rPr>
                <w:rFonts w:ascii="Arial" w:cs="Arial" w:eastAsia="Arial" w:hAnsi="Arial"/>
                <w:sz w:val="22"/>
                <w:szCs w:val="22"/>
                <w:color w:val="auto"/>
                <w:vertAlign w:val="superscript"/>
              </w:rPr>
              <w:t>(2)</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r>
      <w:tr>
        <w:trPr>
          <w:trHeight w:val="298"/>
        </w:trPr>
        <w:tc>
          <w:tcPr>
            <w:tcW w:w="5280" w:type="dxa"/>
            <w:vAlign w:val="bottom"/>
            <w:tcBorders>
              <w:bottom w:val="single" w:sz="8" w:color="0F94D8"/>
            </w:tcBorders>
            <w:gridSpan w:val="2"/>
          </w:tcPr>
          <w:p>
            <w:pPr>
              <w:ind w:left="80"/>
              <w:spacing w:after="0"/>
              <w:rPr>
                <w:sz w:val="20"/>
                <w:szCs w:val="20"/>
                <w:color w:val="auto"/>
              </w:rPr>
            </w:pPr>
            <w:r>
              <w:rPr>
                <w:rFonts w:ascii="Arial" w:cs="Arial" w:eastAsia="Arial" w:hAnsi="Arial"/>
                <w:sz w:val="14"/>
                <w:szCs w:val="14"/>
                <w:color w:val="auto"/>
              </w:rPr>
              <w:t>Stock Award Value</w:t>
            </w:r>
            <w:r>
              <w:rPr>
                <w:rFonts w:ascii="Arial" w:cs="Arial" w:eastAsia="Arial" w:hAnsi="Arial"/>
                <w:sz w:val="22"/>
                <w:szCs w:val="22"/>
                <w:color w:val="auto"/>
                <w:vertAlign w:val="superscript"/>
              </w:rPr>
              <w:t>(2)</w:t>
            </w:r>
          </w:p>
        </w:tc>
        <w:tc>
          <w:tcPr>
            <w:tcW w:w="1140" w:type="dxa"/>
            <w:vAlign w:val="bottom"/>
            <w:tcBorders>
              <w:bottom w:val="single" w:sz="8" w:color="0F94D8"/>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0F94D8"/>
            </w:tcBorders>
          </w:tcPr>
          <w:p>
            <w:pPr>
              <w:spacing w:after="0"/>
              <w:rPr>
                <w:sz w:val="24"/>
                <w:szCs w:val="24"/>
                <w:color w:val="auto"/>
              </w:rPr>
            </w:pPr>
          </w:p>
        </w:tc>
        <w:tc>
          <w:tcPr>
            <w:tcW w:w="116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color w:val="0E93D8"/>
              </w:rPr>
              <w:t>Sub-Total</w:t>
            </w:r>
          </w:p>
        </w:tc>
        <w:tc>
          <w:tcPr>
            <w:tcW w:w="1140" w:type="dxa"/>
            <w:vAlign w:val="bottom"/>
          </w:tcPr>
          <w:p>
            <w:pPr>
              <w:jc w:val="right"/>
              <w:spacing w:after="0"/>
              <w:rPr>
                <w:sz w:val="20"/>
                <w:szCs w:val="20"/>
                <w:color w:val="auto"/>
              </w:rPr>
            </w:pPr>
            <w:r>
              <w:rPr>
                <w:rFonts w:ascii="Arial" w:cs="Arial" w:eastAsia="Arial" w:hAnsi="Arial"/>
                <w:sz w:val="14"/>
                <w:szCs w:val="14"/>
                <w:color w:val="0E93D8"/>
              </w:rPr>
              <w:t>$13,546,111</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0E93D8"/>
              </w:rPr>
              <w:t>$2,482,139</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$513,095</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$1,500,390</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196"/>
        </w:trPr>
        <w:tc>
          <w:tcPr>
            <w:tcW w:w="5280" w:type="dxa"/>
            <w:vAlign w:val="bottom"/>
            <w:gridSpan w:val="2"/>
          </w:tcPr>
          <w:p>
            <w:pPr>
              <w:ind w:left="80"/>
              <w:spacing w:after="0"/>
              <w:rPr>
                <w:sz w:val="20"/>
                <w:szCs w:val="20"/>
                <w:color w:val="auto"/>
              </w:rPr>
            </w:pPr>
            <w:r>
              <w:rPr>
                <w:rFonts w:ascii="Arial" w:cs="Arial" w:eastAsia="Arial" w:hAnsi="Arial"/>
                <w:sz w:val="14"/>
                <w:szCs w:val="14"/>
                <w:color w:val="auto"/>
              </w:rPr>
              <w:t>Less: Vested Pension</w:t>
            </w:r>
          </w:p>
        </w:tc>
        <w:tc>
          <w:tcPr>
            <w:tcW w:w="1140" w:type="dxa"/>
            <w:vAlign w:val="bottom"/>
          </w:tcPr>
          <w:p>
            <w:pPr>
              <w:jc w:val="right"/>
              <w:spacing w:after="0"/>
              <w:rPr>
                <w:sz w:val="20"/>
                <w:szCs w:val="20"/>
                <w:color w:val="auto"/>
              </w:rPr>
            </w:pPr>
            <w:r>
              <w:rPr>
                <w:rFonts w:ascii="Arial" w:cs="Arial" w:eastAsia="Arial" w:hAnsi="Arial"/>
                <w:sz w:val="14"/>
                <w:szCs w:val="14"/>
                <w:color w:val="auto"/>
              </w:rPr>
              <w:t>-$13,546,111</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-$2,482,139</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-$513,095</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-$1,500,390</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242"/>
        </w:trPr>
        <w:tc>
          <w:tcPr>
            <w:tcW w:w="5280" w:type="dxa"/>
            <w:vAlign w:val="bottom"/>
            <w:tcBorders>
              <w:bottom w:val="single" w:sz="8" w:color="F6FAFB"/>
            </w:tcBorders>
            <w:gridSpan w:val="2"/>
            <w:shd w:val="clear" w:color="auto" w:fill="F6FAFB"/>
          </w:tcPr>
          <w:p>
            <w:pPr>
              <w:ind w:left="80"/>
              <w:spacing w:after="0"/>
              <w:rPr>
                <w:sz w:val="20"/>
                <w:szCs w:val="20"/>
                <w:color w:val="auto"/>
              </w:rPr>
            </w:pPr>
            <w:r>
              <w:rPr>
                <w:rFonts w:ascii="Arial" w:cs="Arial" w:eastAsia="Arial" w:hAnsi="Arial"/>
                <w:sz w:val="14"/>
                <w:szCs w:val="14"/>
                <w:color w:val="auto"/>
              </w:rPr>
              <w:t>Amount Triggered due to Termination</w:t>
            </w:r>
          </w:p>
        </w:tc>
        <w:tc>
          <w:tcPr>
            <w:tcW w:w="114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6FAFB"/>
            </w:tcBorders>
            <w:shd w:val="clear" w:color="auto" w:fill="F6FAFB"/>
          </w:tcPr>
          <w:p>
            <w:pPr>
              <w:spacing w:after="0"/>
              <w:rPr>
                <w:sz w:val="20"/>
                <w:szCs w:val="20"/>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r>
      <w:tr>
        <w:trPr>
          <w:trHeight w:val="196"/>
        </w:trPr>
        <w:tc>
          <w:tcPr>
            <w:tcW w:w="528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b w:val="1"/>
                <w:bCs w:val="1"/>
                <w:color w:val="0E93D8"/>
              </w:rPr>
              <w:t>Voluntary Termination</w:t>
            </w:r>
          </w:p>
        </w:tc>
        <w:tc>
          <w:tcPr>
            <w:tcW w:w="1140" w:type="dxa"/>
            <w:vAlign w:val="bottom"/>
            <w:tcBorders>
              <w:top w:val="single" w:sz="8" w:color="7C7C7C"/>
            </w:tcBorders>
          </w:tcPr>
          <w:p>
            <w:pPr>
              <w:spacing w:after="0"/>
              <w:rPr>
                <w:sz w:val="17"/>
                <w:szCs w:val="17"/>
                <w:color w:val="auto"/>
              </w:rPr>
            </w:pPr>
          </w:p>
        </w:tc>
        <w:tc>
          <w:tcPr>
            <w:tcW w:w="120" w:type="dxa"/>
            <w:vAlign w:val="bottom"/>
            <w:tcBorders>
              <w:top w:val="single" w:sz="8" w:color="7C7C7C"/>
            </w:tcBorders>
          </w:tcPr>
          <w:p>
            <w:pPr>
              <w:spacing w:after="0"/>
              <w:rPr>
                <w:sz w:val="17"/>
                <w:szCs w:val="17"/>
                <w:color w:val="auto"/>
              </w:rPr>
            </w:pPr>
          </w:p>
        </w:tc>
        <w:tc>
          <w:tcPr>
            <w:tcW w:w="116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r>
      <w:tr>
        <w:trPr>
          <w:trHeight w:val="48"/>
        </w:trPr>
        <w:tc>
          <w:tcPr>
            <w:tcW w:w="516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color w:val="auto"/>
              </w:rPr>
              <w:t>Cash Payment</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Pension Benefit</w:t>
            </w:r>
            <w:r>
              <w:rPr>
                <w:rFonts w:ascii="Arial" w:cs="Arial" w:eastAsia="Arial" w:hAnsi="Arial"/>
                <w:sz w:val="22"/>
                <w:szCs w:val="22"/>
                <w:color w:val="auto"/>
                <w:vertAlign w:val="superscript"/>
              </w:rPr>
              <w:t>(1)</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$13,546,111</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$2,482,139</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$513,095</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$1,500,390</w:t>
            </w: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SAR Award Value</w:t>
            </w:r>
            <w:r>
              <w:rPr>
                <w:rFonts w:ascii="Arial" w:cs="Arial" w:eastAsia="Arial" w:hAnsi="Arial"/>
                <w:sz w:val="22"/>
                <w:szCs w:val="22"/>
                <w:color w:val="auto"/>
                <w:vertAlign w:val="superscript"/>
              </w:rPr>
              <w:t>(3)(4)</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$14,996,210</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$2,779,958</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$1,852,063</w:t>
            </w:r>
          </w:p>
        </w:tc>
      </w:tr>
      <w:tr>
        <w:trPr>
          <w:trHeight w:val="298"/>
        </w:trPr>
        <w:tc>
          <w:tcPr>
            <w:tcW w:w="5280" w:type="dxa"/>
            <w:vAlign w:val="bottom"/>
            <w:tcBorders>
              <w:bottom w:val="single" w:sz="8" w:color="0F94D8"/>
            </w:tcBorders>
            <w:gridSpan w:val="2"/>
          </w:tcPr>
          <w:p>
            <w:pPr>
              <w:ind w:left="80"/>
              <w:spacing w:after="0"/>
              <w:rPr>
                <w:sz w:val="20"/>
                <w:szCs w:val="20"/>
                <w:color w:val="auto"/>
              </w:rPr>
            </w:pPr>
            <w:r>
              <w:rPr>
                <w:rFonts w:ascii="Arial" w:cs="Arial" w:eastAsia="Arial" w:hAnsi="Arial"/>
                <w:sz w:val="14"/>
                <w:szCs w:val="14"/>
                <w:color w:val="auto"/>
              </w:rPr>
              <w:t>Stock Award Value</w:t>
            </w:r>
            <w:r>
              <w:rPr>
                <w:rFonts w:ascii="Arial" w:cs="Arial" w:eastAsia="Arial" w:hAnsi="Arial"/>
                <w:sz w:val="22"/>
                <w:szCs w:val="22"/>
                <w:color w:val="auto"/>
                <w:vertAlign w:val="superscript"/>
              </w:rPr>
              <w:t>(3)(4)</w:t>
            </w:r>
          </w:p>
        </w:tc>
        <w:tc>
          <w:tcPr>
            <w:tcW w:w="1140" w:type="dxa"/>
            <w:vAlign w:val="bottom"/>
            <w:tcBorders>
              <w:bottom w:val="single" w:sz="8" w:color="0F94D8"/>
            </w:tcBorders>
          </w:tcPr>
          <w:p>
            <w:pPr>
              <w:jc w:val="right"/>
              <w:spacing w:after="0"/>
              <w:rPr>
                <w:sz w:val="20"/>
                <w:szCs w:val="20"/>
                <w:color w:val="auto"/>
              </w:rPr>
            </w:pPr>
            <w:r>
              <w:rPr>
                <w:rFonts w:ascii="Arial" w:cs="Arial" w:eastAsia="Arial" w:hAnsi="Arial"/>
                <w:sz w:val="14"/>
                <w:szCs w:val="14"/>
                <w:color w:val="auto"/>
              </w:rPr>
              <w:t>$19,585,292</w:t>
            </w:r>
          </w:p>
        </w:tc>
        <w:tc>
          <w:tcPr>
            <w:tcW w:w="120" w:type="dxa"/>
            <w:vAlign w:val="bottom"/>
            <w:tcBorders>
              <w:bottom w:val="single" w:sz="8" w:color="0F94D8"/>
            </w:tcBorders>
          </w:tcPr>
          <w:p>
            <w:pPr>
              <w:spacing w:after="0"/>
              <w:rPr>
                <w:sz w:val="24"/>
                <w:szCs w:val="24"/>
                <w:color w:val="auto"/>
              </w:rPr>
            </w:pPr>
          </w:p>
        </w:tc>
        <w:tc>
          <w:tcPr>
            <w:tcW w:w="116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$6,556,293</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$1,490,507</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color w:val="0E93D8"/>
              </w:rPr>
              <w:t>Sub-Total</w:t>
            </w:r>
          </w:p>
        </w:tc>
        <w:tc>
          <w:tcPr>
            <w:tcW w:w="1140" w:type="dxa"/>
            <w:vAlign w:val="bottom"/>
          </w:tcPr>
          <w:p>
            <w:pPr>
              <w:jc w:val="right"/>
              <w:spacing w:after="0"/>
              <w:rPr>
                <w:sz w:val="20"/>
                <w:szCs w:val="20"/>
                <w:color w:val="auto"/>
              </w:rPr>
            </w:pPr>
            <w:r>
              <w:rPr>
                <w:rFonts w:ascii="Arial" w:cs="Arial" w:eastAsia="Arial" w:hAnsi="Arial"/>
                <w:sz w:val="14"/>
                <w:szCs w:val="14"/>
                <w:color w:val="0E93D8"/>
              </w:rPr>
              <w:t>$48,127,613</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0E93D8"/>
              </w:rPr>
              <w:t>$11,818,390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$2,003,602</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$3,352,453</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196"/>
        </w:trPr>
        <w:tc>
          <w:tcPr>
            <w:tcW w:w="5280" w:type="dxa"/>
            <w:vAlign w:val="bottom"/>
            <w:gridSpan w:val="2"/>
          </w:tcPr>
          <w:p>
            <w:pPr>
              <w:ind w:left="80"/>
              <w:spacing w:after="0"/>
              <w:rPr>
                <w:sz w:val="20"/>
                <w:szCs w:val="20"/>
                <w:color w:val="auto"/>
              </w:rPr>
            </w:pPr>
            <w:r>
              <w:rPr>
                <w:rFonts w:ascii="Arial" w:cs="Arial" w:eastAsia="Arial" w:hAnsi="Arial"/>
                <w:sz w:val="14"/>
                <w:szCs w:val="14"/>
                <w:color w:val="auto"/>
              </w:rPr>
              <w:t>Less: Vested Pension and Equity</w:t>
            </w:r>
          </w:p>
        </w:tc>
        <w:tc>
          <w:tcPr>
            <w:tcW w:w="1140" w:type="dxa"/>
            <w:vAlign w:val="bottom"/>
          </w:tcPr>
          <w:p>
            <w:pPr>
              <w:jc w:val="right"/>
              <w:spacing w:after="0"/>
              <w:rPr>
                <w:sz w:val="20"/>
                <w:szCs w:val="20"/>
                <w:color w:val="auto"/>
              </w:rPr>
            </w:pPr>
            <w:r>
              <w:rPr>
                <w:rFonts w:ascii="Arial" w:cs="Arial" w:eastAsia="Arial" w:hAnsi="Arial"/>
                <w:sz w:val="14"/>
                <w:szCs w:val="14"/>
                <w:color w:val="auto"/>
              </w:rPr>
              <w:t>-$48,127,613</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-$11,818,390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-$2,003,602</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-$3,352,453</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242"/>
        </w:trPr>
        <w:tc>
          <w:tcPr>
            <w:tcW w:w="5280" w:type="dxa"/>
            <w:vAlign w:val="bottom"/>
            <w:tcBorders>
              <w:bottom w:val="single" w:sz="8" w:color="F6FAFB"/>
            </w:tcBorders>
            <w:gridSpan w:val="2"/>
            <w:shd w:val="clear" w:color="auto" w:fill="F6FAFB"/>
          </w:tcPr>
          <w:p>
            <w:pPr>
              <w:ind w:left="80"/>
              <w:spacing w:after="0"/>
              <w:rPr>
                <w:sz w:val="20"/>
                <w:szCs w:val="20"/>
                <w:color w:val="auto"/>
              </w:rPr>
            </w:pPr>
            <w:r>
              <w:rPr>
                <w:rFonts w:ascii="Arial" w:cs="Arial" w:eastAsia="Arial" w:hAnsi="Arial"/>
                <w:sz w:val="14"/>
                <w:szCs w:val="14"/>
                <w:color w:val="auto"/>
              </w:rPr>
              <w:t>Amount Triggered due to Termination</w:t>
            </w:r>
          </w:p>
        </w:tc>
        <w:tc>
          <w:tcPr>
            <w:tcW w:w="114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F6FAFB"/>
            </w:tcBorders>
            <w:shd w:val="clear" w:color="auto" w:fill="F6FAFB"/>
          </w:tcPr>
          <w:p>
            <w:pPr>
              <w:spacing w:after="0"/>
              <w:rPr>
                <w:sz w:val="20"/>
                <w:szCs w:val="20"/>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r>
      <w:tr>
        <w:trPr>
          <w:trHeight w:val="196"/>
        </w:trPr>
        <w:tc>
          <w:tcPr>
            <w:tcW w:w="528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b w:val="1"/>
                <w:bCs w:val="1"/>
                <w:color w:val="0E93D8"/>
              </w:rPr>
              <w:t>Involuntary Termination (not for cause)</w:t>
            </w:r>
          </w:p>
        </w:tc>
        <w:tc>
          <w:tcPr>
            <w:tcW w:w="1140" w:type="dxa"/>
            <w:vAlign w:val="bottom"/>
            <w:tcBorders>
              <w:top w:val="single" w:sz="8" w:color="7C7C7C"/>
            </w:tcBorders>
          </w:tcPr>
          <w:p>
            <w:pPr>
              <w:spacing w:after="0"/>
              <w:rPr>
                <w:sz w:val="17"/>
                <w:szCs w:val="17"/>
                <w:color w:val="auto"/>
              </w:rPr>
            </w:pPr>
          </w:p>
        </w:tc>
        <w:tc>
          <w:tcPr>
            <w:tcW w:w="120" w:type="dxa"/>
            <w:vAlign w:val="bottom"/>
            <w:tcBorders>
              <w:top w:val="single" w:sz="8" w:color="7C7C7C"/>
            </w:tcBorders>
          </w:tcPr>
          <w:p>
            <w:pPr>
              <w:spacing w:after="0"/>
              <w:rPr>
                <w:sz w:val="17"/>
                <w:szCs w:val="17"/>
                <w:color w:val="auto"/>
              </w:rPr>
            </w:pPr>
          </w:p>
        </w:tc>
        <w:tc>
          <w:tcPr>
            <w:tcW w:w="116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r>
      <w:tr>
        <w:trPr>
          <w:trHeight w:val="48"/>
        </w:trPr>
        <w:tc>
          <w:tcPr>
            <w:tcW w:w="516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r>
      <w:tr>
        <w:trPr>
          <w:trHeight w:val="297"/>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Cash Payment</w:t>
            </w:r>
            <w:r>
              <w:rPr>
                <w:rFonts w:ascii="Arial" w:cs="Arial" w:eastAsia="Arial" w:hAnsi="Arial"/>
                <w:sz w:val="22"/>
                <w:szCs w:val="22"/>
                <w:color w:val="auto"/>
                <w:vertAlign w:val="superscript"/>
              </w:rPr>
              <w:t>(5)</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Pension Benefit</w:t>
            </w:r>
            <w:r>
              <w:rPr>
                <w:rFonts w:ascii="Arial" w:cs="Arial" w:eastAsia="Arial" w:hAnsi="Arial"/>
                <w:sz w:val="22"/>
                <w:szCs w:val="22"/>
                <w:color w:val="auto"/>
                <w:vertAlign w:val="superscript"/>
              </w:rPr>
              <w:t>(1)</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$13,546,111</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$2,482,139</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$513,095</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$1,500,390</w:t>
            </w: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SAR Award Value</w:t>
            </w:r>
            <w:r>
              <w:rPr>
                <w:rFonts w:ascii="Arial" w:cs="Arial" w:eastAsia="Arial" w:hAnsi="Arial"/>
                <w:sz w:val="22"/>
                <w:szCs w:val="22"/>
                <w:color w:val="auto"/>
                <w:vertAlign w:val="superscript"/>
              </w:rPr>
              <w:t>(3)(6)</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$14,996,210</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$2,779,958</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$2,713,953</w:t>
            </w:r>
          </w:p>
        </w:tc>
      </w:tr>
      <w:tr>
        <w:trPr>
          <w:trHeight w:val="298"/>
        </w:trPr>
        <w:tc>
          <w:tcPr>
            <w:tcW w:w="5280" w:type="dxa"/>
            <w:vAlign w:val="bottom"/>
            <w:tcBorders>
              <w:bottom w:val="single" w:sz="8" w:color="0F94D8"/>
            </w:tcBorders>
            <w:gridSpan w:val="2"/>
          </w:tcPr>
          <w:p>
            <w:pPr>
              <w:ind w:left="80"/>
              <w:spacing w:after="0"/>
              <w:rPr>
                <w:sz w:val="20"/>
                <w:szCs w:val="20"/>
                <w:color w:val="auto"/>
              </w:rPr>
            </w:pPr>
            <w:r>
              <w:rPr>
                <w:rFonts w:ascii="Arial" w:cs="Arial" w:eastAsia="Arial" w:hAnsi="Arial"/>
                <w:sz w:val="14"/>
                <w:szCs w:val="14"/>
                <w:color w:val="auto"/>
              </w:rPr>
              <w:t>Stock Award Value</w:t>
            </w:r>
            <w:r>
              <w:rPr>
                <w:rFonts w:ascii="Arial" w:cs="Arial" w:eastAsia="Arial" w:hAnsi="Arial"/>
                <w:sz w:val="22"/>
                <w:szCs w:val="22"/>
                <w:color w:val="auto"/>
                <w:vertAlign w:val="superscript"/>
              </w:rPr>
              <w:t>(3)(6)(7)</w:t>
            </w:r>
          </w:p>
        </w:tc>
        <w:tc>
          <w:tcPr>
            <w:tcW w:w="1140" w:type="dxa"/>
            <w:vAlign w:val="bottom"/>
            <w:tcBorders>
              <w:bottom w:val="single" w:sz="8" w:color="0F94D8"/>
            </w:tcBorders>
          </w:tcPr>
          <w:p>
            <w:pPr>
              <w:jc w:val="right"/>
              <w:spacing w:after="0"/>
              <w:rPr>
                <w:sz w:val="20"/>
                <w:szCs w:val="20"/>
                <w:color w:val="auto"/>
              </w:rPr>
            </w:pPr>
            <w:r>
              <w:rPr>
                <w:rFonts w:ascii="Arial" w:cs="Arial" w:eastAsia="Arial" w:hAnsi="Arial"/>
                <w:sz w:val="14"/>
                <w:szCs w:val="14"/>
                <w:color w:val="auto"/>
              </w:rPr>
              <w:t>$19,585,292</w:t>
            </w:r>
          </w:p>
        </w:tc>
        <w:tc>
          <w:tcPr>
            <w:tcW w:w="120" w:type="dxa"/>
            <w:vAlign w:val="bottom"/>
            <w:tcBorders>
              <w:bottom w:val="single" w:sz="8" w:color="0F94D8"/>
            </w:tcBorders>
          </w:tcPr>
          <w:p>
            <w:pPr>
              <w:spacing w:after="0"/>
              <w:rPr>
                <w:sz w:val="24"/>
                <w:szCs w:val="24"/>
                <w:color w:val="auto"/>
              </w:rPr>
            </w:pPr>
          </w:p>
        </w:tc>
        <w:tc>
          <w:tcPr>
            <w:tcW w:w="116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$7,985,468</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$13,891,807</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$6,776,813</w:t>
            </w: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color w:val="0E93D8"/>
              </w:rPr>
              <w:t>Sub-Total</w:t>
            </w:r>
          </w:p>
        </w:tc>
        <w:tc>
          <w:tcPr>
            <w:tcW w:w="1140" w:type="dxa"/>
            <w:vAlign w:val="bottom"/>
          </w:tcPr>
          <w:p>
            <w:pPr>
              <w:jc w:val="right"/>
              <w:spacing w:after="0"/>
              <w:rPr>
                <w:sz w:val="20"/>
                <w:szCs w:val="20"/>
                <w:color w:val="auto"/>
              </w:rPr>
            </w:pPr>
            <w:r>
              <w:rPr>
                <w:rFonts w:ascii="Arial" w:cs="Arial" w:eastAsia="Arial" w:hAnsi="Arial"/>
                <w:sz w:val="14"/>
                <w:szCs w:val="14"/>
                <w:color w:val="0E93D8"/>
              </w:rPr>
              <w:t>$52,127,613</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0E93D8"/>
              </w:rPr>
              <w:t>$13,247,565</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$14,404,902</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$10,991,156</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196"/>
        </w:trPr>
        <w:tc>
          <w:tcPr>
            <w:tcW w:w="5280" w:type="dxa"/>
            <w:vAlign w:val="bottom"/>
            <w:gridSpan w:val="2"/>
          </w:tcPr>
          <w:p>
            <w:pPr>
              <w:ind w:left="80"/>
              <w:spacing w:after="0"/>
              <w:rPr>
                <w:sz w:val="20"/>
                <w:szCs w:val="20"/>
                <w:color w:val="auto"/>
              </w:rPr>
            </w:pPr>
            <w:r>
              <w:rPr>
                <w:rFonts w:ascii="Arial" w:cs="Arial" w:eastAsia="Arial" w:hAnsi="Arial"/>
                <w:sz w:val="14"/>
                <w:szCs w:val="14"/>
                <w:color w:val="auto"/>
              </w:rPr>
              <w:t>Less: Vested Pension and Equity</w:t>
            </w:r>
          </w:p>
        </w:tc>
        <w:tc>
          <w:tcPr>
            <w:tcW w:w="1140" w:type="dxa"/>
            <w:vAlign w:val="bottom"/>
          </w:tcPr>
          <w:p>
            <w:pPr>
              <w:jc w:val="right"/>
              <w:spacing w:after="0"/>
              <w:rPr>
                <w:sz w:val="20"/>
                <w:szCs w:val="20"/>
                <w:color w:val="auto"/>
              </w:rPr>
            </w:pPr>
            <w:r>
              <w:rPr>
                <w:rFonts w:ascii="Arial" w:cs="Arial" w:eastAsia="Arial" w:hAnsi="Arial"/>
                <w:sz w:val="14"/>
                <w:szCs w:val="14"/>
                <w:color w:val="auto"/>
              </w:rPr>
              <w:t>-$48,127,613</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-$11,818,390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-$2,003,602</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-$3,352,453</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242"/>
        </w:trPr>
        <w:tc>
          <w:tcPr>
            <w:tcW w:w="5280" w:type="dxa"/>
            <w:vAlign w:val="bottom"/>
            <w:tcBorders>
              <w:bottom w:val="single" w:sz="8" w:color="F6FAFB"/>
            </w:tcBorders>
            <w:gridSpan w:val="2"/>
            <w:shd w:val="clear" w:color="auto" w:fill="F6FAFB"/>
          </w:tcPr>
          <w:p>
            <w:pPr>
              <w:ind w:left="80"/>
              <w:spacing w:after="0"/>
              <w:rPr>
                <w:sz w:val="20"/>
                <w:szCs w:val="20"/>
                <w:color w:val="auto"/>
              </w:rPr>
            </w:pPr>
            <w:r>
              <w:rPr>
                <w:rFonts w:ascii="Arial" w:cs="Arial" w:eastAsia="Arial" w:hAnsi="Arial"/>
                <w:sz w:val="14"/>
                <w:szCs w:val="14"/>
                <w:color w:val="auto"/>
              </w:rPr>
              <w:t>Amount Triggered due to Termination</w:t>
            </w:r>
          </w:p>
        </w:tc>
        <w:tc>
          <w:tcPr>
            <w:tcW w:w="114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Borders>
              <w:bottom w:val="single" w:sz="8" w:color="F6FAFB"/>
            </w:tcBorders>
            <w:shd w:val="clear" w:color="auto" w:fill="F6FAFB"/>
          </w:tcPr>
          <w:p>
            <w:pPr>
              <w:spacing w:after="0"/>
              <w:rPr>
                <w:sz w:val="20"/>
                <w:szCs w:val="20"/>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$1,429,175</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$12,401,300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F6FAFB"/>
            </w:tcBorders>
            <w:shd w:val="clear" w:color="auto" w:fill="F6FAFB"/>
          </w:tcPr>
          <w:p>
            <w:pPr>
              <w:spacing w:after="0"/>
              <w:rPr>
                <w:sz w:val="20"/>
                <w:szCs w:val="20"/>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$7,638,703</w:t>
            </w:r>
          </w:p>
        </w:tc>
      </w:tr>
      <w:tr>
        <w:trPr>
          <w:trHeight w:val="196"/>
        </w:trPr>
        <w:tc>
          <w:tcPr>
            <w:tcW w:w="5280" w:type="dxa"/>
            <w:vAlign w:val="bottom"/>
            <w:tcBorders>
              <w:top w:val="single" w:sz="8" w:color="7C7C7C"/>
            </w:tcBorders>
            <w:gridSpan w:val="2"/>
          </w:tcPr>
          <w:p>
            <w:pPr>
              <w:ind w:left="80"/>
              <w:spacing w:after="0"/>
              <w:rPr>
                <w:sz w:val="20"/>
                <w:szCs w:val="20"/>
                <w:color w:val="auto"/>
              </w:rPr>
            </w:pPr>
            <w:r>
              <w:rPr>
                <w:rFonts w:ascii="Arial" w:cs="Arial" w:eastAsia="Arial" w:hAnsi="Arial"/>
                <w:sz w:val="14"/>
                <w:szCs w:val="14"/>
                <w:b w:val="1"/>
                <w:bCs w:val="1"/>
                <w:color w:val="0E93D8"/>
              </w:rPr>
              <w:t>Termination Following a Change-in-Control</w:t>
            </w:r>
          </w:p>
        </w:tc>
        <w:tc>
          <w:tcPr>
            <w:tcW w:w="1140" w:type="dxa"/>
            <w:vAlign w:val="bottom"/>
            <w:tcBorders>
              <w:top w:val="single" w:sz="8" w:color="7C7C7C"/>
            </w:tcBorders>
          </w:tcPr>
          <w:p>
            <w:pPr>
              <w:spacing w:after="0"/>
              <w:rPr>
                <w:sz w:val="17"/>
                <w:szCs w:val="17"/>
                <w:color w:val="auto"/>
              </w:rPr>
            </w:pPr>
          </w:p>
        </w:tc>
        <w:tc>
          <w:tcPr>
            <w:tcW w:w="120" w:type="dxa"/>
            <w:vAlign w:val="bottom"/>
            <w:tcBorders>
              <w:top w:val="single" w:sz="8" w:color="7C7C7C"/>
            </w:tcBorders>
          </w:tcPr>
          <w:p>
            <w:pPr>
              <w:spacing w:after="0"/>
              <w:rPr>
                <w:sz w:val="17"/>
                <w:szCs w:val="17"/>
                <w:color w:val="auto"/>
              </w:rPr>
            </w:pPr>
          </w:p>
        </w:tc>
        <w:tc>
          <w:tcPr>
            <w:tcW w:w="116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c>
          <w:tcPr>
            <w:tcW w:w="100" w:type="dxa"/>
            <w:vAlign w:val="bottom"/>
            <w:tcBorders>
              <w:top w:val="single" w:sz="8" w:color="7C7C7C"/>
            </w:tcBorders>
          </w:tcPr>
          <w:p>
            <w:pPr>
              <w:spacing w:after="0"/>
              <w:rPr>
                <w:sz w:val="17"/>
                <w:szCs w:val="17"/>
                <w:color w:val="auto"/>
              </w:rPr>
            </w:pPr>
          </w:p>
        </w:tc>
        <w:tc>
          <w:tcPr>
            <w:tcW w:w="1140" w:type="dxa"/>
            <w:vAlign w:val="bottom"/>
            <w:tcBorders>
              <w:top w:val="single" w:sz="8" w:color="7C7C7C"/>
            </w:tcBorders>
          </w:tcPr>
          <w:p>
            <w:pPr>
              <w:spacing w:after="0"/>
              <w:rPr>
                <w:sz w:val="17"/>
                <w:szCs w:val="17"/>
                <w:color w:val="auto"/>
              </w:rPr>
            </w:pPr>
          </w:p>
        </w:tc>
      </w:tr>
      <w:tr>
        <w:trPr>
          <w:trHeight w:val="48"/>
        </w:trPr>
        <w:tc>
          <w:tcPr>
            <w:tcW w:w="516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20" w:type="dxa"/>
            <w:vAlign w:val="bottom"/>
            <w:tcBorders>
              <w:bottom w:val="single" w:sz="8" w:color="FDB03F"/>
            </w:tcBorders>
          </w:tcPr>
          <w:p>
            <w:pPr>
              <w:spacing w:after="0"/>
              <w:rPr>
                <w:sz w:val="4"/>
                <w:szCs w:val="4"/>
                <w:color w:val="auto"/>
              </w:rPr>
            </w:pPr>
          </w:p>
        </w:tc>
        <w:tc>
          <w:tcPr>
            <w:tcW w:w="116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c>
          <w:tcPr>
            <w:tcW w:w="100" w:type="dxa"/>
            <w:vAlign w:val="bottom"/>
            <w:tcBorders>
              <w:bottom w:val="single" w:sz="8" w:color="FDB03F"/>
            </w:tcBorders>
          </w:tcPr>
          <w:p>
            <w:pPr>
              <w:spacing w:after="0"/>
              <w:rPr>
                <w:sz w:val="4"/>
                <w:szCs w:val="4"/>
                <w:color w:val="auto"/>
              </w:rPr>
            </w:pPr>
          </w:p>
        </w:tc>
        <w:tc>
          <w:tcPr>
            <w:tcW w:w="1140" w:type="dxa"/>
            <w:vAlign w:val="bottom"/>
            <w:tcBorders>
              <w:bottom w:val="single" w:sz="8" w:color="FDB03F"/>
            </w:tcBorders>
          </w:tcPr>
          <w:p>
            <w:pPr>
              <w:spacing w:after="0"/>
              <w:rPr>
                <w:sz w:val="4"/>
                <w:szCs w:val="4"/>
                <w:color w:val="auto"/>
              </w:rPr>
            </w:pPr>
          </w:p>
        </w:tc>
      </w:tr>
      <w:tr>
        <w:trPr>
          <w:trHeight w:val="297"/>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Cash Payment</w:t>
            </w:r>
            <w:r>
              <w:rPr>
                <w:rFonts w:ascii="Arial" w:cs="Arial" w:eastAsia="Arial" w:hAnsi="Arial"/>
                <w:sz w:val="22"/>
                <w:szCs w:val="22"/>
                <w:color w:val="auto"/>
                <w:vertAlign w:val="superscript"/>
              </w:rPr>
              <w:t>(8)</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$13,156,000</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Pension Benefit</w:t>
            </w:r>
            <w:r>
              <w:rPr>
                <w:rFonts w:ascii="Arial" w:cs="Arial" w:eastAsia="Arial" w:hAnsi="Arial"/>
                <w:sz w:val="22"/>
                <w:szCs w:val="22"/>
                <w:color w:val="auto"/>
                <w:vertAlign w:val="superscript"/>
              </w:rPr>
              <w:t>(1)</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$13,546,111</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$2,482,139</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$513,095</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$1,500,390</w:t>
            </w:r>
          </w:p>
        </w:tc>
      </w:tr>
      <w:tr>
        <w:trPr>
          <w:trHeight w:val="291"/>
        </w:trPr>
        <w:tc>
          <w:tcPr>
            <w:tcW w:w="5280" w:type="dxa"/>
            <w:vAlign w:val="bottom"/>
            <w:tcBorders>
              <w:bottom w:val="single" w:sz="8" w:color="7C7C7C"/>
            </w:tcBorders>
            <w:gridSpan w:val="2"/>
          </w:tcPr>
          <w:p>
            <w:pPr>
              <w:ind w:left="80"/>
              <w:spacing w:after="0"/>
              <w:rPr>
                <w:sz w:val="20"/>
                <w:szCs w:val="20"/>
                <w:color w:val="auto"/>
              </w:rPr>
            </w:pPr>
            <w:r>
              <w:rPr>
                <w:rFonts w:ascii="Arial" w:cs="Arial" w:eastAsia="Arial" w:hAnsi="Arial"/>
                <w:sz w:val="14"/>
                <w:szCs w:val="14"/>
                <w:color w:val="auto"/>
              </w:rPr>
              <w:t>SAR Award Value</w:t>
            </w:r>
            <w:r>
              <w:rPr>
                <w:rFonts w:ascii="Arial" w:cs="Arial" w:eastAsia="Arial" w:hAnsi="Arial"/>
                <w:sz w:val="22"/>
                <w:szCs w:val="22"/>
                <w:color w:val="auto"/>
                <w:vertAlign w:val="superscript"/>
              </w:rPr>
              <w:t>(9)</w:t>
            </w:r>
          </w:p>
        </w:tc>
        <w:tc>
          <w:tcPr>
            <w:tcW w:w="1140" w:type="dxa"/>
            <w:vAlign w:val="bottom"/>
            <w:tcBorders>
              <w:bottom w:val="single" w:sz="8" w:color="7C7C7C"/>
            </w:tcBorders>
          </w:tcPr>
          <w:p>
            <w:pPr>
              <w:jc w:val="right"/>
              <w:spacing w:after="0"/>
              <w:rPr>
                <w:sz w:val="20"/>
                <w:szCs w:val="20"/>
                <w:color w:val="auto"/>
              </w:rPr>
            </w:pPr>
            <w:r>
              <w:rPr>
                <w:rFonts w:ascii="Arial" w:cs="Arial" w:eastAsia="Arial" w:hAnsi="Arial"/>
                <w:sz w:val="14"/>
                <w:szCs w:val="14"/>
                <w:color w:val="auto"/>
              </w:rPr>
              <w:t>$14,996,210</w:t>
            </w:r>
          </w:p>
        </w:tc>
        <w:tc>
          <w:tcPr>
            <w:tcW w:w="120" w:type="dxa"/>
            <w:vAlign w:val="bottom"/>
            <w:tcBorders>
              <w:bottom w:val="single" w:sz="8" w:color="7C7C7C"/>
            </w:tcBorders>
          </w:tcPr>
          <w:p>
            <w:pPr>
              <w:spacing w:after="0"/>
              <w:rPr>
                <w:sz w:val="24"/>
                <w:szCs w:val="24"/>
                <w:color w:val="auto"/>
              </w:rPr>
            </w:pPr>
          </w:p>
        </w:tc>
        <w:tc>
          <w:tcPr>
            <w:tcW w:w="116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$2,779,958</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7C7C7C"/>
            </w:tcBorders>
          </w:tcPr>
          <w:p>
            <w:pPr>
              <w:spacing w:after="0"/>
              <w:rPr>
                <w:sz w:val="24"/>
                <w:szCs w:val="24"/>
                <w:color w:val="auto"/>
              </w:rPr>
            </w:pPr>
          </w:p>
        </w:tc>
        <w:tc>
          <w:tcPr>
            <w:tcW w:w="1140" w:type="dxa"/>
            <w:vAlign w:val="bottom"/>
            <w:tcBorders>
              <w:bottom w:val="single" w:sz="8" w:color="7C7C7C"/>
            </w:tcBorders>
          </w:tcPr>
          <w:p>
            <w:pPr>
              <w:jc w:val="right"/>
              <w:ind w:right="12"/>
              <w:spacing w:after="0"/>
              <w:rPr>
                <w:sz w:val="20"/>
                <w:szCs w:val="20"/>
                <w:color w:val="auto"/>
              </w:rPr>
            </w:pPr>
            <w:r>
              <w:rPr>
                <w:rFonts w:ascii="Arial" w:cs="Arial" w:eastAsia="Arial" w:hAnsi="Arial"/>
                <w:sz w:val="14"/>
                <w:szCs w:val="14"/>
                <w:color w:val="auto"/>
              </w:rPr>
              <w:t>$2,713,953</w:t>
            </w:r>
          </w:p>
        </w:tc>
      </w:tr>
      <w:tr>
        <w:trPr>
          <w:trHeight w:val="298"/>
        </w:trPr>
        <w:tc>
          <w:tcPr>
            <w:tcW w:w="5280" w:type="dxa"/>
            <w:vAlign w:val="bottom"/>
            <w:tcBorders>
              <w:bottom w:val="single" w:sz="8" w:color="0F94D8"/>
            </w:tcBorders>
            <w:gridSpan w:val="2"/>
          </w:tcPr>
          <w:p>
            <w:pPr>
              <w:ind w:left="80"/>
              <w:spacing w:after="0"/>
              <w:rPr>
                <w:sz w:val="20"/>
                <w:szCs w:val="20"/>
                <w:color w:val="auto"/>
              </w:rPr>
            </w:pPr>
            <w:r>
              <w:rPr>
                <w:rFonts w:ascii="Arial" w:cs="Arial" w:eastAsia="Arial" w:hAnsi="Arial"/>
                <w:sz w:val="14"/>
                <w:szCs w:val="14"/>
                <w:color w:val="auto"/>
              </w:rPr>
              <w:t>Stock Award Value</w:t>
            </w:r>
            <w:r>
              <w:rPr>
                <w:rFonts w:ascii="Arial" w:cs="Arial" w:eastAsia="Arial" w:hAnsi="Arial"/>
                <w:sz w:val="22"/>
                <w:szCs w:val="22"/>
                <w:color w:val="auto"/>
                <w:vertAlign w:val="superscript"/>
              </w:rPr>
              <w:t>(9)</w:t>
            </w:r>
          </w:p>
        </w:tc>
        <w:tc>
          <w:tcPr>
            <w:tcW w:w="1140" w:type="dxa"/>
            <w:vAlign w:val="bottom"/>
            <w:tcBorders>
              <w:bottom w:val="single" w:sz="8" w:color="0F94D8"/>
            </w:tcBorders>
          </w:tcPr>
          <w:p>
            <w:pPr>
              <w:jc w:val="right"/>
              <w:spacing w:after="0"/>
              <w:rPr>
                <w:sz w:val="20"/>
                <w:szCs w:val="20"/>
                <w:color w:val="auto"/>
              </w:rPr>
            </w:pPr>
            <w:r>
              <w:rPr>
                <w:rFonts w:ascii="Arial" w:cs="Arial" w:eastAsia="Arial" w:hAnsi="Arial"/>
                <w:sz w:val="14"/>
                <w:szCs w:val="14"/>
                <w:color w:val="auto"/>
              </w:rPr>
              <w:t>$21,495,117</w:t>
            </w:r>
          </w:p>
        </w:tc>
        <w:tc>
          <w:tcPr>
            <w:tcW w:w="120" w:type="dxa"/>
            <w:vAlign w:val="bottom"/>
            <w:tcBorders>
              <w:bottom w:val="single" w:sz="8" w:color="0F94D8"/>
            </w:tcBorders>
          </w:tcPr>
          <w:p>
            <w:pPr>
              <w:spacing w:after="0"/>
              <w:rPr>
                <w:sz w:val="24"/>
                <w:szCs w:val="24"/>
                <w:color w:val="auto"/>
              </w:rPr>
            </w:pPr>
          </w:p>
        </w:tc>
        <w:tc>
          <w:tcPr>
            <w:tcW w:w="116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$8,575,899</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$13,891,807</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$5,157,679</w:t>
            </w:r>
          </w:p>
        </w:tc>
        <w:tc>
          <w:tcPr>
            <w:tcW w:w="100" w:type="dxa"/>
            <w:vAlign w:val="bottom"/>
            <w:tcBorders>
              <w:bottom w:val="single" w:sz="8" w:color="0F94D8"/>
            </w:tcBorders>
          </w:tcPr>
          <w:p>
            <w:pPr>
              <w:spacing w:after="0"/>
              <w:rPr>
                <w:sz w:val="24"/>
                <w:szCs w:val="24"/>
                <w:color w:val="auto"/>
              </w:rPr>
            </w:pPr>
          </w:p>
        </w:tc>
        <w:tc>
          <w:tcPr>
            <w:tcW w:w="1140" w:type="dxa"/>
            <w:vAlign w:val="bottom"/>
            <w:tcBorders>
              <w:bottom w:val="single" w:sz="8" w:color="0F94D8"/>
            </w:tcBorders>
          </w:tcPr>
          <w:p>
            <w:pPr>
              <w:jc w:val="right"/>
              <w:ind w:right="12"/>
              <w:spacing w:after="0"/>
              <w:rPr>
                <w:sz w:val="20"/>
                <w:szCs w:val="20"/>
                <w:color w:val="auto"/>
              </w:rPr>
            </w:pPr>
            <w:r>
              <w:rPr>
                <w:rFonts w:ascii="Arial" w:cs="Arial" w:eastAsia="Arial" w:hAnsi="Arial"/>
                <w:sz w:val="14"/>
                <w:szCs w:val="14"/>
                <w:color w:val="auto"/>
              </w:rPr>
              <w:t>$12,546,219</w:t>
            </w:r>
          </w:p>
        </w:tc>
      </w:tr>
      <w:tr>
        <w:trPr>
          <w:trHeight w:val="202"/>
        </w:trPr>
        <w:tc>
          <w:tcPr>
            <w:tcW w:w="5280" w:type="dxa"/>
            <w:vAlign w:val="bottom"/>
            <w:gridSpan w:val="2"/>
          </w:tcPr>
          <w:p>
            <w:pPr>
              <w:ind w:left="80"/>
              <w:spacing w:after="0"/>
              <w:rPr>
                <w:sz w:val="20"/>
                <w:szCs w:val="20"/>
                <w:color w:val="auto"/>
              </w:rPr>
            </w:pPr>
            <w:r>
              <w:rPr>
                <w:rFonts w:ascii="Arial" w:cs="Arial" w:eastAsia="Arial" w:hAnsi="Arial"/>
                <w:sz w:val="14"/>
                <w:szCs w:val="14"/>
                <w:color w:val="0E93D8"/>
              </w:rPr>
              <w:t>Sub-Total</w:t>
            </w:r>
          </w:p>
        </w:tc>
        <w:tc>
          <w:tcPr>
            <w:tcW w:w="1140" w:type="dxa"/>
            <w:vAlign w:val="bottom"/>
          </w:tcPr>
          <w:p>
            <w:pPr>
              <w:jc w:val="right"/>
              <w:spacing w:after="0"/>
              <w:rPr>
                <w:sz w:val="20"/>
                <w:szCs w:val="20"/>
                <w:color w:val="auto"/>
              </w:rPr>
            </w:pPr>
            <w:r>
              <w:rPr>
                <w:rFonts w:ascii="Arial" w:cs="Arial" w:eastAsia="Arial" w:hAnsi="Arial"/>
                <w:sz w:val="14"/>
                <w:szCs w:val="14"/>
                <w:color w:val="0E93D8"/>
              </w:rPr>
              <w:t>$63,193,438</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0E93D8"/>
              </w:rPr>
              <w:t>$13,837,996</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$14,404,902</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$5,157,679</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0E93D8"/>
              </w:rPr>
              <w:t>$16,760,562</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196"/>
        </w:trPr>
        <w:tc>
          <w:tcPr>
            <w:tcW w:w="5280" w:type="dxa"/>
            <w:vAlign w:val="bottom"/>
            <w:gridSpan w:val="2"/>
          </w:tcPr>
          <w:p>
            <w:pPr>
              <w:ind w:left="80"/>
              <w:spacing w:after="0"/>
              <w:rPr>
                <w:sz w:val="20"/>
                <w:szCs w:val="20"/>
                <w:color w:val="auto"/>
              </w:rPr>
            </w:pPr>
            <w:r>
              <w:rPr>
                <w:rFonts w:ascii="Arial" w:cs="Arial" w:eastAsia="Arial" w:hAnsi="Arial"/>
                <w:sz w:val="14"/>
                <w:szCs w:val="14"/>
                <w:color w:val="auto"/>
              </w:rPr>
              <w:t>Less: Vested Pension and Equity</w:t>
            </w:r>
          </w:p>
        </w:tc>
        <w:tc>
          <w:tcPr>
            <w:tcW w:w="1140" w:type="dxa"/>
            <w:vAlign w:val="bottom"/>
          </w:tcPr>
          <w:p>
            <w:pPr>
              <w:jc w:val="right"/>
              <w:spacing w:after="0"/>
              <w:rPr>
                <w:sz w:val="20"/>
                <w:szCs w:val="20"/>
                <w:color w:val="auto"/>
              </w:rPr>
            </w:pPr>
            <w:r>
              <w:rPr>
                <w:rFonts w:ascii="Arial" w:cs="Arial" w:eastAsia="Arial" w:hAnsi="Arial"/>
                <w:sz w:val="14"/>
                <w:szCs w:val="14"/>
                <w:color w:val="auto"/>
              </w:rPr>
              <w:t>-$42,750,373</w:t>
            </w:r>
          </w:p>
        </w:tc>
        <w:tc>
          <w:tcPr>
            <w:tcW w:w="1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-$9,986,934</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-$2,003,602</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-$3,352,453</w:t>
            </w:r>
          </w:p>
        </w:tc>
      </w:tr>
      <w:tr>
        <w:trPr>
          <w:trHeight w:val="41"/>
        </w:trPr>
        <w:tc>
          <w:tcPr>
            <w:tcW w:w="516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1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140" w:type="dxa"/>
            <w:vAlign w:val="bottom"/>
            <w:tcBorders>
              <w:bottom w:val="single" w:sz="8" w:color="7C7C7C"/>
            </w:tcBorders>
          </w:tcPr>
          <w:p>
            <w:pPr>
              <w:spacing w:after="0"/>
              <w:rPr>
                <w:sz w:val="3"/>
                <w:szCs w:val="3"/>
                <w:color w:val="auto"/>
              </w:rPr>
            </w:pPr>
          </w:p>
        </w:tc>
      </w:tr>
      <w:tr>
        <w:trPr>
          <w:trHeight w:val="217"/>
        </w:trPr>
        <w:tc>
          <w:tcPr>
            <w:tcW w:w="5280" w:type="dxa"/>
            <w:vAlign w:val="bottom"/>
            <w:tcBorders>
              <w:bottom w:val="single" w:sz="8" w:color="F6FAFB"/>
            </w:tcBorders>
            <w:gridSpan w:val="2"/>
            <w:shd w:val="clear" w:color="auto" w:fill="F6FAFB"/>
          </w:tcPr>
          <w:p>
            <w:pPr>
              <w:ind w:left="80"/>
              <w:spacing w:after="0"/>
              <w:rPr>
                <w:sz w:val="20"/>
                <w:szCs w:val="20"/>
                <w:color w:val="auto"/>
              </w:rPr>
            </w:pPr>
            <w:r>
              <w:rPr>
                <w:rFonts w:ascii="Arial" w:cs="Arial" w:eastAsia="Arial" w:hAnsi="Arial"/>
                <w:sz w:val="14"/>
                <w:szCs w:val="14"/>
                <w:color w:val="auto"/>
              </w:rPr>
              <w:t>Amount Triggered due to Termination</w:t>
            </w:r>
          </w:p>
        </w:tc>
        <w:tc>
          <w:tcPr>
            <w:tcW w:w="1140" w:type="dxa"/>
            <w:vAlign w:val="bottom"/>
            <w:tcBorders>
              <w:bottom w:val="single" w:sz="8" w:color="F6FAFB"/>
            </w:tcBorders>
            <w:shd w:val="clear" w:color="auto" w:fill="F6FAFB"/>
          </w:tcPr>
          <w:p>
            <w:pPr>
              <w:jc w:val="right"/>
              <w:spacing w:after="0"/>
              <w:rPr>
                <w:sz w:val="20"/>
                <w:szCs w:val="20"/>
                <w:color w:val="auto"/>
              </w:rPr>
            </w:pPr>
            <w:r>
              <w:rPr>
                <w:rFonts w:ascii="Arial" w:cs="Arial" w:eastAsia="Arial" w:hAnsi="Arial"/>
                <w:sz w:val="14"/>
                <w:szCs w:val="14"/>
                <w:color w:val="auto"/>
              </w:rPr>
              <w:t>$20,443,065</w:t>
            </w:r>
          </w:p>
        </w:tc>
        <w:tc>
          <w:tcPr>
            <w:tcW w:w="120" w:type="dxa"/>
            <w:vAlign w:val="bottom"/>
            <w:tcBorders>
              <w:bottom w:val="single" w:sz="8" w:color="F6FAFB"/>
            </w:tcBorders>
            <w:shd w:val="clear" w:color="auto" w:fill="F6FAFB"/>
          </w:tcPr>
          <w:p>
            <w:pPr>
              <w:spacing w:after="0"/>
              <w:rPr>
                <w:sz w:val="18"/>
                <w:szCs w:val="18"/>
                <w:color w:val="auto"/>
              </w:rPr>
            </w:pPr>
          </w:p>
        </w:tc>
        <w:tc>
          <w:tcPr>
            <w:tcW w:w="116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$3,851,062</w:t>
            </w:r>
          </w:p>
        </w:tc>
        <w:tc>
          <w:tcPr>
            <w:tcW w:w="100" w:type="dxa"/>
            <w:vAlign w:val="bottom"/>
            <w:tcBorders>
              <w:bottom w:val="single" w:sz="8" w:color="F6FAFB"/>
            </w:tcBorders>
            <w:shd w:val="clear" w:color="auto" w:fill="F6FAFB"/>
          </w:tcPr>
          <w:p>
            <w:pPr>
              <w:spacing w:after="0"/>
              <w:rPr>
                <w:sz w:val="18"/>
                <w:szCs w:val="18"/>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$12,401,300</w:t>
            </w:r>
          </w:p>
        </w:tc>
        <w:tc>
          <w:tcPr>
            <w:tcW w:w="100" w:type="dxa"/>
            <w:vAlign w:val="bottom"/>
            <w:tcBorders>
              <w:bottom w:val="single" w:sz="8" w:color="F6FAFB"/>
            </w:tcBorders>
            <w:shd w:val="clear" w:color="auto" w:fill="F6FAFB"/>
          </w:tcPr>
          <w:p>
            <w:pPr>
              <w:spacing w:after="0"/>
              <w:rPr>
                <w:sz w:val="18"/>
                <w:szCs w:val="18"/>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$5,157,679</w:t>
            </w:r>
          </w:p>
        </w:tc>
        <w:tc>
          <w:tcPr>
            <w:tcW w:w="100" w:type="dxa"/>
            <w:vAlign w:val="bottom"/>
            <w:tcBorders>
              <w:bottom w:val="single" w:sz="8" w:color="F6FAFB"/>
            </w:tcBorders>
            <w:shd w:val="clear" w:color="auto" w:fill="F6FAFB"/>
          </w:tcPr>
          <w:p>
            <w:pPr>
              <w:spacing w:after="0"/>
              <w:rPr>
                <w:sz w:val="18"/>
                <w:szCs w:val="18"/>
                <w:color w:val="auto"/>
              </w:rPr>
            </w:pPr>
          </w:p>
        </w:tc>
        <w:tc>
          <w:tcPr>
            <w:tcW w:w="1140" w:type="dxa"/>
            <w:vAlign w:val="bottom"/>
            <w:tcBorders>
              <w:bottom w:val="single" w:sz="8" w:color="F6FAFB"/>
            </w:tcBorders>
            <w:shd w:val="clear" w:color="auto" w:fill="F6FAFB"/>
          </w:tcPr>
          <w:p>
            <w:pPr>
              <w:jc w:val="right"/>
              <w:ind w:right="12"/>
              <w:spacing w:after="0"/>
              <w:rPr>
                <w:sz w:val="20"/>
                <w:szCs w:val="20"/>
                <w:color w:val="auto"/>
              </w:rPr>
            </w:pPr>
            <w:r>
              <w:rPr>
                <w:rFonts w:ascii="Arial" w:cs="Arial" w:eastAsia="Arial" w:hAnsi="Arial"/>
                <w:sz w:val="14"/>
                <w:szCs w:val="14"/>
                <w:color w:val="auto"/>
              </w:rPr>
              <w:t>$13,408,109</w:t>
            </w:r>
          </w:p>
        </w:tc>
      </w:tr>
      <w:tr>
        <w:trPr>
          <w:trHeight w:val="20"/>
        </w:trPr>
        <w:tc>
          <w:tcPr>
            <w:tcW w:w="5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ind w:left="220" w:right="20" w:hanging="212"/>
        <w:spacing w:after="0" w:line="228" w:lineRule="auto"/>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Estimated lump-sum value of the nonqualified portion of the retirement benefits accrued under UTC’s pension plans, assuming retirement or termination on December 31, 2018, payable as of such date or attainment of age 55 (if later) based on the plan’s 2019 lump-sum basis. The present value of benefits payable under the qualified plan are shown in the Pension Benefits table on page 64.</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Outstanding equity awards will be forfeited upon involuntary termination (for cause).</w:t>
      </w:r>
    </w:p>
    <w:p>
      <w:pPr>
        <w:spacing w:after="0" w:line="55" w:lineRule="exact"/>
        <w:rPr>
          <w:rFonts w:ascii="Arial" w:cs="Arial" w:eastAsia="Arial" w:hAnsi="Arial"/>
          <w:sz w:val="14"/>
          <w:szCs w:val="14"/>
          <w:color w:val="auto"/>
        </w:rPr>
      </w:pPr>
    </w:p>
    <w:p>
      <w:pPr>
        <w:ind w:left="220" w:right="280" w:hanging="212"/>
        <w:spacing w:after="0" w:line="300" w:lineRule="auto"/>
        <w:tabs>
          <w:tab w:leader="none" w:pos="2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Equity awards are valued based on the closing price of UTC Common Stock on the NYSE ($106.48) on the last trading day of 2018. For PSUs, maximum-level vesting is shown for the 2018 and 2017 PSU grants, respectively, based on estimated performance as of December 31, 2018. The actual vesting of 116% of target is shown for the 2016 PSU grant.</w:t>
      </w:r>
    </w:p>
    <w:p>
      <w:pPr>
        <w:spacing w:after="0" w:line="19" w:lineRule="exact"/>
        <w:rPr>
          <w:rFonts w:ascii="Arial" w:cs="Arial" w:eastAsia="Arial" w:hAnsi="Arial"/>
          <w:sz w:val="12"/>
          <w:szCs w:val="12"/>
          <w:color w:val="auto"/>
        </w:rPr>
      </w:pPr>
    </w:p>
    <w:p>
      <w:pPr>
        <w:ind w:left="220" w:right="100" w:hanging="212"/>
        <w:spacing w:after="0" w:line="223" w:lineRule="auto"/>
        <w:tabs>
          <w:tab w:leader="none" w:pos="2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SARs and RSUs awards granted under UTC’s annual LTI program that are outstanding for more than one year will vest in the event of voluntary termination only after attaining qualifying retirement under the LTIP (defined as either: (i) age 65; (ii) age 55 plus 10 years of service; or (iii) “Rule of 65” — age 50 to 55 plus years of service add up to 65 or more). For executives who have attained qualifying retirement status, PSUs outstanding for at least one year will remain eligible to vest at the completion of the performance period to the extent performance targets are achieved. All NEOs, except for Mr. Gitlin and Ms. Marks, have satisfied at least one of these qualifying retirement conditions. For non-retirement eligible executives who voluntarily terminate, all unvested awards are cancelled and vested SARs may be exercised up to 90 days following separation. Special out-of-cycle and ELG RSU awards do not have retirement eligibility treatment and, therefore, forfeit upon voluntary termination (except for Mr. Ortberg’s retention RSU award which was granted in exchange for waiving his rights and benefits under his Rockwell Collins change-in-control agreement). This RSU award must be outstanding for more than one year to vest in the event of voluntary termination, after attaining qualifying retirement. Awards granted to Mr. Ortberg under the legacy Rockwell Collins long-term incentive plan, and subsequently converted to UTC RSUs upon the acquisition of Rockwell Collins, will vest on a pro-rata basis upon voluntary retirement on or after age 55.</w:t>
      </w:r>
    </w:p>
    <w:p>
      <w:pPr>
        <w:spacing w:after="0" w:line="230" w:lineRule="exact"/>
        <w:rPr>
          <w:sz w:val="20"/>
          <w:szCs w:val="20"/>
          <w:color w:val="auto"/>
        </w:rPr>
      </w:pPr>
    </w:p>
    <w:p>
      <w:pPr>
        <w:ind w:left="880" w:hanging="628"/>
        <w:spacing w:after="0"/>
        <w:tabs>
          <w:tab w:leader="none" w:pos="880" w:val="left"/>
        </w:tabs>
        <w:numPr>
          <w:ilvl w:val="0"/>
          <w:numId w:val="155"/>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146685</wp:posOffset>
            </wp:positionV>
            <wp:extent cx="1191895" cy="1289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91895" cy="128905"/>
                    </a:xfrm>
                    <a:prstGeom prst="rect">
                      <a:avLst/>
                    </a:prstGeom>
                    <a:noFill/>
                  </pic:spPr>
                </pic:pic>
              </a:graphicData>
            </a:graphic>
          </wp:anchor>
        </w:drawing>
      </w:r>
    </w:p>
    <w:p>
      <w:pPr>
        <w:spacing w:after="0" w:line="221"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FFFFFF"/>
        </w:rPr>
        <w:t>COMPENSATION TABLES</w:t>
      </w:r>
    </w:p>
    <w:p>
      <w:pPr>
        <w:spacing w:after="0" w:line="274" w:lineRule="exact"/>
        <w:rPr>
          <w:sz w:val="20"/>
          <w:szCs w:val="20"/>
          <w:color w:val="auto"/>
        </w:rPr>
      </w:pPr>
    </w:p>
    <w:p>
      <w:pPr>
        <w:ind w:left="220" w:right="120" w:hanging="212"/>
        <w:spacing w:after="0" w:line="228" w:lineRule="auto"/>
        <w:tabs>
          <w:tab w:leader="none" w:pos="2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ELG cash separation benefit equal to 2.5x base salary payable as a lump-sum in the event of a mutually agreeable separation (defined on page 66) following at least three years of ELG service. ELG members appointed on or after May 2013, including Messrs. Johri, Ortberg and Gitlin and Ms. Marks, are not eligible for this cash separation benefit and instead received an ELG RSU grant (except for Mr. Ortberg), as described in footnote (7) below.</w:t>
      </w:r>
    </w:p>
    <w:p>
      <w:pPr>
        <w:spacing w:after="0" w:line="54" w:lineRule="exact"/>
        <w:rPr>
          <w:rFonts w:ascii="Arial" w:cs="Arial" w:eastAsia="Arial" w:hAnsi="Arial"/>
          <w:sz w:val="14"/>
          <w:szCs w:val="14"/>
          <w:color w:val="auto"/>
        </w:rPr>
      </w:pPr>
    </w:p>
    <w:p>
      <w:pPr>
        <w:ind w:left="220" w:right="60" w:hanging="212"/>
        <w:spacing w:after="0" w:line="265" w:lineRule="auto"/>
        <w:tabs>
          <w:tab w:leader="none" w:pos="2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SARs and RSUs awards granted under UTC’s annual LTI program that are outstanding for more than one year will vest and PSUs will remain eligible to vest (to the extent performance targets are achieved) in the event of involuntary termination (not for cause) after an executive qualifies for retirement. For executives who have not yet qualified for retirement but have held awards for at least one year, in the event of involuntary termination (not for cause) a pro-rata portion of SARs and RSUs will vest and a pro-rata portion of PSUs will remain eligible to vest at the completion of the performance period to the extent performance goals are achieved. Special out-of-cycle and ELG RSU awards do not have retirement eligibility treatment and, therefore, forfeit upon involuntary termination (not for cause), except for Mr. Ortberg’s retention RSU award which was granted in exchange for waiving his rights and benefits under his Rockwell Collins change-in-control agreement. This award will vest in the event of involuntary termination (not for cause). Awards granted to Mr. Ortberg under the legacy Rockwell Collins long-term incentive plan, and subsequently converted to UTC RSUs upon the acquisition of Rockwell Collins, will vest in the case of involuntarily termination (not for cause).</w:t>
      </w:r>
    </w:p>
    <w:p>
      <w:pPr>
        <w:spacing w:after="0" w:line="40" w:lineRule="exact"/>
        <w:rPr>
          <w:rFonts w:ascii="Arial" w:cs="Arial" w:eastAsia="Arial" w:hAnsi="Arial"/>
          <w:sz w:val="12"/>
          <w:szCs w:val="12"/>
          <w:color w:val="auto"/>
        </w:rPr>
      </w:pPr>
    </w:p>
    <w:p>
      <w:pPr>
        <w:ind w:left="220" w:right="40" w:hanging="212"/>
        <w:spacing w:after="0" w:line="226" w:lineRule="auto"/>
        <w:tabs>
          <w:tab w:leader="none" w:pos="2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ELG RSUs will vest in the case of mutually agreeable separation (as defined on page 66) following three years of ELG service. Mr. Ortberg did not receive an ELG RSU award upon his appointment to the ELG. Instead, he was granted a retention RSU award in exchange for waiving his Rockwell Collins change-in-control agreement. The UTC retention RSU award granted to Mr. Ortberg includes post-termination restrictive covenants substantially similar to those restrictive covenants applicable to UTC’s standard ELG RSU award (see page 67 for additional details).</w:t>
      </w:r>
    </w:p>
    <w:p>
      <w:pPr>
        <w:spacing w:after="0" w:line="55" w:lineRule="exact"/>
        <w:rPr>
          <w:rFonts w:ascii="Arial" w:cs="Arial" w:eastAsia="Arial" w:hAnsi="Arial"/>
          <w:sz w:val="14"/>
          <w:szCs w:val="14"/>
          <w:color w:val="auto"/>
        </w:rPr>
      </w:pPr>
    </w:p>
    <w:p>
      <w:pPr>
        <w:ind w:left="220" w:right="120" w:hanging="212"/>
        <w:spacing w:after="0" w:line="226" w:lineRule="auto"/>
        <w:tabs>
          <w:tab w:leader="none" w:pos="2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Mr. Hayes is the only NEO eligible for change-in-control benefits under the Senior Executive Severance Plan (“SESP”), which was closed to new participants effective June 2009. The SESP provides a lump-sum cash benefit equal to 2.99x the sum of base salary and target annual bonus. ELG members appointed on or after June 2009 but prior to May 2013 are eligible for the standard ELG cash severance payment upon change-in-control (2.5x base salary), while ELG members appointed on or after May 2013 (Messrs. Johri, Ortberg and Gitlin, and Ms. Marks) are not eligible for a cash payment under either program.</w:t>
      </w:r>
    </w:p>
    <w:p>
      <w:pPr>
        <w:spacing w:after="0" w:line="55" w:lineRule="exact"/>
        <w:rPr>
          <w:rFonts w:ascii="Arial" w:cs="Arial" w:eastAsia="Arial" w:hAnsi="Arial"/>
          <w:sz w:val="14"/>
          <w:szCs w:val="14"/>
          <w:color w:val="auto"/>
        </w:rPr>
      </w:pPr>
    </w:p>
    <w:p>
      <w:pPr>
        <w:ind w:left="220" w:right="80" w:hanging="212"/>
        <w:spacing w:after="0" w:line="225" w:lineRule="auto"/>
        <w:tabs>
          <w:tab w:leader="none" w:pos="2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the event of qualifying termination following a change-in-control (as defined on page 67), the LTIP provides for the accelerated vesting of all outstanding equity awards (including awards outstanding for less than one year, special out-of-cycle and ELG RSU awards). Values shown reflect the closing stock price on the last trading day of 2018 and PSUs vesting at target (for awards granted under the predecessor to the UTC 2018 Long-Term Incentive Plan), except where actual performance is known as of December 31, 2018. As part of the agreement with Mr. Ortberg to waive his Rockwell Collins change-in-control agreement, UTC agreed to include the definition of “good reason” under Mr. Ortberg’s Rockwell Collins change-in-control agreement for the retention RSU award described on page 67.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69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CEO</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Pay Ratio</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Background</w:t>
      </w:r>
    </w:p>
    <w:p>
      <w:pPr>
        <w:spacing w:after="0" w:line="2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required by the Dodd-Frank Wall Street Reform and Consumer Protection Act, the SEC adopted a rule requiring companies to disclose the ratio of the median employee’s total annual compensation relative to total annual compensation of the CEO. The following section explains the methodology that we used, in accordance with the SEC rules, to identify the median employee and to calculate the 2018 ratio.</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How We Identified the Median Employee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UTC used the following parameters to identify the employee whose pay was at the median of all UTC employees globally.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Consistently Applied Compensation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measure we used to identify the median employee was gross cash compensation paid to employees from October 1, 2017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Gross cash compensation varies by country and is based on local pay practices, but generally includes:</w:t>
      </w:r>
    </w:p>
    <w:p>
      <w:pPr>
        <w:spacing w:after="0" w:line="212" w:lineRule="exact"/>
        <w:rPr>
          <w:sz w:val="20"/>
          <w:szCs w:val="20"/>
          <w:color w:val="auto"/>
        </w:rPr>
      </w:pPr>
    </w:p>
    <w:p>
      <w:pPr>
        <w:ind w:left="260" w:hanging="252"/>
        <w:spacing w:after="0"/>
        <w:tabs>
          <w:tab w:leader="none" w:pos="260" w:val="left"/>
        </w:tabs>
        <w:numPr>
          <w:ilvl w:val="0"/>
          <w:numId w:val="157"/>
        </w:numPr>
        <w:rPr>
          <w:rFonts w:ascii="Arial" w:cs="Arial" w:eastAsia="Arial" w:hAnsi="Arial"/>
          <w:sz w:val="17"/>
          <w:szCs w:val="17"/>
          <w:color w:val="FDB03F"/>
        </w:rPr>
      </w:pPr>
      <w:r>
        <w:rPr>
          <w:rFonts w:ascii="Arial" w:cs="Arial" w:eastAsia="Arial" w:hAnsi="Arial"/>
          <w:sz w:val="18"/>
          <w:szCs w:val="18"/>
          <w:color w:val="auto"/>
        </w:rPr>
        <w:t>Base salary (including any local allowances)</w:t>
      </w:r>
    </w:p>
    <w:p>
      <w:pPr>
        <w:spacing w:after="0" w:line="103" w:lineRule="exact"/>
        <w:rPr>
          <w:rFonts w:ascii="Arial" w:cs="Arial" w:eastAsia="Arial" w:hAnsi="Arial"/>
          <w:sz w:val="17"/>
          <w:szCs w:val="17"/>
          <w:color w:val="FDB03F"/>
        </w:rPr>
      </w:pPr>
    </w:p>
    <w:p>
      <w:pPr>
        <w:ind w:left="260" w:hanging="252"/>
        <w:spacing w:after="0"/>
        <w:tabs>
          <w:tab w:leader="none" w:pos="260" w:val="left"/>
        </w:tabs>
        <w:numPr>
          <w:ilvl w:val="0"/>
          <w:numId w:val="157"/>
        </w:numPr>
        <w:rPr>
          <w:rFonts w:ascii="Arial" w:cs="Arial" w:eastAsia="Arial" w:hAnsi="Arial"/>
          <w:sz w:val="17"/>
          <w:szCs w:val="17"/>
          <w:color w:val="FDB03F"/>
        </w:rPr>
      </w:pPr>
      <w:r>
        <w:rPr>
          <w:rFonts w:ascii="Arial" w:cs="Arial" w:eastAsia="Arial" w:hAnsi="Arial"/>
          <w:sz w:val="18"/>
          <w:szCs w:val="18"/>
          <w:color w:val="auto"/>
        </w:rPr>
        <w:t>Incentive pay (including cash bonuses, sales incentives and other variable pay programs)</w:t>
      </w:r>
    </w:p>
    <w:p>
      <w:pPr>
        <w:spacing w:after="0" w:line="87" w:lineRule="exact"/>
        <w:rPr>
          <w:rFonts w:ascii="Arial" w:cs="Arial" w:eastAsia="Arial" w:hAnsi="Arial"/>
          <w:sz w:val="17"/>
          <w:szCs w:val="17"/>
          <w:color w:val="FDB03F"/>
        </w:rPr>
      </w:pPr>
    </w:p>
    <w:p>
      <w:pPr>
        <w:ind w:left="260" w:hanging="252"/>
        <w:spacing w:after="0"/>
        <w:tabs>
          <w:tab w:leader="none" w:pos="260" w:val="left"/>
        </w:tabs>
        <w:numPr>
          <w:ilvl w:val="0"/>
          <w:numId w:val="157"/>
        </w:numPr>
        <w:rPr>
          <w:rFonts w:ascii="Arial" w:cs="Arial" w:eastAsia="Arial" w:hAnsi="Arial"/>
          <w:sz w:val="34"/>
          <w:szCs w:val="34"/>
          <w:color w:val="FDB03F"/>
          <w:vertAlign w:val="superscript"/>
        </w:rPr>
      </w:pPr>
      <w:r>
        <w:rPr>
          <w:rFonts w:ascii="Arial" w:cs="Arial" w:eastAsia="Arial" w:hAnsi="Arial"/>
          <w:sz w:val="18"/>
          <w:szCs w:val="18"/>
          <w:color w:val="auto"/>
        </w:rPr>
        <w:t>Any other cash awards or payments</w:t>
      </w:r>
      <w:r>
        <w:rPr>
          <w:rFonts w:ascii="Arial" w:cs="Arial" w:eastAsia="Arial" w:hAnsi="Arial"/>
          <w:sz w:val="29"/>
          <w:szCs w:val="29"/>
          <w:color w:val="auto"/>
          <w:vertAlign w:val="superscript"/>
        </w:rPr>
        <w:t>(1)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Employees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For the purposes of identifying the median employee, we included all active UTC employees (excluding the CEO) on October 1, 2018, located in the 40 countries in which UTC has operations. UTC’s employee population in these 40 countries represents 95% (or 202,584) of our 213,106 active employees on that date. As of October 1, 2018, our global population consisted of 69,410 U.S. employees and 143,696 non-U.S.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Employees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700"/>
        <w:spacing w:after="0" w:line="222" w:lineRule="auto"/>
        <w:rPr>
          <w:sz w:val="20"/>
          <w:szCs w:val="20"/>
          <w:color w:val="auto"/>
        </w:rPr>
      </w:pPr>
      <w:r>
        <w:rPr>
          <w:rFonts w:ascii="Arial" w:cs="Arial" w:eastAsia="Arial" w:hAnsi="Arial"/>
          <w:sz w:val="18"/>
          <w:szCs w:val="18"/>
          <w:color w:val="auto"/>
        </w:rPr>
        <w:t>We excluded 10,522 employees from 40 countries under the SEC’s de minimis exemption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an estimated 30,599 employees from 19 businesses acquired by UTC in 2018.</w:t>
      </w:r>
      <w:r>
        <w:rPr>
          <w:rFonts w:ascii="Arial" w:cs="Arial" w:eastAsia="Arial" w:hAnsi="Arial"/>
          <w:sz w:val="29"/>
          <w:szCs w:val="29"/>
          <w:color w:val="auto"/>
          <w:vertAlign w:val="superscript"/>
        </w:rPr>
        <w:t>(3)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Methodology and Material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0E93D8"/>
        </w:rPr>
        <w:t xml:space="preserve">Annualized pay. </w:t>
      </w:r>
      <w:r>
        <w:rPr>
          <w:rFonts w:ascii="Arial" w:cs="Arial" w:eastAsia="Arial" w:hAnsi="Arial"/>
          <w:sz w:val="18"/>
          <w:szCs w:val="18"/>
          <w:color w:val="000000"/>
        </w:rPr>
        <w:t>Pay was annualized for employees who worked a partial year between October 1, 2017 and September 30, 2018. Partial-year</w:t>
      </w:r>
      <w:r>
        <w:rPr>
          <w:rFonts w:ascii="Arial" w:cs="Arial" w:eastAsia="Arial" w:hAnsi="Arial"/>
          <w:sz w:val="18"/>
          <w:szCs w:val="18"/>
          <w:color w:val="0E93D8"/>
        </w:rPr>
        <w:t xml:space="preserve"> </w:t>
      </w:r>
      <w:r>
        <w:rPr>
          <w:rFonts w:ascii="Arial" w:cs="Arial" w:eastAsia="Arial" w:hAnsi="Arial"/>
          <w:sz w:val="18"/>
          <w:szCs w:val="18"/>
          <w:color w:val="000000"/>
        </w:rPr>
        <w:t>employees include mid-year hires, employees on paid or unpaid leave, and employees on active military duty.</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0E93D8"/>
        </w:rPr>
        <w:t xml:space="preserve">Foreign exchange rates. </w:t>
      </w:r>
      <w:r>
        <w:rPr>
          <w:rFonts w:ascii="Arial" w:cs="Arial" w:eastAsia="Arial" w:hAnsi="Arial"/>
          <w:sz w:val="18"/>
          <w:szCs w:val="18"/>
          <w:color w:val="000000"/>
        </w:rPr>
        <w:t>Foreign currencies were converted into U.S. dollars as of October 1, 2018, based on the average daily spot rates during</w:t>
      </w:r>
      <w:r>
        <w:rPr>
          <w:rFonts w:ascii="Arial" w:cs="Arial" w:eastAsia="Arial" w:hAnsi="Arial"/>
          <w:sz w:val="18"/>
          <w:szCs w:val="18"/>
          <w:color w:val="0E93D8"/>
        </w:rPr>
        <w:t xml:space="preserve"> </w:t>
      </w:r>
      <w:r>
        <w:rPr>
          <w:rFonts w:ascii="Arial" w:cs="Arial" w:eastAsia="Arial" w:hAnsi="Arial"/>
          <w:sz w:val="18"/>
          <w:szCs w:val="18"/>
          <w:color w:val="000000"/>
        </w:rPr>
        <w:t>September 2018.</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0E93D8"/>
        </w:rPr>
        <w:t xml:space="preserve">Unavailable data. </w:t>
      </w:r>
      <w:r>
        <w:rPr>
          <w:rFonts w:ascii="Arial" w:cs="Arial" w:eastAsia="Arial" w:hAnsi="Arial"/>
          <w:sz w:val="18"/>
          <w:szCs w:val="18"/>
          <w:color w:val="000000"/>
        </w:rPr>
        <w:t>In a few jurisdictions, sufficient employee-level compensation data was unavailable for the full period. This impacted 4,988 of our</w:t>
      </w:r>
      <w:r>
        <w:rPr>
          <w:rFonts w:ascii="Arial" w:cs="Arial" w:eastAsia="Arial" w:hAnsi="Arial"/>
          <w:sz w:val="18"/>
          <w:szCs w:val="18"/>
          <w:color w:val="0E93D8"/>
        </w:rPr>
        <w:t xml:space="preserve"> </w:t>
      </w:r>
      <w:r>
        <w:rPr>
          <w:rFonts w:ascii="Arial" w:cs="Arial" w:eastAsia="Arial" w:hAnsi="Arial"/>
          <w:sz w:val="18"/>
          <w:szCs w:val="18"/>
          <w:color w:val="000000"/>
        </w:rPr>
        <w:t>employees. In such cases, UTC used known data for these employees and annualized the full year or employment period. Sensitivity testing was then completed to ensure this population did not materially impact the outcome of the median employee.</w:t>
      </w:r>
    </w:p>
    <w:p>
      <w:pPr>
        <w:spacing w:after="0" w:line="204" w:lineRule="exact"/>
        <w:rPr>
          <w:sz w:val="20"/>
          <w:szCs w:val="20"/>
          <w:color w:val="auto"/>
        </w:rPr>
      </w:pPr>
    </w:p>
    <w:p>
      <w:pPr>
        <w:ind w:left="220" w:right="20" w:hanging="210"/>
        <w:spacing w:after="0" w:line="231" w:lineRule="auto"/>
        <w:tabs>
          <w:tab w:leader="none" w:pos="2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In some countries, due to differences in payroll systems and local laws and regulations, gains realized on the vesting and/or exercise of equity awards, as well as company contributions to government-sponsored benefit plans, may be included.</w:t>
      </w:r>
    </w:p>
    <w:p>
      <w:pPr>
        <w:spacing w:after="0" w:line="54" w:lineRule="exact"/>
        <w:rPr>
          <w:rFonts w:ascii="Arial" w:cs="Arial" w:eastAsia="Arial" w:hAnsi="Arial"/>
          <w:sz w:val="14"/>
          <w:szCs w:val="14"/>
          <w:color w:val="auto"/>
        </w:rPr>
      </w:pPr>
    </w:p>
    <w:p>
      <w:pPr>
        <w:ind w:left="220" w:right="80" w:hanging="210"/>
        <w:spacing w:after="0" w:line="272" w:lineRule="auto"/>
        <w:tabs>
          <w:tab w:leader="none" w:pos="2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The countries and approximate number of UTC employees excluded from the calculation are as follows: Argentina (117), Bahrain (105), Bosnia/Herzegovina (10), Botswana (7), Brunei (34), Bulgaria (48), Costa Rica (15), Cyprus (36), Egypt (273), El Salvador (13), Estonia (53), Fiji (3), Guatemala (44), Honduras (9), Hungary (710), Indonesia (790), Kazakhstan (27), Kenya (1), Latvia (15), Lebanon (1), Luxembourg (120), Malawi (3), Malaysia (1,126), Morocco (270), Mozambique (4), Namibia (6), Panama (53), Papua New Guinea (7), Philippines (2), Qatar (126), Romania (117), Russia (2,963), Serbia Montenegro (8), Slovakia (119), Slovenia (35), South Africa (428), Thailand (775), Turkey (1,485), Ukraine (377), and Vietnam (187).</w:t>
      </w:r>
    </w:p>
    <w:p>
      <w:pPr>
        <w:spacing w:after="0" w:line="36" w:lineRule="exact"/>
        <w:rPr>
          <w:rFonts w:ascii="Arial" w:cs="Arial" w:eastAsia="Arial" w:hAnsi="Arial"/>
          <w:sz w:val="12"/>
          <w:szCs w:val="12"/>
          <w:color w:val="auto"/>
        </w:rPr>
      </w:pPr>
    </w:p>
    <w:p>
      <w:pPr>
        <w:ind w:left="220" w:hanging="210"/>
        <w:spacing w:after="0"/>
        <w:tabs>
          <w:tab w:leader="none" w:pos="2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In accordance with the SEC’s rules, the following entities acquired in 2018 and the approximate number of employees from each entity that were excluded from the calculation are: ALFA</w:t>
      </w:r>
    </w:p>
    <w:p>
      <w:pPr>
        <w:spacing w:after="0" w:line="10" w:lineRule="exact"/>
        <w:rPr>
          <w:rFonts w:ascii="Arial" w:cs="Arial" w:eastAsia="Arial" w:hAnsi="Arial"/>
          <w:sz w:val="12"/>
          <w:szCs w:val="12"/>
          <w:color w:val="auto"/>
        </w:rPr>
      </w:pPr>
    </w:p>
    <w:p>
      <w:pPr>
        <w:ind w:left="220" w:right="280"/>
        <w:spacing w:after="0" w:line="231" w:lineRule="auto"/>
        <w:rPr>
          <w:rFonts w:ascii="Arial" w:cs="Arial" w:eastAsia="Arial" w:hAnsi="Arial"/>
          <w:sz w:val="12"/>
          <w:szCs w:val="12"/>
          <w:color w:val="auto"/>
        </w:rPr>
      </w:pPr>
      <w:r>
        <w:rPr>
          <w:rFonts w:ascii="Arial" w:cs="Arial" w:eastAsia="Arial" w:hAnsi="Arial"/>
          <w:sz w:val="14"/>
          <w:szCs w:val="14"/>
          <w:color w:val="auto"/>
        </w:rPr>
        <w:t>(2), San Luca (6), CID (13), Coicaud (10), Goldbud (3), GunIift (4), Integra (14), Limarlift (23), LV3 (9), Mastro (7), Midtjysk Elektro (3), Mikro Systems (134), Rockwell Collins (30,205), Predikto (17), PUGLIA (1), S2 Security (132), Unilift (3), WICO Aufzüge (7), and Zedex (6).</w:t>
      </w:r>
    </w:p>
    <w:p>
      <w:pPr>
        <w:spacing w:after="0" w:line="226" w:lineRule="exact"/>
        <w:rPr>
          <w:sz w:val="20"/>
          <w:szCs w:val="20"/>
          <w:color w:val="auto"/>
        </w:rPr>
      </w:pPr>
    </w:p>
    <w:p>
      <w:pPr>
        <w:ind w:left="880" w:hanging="628"/>
        <w:spacing w:after="0"/>
        <w:tabs>
          <w:tab w:leader="none" w:pos="880" w:val="left"/>
        </w:tabs>
        <w:numPr>
          <w:ilvl w:val="0"/>
          <w:numId w:val="159"/>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146685</wp:posOffset>
            </wp:positionV>
            <wp:extent cx="797560" cy="1289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97560" cy="128905"/>
                    </a:xfrm>
                    <a:prstGeom prst="rect">
                      <a:avLst/>
                    </a:prstGeom>
                    <a:noFill/>
                  </pic:spPr>
                </pic:pic>
              </a:graphicData>
            </a:graphic>
          </wp:anchor>
        </w:drawing>
      </w:r>
    </w:p>
    <w:p>
      <w:pPr>
        <w:spacing w:after="0" w:line="221" w:lineRule="exact"/>
        <w:rPr>
          <w:sz w:val="20"/>
          <w:szCs w:val="20"/>
          <w:color w:val="auto"/>
        </w:rPr>
      </w:pPr>
    </w:p>
    <w:p>
      <w:pPr>
        <w:ind w:left="10280"/>
        <w:spacing w:after="0"/>
        <w:rPr>
          <w:sz w:val="20"/>
          <w:szCs w:val="20"/>
          <w:color w:val="auto"/>
        </w:rPr>
      </w:pPr>
      <w:r>
        <w:rPr>
          <w:rFonts w:ascii="Arial" w:cs="Arial" w:eastAsia="Arial" w:hAnsi="Arial"/>
          <w:sz w:val="14"/>
          <w:szCs w:val="14"/>
          <w:b w:val="1"/>
          <w:bCs w:val="1"/>
          <w:color w:val="FFFFFF"/>
        </w:rPr>
        <w:t>CEO PAY RATIO</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Calculating the Ratio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Summary Compensation Table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Once we identified the median employee using gross cash compensation as our compensation measure, we then calculated the 2018 total compensation for our CEO and the median employee for the full year using the same methodology required by the SEC for reporting in the Summary Compensation Table (see page 58 of this Proxy Statement). For the CEO and the median employee, the Summary Compensation Table values include employee fringe benefits, such as company contributions to healthcare and 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2018 total annual compensation value for Mr. Hayes was $18,418,315 and for UTC’s global median employee was $71,799, resulting in a ratio of 257:1.</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With approximately 67% of our employees located outside the United States, UTC has operations in nearly every country in the world. We believe paying competitive wages targeted at the median of local labor markets within our diverse industry segments is essential to ensuring a productive, engaged workforce and a sustainable business. Consequently, a global ratio may not be particularly informative without any context for foreign labor markets and the diversity in the roles of UTC’s employees around the world.</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Comparing UTC’s Ratio to Other Companies</w:t>
      </w:r>
    </w:p>
    <w:p>
      <w:pPr>
        <w:spacing w:after="0" w:line="2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number of factors unrelated to compensation significantly impact this calculation and are particularly important when comparing UTC’s ratio to ratios at other companies. These factors include: industry-specific pay differentials, company and organizational structure (e.g., outsourcing versus insourcing), and the geographic location of employee populations.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71</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REPORT OF THE</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Audit Committee</w:t>
      </w:r>
    </w:p>
    <w:p>
      <w:pPr>
        <w:spacing w:after="0" w:line="2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assists the Board of Directors in its oversight responsibilities relating to: the integrity of UTC’s financial statements; the independence, qualifications and performance of UTC’s internal and external auditors; the Company’s compliance with its policies and procedures, internal controls, Code of Ethics and applicable laws and regulations; policies and procedures with respect to risk assessment and management; and such other responsibilities as delegated by the Board from time to time. The Committee’s specific responsibilities and duties are set forth in the Audit Committee Charter adopted by the Board, which is available on the Company’s website.</w:t>
      </w:r>
    </w:p>
    <w:p>
      <w:pPr>
        <w:spacing w:after="0" w:line="21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Management has the primary responsibility for the financial statements and the financial reporting processes, including the system of internal accounting controls. PricewaterhouseCoopers LLP (“PwC”), the Company’s Independent Auditor, is responsible for expressing an opinion on the conformity of the Company’s audited financial statements with generally accepted accounting principles and on the effectiveness of the Company’s internal control over financial reporting.</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performing its oversight responsibilities, the Committee has reviewed and discussed with Management and the Independent Auditor UTC’s audited financial statements for the year ended December 31, 2018, as well as the representations of management and the independent auditor’s opinion thereon regarding UTC’s internal control over financial reporting as required by Section 404 of the Sarbanes-Oxley Act. The Committee discussed with UTC’s internal and independent auditors the overall scope and plans for their respective audits. The Committee met with the internal and independent auditors, with and without Management present, to discuss the results of their examinations, the evaluation of UTC’s internal controls, management’s representations regarding internal control over financial reporting, and the overall quality of UTC’s financial reporting.</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The Committee has discussed with UTC’s independent auditor the matters required by the Public Company Accounting and Oversight Board’s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It has also discussed with UTC’s independent auditor its independence from UTC and its management, including the written disclosures and letter from UTC’s independent auditor required by the PCAOB’s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as approved by the SEC. The Committee has concluded that PwC’s provision of non-audit services as described in the table on page 73 is compatible with PwC’s independence.</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UTC’s Independent Auditor represented to the Committee that UTC’s audited financial statements were fairly presented in accordance with generally accepted accounting principles in the United States of America. Based on the reviews and discussions referred to above, the Committee has recommended to the Board of Directors that the audited financial statements be included in UTC’s Annual Report on Form 10-K for the year ended December 31, 2018 for filing with the SEC. The Committee nominates the firm of PricewaterhouseCoopers LLP for appointment by the shareowners as UTC’s Independent Auditor for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080" w:type="dxa"/>
            <w:vAlign w:val="bottom"/>
            <w:gridSpan w:val="2"/>
            <w:shd w:val="clear" w:color="auto" w:fill="0F94D8"/>
          </w:tcPr>
          <w:p>
            <w:pPr>
              <w:ind w:left="120"/>
              <w:spacing w:after="0"/>
              <w:rPr>
                <w:sz w:val="20"/>
                <w:szCs w:val="20"/>
                <w:color w:val="auto"/>
              </w:rPr>
            </w:pPr>
            <w:r>
              <w:rPr>
                <w:rFonts w:ascii="Arial" w:cs="Arial" w:eastAsia="Arial" w:hAnsi="Arial"/>
                <w:sz w:val="20"/>
                <w:szCs w:val="20"/>
                <w:b w:val="1"/>
                <w:bCs w:val="1"/>
                <w:color w:val="FDB03F"/>
              </w:rPr>
              <w:t>AUDIT COMMITTEE</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4060" w:type="dxa"/>
            <w:vAlign w:val="bottom"/>
            <w:gridSpan w:val="2"/>
            <w:vMerge w:val="restart"/>
          </w:tcPr>
          <w:p>
            <w:pPr>
              <w:ind w:left="140"/>
              <w:spacing w:after="0"/>
              <w:rPr>
                <w:sz w:val="20"/>
                <w:szCs w:val="20"/>
                <w:color w:val="auto"/>
              </w:rPr>
            </w:pPr>
            <w:r>
              <w:rPr>
                <w:rFonts w:ascii="Arial" w:cs="Arial" w:eastAsia="Arial" w:hAnsi="Arial"/>
                <w:sz w:val="20"/>
                <w:szCs w:val="20"/>
                <w:color w:val="auto"/>
              </w:rPr>
              <w:t>Fredric G. Reynolds, Chair</w:t>
            </w:r>
          </w:p>
        </w:tc>
        <w:tc>
          <w:tcPr>
            <w:tcW w:w="20" w:type="dxa"/>
            <w:vAlign w:val="bottom"/>
          </w:tcPr>
          <w:p>
            <w:pPr>
              <w:spacing w:after="0"/>
              <w:rPr>
                <w:sz w:val="5"/>
                <w:szCs w:val="5"/>
                <w:color w:val="auto"/>
              </w:rPr>
            </w:pPr>
          </w:p>
        </w:tc>
        <w:tc>
          <w:tcPr>
            <w:tcW w:w="3440" w:type="dxa"/>
            <w:vAlign w:val="bottom"/>
            <w:vMerge w:val="restart"/>
          </w:tcPr>
          <w:p>
            <w:pPr>
              <w:ind w:left="140"/>
              <w:spacing w:after="0"/>
              <w:rPr>
                <w:sz w:val="20"/>
                <w:szCs w:val="20"/>
                <w:color w:val="auto"/>
              </w:rPr>
            </w:pPr>
            <w:r>
              <w:rPr>
                <w:rFonts w:ascii="Arial" w:cs="Arial" w:eastAsia="Arial" w:hAnsi="Arial"/>
                <w:sz w:val="20"/>
                <w:szCs w:val="20"/>
                <w:color w:val="auto"/>
              </w:rPr>
              <w:t>Diane M. Bryant</w:t>
            </w:r>
          </w:p>
        </w:tc>
        <w:tc>
          <w:tcPr>
            <w:tcW w:w="20" w:type="dxa"/>
            <w:vAlign w:val="bottom"/>
          </w:tcPr>
          <w:p>
            <w:pPr>
              <w:spacing w:after="0"/>
              <w:rPr>
                <w:sz w:val="5"/>
                <w:szCs w:val="5"/>
                <w:color w:val="auto"/>
              </w:rPr>
            </w:pPr>
          </w:p>
        </w:tc>
        <w:tc>
          <w:tcPr>
            <w:tcW w:w="2080" w:type="dxa"/>
            <w:vAlign w:val="bottom"/>
            <w:vMerge w:val="restart"/>
          </w:tcPr>
          <w:p>
            <w:pPr>
              <w:ind w:left="120"/>
              <w:spacing w:after="0"/>
              <w:rPr>
                <w:sz w:val="20"/>
                <w:szCs w:val="20"/>
                <w:color w:val="auto"/>
              </w:rPr>
            </w:pPr>
            <w:r>
              <w:rPr>
                <w:rFonts w:ascii="Arial" w:cs="Arial" w:eastAsia="Arial" w:hAnsi="Arial"/>
                <w:sz w:val="20"/>
                <w:szCs w:val="20"/>
                <w:color w:val="auto"/>
                <w:w w:val="98"/>
              </w:rPr>
              <w:t>Margaret L. O’Sullivan</w:t>
            </w:r>
          </w:p>
        </w:tc>
        <w:tc>
          <w:tcPr>
            <w:tcW w:w="0" w:type="dxa"/>
            <w:vAlign w:val="bottom"/>
          </w:tcPr>
          <w:p>
            <w:pPr>
              <w:spacing w:after="0"/>
              <w:rPr>
                <w:sz w:val="1"/>
                <w:szCs w:val="1"/>
                <w:color w:val="auto"/>
              </w:rPr>
            </w:pPr>
          </w:p>
        </w:tc>
      </w:tr>
      <w:tr>
        <w:trPr>
          <w:trHeight w:val="261"/>
        </w:trPr>
        <w:tc>
          <w:tcPr>
            <w:tcW w:w="560" w:type="dxa"/>
            <w:vAlign w:val="bottom"/>
            <w:tcBorders>
              <w:right w:val="single" w:sz="8" w:color="FDB03F"/>
            </w:tcBorders>
          </w:tcPr>
          <w:p>
            <w:pPr>
              <w:spacing w:after="0"/>
              <w:rPr>
                <w:sz w:val="22"/>
                <w:szCs w:val="22"/>
                <w:color w:val="auto"/>
              </w:rPr>
            </w:pPr>
          </w:p>
        </w:tc>
        <w:tc>
          <w:tcPr>
            <w:tcW w:w="4060" w:type="dxa"/>
            <w:vAlign w:val="bottom"/>
            <w:gridSpan w:val="2"/>
            <w:vMerge w:val="continue"/>
          </w:tcPr>
          <w:p>
            <w:pPr>
              <w:spacing w:after="0"/>
              <w:rPr>
                <w:sz w:val="22"/>
                <w:szCs w:val="22"/>
                <w:color w:val="auto"/>
              </w:rPr>
            </w:pPr>
          </w:p>
        </w:tc>
        <w:tc>
          <w:tcPr>
            <w:tcW w:w="20" w:type="dxa"/>
            <w:vAlign w:val="bottom"/>
            <w:shd w:val="clear" w:color="auto" w:fill="FDB03F"/>
          </w:tcPr>
          <w:p>
            <w:pPr>
              <w:spacing w:after="0"/>
              <w:rPr>
                <w:sz w:val="22"/>
                <w:szCs w:val="22"/>
                <w:color w:val="auto"/>
              </w:rPr>
            </w:pPr>
          </w:p>
        </w:tc>
        <w:tc>
          <w:tcPr>
            <w:tcW w:w="3440" w:type="dxa"/>
            <w:vAlign w:val="bottom"/>
            <w:vMerge w:val="continue"/>
          </w:tcPr>
          <w:p>
            <w:pPr>
              <w:spacing w:after="0"/>
              <w:rPr>
                <w:sz w:val="22"/>
                <w:szCs w:val="22"/>
                <w:color w:val="auto"/>
              </w:rPr>
            </w:pPr>
          </w:p>
        </w:tc>
        <w:tc>
          <w:tcPr>
            <w:tcW w:w="20" w:type="dxa"/>
            <w:vAlign w:val="bottom"/>
            <w:shd w:val="clear" w:color="auto" w:fill="FDB03F"/>
          </w:tcPr>
          <w:p>
            <w:pPr>
              <w:spacing w:after="0"/>
              <w:rPr>
                <w:sz w:val="22"/>
                <w:szCs w:val="22"/>
                <w:color w:val="auto"/>
              </w:rPr>
            </w:pPr>
          </w:p>
        </w:tc>
        <w:tc>
          <w:tcPr>
            <w:tcW w:w="2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 w:type="dxa"/>
            <w:vAlign w:val="bottom"/>
            <w:tcBorders>
              <w:right w:val="single" w:sz="8" w:color="FDB03F"/>
            </w:tcBorders>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0"/>
                <w:szCs w:val="20"/>
                <w:color w:val="auto"/>
              </w:rPr>
              <w:t>Lloyd J. Austin III</w:t>
            </w:r>
          </w:p>
        </w:tc>
        <w:tc>
          <w:tcPr>
            <w:tcW w:w="20" w:type="dxa"/>
            <w:vAlign w:val="bottom"/>
            <w:shd w:val="clear" w:color="auto" w:fill="FDB03F"/>
          </w:tcPr>
          <w:p>
            <w:pPr>
              <w:spacing w:after="0"/>
              <w:rPr>
                <w:sz w:val="24"/>
                <w:szCs w:val="24"/>
                <w:color w:val="auto"/>
              </w:rPr>
            </w:pPr>
          </w:p>
        </w:tc>
        <w:tc>
          <w:tcPr>
            <w:tcW w:w="3440" w:type="dxa"/>
            <w:vAlign w:val="bottom"/>
          </w:tcPr>
          <w:p>
            <w:pPr>
              <w:ind w:left="140"/>
              <w:spacing w:after="0"/>
              <w:rPr>
                <w:sz w:val="20"/>
                <w:szCs w:val="20"/>
                <w:color w:val="auto"/>
              </w:rPr>
            </w:pPr>
            <w:r>
              <w:rPr>
                <w:rFonts w:ascii="Arial" w:cs="Arial" w:eastAsia="Arial" w:hAnsi="Arial"/>
                <w:sz w:val="20"/>
                <w:szCs w:val="20"/>
                <w:color w:val="auto"/>
              </w:rPr>
              <w:t>Christopher J. Kearney</w:t>
            </w:r>
          </w:p>
        </w:tc>
        <w:tc>
          <w:tcPr>
            <w:tcW w:w="20" w:type="dxa"/>
            <w:vAlign w:val="bottom"/>
            <w:shd w:val="clear" w:color="auto" w:fill="FDB03F"/>
          </w:tcPr>
          <w:p>
            <w:pPr>
              <w:spacing w:after="0"/>
              <w:rPr>
                <w:sz w:val="24"/>
                <w:szCs w:val="24"/>
                <w:color w:val="auto"/>
              </w:rPr>
            </w:pPr>
          </w:p>
        </w:tc>
        <w:tc>
          <w:tcPr>
            <w:tcW w:w="2080" w:type="dxa"/>
            <w:vAlign w:val="bottom"/>
          </w:tcPr>
          <w:p>
            <w:pPr>
              <w:ind w:left="120"/>
              <w:spacing w:after="0"/>
              <w:rPr>
                <w:sz w:val="20"/>
                <w:szCs w:val="20"/>
                <w:color w:val="auto"/>
              </w:rPr>
            </w:pPr>
            <w:r>
              <w:rPr>
                <w:rFonts w:ascii="Arial" w:cs="Arial" w:eastAsia="Arial" w:hAnsi="Arial"/>
                <w:sz w:val="20"/>
                <w:szCs w:val="20"/>
                <w:color w:val="auto"/>
              </w:rPr>
              <w:t>Denise L. Ramos</w:t>
            </w:r>
          </w:p>
        </w:tc>
        <w:tc>
          <w:tcPr>
            <w:tcW w:w="0" w:type="dxa"/>
            <w:vAlign w:val="bottom"/>
          </w:tcPr>
          <w:p>
            <w:pPr>
              <w:spacing w:after="0"/>
              <w:rPr>
                <w:sz w:val="1"/>
                <w:szCs w:val="1"/>
                <w:color w:val="auto"/>
              </w:rPr>
            </w:pPr>
          </w:p>
        </w:tc>
      </w:tr>
      <w:tr>
        <w:trPr>
          <w:trHeight w:val="23"/>
        </w:trPr>
        <w:tc>
          <w:tcPr>
            <w:tcW w:w="560" w:type="dxa"/>
            <w:vAlign w:val="bottom"/>
            <w:tcBorders>
              <w:right w:val="single" w:sz="8" w:color="FDB03F"/>
            </w:tcBorders>
          </w:tcPr>
          <w:p>
            <w:pPr>
              <w:spacing w:after="0"/>
              <w:rPr>
                <w:sz w:val="2"/>
                <w:szCs w:val="2"/>
                <w:color w:val="auto"/>
              </w:rPr>
            </w:pPr>
          </w:p>
        </w:tc>
        <w:tc>
          <w:tcPr>
            <w:tcW w:w="1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shd w:val="clear" w:color="auto" w:fill="FDB03F"/>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shd w:val="clear" w:color="auto" w:fill="FDB03F"/>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248920" cy="3600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8920" cy="360045"/>
                    </a:xfrm>
                    <a:prstGeom prst="rect">
                      <a:avLst/>
                    </a:prstGeom>
                    <a:noFill/>
                  </pic:spPr>
                </pic:pic>
              </a:graphicData>
            </a:graphic>
          </wp:anchor>
        </w:drawing>
      </w:r>
    </w:p>
    <w:p>
      <w:pPr>
        <w:spacing w:after="0" w:line="218" w:lineRule="exact"/>
        <w:rPr>
          <w:sz w:val="20"/>
          <w:szCs w:val="20"/>
          <w:color w:val="auto"/>
        </w:rPr>
      </w:pPr>
    </w:p>
    <w:p>
      <w:pPr>
        <w:ind w:left="880" w:hanging="628"/>
        <w:spacing w:after="0"/>
        <w:tabs>
          <w:tab w:leader="none" w:pos="880" w:val="left"/>
        </w:tabs>
        <w:numPr>
          <w:ilvl w:val="0"/>
          <w:numId w:val="160"/>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5657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DB03F"/>
          <w:highlight w:val="white"/>
        </w:rPr>
        <w:t>PROPOSAL 3</w:t>
      </w:r>
    </w:p>
    <w:p>
      <w:pPr>
        <w:spacing w:after="0" w:line="310"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Appoint an Independent</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AUDITOR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2693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120"/>
        <w:spacing w:after="0"/>
        <w:rPr>
          <w:sz w:val="20"/>
          <w:szCs w:val="20"/>
          <w:color w:val="auto"/>
        </w:rPr>
      </w:pPr>
      <w:r>
        <w:rPr>
          <w:rFonts w:ascii="Arial" w:cs="Arial" w:eastAsia="Arial" w:hAnsi="Arial"/>
          <w:sz w:val="18"/>
          <w:szCs w:val="18"/>
          <w:color w:val="333333"/>
        </w:rPr>
        <w:t xml:space="preserve">As required by our Bylaws, we are asking shareowners to vote on a proposal </w:t>
      </w:r>
      <w:r>
        <w:rPr>
          <w:rFonts w:ascii="Arial" w:cs="Arial" w:eastAsia="Arial" w:hAnsi="Arial"/>
          <w:sz w:val="18"/>
          <w:szCs w:val="18"/>
          <w:b w:val="1"/>
          <w:bCs w:val="1"/>
          <w:color w:val="FEBF68"/>
        </w:rPr>
        <w:t>to appoint a firm of independent</w:t>
      </w:r>
      <w:r>
        <w:rPr>
          <w:rFonts w:ascii="Arial" w:cs="Arial" w:eastAsia="Arial" w:hAnsi="Arial"/>
          <w:sz w:val="18"/>
          <w:szCs w:val="18"/>
          <w:color w:val="333333"/>
        </w:rPr>
        <w:t xml:space="preserve"> </w:t>
      </w:r>
      <w:r>
        <w:rPr>
          <w:rFonts w:ascii="Arial" w:cs="Arial" w:eastAsia="Arial" w:hAnsi="Arial"/>
          <w:sz w:val="18"/>
          <w:szCs w:val="18"/>
          <w:b w:val="1"/>
          <w:bCs w:val="1"/>
          <w:color w:val="FEBF68"/>
        </w:rPr>
        <w:t xml:space="preserve">registered public accountants to serve as the Company’s Independent Auditor </w:t>
      </w:r>
      <w:r>
        <w:rPr>
          <w:rFonts w:ascii="Arial" w:cs="Arial" w:eastAsia="Arial" w:hAnsi="Arial"/>
          <w:sz w:val="18"/>
          <w:szCs w:val="18"/>
          <w:color w:val="333333"/>
        </w:rPr>
        <w:t>until the next annual meeting.</w:t>
      </w:r>
      <w:r>
        <w:rPr>
          <w:rFonts w:ascii="Arial" w:cs="Arial" w:eastAsia="Arial" w:hAnsi="Arial"/>
          <w:sz w:val="18"/>
          <w:szCs w:val="18"/>
          <w:b w:val="1"/>
          <w:bCs w:val="1"/>
          <w:color w:val="FEBF68"/>
        </w:rPr>
        <w:t xml:space="preserve"> </w:t>
      </w:r>
      <w:r>
        <w:rPr>
          <w:rFonts w:ascii="Arial" w:cs="Arial" w:eastAsia="Arial" w:hAnsi="Arial"/>
          <w:sz w:val="18"/>
          <w:szCs w:val="18"/>
          <w:color w:val="333333"/>
        </w:rPr>
        <w:t>PricewaterhouseCoopers LLP (“PwC”), an independent registered public accounting firm, served as UTC’s Independent Auditor in 2018 and the Audit Committee has nominated, and the Board of Directors has approved, the firm for appointment by the shareowners to serve again as UTC’s Independent Auditor for 2019 until the next Annual Meeting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192405</wp:posOffset>
            </wp:positionV>
            <wp:extent cx="5900420" cy="603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900420" cy="6032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Frequently Asked Questions About the Auditor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Is the Auditor Reviewed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Audit Committee is directly responsible for the nomination, compensation, retention and oversight of the Company’s Independent Auditor. To fulfill this responsibility, the Committee engages in a comprehensive annual evaluation of the Independent Auditor’s qualifications, performance and independence, and periodically considers the advisability and potential impact of selecting a different independent registered public accounting firm to serve in that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Is the Audit Partner Rotated?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accordance with SEC rules and PwC policies, audit partners are subject to rotation requirements that limit the number of consecutive years an individual partner may provide service to our Company. For lead and concurring audit partners, the maximum number of consecutive years of service in that capacity is five years. The selection process for the lead audit partner pursuant to this rotation policy includes a meeting between the Chair of the Audit Committee and the candidate for the role as well as consideration of the candidate by the full Committee and with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Will the Auditor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Representatives of PwC will attend the 2019 Annual Meeting. The representatives will have an opportunity to make any statements and will be available to respond to appropriate questions from shareowners.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What Were the Auditor’s Fees in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6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1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E93D8"/>
              </w:rPr>
              <w:t>Audit</w:t>
            </w:r>
          </w:p>
        </w:tc>
        <w:tc>
          <w:tcPr>
            <w:tcW w:w="1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E93D8"/>
              </w:rPr>
              <w:t>Audit-Related</w:t>
            </w:r>
          </w:p>
        </w:tc>
        <w:tc>
          <w:tcPr>
            <w:tcW w:w="1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E93D8"/>
              </w:rPr>
              <w:t>Tax</w:t>
            </w:r>
          </w:p>
        </w:tc>
        <w:tc>
          <w:tcPr>
            <w:tcW w:w="1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E93D8"/>
              </w:rPr>
              <w:t>All Other Fees</w:t>
            </w:r>
          </w:p>
        </w:tc>
        <w:tc>
          <w:tcPr>
            <w:tcW w:w="1820" w:type="dxa"/>
            <w:vAlign w:val="bottom"/>
          </w:tcPr>
          <w:p>
            <w:pPr>
              <w:jc w:val="right"/>
              <w:ind w:right="12"/>
              <w:spacing w:after="0"/>
              <w:rPr>
                <w:sz w:val="20"/>
                <w:szCs w:val="20"/>
                <w:color w:val="auto"/>
              </w:rPr>
            </w:pPr>
            <w:r>
              <w:rPr>
                <w:rFonts w:ascii="Arial" w:cs="Arial" w:eastAsia="Arial" w:hAnsi="Arial"/>
                <w:sz w:val="14"/>
                <w:szCs w:val="14"/>
                <w:b w:val="1"/>
                <w:bCs w:val="1"/>
                <w:color w:val="0E93D8"/>
              </w:rPr>
              <w:t>Total</w:t>
            </w:r>
          </w:p>
        </w:tc>
      </w:tr>
      <w:tr>
        <w:trPr>
          <w:trHeight w:val="75"/>
        </w:trPr>
        <w:tc>
          <w:tcPr>
            <w:tcW w:w="1840" w:type="dxa"/>
            <w:vAlign w:val="bottom"/>
            <w:tcBorders>
              <w:bottom w:val="single" w:sz="8" w:color="DAE9F7"/>
            </w:tcBorders>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Borders>
              <w:bottom w:val="single" w:sz="8" w:color="DAE9F7"/>
            </w:tcBorders>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Borders>
              <w:bottom w:val="single" w:sz="8" w:color="DAE9F7"/>
            </w:tcBorders>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Borders>
              <w:bottom w:val="single" w:sz="8" w:color="DAE9F7"/>
            </w:tcBorders>
          </w:tcPr>
          <w:p>
            <w:pPr>
              <w:spacing w:after="0"/>
              <w:rPr>
                <w:sz w:val="6"/>
                <w:szCs w:val="6"/>
                <w:color w:val="auto"/>
              </w:rPr>
            </w:pPr>
          </w:p>
        </w:tc>
        <w:tc>
          <w:tcPr>
            <w:tcW w:w="100" w:type="dxa"/>
            <w:vAlign w:val="bottom"/>
          </w:tcPr>
          <w:p>
            <w:pPr>
              <w:spacing w:after="0"/>
              <w:rPr>
                <w:sz w:val="6"/>
                <w:szCs w:val="6"/>
                <w:color w:val="auto"/>
              </w:rPr>
            </w:pPr>
          </w:p>
        </w:tc>
        <w:tc>
          <w:tcPr>
            <w:tcW w:w="1820" w:type="dxa"/>
            <w:vAlign w:val="bottom"/>
            <w:tcBorders>
              <w:bottom w:val="single" w:sz="8" w:color="DAE9F7"/>
            </w:tcBorders>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Borders>
              <w:bottom w:val="single" w:sz="8" w:color="0D92D8"/>
            </w:tcBorders>
          </w:tcPr>
          <w:p>
            <w:pPr>
              <w:spacing w:after="0"/>
              <w:rPr>
                <w:sz w:val="6"/>
                <w:szCs w:val="6"/>
                <w:color w:val="auto"/>
              </w:rPr>
            </w:pPr>
          </w:p>
        </w:tc>
      </w:tr>
      <w:tr>
        <w:trPr>
          <w:trHeight w:val="202"/>
        </w:trPr>
        <w:tc>
          <w:tcPr>
            <w:tcW w:w="1840" w:type="dxa"/>
            <w:vAlign w:val="bottom"/>
          </w:tcPr>
          <w:p>
            <w:pPr>
              <w:ind w:left="8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$38,370</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$6,637</w:t>
            </w: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$17,000</w:t>
            </w:r>
          </w:p>
        </w:tc>
        <w:tc>
          <w:tcPr>
            <w:tcW w:w="100" w:type="dxa"/>
            <w:vAlign w:val="bottom"/>
          </w:tcPr>
          <w:p>
            <w:pPr>
              <w:spacing w:after="0"/>
              <w:rPr>
                <w:sz w:val="17"/>
                <w:szCs w:val="17"/>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4"/>
                <w:szCs w:val="14"/>
                <w:color w:val="auto"/>
              </w:rPr>
              <w:t>$1,320</w:t>
            </w:r>
          </w:p>
        </w:tc>
        <w:tc>
          <w:tcPr>
            <w:tcW w:w="1820" w:type="dxa"/>
            <w:vAlign w:val="bottom"/>
          </w:tcPr>
          <w:p>
            <w:pPr>
              <w:jc w:val="right"/>
              <w:ind w:right="12"/>
              <w:spacing w:after="0"/>
              <w:rPr>
                <w:sz w:val="20"/>
                <w:szCs w:val="20"/>
                <w:color w:val="auto"/>
              </w:rPr>
            </w:pPr>
            <w:r>
              <w:rPr>
                <w:rFonts w:ascii="Arial" w:cs="Arial" w:eastAsia="Arial" w:hAnsi="Arial"/>
                <w:sz w:val="14"/>
                <w:szCs w:val="14"/>
                <w:color w:val="auto"/>
              </w:rPr>
              <w:t>$63,327</w:t>
            </w:r>
          </w:p>
        </w:tc>
      </w:tr>
      <w:tr>
        <w:trPr>
          <w:trHeight w:val="41"/>
        </w:trPr>
        <w:tc>
          <w:tcPr>
            <w:tcW w:w="18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8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70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8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8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820" w:type="dxa"/>
            <w:vAlign w:val="bottom"/>
            <w:tcBorders>
              <w:bottom w:val="single" w:sz="8" w:color="7C7C7C"/>
            </w:tcBorders>
          </w:tcPr>
          <w:p>
            <w:pPr>
              <w:spacing w:after="0"/>
              <w:rPr>
                <w:sz w:val="3"/>
                <w:szCs w:val="3"/>
                <w:color w:val="auto"/>
              </w:rPr>
            </w:pPr>
          </w:p>
        </w:tc>
      </w:tr>
      <w:tr>
        <w:trPr>
          <w:trHeight w:val="196"/>
        </w:trPr>
        <w:tc>
          <w:tcPr>
            <w:tcW w:w="1840" w:type="dxa"/>
            <w:vAlign w:val="bottom"/>
          </w:tcPr>
          <w:p>
            <w:pPr>
              <w:ind w:left="8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$45,100</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$8,291</w:t>
            </w: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$20,826</w:t>
            </w:r>
          </w:p>
        </w:tc>
        <w:tc>
          <w:tcPr>
            <w:tcW w:w="100" w:type="dxa"/>
            <w:vAlign w:val="bottom"/>
          </w:tcPr>
          <w:p>
            <w:pPr>
              <w:spacing w:after="0"/>
              <w:rPr>
                <w:sz w:val="17"/>
                <w:szCs w:val="17"/>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4"/>
                <w:szCs w:val="14"/>
                <w:color w:val="auto"/>
              </w:rPr>
              <w:t>$418</w:t>
            </w:r>
          </w:p>
        </w:tc>
        <w:tc>
          <w:tcPr>
            <w:tcW w:w="1820" w:type="dxa"/>
            <w:vAlign w:val="bottom"/>
          </w:tcPr>
          <w:p>
            <w:pPr>
              <w:jc w:val="right"/>
              <w:ind w:right="12"/>
              <w:spacing w:after="0"/>
              <w:rPr>
                <w:sz w:val="20"/>
                <w:szCs w:val="20"/>
                <w:color w:val="auto"/>
              </w:rPr>
            </w:pPr>
            <w:r>
              <w:rPr>
                <w:rFonts w:ascii="Arial" w:cs="Arial" w:eastAsia="Arial" w:hAnsi="Arial"/>
                <w:sz w:val="14"/>
                <w:szCs w:val="14"/>
                <w:color w:val="auto"/>
              </w:rPr>
              <w:t>$74,635</w:t>
            </w:r>
          </w:p>
        </w:tc>
      </w:tr>
      <w:tr>
        <w:trPr>
          <w:trHeight w:val="41"/>
        </w:trPr>
        <w:tc>
          <w:tcPr>
            <w:tcW w:w="18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8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70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8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8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820" w:type="dxa"/>
            <w:vAlign w:val="bottom"/>
            <w:tcBorders>
              <w:bottom w:val="single" w:sz="8" w:color="7C7C7C"/>
            </w:tcBorders>
          </w:tcPr>
          <w:p>
            <w:pPr>
              <w:spacing w:after="0"/>
              <w:rPr>
                <w:sz w:val="3"/>
                <w:szCs w:val="3"/>
                <w:color w:val="auto"/>
              </w:rPr>
            </w:pPr>
          </w:p>
        </w:tc>
      </w:tr>
    </w:tbl>
    <w:p>
      <w:pPr>
        <w:spacing w:after="0" w:line="219" w:lineRule="exact"/>
        <w:rPr>
          <w:sz w:val="20"/>
          <w:szCs w:val="20"/>
          <w:color w:val="auto"/>
        </w:rPr>
      </w:pPr>
    </w:p>
    <w:p>
      <w:pPr>
        <w:spacing w:after="0" w:line="236" w:lineRule="auto"/>
        <w:rPr>
          <w:sz w:val="20"/>
          <w:szCs w:val="20"/>
          <w:color w:val="auto"/>
        </w:rPr>
      </w:pPr>
      <w:r>
        <w:rPr>
          <w:rFonts w:ascii="Arial" w:cs="Arial" w:eastAsia="Arial" w:hAnsi="Arial"/>
          <w:sz w:val="18"/>
          <w:szCs w:val="18"/>
          <w:color w:val="0E93D8"/>
        </w:rPr>
        <w:t xml:space="preserve">Audit Fees. </w:t>
      </w:r>
      <w:r>
        <w:rPr>
          <w:rFonts w:ascii="Arial" w:cs="Arial" w:eastAsia="Arial" w:hAnsi="Arial"/>
          <w:sz w:val="18"/>
          <w:szCs w:val="18"/>
          <w:color w:val="000000"/>
        </w:rPr>
        <w:t>Fees in both years consisted of fees for the audit of UTC’s consolidated annual financial statements and the effectiveness of its internal</w:t>
      </w:r>
      <w:r>
        <w:rPr>
          <w:rFonts w:ascii="Arial" w:cs="Arial" w:eastAsia="Arial" w:hAnsi="Arial"/>
          <w:sz w:val="18"/>
          <w:szCs w:val="18"/>
          <w:color w:val="0E93D8"/>
        </w:rPr>
        <w:t xml:space="preserve"> </w:t>
      </w:r>
      <w:r>
        <w:rPr>
          <w:rFonts w:ascii="Arial" w:cs="Arial" w:eastAsia="Arial" w:hAnsi="Arial"/>
          <w:sz w:val="18"/>
          <w:szCs w:val="18"/>
          <w:color w:val="000000"/>
        </w:rPr>
        <w:t>control over financial reporting, the review of interim financial statements in UTC’s quarterly reports on Form 10-Q and the performance of audits in accordance with statutory requirements. Audit fees for statutory audits were $16,900,000 in 2018 and $16,400,000 in 2017. In 2018, the Audit fees also included non-recurring fees for integrated and statutory audits related to the adoption of new accounting standards and integrated audit fees associated with the acquisition of Rockwell Collins.</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0E93D8"/>
        </w:rPr>
        <w:t xml:space="preserve">Audit-Related Fees. </w:t>
      </w:r>
      <w:r>
        <w:rPr>
          <w:rFonts w:ascii="Arial" w:cs="Arial" w:eastAsia="Arial" w:hAnsi="Arial"/>
          <w:sz w:val="18"/>
          <w:szCs w:val="18"/>
          <w:color w:val="000000"/>
        </w:rPr>
        <w:t>Fees in both years consisted of audit-related fees for financial and tax due diligence assistance related to acquisition and</w:t>
      </w:r>
      <w:r>
        <w:rPr>
          <w:rFonts w:ascii="Arial" w:cs="Arial" w:eastAsia="Arial" w:hAnsi="Arial"/>
          <w:sz w:val="18"/>
          <w:szCs w:val="18"/>
          <w:color w:val="0E93D8"/>
        </w:rPr>
        <w:t xml:space="preserve"> </w:t>
      </w:r>
      <w:r>
        <w:rPr>
          <w:rFonts w:ascii="Arial" w:cs="Arial" w:eastAsia="Arial" w:hAnsi="Arial"/>
          <w:sz w:val="18"/>
          <w:szCs w:val="18"/>
          <w:color w:val="000000"/>
        </w:rPr>
        <w:t>disposition activity, employee benefit plan audits, advice regarding the application of generally accepted accounting principles for proposed transactions, special reports pursuant to agreed-upon procedures, contractually required audits and compliance assessments. Audit-related fees in 2018 also included approximately $4,000,000 of fees associated with carve out audits for the divestment of certain businesses, of which approximately $850,000 of these fees were reimbursed by the acquirer of a divested business.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ind w:left="5160"/>
        <w:spacing w:after="0"/>
        <w:tabs>
          <w:tab w:leader="none" w:pos="10960" w:val="left"/>
        </w:tabs>
        <w:rPr>
          <w:sz w:val="20"/>
          <w:szCs w:val="20"/>
          <w:color w:val="auto"/>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r>
        <w:rPr>
          <w:sz w:val="20"/>
          <w:szCs w:val="20"/>
          <w:color w:val="auto"/>
        </w:rPr>
        <w:tab/>
      </w:r>
      <w:r>
        <w:rPr>
          <w:rFonts w:ascii="Arial" w:cs="Arial" w:eastAsia="Arial" w:hAnsi="Arial"/>
          <w:sz w:val="16"/>
          <w:szCs w:val="16"/>
          <w:b w:val="1"/>
          <w:bCs w:val="1"/>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-113030</wp:posOffset>
            </wp:positionV>
            <wp:extent cx="437515" cy="154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795905" cy="1289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795905" cy="128905"/>
                    </a:xfrm>
                    <a:prstGeom prst="rect">
                      <a:avLst/>
                    </a:prstGeom>
                    <a:noFill/>
                  </pic:spPr>
                </pic:pic>
              </a:graphicData>
            </a:graphic>
          </wp:anchor>
        </w:drawing>
      </w:r>
    </w:p>
    <w:p>
      <w:pPr>
        <w:spacing w:after="0" w:line="221"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4"/>
          <w:szCs w:val="14"/>
          <w:b w:val="1"/>
          <w:bCs w:val="1"/>
          <w:color w:val="0E93D8"/>
        </w:rPr>
        <w:t>PROPOSAL 3</w:t>
      </w:r>
      <w:r>
        <w:rPr>
          <w:sz w:val="20"/>
          <w:szCs w:val="20"/>
          <w:color w:val="auto"/>
        </w:rPr>
        <w:tab/>
      </w:r>
      <w:r>
        <w:rPr>
          <w:rFonts w:ascii="Arial" w:cs="Arial" w:eastAsia="Arial" w:hAnsi="Arial"/>
          <w:sz w:val="12"/>
          <w:szCs w:val="12"/>
          <w:b w:val="1"/>
          <w:bCs w:val="1"/>
          <w:color w:val="FFFFFF"/>
        </w:rPr>
        <w:t>APPOINT AN INDEPENDENT AUDITOR FOR 2019</w:t>
      </w:r>
    </w:p>
    <w:p>
      <w:pPr>
        <w:spacing w:after="0" w:line="25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0E93D8"/>
        </w:rPr>
        <w:t xml:space="preserve">Tax Fees. </w:t>
      </w:r>
      <w:r>
        <w:rPr>
          <w:rFonts w:ascii="Arial" w:cs="Arial" w:eastAsia="Arial" w:hAnsi="Arial"/>
          <w:sz w:val="18"/>
          <w:szCs w:val="18"/>
          <w:color w:val="000000"/>
        </w:rPr>
        <w:t>In 2018, tax fees consisted of approximately $9,846,000 for U.S. and non-U.S. tax compliance, related planning and assistance with tax</w:t>
      </w:r>
      <w:r>
        <w:rPr>
          <w:rFonts w:ascii="Arial" w:cs="Arial" w:eastAsia="Arial" w:hAnsi="Arial"/>
          <w:sz w:val="18"/>
          <w:szCs w:val="18"/>
          <w:color w:val="0E93D8"/>
        </w:rPr>
        <w:t xml:space="preserve"> </w:t>
      </w:r>
      <w:r>
        <w:rPr>
          <w:rFonts w:ascii="Arial" w:cs="Arial" w:eastAsia="Arial" w:hAnsi="Arial"/>
          <w:sz w:val="18"/>
          <w:szCs w:val="18"/>
          <w:color w:val="000000"/>
        </w:rPr>
        <w:t>refund claims and expatriate tax services, and approximately $10,980,000 for tax consulting and advisory services that included fees associated with the plan to separate UTC into three independent companies. In 2017, tax fees consisted of approximately $11,000,000 for U.S. and non-U.S. tax compliance, related planning and assistance with tax refund claims and expatriate tax services, and approximately $6,000,000 for tax consulting and advisory services.</w:t>
      </w:r>
    </w:p>
    <w:p>
      <w:pPr>
        <w:spacing w:after="0" w:line="21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0E93D8"/>
        </w:rPr>
        <w:t xml:space="preserve">All Other Fees. </w:t>
      </w:r>
      <w:r>
        <w:rPr>
          <w:rFonts w:ascii="Arial" w:cs="Arial" w:eastAsia="Arial" w:hAnsi="Arial"/>
          <w:sz w:val="18"/>
          <w:szCs w:val="18"/>
          <w:color w:val="000000"/>
        </w:rPr>
        <w:t>In 2018, all other fees primarily consisted of accounting research software, government compliance, and proxy consulting services.</w:t>
      </w:r>
      <w:r>
        <w:rPr>
          <w:rFonts w:ascii="Arial" w:cs="Arial" w:eastAsia="Arial" w:hAnsi="Arial"/>
          <w:sz w:val="18"/>
          <w:szCs w:val="18"/>
          <w:color w:val="0E93D8"/>
        </w:rPr>
        <w:t xml:space="preserve"> </w:t>
      </w:r>
      <w:r>
        <w:rPr>
          <w:rFonts w:ascii="Arial" w:cs="Arial" w:eastAsia="Arial" w:hAnsi="Arial"/>
          <w:sz w:val="18"/>
          <w:szCs w:val="18"/>
          <w:color w:val="000000"/>
        </w:rPr>
        <w:t>All other fees in 2017 primarily consisted of accounting research software, cybersecurity risk assessment, government compliance, and proxy consulting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Does the Committee Monitor and Control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has adopted procedures requiring its review and approval in advance of all particular engagements for services provided by UTC’s Independent Auditor. Consistent with applicable laws, the procedures permit limited amounts of services, other than audit, review or attest services, to be approved by one or more members of the Committee pursuant to authority delegated by the Committee, provided the Committee subsequently is informed of each particular service approved by delegation. All of the engagements and fees for 2018 and 2017 were approved by the Committee. The Committee reviews with PwC whether the non-audit services to be provided are compatible with maintaining the firm’s independence. The Board also has adopted the policy that in any year fees paid to the Independent Auditor for non-audit services shall not exceed the fees paid for audit and audit-related services. Non-audit services consist of those described above, as included in the tax fees and all other fees categories.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Why Should I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Through its review process, the Audit Committee determined that PwC has acquired extensive knowledge of the Company’s operations, performance and development through its previous service as the Company’s Independent Auditor. The Audit Committee and the Board of Directors believe that the continued retention of PwC as our Independent Auditor is in the best interest of the Company and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789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7893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40" w:right="380"/>
        <w:spacing w:after="0" w:line="261" w:lineRule="auto"/>
        <w:rPr>
          <w:sz w:val="20"/>
          <w:szCs w:val="20"/>
          <w:color w:val="auto"/>
        </w:rPr>
      </w:pPr>
      <w:r>
        <w:rPr>
          <w:rFonts w:ascii="Arial" w:cs="Arial" w:eastAsia="Arial" w:hAnsi="Arial"/>
          <w:sz w:val="22"/>
          <w:szCs w:val="22"/>
          <w:b w:val="1"/>
          <w:bCs w:val="1"/>
          <w:color w:val="FFFFFF"/>
        </w:rPr>
        <w:t>The Board of Directors recommends a vote FOR the appointment of PwC to serve as the Company’s Independent Auditor for 2019.</w:t>
      </w:r>
    </w:p>
    <w:p>
      <w:pPr>
        <w:spacing w:after="0" w:line="200" w:lineRule="exact"/>
        <w:rPr>
          <w:sz w:val="20"/>
          <w:szCs w:val="20"/>
          <w:color w:val="auto"/>
        </w:rPr>
      </w:pPr>
    </w:p>
    <w:p>
      <w:pPr>
        <w:spacing w:after="0" w:line="385" w:lineRule="exact"/>
        <w:rPr>
          <w:sz w:val="20"/>
          <w:szCs w:val="20"/>
          <w:color w:val="auto"/>
        </w:rPr>
      </w:pPr>
    </w:p>
    <w:p>
      <w:pPr>
        <w:ind w:left="880" w:hanging="628"/>
        <w:spacing w:after="0"/>
        <w:tabs>
          <w:tab w:leader="none" w:pos="880" w:val="left"/>
        </w:tabs>
        <w:numPr>
          <w:ilvl w:val="0"/>
          <w:numId w:val="161"/>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575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DB03F"/>
          <w:highlight w:val="white"/>
        </w:rPr>
        <w:t>PROPOSAL 4</w:t>
      </w:r>
    </w:p>
    <w:p>
      <w:pPr>
        <w:spacing w:after="0" w:line="297"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Approve an Amendment</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TO THE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2693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2120" w:right="640"/>
        <w:spacing w:after="0" w:line="249" w:lineRule="auto"/>
        <w:rPr>
          <w:sz w:val="20"/>
          <w:szCs w:val="20"/>
          <w:color w:val="auto"/>
        </w:rPr>
      </w:pPr>
      <w:r>
        <w:rPr>
          <w:rFonts w:ascii="Arial" w:cs="Arial" w:eastAsia="Arial" w:hAnsi="Arial"/>
          <w:sz w:val="18"/>
          <w:szCs w:val="18"/>
          <w:color w:val="auto"/>
        </w:rPr>
        <w:t xml:space="preserve">The Board unanimously recommends that shareowners </w:t>
      </w:r>
      <w:r>
        <w:rPr>
          <w:rFonts w:ascii="Arial" w:cs="Arial" w:eastAsia="Arial" w:hAnsi="Arial"/>
          <w:sz w:val="18"/>
          <w:szCs w:val="18"/>
          <w:b w:val="1"/>
          <w:bCs w:val="1"/>
          <w:color w:val="FDB03F"/>
        </w:rPr>
        <w:t>approve an amendment to the Company’s Restated</w:t>
      </w:r>
      <w:r>
        <w:rPr>
          <w:rFonts w:ascii="Arial" w:cs="Arial" w:eastAsia="Arial" w:hAnsi="Arial"/>
          <w:sz w:val="18"/>
          <w:szCs w:val="18"/>
          <w:color w:val="auto"/>
        </w:rPr>
        <w:t xml:space="preserve"> </w:t>
      </w:r>
      <w:r>
        <w:rPr>
          <w:rFonts w:ascii="Arial" w:cs="Arial" w:eastAsia="Arial" w:hAnsi="Arial"/>
          <w:sz w:val="18"/>
          <w:szCs w:val="18"/>
          <w:b w:val="1"/>
          <w:bCs w:val="1"/>
          <w:color w:val="FDB03F"/>
        </w:rPr>
        <w:t xml:space="preserve">Certificate of Incorporation to eliminate Article Ninth, </w:t>
      </w:r>
      <w:r>
        <w:rPr>
          <w:rFonts w:ascii="Arial" w:cs="Arial" w:eastAsia="Arial" w:hAnsi="Arial"/>
          <w:sz w:val="18"/>
          <w:szCs w:val="18"/>
          <w:color w:val="000000"/>
        </w:rPr>
        <w:t>which requires a supermajority voting standard for the</w:t>
      </w:r>
      <w:r>
        <w:rPr>
          <w:rFonts w:ascii="Arial" w:cs="Arial" w:eastAsia="Arial" w:hAnsi="Arial"/>
          <w:sz w:val="18"/>
          <w:szCs w:val="18"/>
          <w:b w:val="1"/>
          <w:bCs w:val="1"/>
          <w:color w:val="FDB03F"/>
        </w:rPr>
        <w:t xml:space="preserve"> </w:t>
      </w:r>
      <w:r>
        <w:rPr>
          <w:rFonts w:ascii="Arial" w:cs="Arial" w:eastAsia="Arial" w:hAnsi="Arial"/>
          <w:sz w:val="18"/>
          <w:szCs w:val="18"/>
          <w:color w:val="000000"/>
        </w:rPr>
        <w:t>approval of certain business combination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332105</wp:posOffset>
            </wp:positionV>
            <wp:extent cx="5900420" cy="1028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9004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Why Should I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7" w:lineRule="auto"/>
        <w:rPr>
          <w:sz w:val="20"/>
          <w:szCs w:val="20"/>
          <w:color w:val="auto"/>
        </w:rPr>
      </w:pPr>
      <w:r>
        <w:rPr>
          <w:rFonts w:ascii="Arial" w:cs="Arial" w:eastAsia="Arial" w:hAnsi="Arial"/>
          <w:sz w:val="18"/>
          <w:szCs w:val="18"/>
          <w:color w:val="0E93D8"/>
        </w:rPr>
        <w:t xml:space="preserve">Background on the Current Supermajority Requirement. </w:t>
      </w:r>
      <w:r>
        <w:rPr>
          <w:rFonts w:ascii="Arial" w:cs="Arial" w:eastAsia="Arial" w:hAnsi="Arial"/>
          <w:sz w:val="18"/>
          <w:szCs w:val="18"/>
          <w:color w:val="000000"/>
        </w:rPr>
        <w:t>Article Ninth of UTC’s Restated Certificate of Incorporation (“Certificate”) currently requires</w:t>
      </w:r>
      <w:r>
        <w:rPr>
          <w:rFonts w:ascii="Arial" w:cs="Arial" w:eastAsia="Arial" w:hAnsi="Arial"/>
          <w:sz w:val="18"/>
          <w:szCs w:val="18"/>
          <w:color w:val="0E93D8"/>
        </w:rPr>
        <w:t xml:space="preserve"> </w:t>
      </w:r>
      <w:r>
        <w:rPr>
          <w:rFonts w:ascii="Arial" w:cs="Arial" w:eastAsia="Arial" w:hAnsi="Arial"/>
          <w:sz w:val="18"/>
          <w:szCs w:val="18"/>
          <w:color w:val="000000"/>
        </w:rPr>
        <w:t>a vote of 80% of the Company’s outstanding shares to repeal Article Ninth or to approve certain business combinations with an interested party, which is a party that owns 10% or more of the Company’s outstanding common stock. Article Ninth is the only provision in the Company’s Certificate or Bylaws requiring a supermajority vote.</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Article Ninth was approved by the Company’s shareowners in 1983 to protect against a self-interested action by large shareowners by requiring broad shareowner consensus to make certain fundamental changes. While such protections can be beneficial to shareowners in certain instances, the Board believes that such provisions also can limit the ability of shareowners to effectively participate in corporate governance. The Board also is cognizant that shareowners generally oppose supermajority provisions such as the one in our Certificate. Indeed, when Management presented the same proposal for shareowner approval at the 2018 Annual Meeting, it received nearly a 99% favorable vote; but, notwithstanding the Company’s concerted efforts to increase turnout, the proposal still fell short because less than 80% of the outstanding shares voted in favor of repeal.</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0E93D8"/>
        </w:rPr>
        <w:t xml:space="preserve">Why We Now Propose to Eliminate This Requirement. </w:t>
      </w:r>
      <w:r>
        <w:rPr>
          <w:rFonts w:ascii="Arial" w:cs="Arial" w:eastAsia="Arial" w:hAnsi="Arial"/>
          <w:sz w:val="18"/>
          <w:szCs w:val="18"/>
          <w:color w:val="000000"/>
        </w:rPr>
        <w:t>The Committee carefully considered the input from shareowners – including the broad,</w:t>
      </w:r>
      <w:r>
        <w:rPr>
          <w:rFonts w:ascii="Arial" w:cs="Arial" w:eastAsia="Arial" w:hAnsi="Arial"/>
          <w:sz w:val="18"/>
          <w:szCs w:val="18"/>
          <w:color w:val="0E93D8"/>
        </w:rPr>
        <w:t xml:space="preserve"> </w:t>
      </w:r>
      <w:r>
        <w:rPr>
          <w:rFonts w:ascii="Arial" w:cs="Arial" w:eastAsia="Arial" w:hAnsi="Arial"/>
          <w:sz w:val="18"/>
          <w:szCs w:val="18"/>
          <w:color w:val="000000"/>
        </w:rPr>
        <w:t>albeit insufficient, support that the same proposal received at the 2018 Annual Meeting – as well as the advantages and disadvantages of maintaining the supermajority vote requirements in Article Ninth. In turn, the Committee recommended and the Board unanimously adopted a resolution on February 4, 2019, authorizing and declaring it advisable and in the best interests of the Company to amend the Certificate to eliminate the supermajority voting provisions contained in Article Ninth by deleting Article Ninth in its entirety, and recommended the submission of this amendment for shareowner approval again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What Happens If This Proposal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proposed amendment would delete the current Article Ninth from our Certificate of Incorporation. A copy of the proposed amendment, marked with strike-outs to show the deletions, is included in Appendix C on pages 89-91.</w:t>
      </w:r>
    </w:p>
    <w:p>
      <w:pPr>
        <w:spacing w:after="0" w:line="209"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If this proposal is approved, the amended Certificate would become effective upon the filing of a Certificate of Amendment with the State of Delaware, which the Company would file promptly following the shareowner vote. Thereafter, there will be no supermajority provisions in the Company’s Certificate or Bylaws and approval of any business combinations would be subject to the approval of the requisite number of shareowners required under the Delaware General Corporation Law (the “DGCL”). Any future amendments to the Certificate would require the approval of owners of a majority of the outstanding shares of common stock pursuant to Section 242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789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7893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040" w:right="740"/>
        <w:spacing w:after="0" w:line="261" w:lineRule="auto"/>
        <w:rPr>
          <w:sz w:val="20"/>
          <w:szCs w:val="20"/>
          <w:color w:val="auto"/>
        </w:rPr>
      </w:pPr>
      <w:r>
        <w:rPr>
          <w:rFonts w:ascii="Arial" w:cs="Arial" w:eastAsia="Arial" w:hAnsi="Arial"/>
          <w:sz w:val="22"/>
          <w:szCs w:val="22"/>
          <w:b w:val="1"/>
          <w:bCs w:val="1"/>
          <w:color w:val="FFFFFF"/>
        </w:rPr>
        <w:t>The Board of Directors recommends a vote FOR this proposal to amend the Company’s Restated Certificate of Incorporation.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tabs>
          <w:tab w:leader="none" w:pos="10960" w:val="left"/>
        </w:tabs>
        <w:rPr>
          <w:sz w:val="20"/>
          <w:szCs w:val="20"/>
          <w:color w:val="auto"/>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r>
        <w:rPr>
          <w:sz w:val="20"/>
          <w:szCs w:val="20"/>
          <w:color w:val="auto"/>
        </w:rPr>
        <w:tab/>
      </w:r>
      <w:r>
        <w:rPr>
          <w:rFonts w:ascii="Arial" w:cs="Arial" w:eastAsia="Arial" w:hAnsi="Arial"/>
          <w:sz w:val="16"/>
          <w:szCs w:val="16"/>
          <w:b w:val="1"/>
          <w:bCs w:val="1"/>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-113030</wp:posOffset>
            </wp:positionV>
            <wp:extent cx="437515"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575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FDB03F"/>
          <w:highlight w:val="white"/>
        </w:rPr>
        <w:t>PROPOSAL 5</w:t>
      </w:r>
    </w:p>
    <w:p>
      <w:pPr>
        <w:spacing w:after="0" w:line="297"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Ratify the 15% Special Meeting</w:t>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E93D8"/>
        </w:rPr>
        <w:t>OWNERSHIP THRESHOLD IN THE 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2693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120" w:right="100"/>
        <w:spacing w:after="0" w:line="264" w:lineRule="auto"/>
        <w:rPr>
          <w:sz w:val="20"/>
          <w:szCs w:val="20"/>
          <w:color w:val="auto"/>
        </w:rPr>
      </w:pPr>
      <w:r>
        <w:rPr>
          <w:rFonts w:ascii="Arial" w:cs="Arial" w:eastAsia="Arial" w:hAnsi="Arial"/>
          <w:sz w:val="18"/>
          <w:szCs w:val="18"/>
          <w:color w:val="auto"/>
        </w:rPr>
        <w:t xml:space="preserve">The Board unanimously recommends that shareowners </w:t>
      </w:r>
      <w:r>
        <w:rPr>
          <w:rFonts w:ascii="Arial" w:cs="Arial" w:eastAsia="Arial" w:hAnsi="Arial"/>
          <w:sz w:val="18"/>
          <w:szCs w:val="18"/>
          <w:b w:val="1"/>
          <w:bCs w:val="1"/>
          <w:color w:val="FDB03F"/>
        </w:rPr>
        <w:t>ratify the 15% special meeting ownership threshold in the</w:t>
      </w:r>
      <w:r>
        <w:rPr>
          <w:rFonts w:ascii="Arial" w:cs="Arial" w:eastAsia="Arial" w:hAnsi="Arial"/>
          <w:sz w:val="18"/>
          <w:szCs w:val="18"/>
          <w:color w:val="auto"/>
        </w:rPr>
        <w:t xml:space="preserve"> </w:t>
      </w:r>
      <w:r>
        <w:rPr>
          <w:rFonts w:ascii="Arial" w:cs="Arial" w:eastAsia="Arial" w:hAnsi="Arial"/>
          <w:sz w:val="18"/>
          <w:szCs w:val="18"/>
          <w:b w:val="1"/>
          <w:bCs w:val="1"/>
          <w:color w:val="FDB03F"/>
        </w:rPr>
        <w:t>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451485</wp:posOffset>
            </wp:positionV>
            <wp:extent cx="5900420" cy="431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9004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Why Should I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8" w:lineRule="auto"/>
        <w:rPr>
          <w:sz w:val="20"/>
          <w:szCs w:val="20"/>
          <w:color w:val="auto"/>
        </w:rPr>
      </w:pPr>
      <w:r>
        <w:rPr>
          <w:rFonts w:ascii="Arial" w:cs="Arial" w:eastAsia="Arial" w:hAnsi="Arial"/>
          <w:sz w:val="18"/>
          <w:szCs w:val="18"/>
          <w:color w:val="0E93D8"/>
        </w:rPr>
        <w:t xml:space="preserve">Background on Shareowners’ Right to Call a Special Meeting. </w:t>
      </w:r>
      <w:r>
        <w:rPr>
          <w:rFonts w:ascii="Arial" w:cs="Arial" w:eastAsia="Arial" w:hAnsi="Arial"/>
          <w:sz w:val="18"/>
          <w:szCs w:val="18"/>
          <w:color w:val="000000"/>
        </w:rPr>
        <w:t>In October 2017, the UTC Board proactively amended the Company’s Bylaws to</w:t>
      </w:r>
      <w:r>
        <w:rPr>
          <w:rFonts w:ascii="Arial" w:cs="Arial" w:eastAsia="Arial" w:hAnsi="Arial"/>
          <w:sz w:val="18"/>
          <w:szCs w:val="18"/>
          <w:color w:val="0E93D8"/>
        </w:rPr>
        <w:t xml:space="preserve"> </w:t>
      </w:r>
      <w:r>
        <w:rPr>
          <w:rFonts w:ascii="Arial" w:cs="Arial" w:eastAsia="Arial" w:hAnsi="Arial"/>
          <w:sz w:val="18"/>
          <w:szCs w:val="18"/>
          <w:color w:val="000000"/>
        </w:rPr>
        <w:t>provide that shareowners collectively owning at least 25% of the Company’s Common Stock may call a special meeting upon written request to the Secretary of the Corporation. The Bylaws previously did not provide for the right of shareowners to call a special meeting.</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UTC subsequently received a shareowner proposal, which was voted on at the 2018 Annual Meeting, to amend the Bylaws to reduce the threshold from 25% to 10%. The proposal received support from about 47% of the voted shares.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outcome of the vote prompted engagement with shareowners holding a significant portion of the Company’s outstanding Common Stock. The feedback was mixed. Some shareowners favored the 25% threshold, some favored a 10% threshold and others thought that, while the 25% threshold was too high, a 10% threshold was too low.</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Governance Committee then considered shareowner feedback, the 2018 shareowner vote, an analysis of voting outcomes on similar proposals at other companies, and benchmarking data of proxy peer companies. In October 2018, the Committee recommended — and the Board approved — an amendment to the Bylaws that reduced the threshold to 15% because it best reflected the range of feedback from shareowners regarding the appropriate ownership threshold for calling a special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Why Are We Asking Shareowners to Ratify the Reduced Ownership Threshold for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While the amendment to the Bylaws in October 2018 took effect immediately, the Board announced its intention in the Form 8-K that was filed with the SEC disclosing the change (and other matters) that the Company would seek shareowner ratification of the 15% ownership threshold at the 2019 Annual Meeting.</w:t>
      </w:r>
    </w:p>
    <w:p>
      <w:pPr>
        <w:spacing w:after="0" w:line="20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Board recommends that shareowners ratify the existing 15% threshold in the Bylaws. The Board will consider a vote in favor of the ratification as a vote to maintain the 15% ownership threshold. If the threshold provision is not ratified, the Board expects to engage with shareowners again and to consider what actions, if any, should be taken with regard to the special meeting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7886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40" w:right="140"/>
        <w:spacing w:after="0" w:line="246" w:lineRule="auto"/>
        <w:rPr>
          <w:sz w:val="20"/>
          <w:szCs w:val="20"/>
          <w:color w:val="auto"/>
        </w:rPr>
      </w:pPr>
      <w:r>
        <w:rPr>
          <w:rFonts w:ascii="Arial" w:cs="Arial" w:eastAsia="Arial" w:hAnsi="Arial"/>
          <w:sz w:val="22"/>
          <w:szCs w:val="22"/>
          <w:b w:val="1"/>
          <w:bCs w:val="1"/>
          <w:color w:val="FFFFFF"/>
        </w:rPr>
        <w:t>The Board of Directors recommends a vote FOR this proposal to ratify the 15% Special Meeting Ownership Threshold in the Company’s Bylaws.</w:t>
      </w:r>
    </w:p>
    <w:p>
      <w:pPr>
        <w:spacing w:after="0" w:line="200" w:lineRule="exact"/>
        <w:rPr>
          <w:sz w:val="20"/>
          <w:szCs w:val="20"/>
          <w:color w:val="auto"/>
        </w:rPr>
      </w:pPr>
    </w:p>
    <w:p>
      <w:pPr>
        <w:spacing w:after="0" w:line="279" w:lineRule="exact"/>
        <w:rPr>
          <w:sz w:val="20"/>
          <w:szCs w:val="20"/>
          <w:color w:val="auto"/>
        </w:rPr>
      </w:pPr>
    </w:p>
    <w:p>
      <w:pPr>
        <w:ind w:left="880" w:hanging="628"/>
        <w:spacing w:after="0"/>
        <w:tabs>
          <w:tab w:leader="none" w:pos="880" w:val="left"/>
        </w:tabs>
        <w:numPr>
          <w:ilvl w:val="0"/>
          <w:numId w:val="162"/>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FREQUENTLY ASKED QUESTIONS</w:t>
      </w:r>
    </w:p>
    <w:p>
      <w:pPr>
        <w:spacing w:after="0" w:line="256" w:lineRule="exact"/>
        <w:rPr>
          <w:sz w:val="20"/>
          <w:szCs w:val="20"/>
          <w:color w:val="auto"/>
        </w:rPr>
      </w:pPr>
    </w:p>
    <w:p>
      <w:pPr>
        <w:spacing w:after="0"/>
        <w:rPr>
          <w:sz w:val="20"/>
          <w:szCs w:val="20"/>
          <w:color w:val="auto"/>
        </w:rPr>
      </w:pPr>
      <w:r>
        <w:rPr>
          <w:rFonts w:ascii="Arial" w:cs="Arial" w:eastAsia="Arial" w:hAnsi="Arial"/>
          <w:sz w:val="46"/>
          <w:szCs w:val="46"/>
          <w:b w:val="1"/>
          <w:bCs w:val="1"/>
          <w:color w:val="0F94D8"/>
        </w:rPr>
        <w:t>About the Annual Meeting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FDB03F"/>
        </w:rPr>
        <w:t xml:space="preserve">Your vote </w:t>
      </w:r>
      <w:r>
        <w:rPr>
          <w:rFonts w:ascii="Arial" w:cs="Arial" w:eastAsia="Arial" w:hAnsi="Arial"/>
          <w:sz w:val="23"/>
          <w:szCs w:val="23"/>
          <w:color w:val="FFFFFF"/>
        </w:rPr>
        <w: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132205" cy="5829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32205" cy="582930"/>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3"/>
          <w:szCs w:val="23"/>
          <w:color w:val="FFFFFF"/>
        </w:rPr>
        <w:t>very important.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Why am I Being Provided with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591756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10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providing these proxy materials to you in connection with the solicitation by the Board of Directors of United Technologies Corporation of proxies to be voted at our 2019 Annual Meeting of Shareowners and at any postponed or reconvened meeting.</w:t>
      </w:r>
    </w:p>
    <w:p>
      <w:pPr>
        <w:spacing w:after="0" w:line="200" w:lineRule="exact"/>
        <w:rPr>
          <w:sz w:val="20"/>
          <w:szCs w:val="20"/>
          <w:color w:val="auto"/>
        </w:rPr>
      </w:pPr>
    </w:p>
    <w:p>
      <w:pPr>
        <w:sectPr>
          <w:pgSz w:w="11900" w:h="16838" w:orient="portrait"/>
          <w:cols w:equalWidth="0" w:num="2">
            <w:col w:w="1640" w:space="460"/>
            <w:col w:w="9320"/>
          </w:cols>
          <w:pgMar w:left="240" w:top="121"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Who Can Vote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All registered shareowners are entitled to vote at the Annual Meeting if you owned shares of UTC Common Stock at the close of business on February 28, 2019, which is referred to as the “record date.” A list of registered shareowners entitled to vote at the meeting will be available at UTC’s offices (see page 81 for the address) during the ten days prior to the meeting and at the meeting.</w:t>
      </w:r>
    </w:p>
    <w:p>
      <w:pPr>
        <w:spacing w:after="0" w:line="2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If, on the record date, you are a beneficial owner of shares held in street name and wish to vote in person at the Annual Meeting, then you must obtain a valid proxy from the bank, brokerage firm or other intermediary that holds your shares and present it to the Inspector of Election at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When and Where is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will hold our Annual Meeting on April 29, 2019, at 8:00 a.m. Eastern Time at the UTC Center for Intelligent Buildings, 13995 Pasteur Boulevard, Palm Beach Gardens, Florida 33418.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May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You or your authorized proxy may attend the Annual Meeting if you were a registered or beneficial shareowner of UTC Common Stock or if you owned shares through an employee savings plan at the close of business on February 28, 2019. Please see below about how to request a ticket to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Does the Company Have a Policy About Directors’ Attendance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does not have a written policy requiring that directors attend the Annual Meeting, but directors are encouraged to do so unless there is an unavoidable scheduling conflict. All directors at the time attended the 2018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How Do I Request a Ticket in Advance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request an admission ticket to the Annual Meeting, please contact our Corporate Secretary’s Office (see page 81 for contact information).</w:t>
      </w:r>
    </w:p>
    <w:p>
      <w:pPr>
        <w:spacing w:after="0"/>
        <w:rPr>
          <w:sz w:val="20"/>
          <w:szCs w:val="20"/>
          <w:color w:val="auto"/>
        </w:rPr>
      </w:pPr>
      <w:r>
        <w:rPr>
          <w:rFonts w:ascii="Arial" w:cs="Arial" w:eastAsia="Arial" w:hAnsi="Arial"/>
          <w:sz w:val="18"/>
          <w:szCs w:val="18"/>
          <w:color w:val="auto"/>
        </w:rPr>
        <w:t>Seating at the Annual Meeting is limited and requests for tickets will be processed in the order in which they are received.</w:t>
      </w:r>
    </w:p>
    <w:p>
      <w:pPr>
        <w:spacing w:after="0" w:line="212" w:lineRule="exact"/>
        <w:rPr>
          <w:sz w:val="20"/>
          <w:szCs w:val="20"/>
          <w:color w:val="auto"/>
        </w:rPr>
      </w:pPr>
    </w:p>
    <w:p>
      <w:pPr>
        <w:ind w:left="260" w:right="440" w:hanging="252"/>
        <w:spacing w:after="0" w:line="238" w:lineRule="auto"/>
        <w:tabs>
          <w:tab w:leader="none" w:pos="260" w:val="left"/>
        </w:tabs>
        <w:numPr>
          <w:ilvl w:val="0"/>
          <w:numId w:val="163"/>
        </w:numPr>
        <w:rPr>
          <w:rFonts w:ascii="Arial" w:cs="Arial" w:eastAsia="Arial" w:hAnsi="Arial"/>
          <w:sz w:val="17"/>
          <w:szCs w:val="17"/>
          <w:color w:val="FDB03F"/>
        </w:rPr>
      </w:pPr>
      <w:r>
        <w:rPr>
          <w:rFonts w:ascii="Arial" w:cs="Arial" w:eastAsia="Arial" w:hAnsi="Arial"/>
          <w:sz w:val="18"/>
          <w:szCs w:val="18"/>
          <w:color w:val="0F94D8"/>
        </w:rPr>
        <w:t xml:space="preserve">Beneficial Shareowners. </w:t>
      </w:r>
      <w:r>
        <w:rPr>
          <w:rFonts w:ascii="Arial" w:cs="Arial" w:eastAsia="Arial" w:hAnsi="Arial"/>
          <w:sz w:val="18"/>
          <w:szCs w:val="18"/>
          <w:color w:val="000000"/>
        </w:rPr>
        <w:t>If you own shares in street name through an account with a bank, brokerage firm or other intermediary, then send</w:t>
      </w:r>
      <w:r>
        <w:rPr>
          <w:rFonts w:ascii="Arial" w:cs="Arial" w:eastAsia="Arial" w:hAnsi="Arial"/>
          <w:sz w:val="18"/>
          <w:szCs w:val="18"/>
          <w:color w:val="0F94D8"/>
        </w:rPr>
        <w:t xml:space="preserve"> </w:t>
      </w:r>
      <w:r>
        <w:rPr>
          <w:rFonts w:ascii="Arial" w:cs="Arial" w:eastAsia="Arial" w:hAnsi="Arial"/>
          <w:sz w:val="18"/>
          <w:szCs w:val="18"/>
          <w:color w:val="000000"/>
        </w:rPr>
        <w:t>proof of your UTC share ownership as of the record date (for example, a brokerage firm account statement or a “legal proxy” from your intermediary) along with your ticket request. If you are not sure what proof to send, check with your intermediary.</w:t>
      </w:r>
    </w:p>
    <w:p>
      <w:pPr>
        <w:spacing w:after="0" w:line="99" w:lineRule="exact"/>
        <w:rPr>
          <w:rFonts w:ascii="Arial" w:cs="Arial" w:eastAsia="Arial" w:hAnsi="Arial"/>
          <w:sz w:val="17"/>
          <w:szCs w:val="17"/>
          <w:color w:val="FDB03F"/>
        </w:rPr>
      </w:pPr>
    </w:p>
    <w:p>
      <w:pPr>
        <w:ind w:left="260" w:right="320" w:hanging="252"/>
        <w:spacing w:after="0" w:line="238" w:lineRule="auto"/>
        <w:tabs>
          <w:tab w:leader="none" w:pos="260" w:val="left"/>
        </w:tabs>
        <w:numPr>
          <w:ilvl w:val="0"/>
          <w:numId w:val="163"/>
        </w:numPr>
        <w:rPr>
          <w:rFonts w:ascii="Arial" w:cs="Arial" w:eastAsia="Arial" w:hAnsi="Arial"/>
          <w:sz w:val="17"/>
          <w:szCs w:val="17"/>
          <w:color w:val="FDB03F"/>
        </w:rPr>
      </w:pPr>
      <w:r>
        <w:rPr>
          <w:rFonts w:ascii="Arial" w:cs="Arial" w:eastAsia="Arial" w:hAnsi="Arial"/>
          <w:sz w:val="18"/>
          <w:szCs w:val="18"/>
          <w:color w:val="0F94D8"/>
        </w:rPr>
        <w:t xml:space="preserve">Registered Shareowners. </w:t>
      </w:r>
      <w:r>
        <w:rPr>
          <w:rFonts w:ascii="Arial" w:cs="Arial" w:eastAsia="Arial" w:hAnsi="Arial"/>
          <w:sz w:val="18"/>
          <w:szCs w:val="18"/>
          <w:color w:val="000000"/>
        </w:rPr>
        <w:t>If your shares are registered in your name with UTC’s stock registrar and transfer agent, Computershare Trust</w:t>
      </w:r>
      <w:r>
        <w:rPr>
          <w:rFonts w:ascii="Arial" w:cs="Arial" w:eastAsia="Arial" w:hAnsi="Arial"/>
          <w:sz w:val="18"/>
          <w:szCs w:val="18"/>
          <w:color w:val="0F94D8"/>
        </w:rPr>
        <w:t xml:space="preserve"> </w:t>
      </w:r>
      <w:r>
        <w:rPr>
          <w:rFonts w:ascii="Arial" w:cs="Arial" w:eastAsia="Arial" w:hAnsi="Arial"/>
          <w:sz w:val="18"/>
          <w:szCs w:val="18"/>
          <w:color w:val="000000"/>
        </w:rPr>
        <w:t>Company, N.A. (“Computershare”), or if you own shares through an employee savings plan, no proof of ownership is required because UTC can verify your ownership.</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security reasons, be prepared to show a form of government-issued photo identification when presenting your ticket for admission to the meeting. If you forget to bring your ticket, you will be admitted only if you provide photo identification. If you do not request a ticket in advance, you will be admitted only if space is available and you provide photo identification and satisfactory evidence that you were a shareowner of Common Stock as of the record date.</w:t>
      </w:r>
    </w:p>
    <w:p>
      <w:pPr>
        <w:spacing w:after="0" w:line="20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you need special assistance at the meeting because of a disability, please contact our Corporate Secretary’s Office (see page 81 for contact information).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A0C8EC"/>
        </w:rPr>
        <w:t>We ask that shareowners request</w:t>
      </w:r>
    </w:p>
    <w:p>
      <w:pPr>
        <w:ind w:left="40"/>
        <w:spacing w:after="0"/>
        <w:rPr>
          <w:sz w:val="20"/>
          <w:szCs w:val="20"/>
          <w:color w:val="auto"/>
        </w:rPr>
      </w:pPr>
      <w:r>
        <w:rPr>
          <w:rFonts w:ascii="Arial" w:cs="Arial" w:eastAsia="Arial" w:hAnsi="Arial"/>
          <w:sz w:val="27"/>
          <w:szCs w:val="27"/>
          <w:b w:val="1"/>
          <w:bCs w:val="1"/>
          <w:color w:val="0F94D8"/>
        </w:rPr>
        <w:t>tickets in advance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76987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347" w:lineRule="exact"/>
        <w:rPr>
          <w:sz w:val="20"/>
          <w:szCs w:val="20"/>
          <w:color w:val="auto"/>
        </w:rPr>
      </w:pPr>
    </w:p>
    <w:p>
      <w:pPr>
        <w:ind w:left="5160"/>
        <w:spacing w:after="0"/>
        <w:tabs>
          <w:tab w:leader="none" w:pos="10960" w:val="left"/>
        </w:tabs>
        <w:rPr>
          <w:sz w:val="20"/>
          <w:szCs w:val="20"/>
          <w:color w:val="auto"/>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r>
        <w:rPr>
          <w:sz w:val="20"/>
          <w:szCs w:val="20"/>
          <w:color w:val="auto"/>
        </w:rPr>
        <w:tab/>
      </w:r>
      <w:r>
        <w:rPr>
          <w:rFonts w:ascii="Arial" w:cs="Arial" w:eastAsia="Arial" w:hAnsi="Arial"/>
          <w:sz w:val="16"/>
          <w:szCs w:val="16"/>
          <w:b w:val="1"/>
          <w:bCs w:val="1"/>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-113030</wp:posOffset>
            </wp:positionV>
            <wp:extent cx="437515" cy="154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889885" cy="1289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89885"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FREQUENTLY ASKED QUESTIONS ABOUT THE ANNUAL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What is the Quorum Requirement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Under the Company’s Bylaws, a quorum is required to transact business at the Annual Meeting. The holders of a majority of the outstanding shares of UTC Common Stock as of the record date, present either in person or by proxy and entitled to vote, will constitute a quorum. As of the record date, 862,332,297 shares of Common Stock were issued and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0E93D8"/>
        </w:rPr>
        <w:t>Registered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890" cy="19208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19208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132715</wp:posOffset>
            </wp:positionV>
            <wp:extent cx="8890" cy="19208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192087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132715</wp:posOffset>
            </wp:positionV>
            <wp:extent cx="8890" cy="1920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192087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688"/>
        </w:trPr>
        <w:tc>
          <w:tcPr>
            <w:tcW w:w="2740" w:type="dxa"/>
            <w:vAlign w:val="bottom"/>
            <w:tcBorders>
              <w:right w:val="single" w:sz="8" w:color="FDB03F"/>
            </w:tcBorders>
          </w:tcPr>
          <w:p>
            <w:pPr>
              <w:spacing w:after="0"/>
              <w:rPr>
                <w:sz w:val="20"/>
                <w:szCs w:val="20"/>
                <w:color w:val="auto"/>
              </w:rPr>
            </w:pPr>
            <w:r>
              <w:rPr>
                <w:rFonts w:ascii="Arial" w:cs="Arial" w:eastAsia="Arial" w:hAnsi="Arial"/>
                <w:sz w:val="14"/>
                <w:szCs w:val="14"/>
                <w:b w:val="1"/>
                <w:bCs w:val="1"/>
                <w:color w:val="0E93D8"/>
              </w:rPr>
              <w:t>VOTE ON THE INTERNET</w:t>
            </w:r>
          </w:p>
        </w:tc>
        <w:tc>
          <w:tcPr>
            <w:tcW w:w="2680" w:type="dxa"/>
            <w:vAlign w:val="bottom"/>
          </w:tcPr>
          <w:p>
            <w:pPr>
              <w:ind w:left="140"/>
              <w:spacing w:after="0"/>
              <w:rPr>
                <w:sz w:val="20"/>
                <w:szCs w:val="20"/>
                <w:color w:val="auto"/>
              </w:rPr>
            </w:pPr>
            <w:r>
              <w:rPr>
                <w:rFonts w:ascii="Arial" w:cs="Arial" w:eastAsia="Arial" w:hAnsi="Arial"/>
                <w:sz w:val="14"/>
                <w:szCs w:val="14"/>
                <w:b w:val="1"/>
                <w:bCs w:val="1"/>
                <w:color w:val="0E93D8"/>
              </w:rPr>
              <w:t>VOTE BY TELEPHONE</w:t>
            </w:r>
          </w:p>
        </w:tc>
      </w:tr>
      <w:tr>
        <w:trPr>
          <w:trHeight w:val="149"/>
        </w:trPr>
        <w:tc>
          <w:tcPr>
            <w:tcW w:w="274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i w:val="1"/>
                <w:iCs w:val="1"/>
                <w:color w:val="auto"/>
              </w:rPr>
              <w:t>You can vote online at:</w:t>
            </w:r>
          </w:p>
        </w:tc>
        <w:tc>
          <w:tcPr>
            <w:tcW w:w="26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In the United States or Canada, you can</w:t>
            </w:r>
          </w:p>
        </w:tc>
      </w:tr>
      <w:tr>
        <w:trPr>
          <w:trHeight w:val="149"/>
        </w:trPr>
        <w:tc>
          <w:tcPr>
            <w:tcW w:w="2740" w:type="dxa"/>
            <w:vAlign w:val="bottom"/>
            <w:tcBorders>
              <w:right w:val="single" w:sz="8" w:color="FDB03F"/>
            </w:tcBorders>
          </w:tcPr>
          <w:p>
            <w:pPr>
              <w:spacing w:after="0" w:line="149" w:lineRule="exact"/>
              <w:rPr>
                <w:sz w:val="20"/>
                <w:szCs w:val="20"/>
                <w:color w:val="auto"/>
              </w:rPr>
            </w:pPr>
            <w:r>
              <w:rPr>
                <w:rFonts w:ascii="Arial" w:cs="Arial" w:eastAsia="Arial" w:hAnsi="Arial"/>
                <w:sz w:val="14"/>
                <w:szCs w:val="14"/>
                <w:i w:val="1"/>
                <w:iCs w:val="1"/>
                <w:color w:val="0E93D8"/>
              </w:rPr>
              <w:t>www.proxyvote.com.</w:t>
            </w:r>
          </w:p>
        </w:tc>
        <w:tc>
          <w:tcPr>
            <w:tcW w:w="26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vote by telephone. Easy-to-follow voice</w:t>
            </w:r>
          </w:p>
        </w:tc>
      </w:tr>
      <w:tr>
        <w:trPr>
          <w:trHeight w:val="149"/>
        </w:trPr>
        <w:tc>
          <w:tcPr>
            <w:tcW w:w="2740" w:type="dxa"/>
            <w:vAlign w:val="bottom"/>
            <w:tcBorders>
              <w:right w:val="single" w:sz="8" w:color="FDB03F"/>
            </w:tcBorders>
          </w:tcPr>
          <w:p>
            <w:pPr>
              <w:spacing w:after="0"/>
              <w:rPr>
                <w:sz w:val="12"/>
                <w:szCs w:val="12"/>
                <w:color w:val="auto"/>
              </w:rPr>
            </w:pPr>
          </w:p>
        </w:tc>
        <w:tc>
          <w:tcPr>
            <w:tcW w:w="26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w w:val="95"/>
              </w:rPr>
              <w:t>prompts allow you to vote your shares and</w:t>
            </w:r>
          </w:p>
        </w:tc>
      </w:tr>
      <w:tr>
        <w:trPr>
          <w:trHeight w:val="149"/>
        </w:trPr>
        <w:tc>
          <w:tcPr>
            <w:tcW w:w="2740" w:type="dxa"/>
            <w:vAlign w:val="bottom"/>
            <w:tcBorders>
              <w:right w:val="single" w:sz="8" w:color="FDB03F"/>
            </w:tcBorders>
          </w:tcPr>
          <w:p>
            <w:pPr>
              <w:spacing w:after="0"/>
              <w:rPr>
                <w:sz w:val="12"/>
                <w:szCs w:val="12"/>
                <w:color w:val="auto"/>
              </w:rPr>
            </w:pPr>
          </w:p>
        </w:tc>
        <w:tc>
          <w:tcPr>
            <w:tcW w:w="26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confirm that your instructions have been</w:t>
            </w:r>
          </w:p>
        </w:tc>
      </w:tr>
      <w:tr>
        <w:trPr>
          <w:trHeight w:val="176"/>
        </w:trPr>
        <w:tc>
          <w:tcPr>
            <w:tcW w:w="2740" w:type="dxa"/>
            <w:vAlign w:val="bottom"/>
            <w:tcBorders>
              <w:right w:val="single" w:sz="8" w:color="FDB03F"/>
            </w:tcBorders>
          </w:tcPr>
          <w:p>
            <w:pPr>
              <w:spacing w:after="0"/>
              <w:rPr>
                <w:sz w:val="15"/>
                <w:szCs w:val="15"/>
                <w:color w:val="auto"/>
              </w:rPr>
            </w:pPr>
          </w:p>
        </w:tc>
        <w:tc>
          <w:tcPr>
            <w:tcW w:w="2680" w:type="dxa"/>
            <w:vAlign w:val="bottom"/>
          </w:tcPr>
          <w:p>
            <w:pPr>
              <w:ind w:left="140"/>
              <w:spacing w:after="0"/>
              <w:rPr>
                <w:sz w:val="20"/>
                <w:szCs w:val="20"/>
                <w:color w:val="auto"/>
              </w:rPr>
            </w:pPr>
            <w:r>
              <w:rPr>
                <w:rFonts w:ascii="Arial" w:cs="Arial" w:eastAsia="Arial" w:hAnsi="Arial"/>
                <w:sz w:val="14"/>
                <w:szCs w:val="14"/>
                <w:i w:val="1"/>
                <w:iCs w:val="1"/>
                <w:color w:val="auto"/>
              </w:rPr>
              <w:t>properly recorded.</w:t>
            </w:r>
          </w:p>
        </w:tc>
      </w:tr>
      <w:tr>
        <w:trPr>
          <w:trHeight w:val="460"/>
        </w:trPr>
        <w:tc>
          <w:tcPr>
            <w:tcW w:w="2740" w:type="dxa"/>
            <w:vAlign w:val="bottom"/>
            <w:tcBorders>
              <w:right w:val="single" w:sz="8" w:color="FDB03F"/>
            </w:tcBorders>
          </w:tcPr>
          <w:p>
            <w:pPr>
              <w:spacing w:after="0"/>
              <w:rPr>
                <w:sz w:val="24"/>
                <w:szCs w:val="24"/>
                <w:color w:val="auto"/>
              </w:rPr>
            </w:pPr>
          </w:p>
        </w:tc>
        <w:tc>
          <w:tcPr>
            <w:tcW w:w="2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-1217295</wp:posOffset>
            </wp:positionV>
            <wp:extent cx="428625" cy="3086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28625" cy="30861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-1217295</wp:posOffset>
            </wp:positionV>
            <wp:extent cx="163195" cy="3086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63195" cy="308610"/>
                    </a:xfrm>
                    <a:prstGeom prst="rect">
                      <a:avLst/>
                    </a:prstGeom>
                    <a:noFill/>
                  </pic:spPr>
                </pic:pic>
              </a:graphicData>
            </a:graphic>
          </wp:anchor>
        </w:drawing>
      </w:r>
    </w:p>
    <w:p>
      <w:pPr>
        <w:spacing w:after="0" w:line="33" w:lineRule="exact"/>
        <w:rPr>
          <w:sz w:val="20"/>
          <w:szCs w:val="20"/>
          <w:color w:val="auto"/>
        </w:rPr>
      </w:pPr>
    </w:p>
    <w:p>
      <w:pPr>
        <w:ind w:left="100" w:right="180"/>
        <w:spacing w:after="0" w:line="235" w:lineRule="auto"/>
        <w:rPr>
          <w:sz w:val="20"/>
          <w:szCs w:val="20"/>
          <w:color w:val="auto"/>
        </w:rPr>
      </w:pPr>
      <w:r>
        <w:rPr>
          <w:rFonts w:ascii="Arial" w:cs="Arial" w:eastAsia="Arial" w:hAnsi="Arial"/>
          <w:sz w:val="14"/>
          <w:szCs w:val="14"/>
          <w:i w:val="1"/>
          <w:iCs w:val="1"/>
          <w:color w:val="auto"/>
        </w:rPr>
        <w:t>Internet and telephone voting facilities will be available 24 hours a day until 11:59 p.m. Eastern Time on April 28, 2019 (except for participants in an employee savings plan, who must submit voting instructions earlier, as described on pages 78-79).</w:t>
      </w:r>
    </w:p>
    <w:p>
      <w:pPr>
        <w:spacing w:after="0" w:line="121" w:lineRule="exact"/>
        <w:rPr>
          <w:sz w:val="20"/>
          <w:szCs w:val="20"/>
          <w:color w:val="auto"/>
        </w:rPr>
      </w:pPr>
    </w:p>
    <w:p>
      <w:pPr>
        <w:ind w:left="100"/>
        <w:spacing w:after="0" w:line="235" w:lineRule="auto"/>
        <w:rPr>
          <w:sz w:val="20"/>
          <w:szCs w:val="20"/>
          <w:color w:val="auto"/>
        </w:rPr>
      </w:pPr>
      <w:r>
        <w:rPr>
          <w:rFonts w:ascii="Arial" w:cs="Arial" w:eastAsia="Arial" w:hAnsi="Arial"/>
          <w:sz w:val="14"/>
          <w:szCs w:val="14"/>
          <w:i w:val="1"/>
          <w:iCs w:val="1"/>
          <w:color w:val="auto"/>
        </w:rPr>
        <w:t>To authenticate your Internet or telephone vote, you will need to enter your confidential voter control number as shown on the voting materials you received. If you vote online or by telephone, you do not need to return a proxy card or voting instruction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480060" cy="3003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80060" cy="300355"/>
                    </a:xfrm>
                    <a:prstGeom prst="rect">
                      <a:avLst/>
                    </a:prstGeom>
                    <a:noFill/>
                  </pic:spPr>
                </pic:pic>
              </a:graphicData>
            </a:graphic>
          </wp:anchor>
        </w:drawing>
      </w:r>
    </w:p>
    <w:p>
      <w:pPr>
        <w:spacing w:after="0" w:line="266" w:lineRule="auto"/>
        <w:rPr>
          <w:sz w:val="20"/>
          <w:szCs w:val="20"/>
          <w:color w:val="auto"/>
        </w:rPr>
      </w:pPr>
      <w:r>
        <w:rPr>
          <w:rFonts w:ascii="Arial" w:cs="Arial" w:eastAsia="Arial" w:hAnsi="Arial"/>
          <w:sz w:val="12"/>
          <w:szCs w:val="12"/>
          <w:i w:val="1"/>
          <w:iCs w:val="1"/>
          <w:color w:val="auto"/>
        </w:rPr>
        <w:t>You can mail the proxy card or voting instruction form enclosed with your printed proxy materials. Mark, sign and date your proxy card or voting instruction form and return it in the prepaid envelope we have provided, or in an envelope addressed to:</w:t>
      </w:r>
    </w:p>
    <w:p>
      <w:pPr>
        <w:spacing w:after="0" w:line="351"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i w:val="1"/>
          <w:iCs w:val="1"/>
          <w:color w:val="auto"/>
        </w:rPr>
        <w:t>Vote Processing, c/o Broadridge Financial Solutions 51 Mercedes Way Edgewood, NY 11717</w:t>
      </w:r>
    </w:p>
    <w:p>
      <w:pPr>
        <w:spacing w:after="0" w:line="121"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i w:val="1"/>
          <w:iCs w:val="1"/>
          <w:color w:val="auto"/>
        </w:rPr>
        <w:t>Please allow sufficient time for delivery of your proxy card if you decide to vote by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0E93D8"/>
        </w:rPr>
        <w:t>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394335" cy="3003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94335" cy="300355"/>
                    </a:xfrm>
                    <a:prstGeom prst="rect">
                      <a:avLst/>
                    </a:prstGeom>
                    <a:noFill/>
                  </pic:spPr>
                </pic:pic>
              </a:graphicData>
            </a:graphic>
          </wp:anchor>
        </w:drawing>
      </w:r>
    </w:p>
    <w:p>
      <w:pPr>
        <w:ind w:right="140"/>
        <w:spacing w:after="0" w:line="279" w:lineRule="auto"/>
        <w:rPr>
          <w:sz w:val="20"/>
          <w:szCs w:val="20"/>
          <w:color w:val="auto"/>
        </w:rPr>
      </w:pPr>
      <w:r>
        <w:rPr>
          <w:rFonts w:ascii="Arial" w:cs="Arial" w:eastAsia="Arial" w:hAnsi="Arial"/>
          <w:sz w:val="12"/>
          <w:szCs w:val="12"/>
          <w:i w:val="1"/>
          <w:iCs w:val="1"/>
          <w:color w:val="auto"/>
        </w:rPr>
        <w:t>Most shareowners may vote by submitting a ballot in person at the Annual Meeting. See page 77 for more information.</w:t>
      </w:r>
    </w:p>
    <w:p>
      <w:pPr>
        <w:spacing w:after="0" w:line="99"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i w:val="1"/>
          <w:iCs w:val="1"/>
          <w:color w:val="auto"/>
        </w:rPr>
        <w:t>If you have already voted online, by telephone or by mail, your vote at the Annual Meeting will supersede your earlier vote.</w:t>
      </w:r>
    </w:p>
    <w:p>
      <w:pPr>
        <w:spacing w:after="0" w:line="1336" w:lineRule="exact"/>
        <w:rPr>
          <w:sz w:val="20"/>
          <w:szCs w:val="20"/>
          <w:color w:val="auto"/>
        </w:rPr>
      </w:pPr>
    </w:p>
    <w:p>
      <w:pPr>
        <w:sectPr>
          <w:pgSz w:w="11900" w:h="16838" w:orient="portrait"/>
          <w:cols w:equalWidth="0" w:num="3">
            <w:col w:w="5600" w:space="280"/>
            <w:col w:w="2540" w:space="320"/>
            <w:col w:w="2660"/>
          </w:cols>
          <w:pgMar w:left="240" w:top="121" w:right="259" w:bottom="1440" w:gutter="0" w:footer="0" w:header="0"/>
          <w:type w:val="continuous"/>
        </w:sectPr>
      </w:pPr>
    </w:p>
    <w:p>
      <w:pPr>
        <w:spacing w:after="0" w:line="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0E93D8"/>
        </w:rPr>
        <w:t xml:space="preserve">Beneficial Shareowners. </w:t>
      </w:r>
      <w:r>
        <w:rPr>
          <w:rFonts w:ascii="Arial" w:cs="Arial" w:eastAsia="Arial" w:hAnsi="Arial"/>
          <w:sz w:val="18"/>
          <w:szCs w:val="18"/>
          <w:color w:val="000000"/>
        </w:rPr>
        <w:t>If you own shares in street name through an account with a bank, brokerage firm or other intermediary, then your</w:t>
      </w:r>
      <w:r>
        <w:rPr>
          <w:rFonts w:ascii="Arial" w:cs="Arial" w:eastAsia="Arial" w:hAnsi="Arial"/>
          <w:sz w:val="18"/>
          <w:szCs w:val="18"/>
          <w:color w:val="0E93D8"/>
        </w:rPr>
        <w:t xml:space="preserve"> </w:t>
      </w:r>
      <w:r>
        <w:rPr>
          <w:rFonts w:ascii="Arial" w:cs="Arial" w:eastAsia="Arial" w:hAnsi="Arial"/>
          <w:sz w:val="18"/>
          <w:szCs w:val="18"/>
          <w:color w:val="000000"/>
        </w:rPr>
        <w:t>intermediary will send you printed copies of the proxy materials or provide instructions on how to access proxy materials electronically. You are entitled to direct the intermediary how to vote your shares by following the voting instructions that the intermediary provides to you.</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0E93D8"/>
        </w:rPr>
        <w:t xml:space="preserve">Shares Held in a UTC Employee Savings Plan. </w:t>
      </w:r>
      <w:r>
        <w:rPr>
          <w:rFonts w:ascii="Arial" w:cs="Arial" w:eastAsia="Arial" w:hAnsi="Arial"/>
          <w:sz w:val="18"/>
          <w:szCs w:val="18"/>
          <w:color w:val="000000"/>
        </w:rPr>
        <w:t>You can direct the voting of your proportionate interest in shares of UTC Common Stock held by</w:t>
      </w:r>
      <w:r>
        <w:rPr>
          <w:rFonts w:ascii="Arial" w:cs="Arial" w:eastAsia="Arial" w:hAnsi="Arial"/>
          <w:sz w:val="18"/>
          <w:szCs w:val="18"/>
          <w:color w:val="0E93D8"/>
        </w:rPr>
        <w:t xml:space="preserve"> </w:t>
      </w:r>
      <w:r>
        <w:rPr>
          <w:rFonts w:ascii="Arial" w:cs="Arial" w:eastAsia="Arial" w:hAnsi="Arial"/>
          <w:sz w:val="18"/>
          <w:szCs w:val="18"/>
          <w:color w:val="000000"/>
        </w:rPr>
        <w:t>the ESOP Fund and the Common Stock Fund under a UTC employee savings plan by returning a voting instruction card or by providing voting instructions by the Internet or by telephone. If you do not provide voting instructions (or if your instructions are incomplete or unclear) as to one or more of the matters to be voted on, the savings plan trustee will vote your proportionate interest in shares held by the ESOP Fund for the voting choice that receives the greatest number of votes based on voting instructions received from ESOP Fund participants. Similarly, the trustee will vote your uninstructed proportionate interest in shares held by the Common Stock Fund for the voting choice that receives the greatest number of votes based on voting instructions received from the Common Stock Fund participants. For shares of Common Stock held in the ESOP Fund that are not allocated to participant accounts, the trustee will make the voting choice that receives the greatest number of votes from those ESOP Fund participants who have submitted voting instructions.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0E93D8"/>
        </w:rPr>
        <w:t xml:space="preserve">Shares Held in the Rockwell Collins Retirement Savings Plan. </w:t>
      </w:r>
      <w:r>
        <w:rPr>
          <w:rFonts w:ascii="Arial" w:cs="Arial" w:eastAsia="Arial" w:hAnsi="Arial"/>
          <w:sz w:val="18"/>
          <w:szCs w:val="18"/>
          <w:color w:val="000000"/>
        </w:rPr>
        <w:t>If shares of UTC Common Stock are attributable to your account under the Rockwell</w:t>
      </w:r>
      <w:r>
        <w:rPr>
          <w:rFonts w:ascii="Arial" w:cs="Arial" w:eastAsia="Arial" w:hAnsi="Arial"/>
          <w:sz w:val="18"/>
          <w:szCs w:val="18"/>
          <w:color w:val="0E93D8"/>
        </w:rPr>
        <w:t xml:space="preserve"> </w:t>
      </w:r>
      <w:r>
        <w:rPr>
          <w:rFonts w:ascii="Arial" w:cs="Arial" w:eastAsia="Arial" w:hAnsi="Arial"/>
          <w:sz w:val="18"/>
          <w:szCs w:val="18"/>
          <w:color w:val="000000"/>
        </w:rPr>
        <w:t>Collins Retirement Savings Plan, you may direct the plan trustee to vote such shares by returning a voting instruction card or by providing voting instructions by the Internet or by telephone. If you do not provide voting instructions, then the trustee will not vote the shares attributable to your account. The trustee will vote the shares of UTC Common Stock in the Plan that have not been credited to the participants’ accounts in the same proportion on each proposal that the participants’ credited and instructed shares have been voted.</w:t>
      </w:r>
    </w:p>
    <w:p>
      <w:pPr>
        <w:spacing w:after="0" w:line="203" w:lineRule="exact"/>
        <w:rPr>
          <w:sz w:val="20"/>
          <w:szCs w:val="20"/>
          <w:color w:val="auto"/>
        </w:rPr>
      </w:pPr>
    </w:p>
    <w:p>
      <w:pPr>
        <w:ind w:left="880" w:hanging="628"/>
        <w:spacing w:after="0"/>
        <w:tabs>
          <w:tab w:leader="none" w:pos="880" w:val="left"/>
        </w:tabs>
        <w:numPr>
          <w:ilvl w:val="0"/>
          <w:numId w:val="164"/>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146685</wp:posOffset>
            </wp:positionV>
            <wp:extent cx="2889885" cy="1289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89885" cy="128905"/>
                    </a:xfrm>
                    <a:prstGeom prst="rect">
                      <a:avLst/>
                    </a:prstGeom>
                    <a:noFill/>
                  </pic:spPr>
                </pic:pic>
              </a:graphicData>
            </a:graphic>
          </wp:anchor>
        </w:drawing>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2"/>
          <w:szCs w:val="12"/>
          <w:b w:val="1"/>
          <w:bCs w:val="1"/>
          <w:color w:val="FFFFFF"/>
        </w:rPr>
        <w:t>FREQUENTLY ASKED QUESTIONS ABOUT THE ANNUAL MEETING</w:t>
      </w:r>
    </w:p>
    <w:p>
      <w:pPr>
        <w:spacing w:after="0" w:line="27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0E93D8"/>
        </w:rPr>
        <w:t xml:space="preserve">Shares Held in the B/E Aerospace, Inc. Savings Plan. </w:t>
      </w:r>
      <w:r>
        <w:rPr>
          <w:rFonts w:ascii="Arial" w:cs="Arial" w:eastAsia="Arial" w:hAnsi="Arial"/>
          <w:sz w:val="18"/>
          <w:szCs w:val="18"/>
          <w:color w:val="000000"/>
        </w:rPr>
        <w:t>If shares of UTC Common Stock are attributable to your account under the B/E Aerospace,</w:t>
      </w:r>
      <w:r>
        <w:rPr>
          <w:rFonts w:ascii="Arial" w:cs="Arial" w:eastAsia="Arial" w:hAnsi="Arial"/>
          <w:sz w:val="18"/>
          <w:szCs w:val="18"/>
          <w:color w:val="0E93D8"/>
        </w:rPr>
        <w:t xml:space="preserve"> </w:t>
      </w:r>
      <w:r>
        <w:rPr>
          <w:rFonts w:ascii="Arial" w:cs="Arial" w:eastAsia="Arial" w:hAnsi="Arial"/>
          <w:sz w:val="18"/>
          <w:szCs w:val="18"/>
          <w:color w:val="000000"/>
        </w:rPr>
        <w:t>Inc. Savings Plan, you may direct the plan trustee to vote such shares by returning a voting instruction card or by providing voting instructions by the Internet or by telephone. If you do not timely provide voting instructions, then the trustee will vote the shares attributable to your account in the same proportion to the shares held in the Plan for which directions were timely received.</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0E93D8"/>
        </w:rPr>
        <w:t xml:space="preserve">Earlier Voting Deadline for Participants in an Employee Savings Plan. </w:t>
      </w:r>
      <w:r>
        <w:rPr>
          <w:rFonts w:ascii="Arial" w:cs="Arial" w:eastAsia="Arial" w:hAnsi="Arial"/>
          <w:sz w:val="18"/>
          <w:szCs w:val="18"/>
          <w:color w:val="000000"/>
        </w:rPr>
        <w:t>Broadridge Financial Solutions must receive your voting instructions by</w:t>
      </w:r>
      <w:r>
        <w:rPr>
          <w:rFonts w:ascii="Arial" w:cs="Arial" w:eastAsia="Arial" w:hAnsi="Arial"/>
          <w:sz w:val="18"/>
          <w:szCs w:val="18"/>
          <w:color w:val="0E93D8"/>
        </w:rPr>
        <w:t xml:space="preserve"> </w:t>
      </w:r>
      <w:r>
        <w:rPr>
          <w:rFonts w:ascii="Arial" w:cs="Arial" w:eastAsia="Arial" w:hAnsi="Arial"/>
          <w:sz w:val="18"/>
          <w:szCs w:val="18"/>
          <w:color w:val="000000"/>
        </w:rPr>
        <w:t>11:00 a.m. Eastern Time on April 25, 2019, so that it will have time to tabulate all voting instructions of participants and communicate those instructions to the trustees, who will vote the shares held by the savings plans. Because the trustees are designated to vote on your behalf, you will not be able to vote your shares held in a savings plan in person at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0E93D8"/>
        </w:rPr>
        <w:t xml:space="preserve">Changing Your Vote. </w:t>
      </w:r>
      <w:r>
        <w:rPr>
          <w:rFonts w:ascii="Arial" w:cs="Arial" w:eastAsia="Arial" w:hAnsi="Arial"/>
          <w:sz w:val="18"/>
          <w:szCs w:val="18"/>
          <w:color w:val="000000"/>
        </w:rPr>
        <w:t>If you are a registered shareowner: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890" cy="6000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600075"/>
                    </a:xfrm>
                    <a:prstGeom prst="rect">
                      <a:avLst/>
                    </a:prstGeom>
                    <a:noFill/>
                  </pic:spPr>
                </pic:pic>
              </a:graphicData>
            </a:graphic>
          </wp:anchor>
        </w:drawing>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219"/>
        </w:trPr>
        <w:tc>
          <w:tcPr>
            <w:tcW w:w="160" w:type="dxa"/>
            <w:vAlign w:val="bottom"/>
          </w:tcPr>
          <w:p>
            <w:pPr>
              <w:spacing w:after="0"/>
              <w:rPr>
                <w:sz w:val="20"/>
                <w:szCs w:val="20"/>
                <w:color w:val="auto"/>
              </w:rPr>
            </w:pPr>
            <w:r>
              <w:rPr>
                <w:rFonts w:ascii="Arial" w:cs="Arial" w:eastAsia="Arial" w:hAnsi="Arial"/>
                <w:sz w:val="17"/>
                <w:szCs w:val="17"/>
                <w:color w:val="FDB03F"/>
              </w:rPr>
              <w:t>●</w:t>
            </w:r>
          </w:p>
        </w:tc>
        <w:tc>
          <w:tcPr>
            <w:tcW w:w="5400" w:type="dxa"/>
            <w:vAlign w:val="bottom"/>
            <w:tcBorders>
              <w:right w:val="single" w:sz="8" w:color="FDB03F"/>
            </w:tcBorders>
          </w:tcPr>
          <w:p>
            <w:pPr>
              <w:ind w:left="80"/>
              <w:spacing w:after="0"/>
              <w:rPr>
                <w:sz w:val="20"/>
                <w:szCs w:val="20"/>
                <w:color w:val="auto"/>
              </w:rPr>
            </w:pPr>
            <w:r>
              <w:rPr>
                <w:rFonts w:ascii="Arial" w:cs="Arial" w:eastAsia="Arial" w:hAnsi="Arial"/>
                <w:sz w:val="18"/>
                <w:szCs w:val="18"/>
                <w:color w:val="auto"/>
              </w:rPr>
              <w:t>If you voted by telephone or the Internet, access the method you</w:t>
            </w:r>
          </w:p>
        </w:tc>
        <w:tc>
          <w:tcPr>
            <w:tcW w:w="320" w:type="dxa"/>
            <w:vAlign w:val="bottom"/>
          </w:tcPr>
          <w:p>
            <w:pPr>
              <w:ind w:left="160"/>
              <w:spacing w:after="0"/>
              <w:rPr>
                <w:sz w:val="20"/>
                <w:szCs w:val="20"/>
                <w:color w:val="auto"/>
              </w:rPr>
            </w:pPr>
            <w:r>
              <w:rPr>
                <w:rFonts w:ascii="Arial" w:cs="Arial" w:eastAsia="Arial" w:hAnsi="Arial"/>
                <w:sz w:val="17"/>
                <w:szCs w:val="17"/>
                <w:color w:val="FDB03F"/>
              </w:rPr>
              <w:t>●</w:t>
            </w:r>
          </w:p>
        </w:tc>
        <w:tc>
          <w:tcPr>
            <w:tcW w:w="4940" w:type="dxa"/>
            <w:vAlign w:val="bottom"/>
          </w:tcPr>
          <w:p>
            <w:pPr>
              <w:ind w:left="80"/>
              <w:spacing w:after="0"/>
              <w:rPr>
                <w:sz w:val="20"/>
                <w:szCs w:val="20"/>
                <w:color w:val="auto"/>
              </w:rPr>
            </w:pPr>
            <w:r>
              <w:rPr>
                <w:rFonts w:ascii="Arial" w:cs="Arial" w:eastAsia="Arial" w:hAnsi="Arial"/>
                <w:sz w:val="18"/>
                <w:szCs w:val="18"/>
                <w:color w:val="auto"/>
                <w:w w:val="96"/>
              </w:rPr>
              <w:t>Write to the UTC Corporate Secretary (see page 81 for contact</w:t>
            </w:r>
          </w:p>
        </w:tc>
      </w:tr>
      <w:tr>
        <w:trPr>
          <w:trHeight w:val="211"/>
        </w:trPr>
        <w:tc>
          <w:tcPr>
            <w:tcW w:w="160" w:type="dxa"/>
            <w:vAlign w:val="bottom"/>
          </w:tcPr>
          <w:p>
            <w:pPr>
              <w:spacing w:after="0"/>
              <w:rPr>
                <w:sz w:val="18"/>
                <w:szCs w:val="18"/>
                <w:color w:val="auto"/>
              </w:rPr>
            </w:pPr>
          </w:p>
        </w:tc>
        <w:tc>
          <w:tcPr>
            <w:tcW w:w="5400" w:type="dxa"/>
            <w:vAlign w:val="bottom"/>
            <w:tcBorders>
              <w:right w:val="single" w:sz="8" w:color="FDB03F"/>
            </w:tcBorders>
          </w:tcPr>
          <w:p>
            <w:pPr>
              <w:ind w:left="100"/>
              <w:spacing w:after="0"/>
              <w:rPr>
                <w:sz w:val="20"/>
                <w:szCs w:val="20"/>
                <w:color w:val="auto"/>
              </w:rPr>
            </w:pPr>
            <w:r>
              <w:rPr>
                <w:rFonts w:ascii="Arial" w:cs="Arial" w:eastAsia="Arial" w:hAnsi="Arial"/>
                <w:sz w:val="18"/>
                <w:szCs w:val="18"/>
                <w:color w:val="auto"/>
              </w:rPr>
              <w:t>used and follow the instructions given for revoking a proxy.</w:t>
            </w:r>
          </w:p>
        </w:tc>
        <w:tc>
          <w:tcPr>
            <w:tcW w:w="3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information) providing your name and account information.</w:t>
            </w:r>
          </w:p>
        </w:tc>
      </w:tr>
      <w:tr>
        <w:trPr>
          <w:trHeight w:val="311"/>
        </w:trPr>
        <w:tc>
          <w:tcPr>
            <w:tcW w:w="160" w:type="dxa"/>
            <w:vAlign w:val="bottom"/>
          </w:tcPr>
          <w:p>
            <w:pPr>
              <w:spacing w:after="0"/>
              <w:rPr>
                <w:sz w:val="20"/>
                <w:szCs w:val="20"/>
                <w:color w:val="auto"/>
              </w:rPr>
            </w:pPr>
            <w:r>
              <w:rPr>
                <w:rFonts w:ascii="Arial" w:cs="Arial" w:eastAsia="Arial" w:hAnsi="Arial"/>
                <w:sz w:val="17"/>
                <w:szCs w:val="17"/>
                <w:color w:val="FDB03F"/>
              </w:rPr>
              <w:t>●</w:t>
            </w:r>
          </w:p>
        </w:tc>
        <w:tc>
          <w:tcPr>
            <w:tcW w:w="5400" w:type="dxa"/>
            <w:vAlign w:val="bottom"/>
            <w:tcBorders>
              <w:right w:val="single" w:sz="8" w:color="FDB03F"/>
            </w:tcBorders>
          </w:tcPr>
          <w:p>
            <w:pPr>
              <w:ind w:left="80"/>
              <w:spacing w:after="0"/>
              <w:rPr>
                <w:sz w:val="20"/>
                <w:szCs w:val="20"/>
                <w:color w:val="auto"/>
              </w:rPr>
            </w:pPr>
            <w:r>
              <w:rPr>
                <w:rFonts w:ascii="Arial" w:cs="Arial" w:eastAsia="Arial" w:hAnsi="Arial"/>
                <w:sz w:val="18"/>
                <w:szCs w:val="18"/>
                <w:color w:val="auto"/>
              </w:rPr>
              <w:t>If you mailed a signed proxy card, mail a new proxy card with a</w:t>
            </w:r>
          </w:p>
        </w:tc>
        <w:tc>
          <w:tcPr>
            <w:tcW w:w="320" w:type="dxa"/>
            <w:vAlign w:val="bottom"/>
          </w:tcPr>
          <w:p>
            <w:pPr>
              <w:ind w:left="160"/>
              <w:spacing w:after="0"/>
              <w:rPr>
                <w:sz w:val="20"/>
                <w:szCs w:val="20"/>
                <w:color w:val="auto"/>
              </w:rPr>
            </w:pPr>
            <w:r>
              <w:rPr>
                <w:rFonts w:ascii="Arial" w:cs="Arial" w:eastAsia="Arial" w:hAnsi="Arial"/>
                <w:sz w:val="17"/>
                <w:szCs w:val="17"/>
                <w:color w:val="FDB03F"/>
              </w:rPr>
              <w:t>●</w:t>
            </w:r>
          </w:p>
        </w:tc>
        <w:tc>
          <w:tcPr>
            <w:tcW w:w="4940" w:type="dxa"/>
            <w:vAlign w:val="bottom"/>
          </w:tcPr>
          <w:p>
            <w:pPr>
              <w:ind w:left="80"/>
              <w:spacing w:after="0"/>
              <w:rPr>
                <w:sz w:val="20"/>
                <w:szCs w:val="20"/>
                <w:color w:val="auto"/>
              </w:rPr>
            </w:pPr>
            <w:r>
              <w:rPr>
                <w:rFonts w:ascii="Arial" w:cs="Arial" w:eastAsia="Arial" w:hAnsi="Arial"/>
                <w:sz w:val="18"/>
                <w:szCs w:val="18"/>
                <w:color w:val="auto"/>
              </w:rPr>
              <w:t>Vote in person at the Annual Meeting.</w:t>
            </w:r>
          </w:p>
        </w:tc>
      </w:tr>
      <w:tr>
        <w:trPr>
          <w:trHeight w:val="205"/>
        </w:trPr>
        <w:tc>
          <w:tcPr>
            <w:tcW w:w="160" w:type="dxa"/>
            <w:vAlign w:val="bottom"/>
          </w:tcPr>
          <w:p>
            <w:pPr>
              <w:spacing w:after="0"/>
              <w:rPr>
                <w:sz w:val="17"/>
                <w:szCs w:val="17"/>
                <w:color w:val="auto"/>
              </w:rPr>
            </w:pPr>
          </w:p>
        </w:tc>
        <w:tc>
          <w:tcPr>
            <w:tcW w:w="5400" w:type="dxa"/>
            <w:vAlign w:val="bottom"/>
            <w:tcBorders>
              <w:right w:val="single" w:sz="8" w:color="FDB03F"/>
            </w:tcBorders>
          </w:tcPr>
          <w:p>
            <w:pPr>
              <w:ind w:left="100"/>
              <w:spacing w:after="0" w:line="205" w:lineRule="exact"/>
              <w:rPr>
                <w:sz w:val="20"/>
                <w:szCs w:val="20"/>
                <w:color w:val="auto"/>
              </w:rPr>
            </w:pPr>
            <w:r>
              <w:rPr>
                <w:rFonts w:ascii="Arial" w:cs="Arial" w:eastAsia="Arial" w:hAnsi="Arial"/>
                <w:sz w:val="18"/>
                <w:szCs w:val="18"/>
                <w:color w:val="auto"/>
              </w:rPr>
              <w:t>later date (which will override your earlier proxy card).</w:t>
            </w:r>
          </w:p>
        </w:tc>
        <w:tc>
          <w:tcPr>
            <w:tcW w:w="320" w:type="dxa"/>
            <w:vAlign w:val="bottom"/>
          </w:tcPr>
          <w:p>
            <w:pPr>
              <w:spacing w:after="0"/>
              <w:rPr>
                <w:sz w:val="17"/>
                <w:szCs w:val="17"/>
                <w:color w:val="auto"/>
              </w:rPr>
            </w:pPr>
          </w:p>
        </w:tc>
        <w:tc>
          <w:tcPr>
            <w:tcW w:w="4940" w:type="dxa"/>
            <w:vAlign w:val="bottom"/>
          </w:tcPr>
          <w:p>
            <w:pPr>
              <w:spacing w:after="0"/>
              <w:rPr>
                <w:sz w:val="17"/>
                <w:szCs w:val="17"/>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you are a beneficial shareowner, ask your bank, brokerage firm or other intermediary about how to revoke or change your voting instructions.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Each share of UTC Common Stock is entitled to one vote. Your shares will be voted in accordance with your instructions. In addition, if you have returned a signed proxy card or submitted voting instructions by telephone or the Internet, the proxy holders will have, and intend to exercise, discretion to vote your shares (other than shares held in a UTC employee savings plan) in accordance with their best judgment on any matters not identified in this Proxy Statement that are brought to a vote at the Annual Meeting. We do not know of any such additional matters at this time, however.</w:t>
      </w:r>
    </w:p>
    <w:p>
      <w:pPr>
        <w:spacing w:after="0" w:line="2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your shares are registered in your name and you sign and return a proxy card or vote by telephone or the Internet but do not give voting instructions on a particular matter, the proxy holders will be authorized to vote your shares on that matter in accordance with the Board’s recommendation. If you hold your shares through an account with a broker and do not give voting instructions on a matter, your broker is permitted under New York Stock Exchange rules to vote your shares in its discretion only on Proposal 3 (appointment of the Independent Auditor) and is required to withhold a vote on each of the other Proposals, resulting in a so-called “broker non-vote.” The impact of abstentions and broker non-votes on the overall voting results is shown in the table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How Do Voting Abstentions and Broker Non-Votes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spacing w:after="0"/>
        <w:tabs>
          <w:tab w:leader="none" w:pos="2860" w:val="left"/>
          <w:tab w:leader="none" w:pos="5760" w:val="left"/>
          <w:tab w:leader="none" w:pos="8680" w:val="left"/>
        </w:tabs>
        <w:rPr>
          <w:sz w:val="20"/>
          <w:szCs w:val="20"/>
          <w:color w:val="auto"/>
        </w:rPr>
      </w:pPr>
      <w:r>
        <w:rPr>
          <w:rFonts w:ascii="Arial" w:cs="Arial" w:eastAsia="Arial" w:hAnsi="Arial"/>
          <w:sz w:val="14"/>
          <w:szCs w:val="14"/>
          <w:b w:val="1"/>
          <w:bCs w:val="1"/>
          <w:color w:val="0E93D8"/>
        </w:rPr>
        <w:t>Matter</w:t>
      </w:r>
      <w:r>
        <w:rPr>
          <w:sz w:val="20"/>
          <w:szCs w:val="20"/>
          <w:color w:val="auto"/>
        </w:rPr>
        <w:tab/>
      </w:r>
      <w:r>
        <w:rPr>
          <w:rFonts w:ascii="Arial" w:cs="Arial" w:eastAsia="Arial" w:hAnsi="Arial"/>
          <w:sz w:val="14"/>
          <w:szCs w:val="14"/>
          <w:b w:val="1"/>
          <w:bCs w:val="1"/>
          <w:color w:val="0E93D8"/>
        </w:rPr>
        <w:t>Vote Required for Approval</w:t>
      </w:r>
      <w:r>
        <w:rPr>
          <w:sz w:val="20"/>
          <w:szCs w:val="20"/>
          <w:color w:val="auto"/>
        </w:rPr>
        <w:tab/>
      </w:r>
      <w:r>
        <w:rPr>
          <w:rFonts w:ascii="Arial" w:cs="Arial" w:eastAsia="Arial" w:hAnsi="Arial"/>
          <w:sz w:val="14"/>
          <w:szCs w:val="14"/>
          <w:b w:val="1"/>
          <w:bCs w:val="1"/>
          <w:color w:val="0E93D8"/>
        </w:rPr>
        <w:t>Impact of Abstentions</w:t>
      </w:r>
      <w:r>
        <w:rPr>
          <w:sz w:val="20"/>
          <w:szCs w:val="20"/>
          <w:color w:val="auto"/>
        </w:rPr>
        <w:tab/>
      </w:r>
      <w:r>
        <w:rPr>
          <w:rFonts w:ascii="Arial" w:cs="Arial" w:eastAsia="Arial" w:hAnsi="Arial"/>
          <w:sz w:val="12"/>
          <w:szCs w:val="12"/>
          <w:b w:val="1"/>
          <w:bCs w:val="1"/>
          <w:color w:val="0E93D8"/>
        </w:rPr>
        <w:t>Impact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21"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color w:val="auto"/>
        </w:rPr>
        <w:t>Election of Directors</w:t>
      </w:r>
      <w:r>
        <w:rPr>
          <w:sz w:val="20"/>
          <w:szCs w:val="20"/>
          <w:color w:val="auto"/>
        </w:rPr>
        <w:tab/>
      </w:r>
      <w:r>
        <w:rPr>
          <w:rFonts w:ascii="Arial" w:cs="Arial" w:eastAsia="Arial" w:hAnsi="Arial"/>
          <w:sz w:val="12"/>
          <w:szCs w:val="12"/>
          <w:color w:val="auto"/>
        </w:rPr>
        <w:t>Votes FOR a nominee must exceed 50% of</w:t>
      </w:r>
    </w:p>
    <w:p>
      <w:pPr>
        <w:ind w:left="2880"/>
        <w:spacing w:after="0"/>
        <w:rPr>
          <w:sz w:val="20"/>
          <w:szCs w:val="20"/>
          <w:color w:val="auto"/>
        </w:rPr>
      </w:pPr>
      <w:r>
        <w:rPr>
          <w:rFonts w:ascii="Arial" w:cs="Arial" w:eastAsia="Arial" w:hAnsi="Arial"/>
          <w:sz w:val="14"/>
          <w:szCs w:val="14"/>
          <w:color w:val="auto"/>
        </w:rPr>
        <w:t>the votes cast for that nominee.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Not counted as votes cast; no impact on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60960</wp:posOffset>
            </wp:positionV>
            <wp:extent cx="72466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Not counted as votes cast; no impact on outcome.</w:t>
      </w:r>
    </w:p>
    <w:p>
      <w:pPr>
        <w:spacing w:after="0" w:line="200" w:lineRule="exact"/>
        <w:rPr>
          <w:sz w:val="20"/>
          <w:szCs w:val="20"/>
          <w:color w:val="auto"/>
        </w:rPr>
      </w:pPr>
    </w:p>
    <w:p>
      <w:pPr>
        <w:sectPr>
          <w:pgSz w:w="11900" w:h="16838" w:orient="portrait"/>
          <w:cols w:equalWidth="0" w:num="3">
            <w:col w:w="5480" w:space="300"/>
            <w:col w:w="2400" w:space="520"/>
            <w:col w:w="2740"/>
          </w:cols>
          <w:pgMar w:left="240" w:top="121" w:right="219" w:bottom="1440" w:gutter="0" w:footer="0" w:header="0"/>
          <w:type w:val="continuous"/>
        </w:sectPr>
      </w:pPr>
    </w:p>
    <w:p>
      <w:pPr>
        <w:spacing w:after="0" w:line="4"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color w:val="auto"/>
        </w:rPr>
        <w:t>Advisory Vote on Executive Compensation</w:t>
      </w:r>
      <w:r>
        <w:rPr>
          <w:sz w:val="20"/>
          <w:szCs w:val="20"/>
          <w:color w:val="auto"/>
        </w:rPr>
        <w:tab/>
      </w:r>
      <w:r>
        <w:rPr>
          <w:rFonts w:ascii="Arial" w:cs="Arial" w:eastAsia="Arial" w:hAnsi="Arial"/>
          <w:sz w:val="12"/>
          <w:szCs w:val="12"/>
          <w:color w:val="auto"/>
        </w:rPr>
        <w:t>Votes FOR the proposal must exceed votes</w:t>
      </w:r>
    </w:p>
    <w:p>
      <w:pPr>
        <w:ind w:left="2880"/>
        <w:spacing w:after="0"/>
        <w:rPr>
          <w:sz w:val="20"/>
          <w:szCs w:val="20"/>
          <w:color w:val="auto"/>
        </w:rPr>
      </w:pPr>
      <w:r>
        <w:rPr>
          <w:rFonts w:ascii="Arial" w:cs="Arial" w:eastAsia="Arial" w:hAnsi="Arial"/>
          <w:sz w:val="14"/>
          <w:szCs w:val="14"/>
          <w:color w:val="auto"/>
        </w:rPr>
        <w:t>AGAINST it.</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4"/>
          <w:szCs w:val="14"/>
          <w:color w:val="auto"/>
        </w:rPr>
        <w:t>Not counted as votes cast; no impact on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60960</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31" w:lineRule="auto"/>
        <w:rPr>
          <w:sz w:val="20"/>
          <w:szCs w:val="20"/>
          <w:color w:val="auto"/>
        </w:rPr>
      </w:pPr>
      <w:r>
        <w:rPr>
          <w:rFonts w:ascii="Arial" w:cs="Arial" w:eastAsia="Arial" w:hAnsi="Arial"/>
          <w:sz w:val="14"/>
          <w:szCs w:val="14"/>
          <w:color w:val="auto"/>
        </w:rPr>
        <w:t>Not counted as votes cast; no impact on outcome.</w:t>
      </w:r>
    </w:p>
    <w:p>
      <w:pPr>
        <w:spacing w:after="0" w:line="200" w:lineRule="exact"/>
        <w:rPr>
          <w:sz w:val="20"/>
          <w:szCs w:val="20"/>
          <w:color w:val="auto"/>
        </w:rPr>
      </w:pPr>
    </w:p>
    <w:p>
      <w:pPr>
        <w:sectPr>
          <w:pgSz w:w="11900" w:h="16838" w:orient="portrait"/>
          <w:cols w:equalWidth="0" w:num="3">
            <w:col w:w="5480" w:space="300"/>
            <w:col w:w="2400" w:space="520"/>
            <w:col w:w="2740"/>
          </w:cols>
          <w:pgMar w:left="240" w:top="121" w:right="219" w:bottom="1440" w:gutter="0" w:footer="0" w:header="0"/>
          <w:type w:val="continuous"/>
        </w:sectPr>
      </w:pPr>
    </w:p>
    <w:p>
      <w:pPr>
        <w:spacing w:after="0" w:line="4"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color w:val="auto"/>
        </w:rPr>
        <w:t>Appoint PricewaterhouseCoopers LLP to</w:t>
      </w:r>
      <w:r>
        <w:rPr>
          <w:sz w:val="20"/>
          <w:szCs w:val="20"/>
          <w:color w:val="auto"/>
        </w:rPr>
        <w:tab/>
      </w:r>
      <w:r>
        <w:rPr>
          <w:rFonts w:ascii="Arial" w:cs="Arial" w:eastAsia="Arial" w:hAnsi="Arial"/>
          <w:sz w:val="12"/>
          <w:szCs w:val="12"/>
          <w:color w:val="auto"/>
        </w:rPr>
        <w:t>Approval by a majority of the votes making</w:t>
      </w:r>
    </w:p>
    <w:p>
      <w:pPr>
        <w:spacing w:after="0"/>
        <w:tabs>
          <w:tab w:leader="none" w:pos="2860" w:val="left"/>
        </w:tabs>
        <w:rPr>
          <w:sz w:val="20"/>
          <w:szCs w:val="20"/>
          <w:color w:val="auto"/>
        </w:rPr>
      </w:pPr>
      <w:r>
        <w:rPr>
          <w:rFonts w:ascii="Arial" w:cs="Arial" w:eastAsia="Arial" w:hAnsi="Arial"/>
          <w:sz w:val="14"/>
          <w:szCs w:val="14"/>
          <w:color w:val="auto"/>
        </w:rPr>
        <w:t>serve as Independent Auditor for 2019</w:t>
      </w:r>
      <w:r>
        <w:rPr>
          <w:sz w:val="20"/>
          <w:szCs w:val="20"/>
          <w:color w:val="auto"/>
        </w:rPr>
        <w:tab/>
      </w:r>
      <w:r>
        <w:rPr>
          <w:rFonts w:ascii="Arial" w:cs="Arial" w:eastAsia="Arial" w:hAnsi="Arial"/>
          <w:sz w:val="12"/>
          <w:szCs w:val="12"/>
          <w:color w:val="auto"/>
        </w:rPr>
        <w:t>up the quorum.</w:t>
      </w:r>
    </w:p>
    <w:p>
      <w:pPr>
        <w:spacing w:after="0" w:line="20" w:lineRule="exact"/>
        <w:rPr>
          <w:sz w:val="20"/>
          <w:szCs w:val="20"/>
          <w:color w:val="auto"/>
        </w:rPr>
      </w:pPr>
      <w:r>
        <w:rPr>
          <w:sz w:val="20"/>
          <w:szCs w:val="20"/>
          <w:color w:val="auto"/>
        </w:rPr>
        <w:br w:type="column"/>
      </w:r>
    </w:p>
    <w:p>
      <w:pPr>
        <w:spacing w:after="0"/>
        <w:tabs>
          <w:tab w:leader="none" w:pos="2900" w:val="left"/>
        </w:tabs>
        <w:rPr>
          <w:sz w:val="20"/>
          <w:szCs w:val="20"/>
          <w:color w:val="auto"/>
        </w:rPr>
      </w:pPr>
      <w:r>
        <w:rPr>
          <w:rFonts w:ascii="Arial" w:cs="Arial" w:eastAsia="Arial" w:hAnsi="Arial"/>
          <w:sz w:val="14"/>
          <w:szCs w:val="14"/>
          <w:color w:val="auto"/>
        </w:rPr>
        <w:t>Counted toward quorum; impact is the same</w:t>
      </w:r>
      <w:r>
        <w:rPr>
          <w:sz w:val="20"/>
          <w:szCs w:val="20"/>
          <w:color w:val="auto"/>
        </w:rPr>
        <w:tab/>
      </w:r>
      <w:r>
        <w:rPr>
          <w:rFonts w:ascii="Arial" w:cs="Arial" w:eastAsia="Arial" w:hAnsi="Arial"/>
          <w:sz w:val="12"/>
          <w:szCs w:val="12"/>
          <w:color w:val="auto"/>
        </w:rPr>
        <w:t>Not applicable.</w:t>
      </w:r>
    </w:p>
    <w:p>
      <w:pPr>
        <w:spacing w:after="0"/>
        <w:rPr>
          <w:sz w:val="20"/>
          <w:szCs w:val="20"/>
          <w:color w:val="auto"/>
        </w:rPr>
      </w:pPr>
      <w:r>
        <w:rPr>
          <w:rFonts w:ascii="Arial" w:cs="Arial" w:eastAsia="Arial" w:hAnsi="Arial"/>
          <w:sz w:val="14"/>
          <w:szCs w:val="14"/>
          <w:color w:val="auto"/>
        </w:rPr>
        <w:t>as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60960</wp:posOffset>
            </wp:positionV>
            <wp:extent cx="72466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360"/>
            <w:col w:w="5660"/>
          </w:cols>
          <w:pgMar w:left="240" w:top="121" w:right="219" w:bottom="1440" w:gutter="0" w:footer="0" w:header="0"/>
          <w:type w:val="continuous"/>
        </w:sectPr>
      </w:pPr>
    </w:p>
    <w:p>
      <w:pPr>
        <w:spacing w:after="0" w:line="17"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Approve an Amendment to the Restated Certificate of Incorporation</w:t>
      </w:r>
    </w:p>
    <w:p>
      <w:pPr>
        <w:spacing w:after="0" w:line="20" w:lineRule="exact"/>
        <w:rPr>
          <w:sz w:val="20"/>
          <w:szCs w:val="20"/>
          <w:color w:val="auto"/>
        </w:rPr>
      </w:pPr>
      <w:r>
        <w:rPr>
          <w:sz w:val="20"/>
          <w:szCs w:val="20"/>
          <w:color w:val="auto"/>
        </w:rPr>
        <w:br w:type="column"/>
      </w:r>
    </w:p>
    <w:p>
      <w:pPr>
        <w:spacing w:after="0"/>
        <w:tabs>
          <w:tab w:leader="none" w:pos="2880" w:val="left"/>
          <w:tab w:leader="none" w:pos="5800" w:val="left"/>
        </w:tabs>
        <w:rPr>
          <w:sz w:val="20"/>
          <w:szCs w:val="20"/>
          <w:color w:val="auto"/>
        </w:rPr>
      </w:pPr>
      <w:r>
        <w:rPr>
          <w:rFonts w:ascii="Arial" w:cs="Arial" w:eastAsia="Arial" w:hAnsi="Arial"/>
          <w:sz w:val="14"/>
          <w:szCs w:val="14"/>
          <w:color w:val="auto"/>
        </w:rPr>
        <w:t>Votes FOR must meet or exceed 80% of the</w:t>
      </w:r>
      <w:r>
        <w:rPr>
          <w:sz w:val="20"/>
          <w:szCs w:val="20"/>
          <w:color w:val="auto"/>
        </w:rPr>
        <w:tab/>
      </w:r>
      <w:r>
        <w:rPr>
          <w:rFonts w:ascii="Arial" w:cs="Arial" w:eastAsia="Arial" w:hAnsi="Arial"/>
          <w:sz w:val="14"/>
          <w:szCs w:val="14"/>
          <w:color w:val="auto"/>
        </w:rPr>
        <w:t>Impact is the same as a vote AGAINST.</w:t>
      </w:r>
      <w:r>
        <w:rPr>
          <w:sz w:val="20"/>
          <w:szCs w:val="20"/>
          <w:color w:val="auto"/>
        </w:rPr>
        <w:tab/>
      </w:r>
      <w:r>
        <w:rPr>
          <w:rFonts w:ascii="Arial" w:cs="Arial" w:eastAsia="Arial" w:hAnsi="Arial"/>
          <w:sz w:val="12"/>
          <w:szCs w:val="12"/>
          <w:color w:val="auto"/>
        </w:rPr>
        <w:t>Impact is the same as a vote AGAINST.</w:t>
      </w:r>
    </w:p>
    <w:p>
      <w:pPr>
        <w:spacing w:after="0"/>
        <w:rPr>
          <w:sz w:val="20"/>
          <w:szCs w:val="20"/>
          <w:color w:val="auto"/>
        </w:rPr>
      </w:pPr>
      <w:r>
        <w:rPr>
          <w:rFonts w:ascii="Arial" w:cs="Arial" w:eastAsia="Arial" w:hAnsi="Arial"/>
          <w:sz w:val="14"/>
          <w:szCs w:val="14"/>
          <w:color w:val="auto"/>
        </w:rPr>
        <w:t>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60960</wp:posOffset>
            </wp:positionV>
            <wp:extent cx="72466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460"/>
            <w:col w:w="8560"/>
          </w:cols>
          <w:pgMar w:left="240" w:top="121" w:right="219" w:bottom="1440" w:gutter="0" w:footer="0" w:header="0"/>
          <w:type w:val="continuous"/>
        </w:sectPr>
      </w:pPr>
    </w:p>
    <w:p>
      <w:pPr>
        <w:spacing w:after="0" w:line="4"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color w:val="auto"/>
        </w:rPr>
        <w:t>Ratify the 15% Special Meeting Ownership</w:t>
      </w:r>
      <w:r>
        <w:rPr>
          <w:sz w:val="20"/>
          <w:szCs w:val="20"/>
          <w:color w:val="auto"/>
        </w:rPr>
        <w:tab/>
      </w:r>
      <w:r>
        <w:rPr>
          <w:rFonts w:ascii="Arial" w:cs="Arial" w:eastAsia="Arial" w:hAnsi="Arial"/>
          <w:sz w:val="12"/>
          <w:szCs w:val="12"/>
          <w:color w:val="auto"/>
        </w:rPr>
        <w:t>Votes FOR the proposal must exceed votes</w:t>
      </w:r>
    </w:p>
    <w:p>
      <w:pPr>
        <w:spacing w:after="0"/>
        <w:tabs>
          <w:tab w:leader="none" w:pos="2860" w:val="left"/>
        </w:tabs>
        <w:rPr>
          <w:sz w:val="20"/>
          <w:szCs w:val="20"/>
          <w:color w:val="auto"/>
        </w:rPr>
      </w:pPr>
      <w:r>
        <w:rPr>
          <w:rFonts w:ascii="Arial" w:cs="Arial" w:eastAsia="Arial" w:hAnsi="Arial"/>
          <w:sz w:val="14"/>
          <w:szCs w:val="14"/>
          <w:color w:val="auto"/>
        </w:rPr>
        <w:t>Threshold in the Company’s Bylaws</w:t>
      </w:r>
      <w:r>
        <w:rPr>
          <w:sz w:val="20"/>
          <w:szCs w:val="20"/>
          <w:color w:val="auto"/>
        </w:rPr>
        <w:tab/>
      </w:r>
      <w:r>
        <w:rPr>
          <w:rFonts w:ascii="Arial" w:cs="Arial" w:eastAsia="Arial" w:hAnsi="Arial"/>
          <w:sz w:val="12"/>
          <w:szCs w:val="12"/>
          <w:color w:val="auto"/>
        </w:rPr>
        <w:t>AGAINST it.</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4"/>
          <w:szCs w:val="14"/>
          <w:color w:val="auto"/>
        </w:rPr>
        <w:t>Not counted as votes cast; no impact on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60960</wp:posOffset>
            </wp:positionV>
            <wp:extent cx="72466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31" w:lineRule="auto"/>
        <w:rPr>
          <w:sz w:val="20"/>
          <w:szCs w:val="20"/>
          <w:color w:val="auto"/>
        </w:rPr>
      </w:pPr>
      <w:r>
        <w:rPr>
          <w:rFonts w:ascii="Arial" w:cs="Arial" w:eastAsia="Arial" w:hAnsi="Arial"/>
          <w:sz w:val="14"/>
          <w:szCs w:val="14"/>
          <w:color w:val="auto"/>
        </w:rPr>
        <w:t>Not counted as votes cast; no impact on outcome.</w:t>
      </w:r>
    </w:p>
    <w:p>
      <w:pPr>
        <w:spacing w:after="0" w:line="200" w:lineRule="exact"/>
        <w:rPr>
          <w:sz w:val="20"/>
          <w:szCs w:val="20"/>
          <w:color w:val="auto"/>
        </w:rPr>
      </w:pPr>
    </w:p>
    <w:p>
      <w:pPr>
        <w:sectPr>
          <w:pgSz w:w="11900" w:h="16838" w:orient="portrait"/>
          <w:cols w:equalWidth="0" w:num="3">
            <w:col w:w="5480" w:space="300"/>
            <w:col w:w="2400" w:space="520"/>
            <w:col w:w="2740"/>
          </w:cols>
          <w:pgMar w:left="240" w:top="121" w:right="21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79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889885" cy="1289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889885"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FFFFFF"/>
        </w:rPr>
        <w:t>FREQUENTLY ASKED QUESTIONS ABOUT THE ANNUAL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What Happens if a Director in an Uncontested Election Receives More Votes “Against” than “For” His or Her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an uncontested election of directors, any nominee for director who is an incumbent director and who receives a greater number of votes cast “against” than votes “for” his or her election must, under UTC’s Governance Guidelines, promptly tender his or her resignation to the Chair of the Governance Committee following certification of the shareowner vote. The Governance Committee must promptly make a recommendation to the Board about whether to accept or reject the tendered resignation. The director who tendered a resignation may not participate in the Committee’s recommendation or the Board’s consideration.</w:t>
      </w:r>
    </w:p>
    <w:p>
      <w:pPr>
        <w:spacing w:after="0" w:line="21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Under our Governance Guidelines, the Board must act on the Governance Committee’s recommendation no later than 90 days after the date of the shareowners’ meeting. Regardless of whether the Board accepts or rejects the resignation, UTC must promptly file a Report on Form 8-K with the SEC that explains the process by which the decision was reached and, if applicable, the reasons for rejecting the tendered resignation.</w:t>
      </w:r>
    </w:p>
    <w:p>
      <w:pPr>
        <w:spacing w:after="0" w:line="17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a director’s resignation is accepted, the Governance Committee also will recommend to the Board whether to fill the vacancy or to reduce the size of the Board. Under the UTC Bylaws, a vacancy arising in these circumstances may be filled, at the discretion of the Board, by a majority vote of the directors or at a special meeting of shareowners called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Who Counts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Broadridge Financial Solutions (“Broadridge”), an independent entity, will tabulate the votes. At the Annual Meeting, a representative of Broadridge will act as the independent Inspector of Election and in this capacity will supervise the voting, decide the validity of proxies and certify the results.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Broadridge has been instructed to keep the vote of each shareowner confidential and the vote may not be disclosed, except in legal proceedings or for the purpose of soliciting shareowner votes in a contested proxy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How May the Company Solicit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Employees of UTC may solicit proxies on behalf of the Board of Directors by mail, email, in person and by telephone. These employees will not receive any additional compensation for these activities. UTC will bear the cost of soliciting proxies and will reimburse banks, brokerage firms and other intermediaries for their reasonable out-of-pocket expenses for forwarding proxy materials to shareowners. UTC has retained Georgeson, Inc., to assist in soliciting proxies for a fee of $16,000 plus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Why Did I Receive a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To conserve natural resources and reduce costs, we are sending most shareowners a Notice of Internet Availability of Proxy Materials (“Notice”), as permitted by SEC rules. The Notice explains how you can access UTC’s proxy materials on the Internet and how to obtain printed copies if you prefer. It also explains how you can choose either electronic or print delivery of proxy materials for future annual meetings.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F94D8"/>
        </w:rPr>
        <w:t>How Can I Receive My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conserve resources and reduce costs, we encourage shareowners to access their proxy materials electronically.</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If you are a registered shareowner, you can sign up at </w:t>
      </w:r>
      <w:r>
        <w:rPr>
          <w:rFonts w:ascii="Arial" w:cs="Arial" w:eastAsia="Arial" w:hAnsi="Arial"/>
          <w:sz w:val="18"/>
          <w:szCs w:val="18"/>
          <w:color w:val="0E93D8"/>
        </w:rPr>
        <w:t>www.computershare-na.com/green</w:t>
      </w:r>
      <w:r>
        <w:rPr>
          <w:rFonts w:ascii="Arial" w:cs="Arial" w:eastAsia="Arial" w:hAnsi="Arial"/>
          <w:sz w:val="18"/>
          <w:szCs w:val="18"/>
          <w:color w:val="auto"/>
        </w:rPr>
        <w:t xml:space="preserve"> to get electronic access to proxy materials for future meetings, rather than receiving them in the mail. Once you sign up, you will receive an email each year explaining how to access UTC’s Annual Report and Proxy Statement, and how to vote online. Your enrollment for electronic access will remain in effect unless you cancel it, which you can do up to two weeks before the record date for any future annual meeting.</w:t>
      </w:r>
    </w:p>
    <w:p>
      <w:pPr>
        <w:spacing w:after="0" w:line="209" w:lineRule="exact"/>
        <w:rPr>
          <w:sz w:val="20"/>
          <w:szCs w:val="20"/>
          <w:color w:val="auto"/>
        </w:rPr>
      </w:pPr>
    </w:p>
    <w:p>
      <w:pPr>
        <w:ind w:right="920"/>
        <w:spacing w:after="0" w:line="239" w:lineRule="auto"/>
        <w:rPr>
          <w:sz w:val="20"/>
          <w:szCs w:val="20"/>
          <w:color w:val="auto"/>
        </w:rPr>
      </w:pPr>
      <w:r>
        <w:rPr>
          <w:rFonts w:ascii="Arial" w:cs="Arial" w:eastAsia="Arial" w:hAnsi="Arial"/>
          <w:sz w:val="18"/>
          <w:szCs w:val="18"/>
          <w:color w:val="auto"/>
        </w:rPr>
        <w:t xml:space="preserve">If you are a beneficial shareowner you may obtain electronic access to proxy materials by contacting your bank, brokerage firm or other intermediary, or by contacting Broadridge at </w:t>
      </w:r>
      <w:r>
        <w:rPr>
          <w:rFonts w:ascii="Arial" w:cs="Arial" w:eastAsia="Arial" w:hAnsi="Arial"/>
          <w:sz w:val="18"/>
          <w:szCs w:val="18"/>
          <w:color w:val="0E93D8"/>
        </w:rPr>
        <w:t>http://enroll.icsdelivery.com/utc</w:t>
      </w:r>
      <w:r>
        <w:rPr>
          <w:rFonts w:ascii="Arial" w:cs="Arial" w:eastAsia="Arial" w:hAnsi="Arial"/>
          <w:sz w:val="18"/>
          <w:szCs w:val="18"/>
          <w:color w:val="auto"/>
        </w:rPr>
        <w:t>.</w:t>
      </w:r>
    </w:p>
    <w:p>
      <w:pPr>
        <w:spacing w:after="0" w:line="201" w:lineRule="exact"/>
        <w:rPr>
          <w:sz w:val="20"/>
          <w:szCs w:val="20"/>
          <w:color w:val="auto"/>
        </w:rPr>
      </w:pPr>
    </w:p>
    <w:p>
      <w:pPr>
        <w:ind w:left="880" w:hanging="628"/>
        <w:spacing w:after="0"/>
        <w:tabs>
          <w:tab w:leader="none" w:pos="880" w:val="left"/>
        </w:tabs>
        <w:numPr>
          <w:ilvl w:val="0"/>
          <w:numId w:val="165"/>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146685</wp:posOffset>
            </wp:positionV>
            <wp:extent cx="2889885" cy="1289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89885" cy="128905"/>
                    </a:xfrm>
                    <a:prstGeom prst="rect">
                      <a:avLst/>
                    </a:prstGeom>
                    <a:noFill/>
                  </pic:spPr>
                </pic:pic>
              </a:graphicData>
            </a:graphic>
          </wp:anchor>
        </w:drawing>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2"/>
          <w:szCs w:val="12"/>
          <w:b w:val="1"/>
          <w:bCs w:val="1"/>
          <w:color w:val="FFFFFF"/>
        </w:rPr>
        <w:t>FREQUENTLY ASKED QUESTIONS ABOUT THE ANNUAL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What Materials Are Mailed to Me When I Share the Same Address as Another UTC Shareowner?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If you share an address with one or more other UTC shareowners, you may have received only a single copy of the Annual Report, Proxy Statement or Notice of Internet Availability of Proxy Materials for your entire household. This practice, known as “householding,” is intended to reduce printing and mailing costs.</w:t>
      </w:r>
    </w:p>
    <w:p>
      <w:pPr>
        <w:spacing w:after="0" w:line="20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If you are a registered shareowner and you prefer to receive a separate Annual Report, Proxy Statement or Notice of Internet Availability of Proxy Materials this year or in the future, or if you are receiving multiple copies at your address and would like to enroll in “householding” and receive a single copy, please contact Computershare at 1-800-488-9281. If you are a beneficial shareowner, please contact your bank, brokerage firm or other intermediary to make your request. There is no charge for separate copies.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Can I Receive a Copy of the Company’s 2018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UTC will provide, without charge, a copy of the Annual Report on Form 10-K to any shareowner upon a request directed to the UTC Corporate Secretary (see below for contact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Do I Submit Proposals and Nominations for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0E93D8"/>
        </w:rPr>
        <w:t xml:space="preserve">Shareowner Proposals. </w:t>
      </w:r>
      <w:r>
        <w:rPr>
          <w:rFonts w:ascii="Arial" w:cs="Arial" w:eastAsia="Arial" w:hAnsi="Arial"/>
          <w:sz w:val="18"/>
          <w:szCs w:val="18"/>
          <w:color w:val="000000"/>
        </w:rPr>
        <w:t>To submit a shareowner proposal to be considered for inclusion in UTC’s Proxy Statement for the 2020 Annual Meeting</w:t>
      </w:r>
      <w:r>
        <w:rPr>
          <w:rFonts w:ascii="Arial" w:cs="Arial" w:eastAsia="Arial" w:hAnsi="Arial"/>
          <w:sz w:val="18"/>
          <w:szCs w:val="18"/>
          <w:color w:val="0E93D8"/>
        </w:rPr>
        <w:t xml:space="preserve"> </w:t>
      </w:r>
      <w:r>
        <w:rPr>
          <w:rFonts w:ascii="Arial" w:cs="Arial" w:eastAsia="Arial" w:hAnsi="Arial"/>
          <w:sz w:val="18"/>
          <w:szCs w:val="18"/>
          <w:color w:val="000000"/>
        </w:rPr>
        <w:t>under SEC Rule 14a-8, you must send the proposal to our Corporate Secretary. The Corporate Secretary must receive the proposal in writing by November 19, 2019.</w:t>
      </w:r>
    </w:p>
    <w:p>
      <w:pPr>
        <w:spacing w:after="0" w:line="208"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To introduce a proposal for vote at the 2020 Annual Meeting (other than a shareowner proposal included in the Proxy Statement in accordance with SEC Rule 14a-8), UTC’s Bylaws require that the shareowner send advance written notice to the UTC Corporate Secretary for receipt no earlier than December 31, 2019, and no later than January 30, 2020. This notice must include the information specified by Section 1.10 of the Bylaws, a copy of which is available on our website listed below.</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0E93D8"/>
        </w:rPr>
        <w:t xml:space="preserve">Director Nominations at the 2020 Annual Meeting. </w:t>
      </w:r>
      <w:r>
        <w:rPr>
          <w:rFonts w:ascii="Arial" w:cs="Arial" w:eastAsia="Arial" w:hAnsi="Arial"/>
          <w:sz w:val="18"/>
          <w:szCs w:val="18"/>
          <w:color w:val="000000"/>
        </w:rPr>
        <w:t>UTC’s Bylaws require that a shareowner who wishes to nominate a candidate for election as a</w:t>
      </w:r>
      <w:r>
        <w:rPr>
          <w:rFonts w:ascii="Arial" w:cs="Arial" w:eastAsia="Arial" w:hAnsi="Arial"/>
          <w:sz w:val="18"/>
          <w:szCs w:val="18"/>
          <w:color w:val="0E93D8"/>
        </w:rPr>
        <w:t xml:space="preserve"> </w:t>
      </w:r>
      <w:r>
        <w:rPr>
          <w:rFonts w:ascii="Arial" w:cs="Arial" w:eastAsia="Arial" w:hAnsi="Arial"/>
          <w:sz w:val="18"/>
          <w:szCs w:val="18"/>
          <w:color w:val="000000"/>
        </w:rPr>
        <w:t>director at the 2020 Annual Meeting (other than pursuant to the “proxy access” provisions of Section 1.12 of the Bylaws) must send advance written notice to the UTC Corporate Secretary for receipt no earlier than December 31, 2019, and no later than January 30, 2020. This notice must include the information, documents and agreements specified by Section 1.10 of the Bylaws, a copy of which is available on our website listed below.</w:t>
      </w:r>
    </w:p>
    <w:p>
      <w:pPr>
        <w:spacing w:after="0" w:line="211"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0E93D8"/>
        </w:rPr>
        <w:t xml:space="preserve">Director Nominations by Proxy Access. </w:t>
      </w:r>
      <w:r>
        <w:rPr>
          <w:rFonts w:ascii="Arial" w:cs="Arial" w:eastAsia="Arial" w:hAnsi="Arial"/>
          <w:sz w:val="18"/>
          <w:szCs w:val="18"/>
          <w:color w:val="000000"/>
        </w:rPr>
        <w:t>UTC’s Bylaws require that an eligible shareowner who wishes to have a nominee of that shareowner</w:t>
      </w:r>
      <w:r>
        <w:rPr>
          <w:rFonts w:ascii="Arial" w:cs="Arial" w:eastAsia="Arial" w:hAnsi="Arial"/>
          <w:sz w:val="18"/>
          <w:szCs w:val="18"/>
          <w:color w:val="0E93D8"/>
        </w:rPr>
        <w:t xml:space="preserve"> </w:t>
      </w:r>
      <w:r>
        <w:rPr>
          <w:rFonts w:ascii="Arial" w:cs="Arial" w:eastAsia="Arial" w:hAnsi="Arial"/>
          <w:sz w:val="18"/>
          <w:szCs w:val="18"/>
          <w:color w:val="000000"/>
        </w:rPr>
        <w:t>included in UTC’s proxy materials for the 2020 Annual Meeting pursuant to the “proxy access” provisions of Section 1.12 of the Bylaws send advance written notice to the UTC Corporate Secretary for receipt no earlier than October 20, 2019, and no later than November 19, 2019. This notice must include the information, documents and agreements specified by Section 1.12 of the Bylaws, a copy of which is available on our website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4375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DB03F"/>
        </w:rPr>
        <w:t xml:space="preserve">Our Bylaws </w:t>
      </w:r>
      <w:r>
        <w:rPr>
          <w:rFonts w:ascii="Arial" w:cs="Arial" w:eastAsia="Arial" w:hAnsi="Arial"/>
          <w:sz w:val="18"/>
          <w:szCs w:val="18"/>
          <w:color w:val="FFFFFF"/>
        </w:rPr>
        <w:t>are available under the Corporate Governance section of the Company website at www.utc.com.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E93D8"/>
        </w:rPr>
        <w:t>How Do I Contact the Corporate Secretary’s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Shareowners may contact UTC’s Corporate Secretary’s Office in one of the three methods shown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gridSpan w:val="2"/>
          </w:tcPr>
          <w:p>
            <w:pPr>
              <w:ind w:left="80"/>
              <w:spacing w:after="0"/>
              <w:rPr>
                <w:sz w:val="20"/>
                <w:szCs w:val="20"/>
                <w:color w:val="auto"/>
              </w:rPr>
            </w:pPr>
            <w:r>
              <w:rPr>
                <w:rFonts w:ascii="Arial" w:cs="Arial" w:eastAsia="Arial" w:hAnsi="Arial"/>
                <w:sz w:val="14"/>
                <w:szCs w:val="14"/>
                <w:b w:val="1"/>
                <w:bCs w:val="1"/>
                <w:color w:val="0E93D8"/>
              </w:rPr>
              <w:t>Communication Method</w:t>
            </w:r>
          </w:p>
        </w:tc>
        <w:tc>
          <w:tcPr>
            <w:tcW w:w="7240" w:type="dxa"/>
            <w:vAlign w:val="bottom"/>
            <w:gridSpan w:val="2"/>
          </w:tcPr>
          <w:p>
            <w:pPr>
              <w:ind w:left="80"/>
              <w:spacing w:after="0"/>
              <w:rPr>
                <w:sz w:val="20"/>
                <w:szCs w:val="20"/>
                <w:color w:val="auto"/>
              </w:rPr>
            </w:pPr>
            <w:r>
              <w:rPr>
                <w:rFonts w:ascii="Arial" w:cs="Arial" w:eastAsia="Arial" w:hAnsi="Arial"/>
                <w:sz w:val="14"/>
                <w:szCs w:val="14"/>
                <w:b w:val="1"/>
                <w:bCs w:val="1"/>
                <w:color w:val="0E93D8"/>
              </w:rPr>
              <w:t>Contact 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1"/>
        </w:trPr>
        <w:tc>
          <w:tcPr>
            <w:tcW w:w="3380" w:type="dxa"/>
            <w:vAlign w:val="bottom"/>
            <w:shd w:val="clear" w:color="auto" w:fill="DAE9F7"/>
          </w:tcPr>
          <w:p>
            <w:pPr>
              <w:spacing w:after="0"/>
              <w:rPr>
                <w:sz w:val="5"/>
                <w:szCs w:val="5"/>
                <w:color w:val="auto"/>
              </w:rPr>
            </w:pPr>
          </w:p>
        </w:tc>
        <w:tc>
          <w:tcPr>
            <w:tcW w:w="120" w:type="dxa"/>
            <w:vAlign w:val="bottom"/>
          </w:tcPr>
          <w:p>
            <w:pPr>
              <w:spacing w:after="0"/>
              <w:rPr>
                <w:sz w:val="5"/>
                <w:szCs w:val="5"/>
                <w:color w:val="auto"/>
              </w:rPr>
            </w:pPr>
          </w:p>
        </w:tc>
        <w:tc>
          <w:tcPr>
            <w:tcW w:w="3360" w:type="dxa"/>
            <w:vAlign w:val="bottom"/>
            <w:shd w:val="clear" w:color="auto" w:fill="0F94D8"/>
          </w:tcPr>
          <w:p>
            <w:pPr>
              <w:spacing w:after="0"/>
              <w:rPr>
                <w:sz w:val="5"/>
                <w:szCs w:val="5"/>
                <w:color w:val="auto"/>
              </w:rPr>
            </w:pPr>
          </w:p>
        </w:tc>
        <w:tc>
          <w:tcPr>
            <w:tcW w:w="3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2"/>
        </w:trPr>
        <w:tc>
          <w:tcPr>
            <w:tcW w:w="3500" w:type="dxa"/>
            <w:vAlign w:val="bottom"/>
            <w:gridSpan w:val="2"/>
          </w:tcPr>
          <w:p>
            <w:pPr>
              <w:ind w:left="80"/>
              <w:spacing w:after="0"/>
              <w:rPr>
                <w:sz w:val="20"/>
                <w:szCs w:val="20"/>
                <w:color w:val="auto"/>
              </w:rPr>
            </w:pPr>
            <w:r>
              <w:rPr>
                <w:rFonts w:ascii="Arial" w:cs="Arial" w:eastAsia="Arial" w:hAnsi="Arial"/>
                <w:sz w:val="14"/>
                <w:szCs w:val="14"/>
                <w:color w:val="auto"/>
              </w:rPr>
              <w:t>Write a letter</w:t>
            </w:r>
          </w:p>
        </w:tc>
        <w:tc>
          <w:tcPr>
            <w:tcW w:w="7240" w:type="dxa"/>
            <w:vAlign w:val="bottom"/>
            <w:gridSpan w:val="2"/>
          </w:tcPr>
          <w:p>
            <w:pPr>
              <w:ind w:left="80"/>
              <w:spacing w:after="0"/>
              <w:rPr>
                <w:sz w:val="20"/>
                <w:szCs w:val="20"/>
                <w:color w:val="auto"/>
              </w:rPr>
            </w:pPr>
            <w:r>
              <w:rPr>
                <w:rFonts w:ascii="Arial" w:cs="Arial" w:eastAsia="Arial" w:hAnsi="Arial"/>
                <w:sz w:val="14"/>
                <w:szCs w:val="14"/>
                <w:color w:val="auto"/>
              </w:rPr>
              <w:t>UTC Corporate Secretary</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40" w:type="dxa"/>
            <w:vAlign w:val="bottom"/>
            <w:gridSpan w:val="2"/>
          </w:tcPr>
          <w:p>
            <w:pPr>
              <w:ind w:left="80"/>
              <w:spacing w:after="0"/>
              <w:rPr>
                <w:sz w:val="20"/>
                <w:szCs w:val="20"/>
                <w:color w:val="auto"/>
              </w:rPr>
            </w:pPr>
            <w:r>
              <w:rPr>
                <w:rFonts w:ascii="Arial" w:cs="Arial" w:eastAsia="Arial" w:hAnsi="Arial"/>
                <w:sz w:val="14"/>
                <w:szCs w:val="14"/>
                <w:color w:val="auto"/>
              </w:rPr>
              <w:t>United Technologies Corporation</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40" w:type="dxa"/>
            <w:vAlign w:val="bottom"/>
            <w:gridSpan w:val="2"/>
          </w:tcPr>
          <w:p>
            <w:pPr>
              <w:ind w:left="80"/>
              <w:spacing w:after="0"/>
              <w:rPr>
                <w:sz w:val="20"/>
                <w:szCs w:val="20"/>
                <w:color w:val="auto"/>
              </w:rPr>
            </w:pPr>
            <w:r>
              <w:rPr>
                <w:rFonts w:ascii="Arial" w:cs="Arial" w:eastAsia="Arial" w:hAnsi="Arial"/>
                <w:sz w:val="14"/>
                <w:szCs w:val="14"/>
                <w:color w:val="auto"/>
              </w:rPr>
              <w:t>10 Farm Springs Road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40" w:type="dxa"/>
            <w:vAlign w:val="bottom"/>
            <w:gridSpan w:val="2"/>
          </w:tcPr>
          <w:p>
            <w:pPr>
              <w:ind w:left="80"/>
              <w:spacing w:after="0"/>
              <w:rPr>
                <w:sz w:val="20"/>
                <w:szCs w:val="20"/>
                <w:color w:val="auto"/>
              </w:rPr>
            </w:pPr>
            <w:r>
              <w:rPr>
                <w:rFonts w:ascii="Arial" w:cs="Arial" w:eastAsia="Arial" w:hAnsi="Arial"/>
                <w:sz w:val="14"/>
                <w:szCs w:val="14"/>
                <w:color w:val="auto"/>
              </w:rPr>
              <w:t>Farmington, CT 06032</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
        </w:trPr>
        <w:tc>
          <w:tcPr>
            <w:tcW w:w="338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360" w:type="dxa"/>
            <w:vAlign w:val="bottom"/>
            <w:tcBorders>
              <w:bottom w:val="single" w:sz="8" w:color="7C7C7C"/>
            </w:tcBorders>
          </w:tcPr>
          <w:p>
            <w:pPr>
              <w:spacing w:after="0"/>
              <w:rPr>
                <w:sz w:val="3"/>
                <w:szCs w:val="3"/>
                <w:color w:val="auto"/>
              </w:rPr>
            </w:pPr>
          </w:p>
        </w:tc>
        <w:tc>
          <w:tcPr>
            <w:tcW w:w="3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3500" w:type="dxa"/>
            <w:vAlign w:val="bottom"/>
            <w:gridSpan w:val="2"/>
          </w:tcPr>
          <w:p>
            <w:pPr>
              <w:ind w:left="80"/>
              <w:spacing w:after="0"/>
              <w:rPr>
                <w:sz w:val="20"/>
                <w:szCs w:val="20"/>
                <w:color w:val="auto"/>
              </w:rPr>
            </w:pPr>
            <w:r>
              <w:rPr>
                <w:rFonts w:ascii="Arial" w:cs="Arial" w:eastAsia="Arial" w:hAnsi="Arial"/>
                <w:sz w:val="14"/>
                <w:szCs w:val="14"/>
                <w:color w:val="auto"/>
              </w:rPr>
              <w:t>Send an email</w:t>
            </w:r>
          </w:p>
        </w:tc>
        <w:tc>
          <w:tcPr>
            <w:tcW w:w="7240" w:type="dxa"/>
            <w:vAlign w:val="bottom"/>
            <w:gridSpan w:val="2"/>
          </w:tcPr>
          <w:p>
            <w:pPr>
              <w:ind w:left="80"/>
              <w:spacing w:after="0"/>
              <w:rPr>
                <w:sz w:val="20"/>
                <w:szCs w:val="20"/>
                <w:color w:val="auto"/>
              </w:rPr>
            </w:pPr>
            <w:r>
              <w:rPr>
                <w:rFonts w:ascii="Arial" w:cs="Arial" w:eastAsia="Arial" w:hAnsi="Arial"/>
                <w:sz w:val="14"/>
                <w:szCs w:val="14"/>
                <w:color w:val="auto"/>
              </w:rPr>
              <w:t>corpsec@corphq.utc.com</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338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360" w:type="dxa"/>
            <w:vAlign w:val="bottom"/>
            <w:tcBorders>
              <w:bottom w:val="single" w:sz="8" w:color="7C7C7C"/>
            </w:tcBorders>
          </w:tcPr>
          <w:p>
            <w:pPr>
              <w:spacing w:after="0"/>
              <w:rPr>
                <w:sz w:val="3"/>
                <w:szCs w:val="3"/>
                <w:color w:val="auto"/>
              </w:rPr>
            </w:pPr>
          </w:p>
        </w:tc>
        <w:tc>
          <w:tcPr>
            <w:tcW w:w="3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3500" w:type="dxa"/>
            <w:vAlign w:val="bottom"/>
            <w:gridSpan w:val="2"/>
          </w:tcPr>
          <w:p>
            <w:pPr>
              <w:ind w:left="80"/>
              <w:spacing w:after="0"/>
              <w:rPr>
                <w:sz w:val="20"/>
                <w:szCs w:val="20"/>
                <w:color w:val="auto"/>
              </w:rPr>
            </w:pPr>
            <w:r>
              <w:rPr>
                <w:rFonts w:ascii="Arial" w:cs="Arial" w:eastAsia="Arial" w:hAnsi="Arial"/>
                <w:sz w:val="14"/>
                <w:szCs w:val="14"/>
                <w:color w:val="auto"/>
              </w:rPr>
              <w:t>Call</w:t>
            </w:r>
          </w:p>
        </w:tc>
        <w:tc>
          <w:tcPr>
            <w:tcW w:w="3360" w:type="dxa"/>
            <w:vAlign w:val="bottom"/>
          </w:tcPr>
          <w:p>
            <w:pPr>
              <w:ind w:left="80"/>
              <w:spacing w:after="0"/>
              <w:rPr>
                <w:sz w:val="20"/>
                <w:szCs w:val="20"/>
                <w:color w:val="auto"/>
              </w:rPr>
            </w:pPr>
            <w:r>
              <w:rPr>
                <w:rFonts w:ascii="Arial" w:cs="Arial" w:eastAsia="Arial" w:hAnsi="Arial"/>
                <w:sz w:val="14"/>
                <w:szCs w:val="14"/>
                <w:color w:val="auto"/>
              </w:rPr>
              <w:t>1-860-728-7870</w:t>
            </w:r>
          </w:p>
        </w:tc>
        <w:tc>
          <w:tcPr>
            <w:tcW w:w="3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338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360" w:type="dxa"/>
            <w:vAlign w:val="bottom"/>
            <w:tcBorders>
              <w:bottom w:val="single" w:sz="8" w:color="7C7C7C"/>
            </w:tcBorders>
          </w:tcPr>
          <w:p>
            <w:pPr>
              <w:spacing w:after="0"/>
              <w:rPr>
                <w:sz w:val="3"/>
                <w:szCs w:val="3"/>
                <w:color w:val="auto"/>
              </w:rPr>
            </w:pPr>
          </w:p>
        </w:tc>
        <w:tc>
          <w:tcPr>
            <w:tcW w:w="3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4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40" w:type="dxa"/>
            <w:vAlign w:val="bottom"/>
            <w:gridSpan w:val="2"/>
          </w:tcPr>
          <w:p>
            <w:pPr>
              <w:ind w:left="16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81</w:t>
            </w:r>
          </w:p>
        </w:tc>
        <w:tc>
          <w:tcPr>
            <w:tcW w:w="20" w:type="dxa"/>
            <w:vAlign w:val="bottom"/>
          </w:tcPr>
          <w:p>
            <w:pPr>
              <w:spacing w:after="0"/>
              <w:rPr>
                <w:sz w:val="21"/>
                <w:szCs w:val="21"/>
                <w:color w:val="auto"/>
              </w:rPr>
            </w:pPr>
          </w:p>
        </w:tc>
      </w:tr>
      <w:tr>
        <w:trPr>
          <w:trHeight w:val="361"/>
        </w:trPr>
        <w:tc>
          <w:tcPr>
            <w:tcW w:w="3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0E93D8"/>
        </w:rPr>
        <w:t>Important Information</w:t>
      </w:r>
    </w:p>
    <w:p>
      <w:pPr>
        <w:spacing w:after="0" w:line="268" w:lineRule="exact"/>
        <w:rPr>
          <w:sz w:val="20"/>
          <w:szCs w:val="20"/>
          <w:color w:val="auto"/>
        </w:rPr>
      </w:pPr>
    </w:p>
    <w:p>
      <w:pPr>
        <w:spacing w:after="0" w:line="266" w:lineRule="auto"/>
        <w:rPr>
          <w:sz w:val="20"/>
          <w:szCs w:val="20"/>
          <w:color w:val="auto"/>
        </w:rPr>
      </w:pPr>
      <w:r>
        <w:rPr>
          <w:rFonts w:ascii="Arial" w:cs="Arial" w:eastAsia="Arial" w:hAnsi="Arial"/>
          <w:sz w:val="16"/>
          <w:szCs w:val="16"/>
          <w:color w:val="0E93D8"/>
        </w:rPr>
        <w:t xml:space="preserve">Cautionary Note Concerning Factors That May Affect Future Results. </w:t>
      </w:r>
      <w:r>
        <w:rPr>
          <w:rFonts w:ascii="Arial" w:cs="Arial" w:eastAsia="Arial" w:hAnsi="Arial"/>
          <w:sz w:val="16"/>
          <w:szCs w:val="16"/>
          <w:color w:val="000000"/>
        </w:rPr>
        <w:t>This Proxy Statement contains statements which, to the extent they are not</w:t>
      </w:r>
      <w:r>
        <w:rPr>
          <w:rFonts w:ascii="Arial" w:cs="Arial" w:eastAsia="Arial" w:hAnsi="Arial"/>
          <w:sz w:val="16"/>
          <w:szCs w:val="16"/>
          <w:color w:val="0E93D8"/>
        </w:rPr>
        <w:t xml:space="preserve"> </w:t>
      </w:r>
      <w:r>
        <w:rPr>
          <w:rFonts w:ascii="Arial" w:cs="Arial" w:eastAsia="Arial" w:hAnsi="Arial"/>
          <w:sz w:val="16"/>
          <w:szCs w:val="16"/>
          <w:color w:val="000000"/>
        </w:rPr>
        <w:t>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and other words of similar meaning in connection with a discussion of future operating or financial performance or the separation transactions.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independent companies following United Technologies’ expected separation into three independent companies, the anticipated benefits of the acquisition of Rockwell Collins or of the separation transactions, including estimated synergies resulting from the Rockwell Collins transaction, the expected timing of completion of the separation transactions,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396" w:lineRule="exact"/>
        <w:rPr>
          <w:sz w:val="20"/>
          <w:szCs w:val="20"/>
          <w:color w:val="auto"/>
        </w:rPr>
      </w:pPr>
    </w:p>
    <w:p>
      <w:pPr>
        <w:ind w:left="260" w:right="280" w:hanging="252"/>
        <w:spacing w:after="0" w:line="238" w:lineRule="auto"/>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62" w:lineRule="exact"/>
        <w:rPr>
          <w:rFonts w:ascii="Arial" w:cs="Arial" w:eastAsia="Arial" w:hAnsi="Arial"/>
          <w:sz w:val="17"/>
          <w:szCs w:val="17"/>
          <w:color w:val="FDB03F"/>
        </w:rPr>
      </w:pPr>
    </w:p>
    <w:p>
      <w:pPr>
        <w:ind w:left="260" w:right="320" w:hanging="252"/>
        <w:spacing w:after="0" w:line="246" w:lineRule="auto"/>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challenges in the development, production, delivery, support, performance and realization of the anticipated benefits (including expected returns under customer contracts) of advanced technologies and new products and services;</w:t>
      </w:r>
    </w:p>
    <w:p>
      <w:pPr>
        <w:spacing w:after="0" w:line="156" w:lineRule="exact"/>
        <w:rPr>
          <w:rFonts w:ascii="Arial" w:cs="Arial" w:eastAsia="Arial" w:hAnsi="Arial"/>
          <w:sz w:val="17"/>
          <w:szCs w:val="17"/>
          <w:color w:val="FDB03F"/>
        </w:rPr>
      </w:pPr>
    </w:p>
    <w:p>
      <w:pPr>
        <w:ind w:left="260" w:right="4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scope, nature, impact or timing of the expected separation transactions and other acquisition and divestiture activity, including among other things integration of acquired businesses into UTC's existing businesses and realization of synergies and opportunities for growth and innovation and incurrence of related costs and expenses;</w:t>
      </w:r>
    </w:p>
    <w:p>
      <w:pPr>
        <w:spacing w:after="0" w:line="162" w:lineRule="exact"/>
        <w:rPr>
          <w:rFonts w:ascii="Arial" w:cs="Arial" w:eastAsia="Arial" w:hAnsi="Arial"/>
          <w:sz w:val="17"/>
          <w:szCs w:val="17"/>
          <w:color w:val="FDB03F"/>
        </w:rPr>
      </w:pPr>
    </w:p>
    <w:p>
      <w:pPr>
        <w:ind w:left="260" w:right="340" w:hanging="252"/>
        <w:spacing w:after="0" w:line="246" w:lineRule="auto"/>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future levels of indebtedness, including indebtedness that may be incurred in connection with the expected separation transactions, and capital spending and research and development spending;</w:t>
      </w:r>
    </w:p>
    <w:p>
      <w:pPr>
        <w:spacing w:after="0" w:line="156"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7"/>
          <w:szCs w:val="17"/>
          <w:color w:val="FDB03F"/>
        </w:rPr>
      </w:pPr>
    </w:p>
    <w:p>
      <w:pPr>
        <w:ind w:left="260" w:right="360" w:hanging="252"/>
        <w:spacing w:after="0" w:line="246" w:lineRule="auto"/>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timing and scope of future repurchases of our common stock, which may be suspended at any time due to various factors, including market conditions and the level of other investing activities and uses of cash;</w:t>
      </w:r>
    </w:p>
    <w:p>
      <w:pPr>
        <w:spacing w:after="0" w:line="156"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new business and investment opportunities;</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our ability to realize the intended benefits of organizational changes;</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pension plan assumptions and future contributions;</w:t>
      </w:r>
    </w:p>
    <w:p>
      <w:pPr>
        <w:spacing w:after="0" w:line="171" w:lineRule="exact"/>
        <w:rPr>
          <w:rFonts w:ascii="Arial" w:cs="Arial" w:eastAsia="Arial" w:hAnsi="Arial"/>
          <w:sz w:val="17"/>
          <w:szCs w:val="17"/>
          <w:color w:val="FDB03F"/>
        </w:rPr>
      </w:pPr>
    </w:p>
    <w:p>
      <w:pPr>
        <w:ind w:left="2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7"/>
          <w:szCs w:val="17"/>
          <w:color w:val="FDB03F"/>
        </w:rPr>
      </w:pPr>
    </w:p>
    <w:p>
      <w:pPr>
        <w:ind w:left="260" w:right="60" w:hanging="252"/>
        <w:spacing w:after="0"/>
        <w:tabs>
          <w:tab w:leader="none" w:pos="260" w:val="left"/>
        </w:tabs>
        <w:numPr>
          <w:ilvl w:val="0"/>
          <w:numId w:val="166"/>
        </w:numPr>
        <w:rPr>
          <w:rFonts w:ascii="Arial" w:cs="Arial" w:eastAsia="Arial" w:hAnsi="Arial"/>
          <w:sz w:val="17"/>
          <w:szCs w:val="17"/>
          <w:color w:val="FDB03F"/>
        </w:rPr>
      </w:pPr>
      <w:r>
        <w:rPr>
          <w:rFonts w:ascii="Arial" w:cs="Arial" w:eastAsia="Arial" w:hAnsi="Arial"/>
          <w:sz w:val="18"/>
          <w:szCs w:val="18"/>
          <w:color w:val="auto"/>
        </w:rPr>
        <w:t>the effect of changes in political conditions in the U.S. and other countries in which we operate, including the effect of changes in U.S. trade policies or the U.K.'s pending withdrawal from the European Union, on general market conditions, global trade policies and currency exchange rates in the near term and beyond;</w:t>
      </w:r>
    </w:p>
    <w:p>
      <w:pPr>
        <w:sectPr>
          <w:pgSz w:w="11900" w:h="16838" w:orient="portrait"/>
          <w:cols w:equalWidth="0" w:num="1">
            <w:col w:w="11400"/>
          </w:cols>
          <w:pgMar w:left="240" w:top="121" w:right="259" w:bottom="1440" w:gutter="0" w:footer="0" w:header="0"/>
        </w:sectPr>
      </w:pPr>
    </w:p>
    <w:p>
      <w:pPr>
        <w:spacing w:after="0" w:line="181" w:lineRule="exact"/>
        <w:rPr>
          <w:sz w:val="20"/>
          <w:szCs w:val="20"/>
          <w:color w:val="auto"/>
        </w:rPr>
      </w:pPr>
    </w:p>
    <w:p>
      <w:pPr>
        <w:ind w:left="880" w:hanging="628"/>
        <w:spacing w:after="0"/>
        <w:tabs>
          <w:tab w:leader="none" w:pos="880" w:val="left"/>
        </w:tabs>
        <w:numPr>
          <w:ilvl w:val="0"/>
          <w:numId w:val="167"/>
        </w:numPr>
        <w:rPr>
          <w:rFonts w:ascii="Arial" w:cs="Arial" w:eastAsia="Arial" w:hAnsi="Arial"/>
          <w:sz w:val="16"/>
          <w:szCs w:val="16"/>
          <w:b w:val="1"/>
          <w:bCs w:val="1"/>
          <w:color w:val="FFFFFF"/>
        </w:rPr>
      </w:pPr>
      <w:r>
        <w:rPr>
          <w:rFonts w:ascii="Arial" w:cs="Arial" w:eastAsia="Arial" w:hAnsi="Arial"/>
          <w:sz w:val="13"/>
          <w:szCs w:val="13"/>
          <w:color w:val="0F94D8"/>
        </w:rPr>
        <w:t xml:space="preserve">United Technologies </w:t>
      </w:r>
      <w:r>
        <w:rPr>
          <w:rFonts w:ascii="Arial" w:cs="Arial" w:eastAsia="Arial" w:hAnsi="Arial"/>
          <w:sz w:val="13"/>
          <w:szCs w:val="13"/>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146685</wp:posOffset>
            </wp:positionV>
            <wp:extent cx="1595120" cy="1289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95120" cy="128905"/>
                    </a:xfrm>
                    <a:prstGeom prst="rect">
                      <a:avLst/>
                    </a:prstGeom>
                    <a:noFill/>
                  </pic:spPr>
                </pic:pic>
              </a:graphicData>
            </a:graphic>
          </wp:anchor>
        </w:drawing>
      </w:r>
    </w:p>
    <w:p>
      <w:pPr>
        <w:spacing w:after="0" w:line="22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FFFFFF"/>
        </w:rPr>
        <w:t>OTHER IMPORTANT INFORMATION</w:t>
      </w:r>
    </w:p>
    <w:p>
      <w:pPr>
        <w:spacing w:after="0" w:line="273" w:lineRule="exact"/>
        <w:rPr>
          <w:sz w:val="20"/>
          <w:szCs w:val="20"/>
          <w:color w:val="auto"/>
        </w:rPr>
      </w:pPr>
    </w:p>
    <w:p>
      <w:pPr>
        <w:ind w:left="260" w:right="46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the effect of changes in tax (including the U.S. tax reform enacted on December 22, 2017), environmental, regulatory (including among other things import/export) and other laws and regulations in the U.S. and other countries in which we operate;</w:t>
      </w:r>
    </w:p>
    <w:p>
      <w:pPr>
        <w:spacing w:after="0" w:line="183" w:lineRule="exact"/>
        <w:rPr>
          <w:rFonts w:ascii="Arial" w:cs="Arial" w:eastAsia="Arial" w:hAnsi="Arial"/>
          <w:sz w:val="17"/>
          <w:szCs w:val="17"/>
          <w:color w:val="FDB03F"/>
        </w:rPr>
      </w:pPr>
    </w:p>
    <w:p>
      <w:pPr>
        <w:ind w:left="260" w:right="16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negative effects of the Rockwell Collins acquisition or the announcement or pendency of the separation transactions on the market price of UTC’s common stock and/or on its financial performance;</w:t>
      </w:r>
    </w:p>
    <w:p>
      <w:pPr>
        <w:spacing w:after="0" w:line="183" w:lineRule="exact"/>
        <w:rPr>
          <w:rFonts w:ascii="Arial" w:cs="Arial" w:eastAsia="Arial" w:hAnsi="Arial"/>
          <w:sz w:val="17"/>
          <w:szCs w:val="17"/>
          <w:color w:val="FDB03F"/>
        </w:rPr>
      </w:pPr>
    </w:p>
    <w:p>
      <w:pPr>
        <w:ind w:left="260" w:right="4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risks relating to the integration of Rockwell Collins, including the risk that the integration may be more difficult, time-consuming or costly than expected or may not result in the achievement of estimated synergies within the contemplated time frame or at all;</w:t>
      </w:r>
    </w:p>
    <w:p>
      <w:pPr>
        <w:spacing w:after="0" w:line="183" w:lineRule="exact"/>
        <w:rPr>
          <w:rFonts w:ascii="Arial" w:cs="Arial" w:eastAsia="Arial" w:hAnsi="Arial"/>
          <w:sz w:val="17"/>
          <w:szCs w:val="17"/>
          <w:color w:val="FDB03F"/>
        </w:rPr>
      </w:pPr>
    </w:p>
    <w:p>
      <w:pPr>
        <w:ind w:left="260" w:hanging="252"/>
        <w:spacing w:after="0"/>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our ability to retain and hire key personnel;</w:t>
      </w:r>
    </w:p>
    <w:p>
      <w:pPr>
        <w:spacing w:after="0" w:line="198" w:lineRule="exact"/>
        <w:rPr>
          <w:rFonts w:ascii="Arial" w:cs="Arial" w:eastAsia="Arial" w:hAnsi="Arial"/>
          <w:sz w:val="17"/>
          <w:szCs w:val="17"/>
          <w:color w:val="FDB03F"/>
        </w:rPr>
      </w:pPr>
    </w:p>
    <w:p>
      <w:pPr>
        <w:ind w:left="260" w:right="60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the expected benefits and timing of the separation transactions, and the risk that conditions to the separation transactions will not be satisfied and/or that the separation transactions will not be completed within the expected time frame, on the expected terms or at all;</w:t>
      </w:r>
    </w:p>
    <w:p>
      <w:pPr>
        <w:spacing w:after="0" w:line="183" w:lineRule="exact"/>
        <w:rPr>
          <w:rFonts w:ascii="Arial" w:cs="Arial" w:eastAsia="Arial" w:hAnsi="Arial"/>
          <w:sz w:val="17"/>
          <w:szCs w:val="17"/>
          <w:color w:val="FDB03F"/>
        </w:rPr>
      </w:pPr>
    </w:p>
    <w:p>
      <w:pPr>
        <w:ind w:left="260" w:hanging="252"/>
        <w:spacing w:after="0"/>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the expected qualification of the separation transactions as tax-free transactions for U.S. federal income tax purposes;</w:t>
      </w:r>
    </w:p>
    <w:p>
      <w:pPr>
        <w:spacing w:after="0" w:line="198" w:lineRule="exact"/>
        <w:rPr>
          <w:rFonts w:ascii="Arial" w:cs="Arial" w:eastAsia="Arial" w:hAnsi="Arial"/>
          <w:sz w:val="17"/>
          <w:szCs w:val="17"/>
          <w:color w:val="FDB03F"/>
        </w:rPr>
      </w:pPr>
    </w:p>
    <w:p>
      <w:pPr>
        <w:ind w:left="260" w:right="62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the possibility that any consents or approvals required in connection with the expected separation transactions will not be received or obtained within the expected time frame, on the expected terms or at all;</w:t>
      </w:r>
    </w:p>
    <w:p>
      <w:pPr>
        <w:spacing w:after="0" w:line="183" w:lineRule="exact"/>
        <w:rPr>
          <w:rFonts w:ascii="Arial" w:cs="Arial" w:eastAsia="Arial" w:hAnsi="Arial"/>
          <w:sz w:val="17"/>
          <w:szCs w:val="17"/>
          <w:color w:val="FDB03F"/>
        </w:rPr>
      </w:pPr>
    </w:p>
    <w:p>
      <w:pPr>
        <w:ind w:left="260" w:right="114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expected financing transactions undertaken in connection with the separation transactions and risks associated with additional indebtedness;</w:t>
      </w:r>
    </w:p>
    <w:p>
      <w:pPr>
        <w:spacing w:after="0" w:line="183" w:lineRule="exact"/>
        <w:rPr>
          <w:rFonts w:ascii="Arial" w:cs="Arial" w:eastAsia="Arial" w:hAnsi="Arial"/>
          <w:sz w:val="17"/>
          <w:szCs w:val="17"/>
          <w:color w:val="FDB03F"/>
        </w:rPr>
      </w:pPr>
    </w:p>
    <w:p>
      <w:pPr>
        <w:ind w:left="260" w:right="640" w:hanging="252"/>
        <w:spacing w:after="0" w:line="246" w:lineRule="auto"/>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the risk that dissynergy costs, costs of restructuring transactions and other costs incurred in connection with the expected separation transactions will exceed our estimates; and</w:t>
      </w:r>
    </w:p>
    <w:p>
      <w:pPr>
        <w:spacing w:after="0" w:line="183" w:lineRule="exact"/>
        <w:rPr>
          <w:rFonts w:ascii="Arial" w:cs="Arial" w:eastAsia="Arial" w:hAnsi="Arial"/>
          <w:sz w:val="17"/>
          <w:szCs w:val="17"/>
          <w:color w:val="FDB03F"/>
        </w:rPr>
      </w:pPr>
    </w:p>
    <w:p>
      <w:pPr>
        <w:ind w:left="260" w:right="340" w:hanging="252"/>
        <w:spacing w:after="0"/>
        <w:tabs>
          <w:tab w:leader="none" w:pos="260" w:val="left"/>
        </w:tabs>
        <w:numPr>
          <w:ilvl w:val="0"/>
          <w:numId w:val="168"/>
        </w:numPr>
        <w:rPr>
          <w:rFonts w:ascii="Arial" w:cs="Arial" w:eastAsia="Arial" w:hAnsi="Arial"/>
          <w:sz w:val="17"/>
          <w:szCs w:val="17"/>
          <w:color w:val="FDB03F"/>
        </w:rPr>
      </w:pPr>
      <w:r>
        <w:rPr>
          <w:rFonts w:ascii="Arial" w:cs="Arial" w:eastAsia="Arial" w:hAnsi="Arial"/>
          <w:sz w:val="18"/>
          <w:szCs w:val="18"/>
          <w:color w:val="auto"/>
        </w:rPr>
        <w:t>the impact of the expected separation transactions on our businesses and the risk that the separation transactions may be more difficult, time-consuming or costly than expected, including the impact on our resources, systems, procedures and controls, diversion of management’s attention and the impact on relationships with customers, suppliers, employees and other business counterparties.</w:t>
      </w:r>
    </w:p>
    <w:p>
      <w:pPr>
        <w:spacing w:after="0" w:line="20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addition, our 2018 Annual Report on Form 10-K includes important information as to risks, uncertainties and other factors that may cause actual results to differ materially from those expressed or implied in the forward-looking statements. See the “Notes to Consolidated Financial Statements” under the heading “Note 18: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2018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1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0E93D8"/>
        </w:rPr>
        <w:t xml:space="preserve">Corporate Governance Information, Code of Ethics and How to Contact the Board. </w:t>
      </w:r>
      <w:r>
        <w:rPr>
          <w:rFonts w:ascii="Arial" w:cs="Arial" w:eastAsia="Arial" w:hAnsi="Arial"/>
          <w:sz w:val="16"/>
          <w:szCs w:val="16"/>
          <w:color w:val="000000"/>
        </w:rPr>
        <w:t>UTC’s Corporate Governance Guidelines (and related</w:t>
      </w:r>
      <w:r>
        <w:rPr>
          <w:rFonts w:ascii="Arial" w:cs="Arial" w:eastAsia="Arial" w:hAnsi="Arial"/>
          <w:sz w:val="16"/>
          <w:szCs w:val="16"/>
          <w:color w:val="0E93D8"/>
        </w:rPr>
        <w:t xml:space="preserve"> </w:t>
      </w:r>
      <w:r>
        <w:rPr>
          <w:rFonts w:ascii="Arial" w:cs="Arial" w:eastAsia="Arial" w:hAnsi="Arial"/>
          <w:sz w:val="16"/>
          <w:szCs w:val="16"/>
          <w:color w:val="000000"/>
        </w:rPr>
        <w:t xml:space="preserve">documents), the charters for each Board Committee and UTC’s Code of Ethics are available on UTC’s website provided on page 17. Printed copies will be provided, without charge, to any shareowner upon a request addressed to the Corporate Secretary through the contact information provided on page 81. The Code of Ethics applies to all directors and employees, including the principal executive, financial and accounting officers. Shareowners and other interested persons may send communications to the Board, the Lead Director or one or more independent directors by (i) using the contact information provided on the Corporate Governance section of UTC’s website at www.utc.com, by (ii) letter addressed to the </w:t>
      </w:r>
      <w:r>
        <w:rPr>
          <w:rFonts w:ascii="Arial" w:cs="Arial" w:eastAsia="Arial" w:hAnsi="Arial"/>
          <w:sz w:val="16"/>
          <w:szCs w:val="16"/>
          <w:color w:val="0E93D8"/>
        </w:rPr>
        <w:t>UTC</w:t>
      </w:r>
      <w:r>
        <w:rPr>
          <w:rFonts w:ascii="Arial" w:cs="Arial" w:eastAsia="Arial" w:hAnsi="Arial"/>
          <w:sz w:val="16"/>
          <w:szCs w:val="16"/>
          <w:color w:val="000000"/>
        </w:rPr>
        <w:t xml:space="preserve"> </w:t>
      </w:r>
      <w:r>
        <w:rPr>
          <w:rFonts w:ascii="Arial" w:cs="Arial" w:eastAsia="Arial" w:hAnsi="Arial"/>
          <w:sz w:val="16"/>
          <w:szCs w:val="16"/>
          <w:color w:val="0E93D8"/>
        </w:rPr>
        <w:t xml:space="preserve">Corporate Secretary </w:t>
      </w:r>
      <w:r>
        <w:rPr>
          <w:rFonts w:ascii="Arial" w:cs="Arial" w:eastAsia="Arial" w:hAnsi="Arial"/>
          <w:sz w:val="16"/>
          <w:szCs w:val="16"/>
          <w:color w:val="000000"/>
        </w:rPr>
        <w:t>(see page 81 for contact information), or by (iii) contacting the UTC Ombudsman at</w:t>
      </w:r>
      <w:r>
        <w:rPr>
          <w:rFonts w:ascii="Arial" w:cs="Arial" w:eastAsia="Arial" w:hAnsi="Arial"/>
          <w:sz w:val="16"/>
          <w:szCs w:val="16"/>
          <w:color w:val="0E93D8"/>
        </w:rPr>
        <w:t xml:space="preserve"> 1-800-871-9065</w:t>
      </w:r>
      <w:r>
        <w:rPr>
          <w:rFonts w:ascii="Arial" w:cs="Arial" w:eastAsia="Arial" w:hAnsi="Arial"/>
          <w:sz w:val="16"/>
          <w:szCs w:val="16"/>
          <w:color w:val="000000"/>
        </w:rPr>
        <w:t>. Communications relating</w:t>
      </w:r>
      <w:r>
        <w:rPr>
          <w:rFonts w:ascii="Arial" w:cs="Arial" w:eastAsia="Arial" w:hAnsi="Arial"/>
          <w:sz w:val="16"/>
          <w:szCs w:val="16"/>
          <w:color w:val="0E93D8"/>
        </w:rPr>
        <w:t xml:space="preserve"> </w:t>
      </w:r>
      <w:r>
        <w:rPr>
          <w:rFonts w:ascii="Arial" w:cs="Arial" w:eastAsia="Arial" w:hAnsi="Arial"/>
          <w:sz w:val="16"/>
          <w:szCs w:val="16"/>
          <w:color w:val="000000"/>
        </w:rPr>
        <w:t>to UTC’s accounting, internal controls, auditing matters or business practices will be reviewed by the UTC Global Ethics &amp; Compliance Officer and reported to the Audit Committee pursuant to the UTC Governance Guidelines. All other communications will be reviewed by the UTC Corporate Secretary and reported to the Board, as appropriate, pursuant to the Governance Guidelines.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83</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595120" cy="1289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95120" cy="12890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OTHER IMPORTANT INFORMATION</w:t>
      </w:r>
    </w:p>
    <w:p>
      <w:pPr>
        <w:spacing w:after="0" w:line="251" w:lineRule="exact"/>
        <w:rPr>
          <w:sz w:val="20"/>
          <w:szCs w:val="20"/>
          <w:color w:val="auto"/>
        </w:rPr>
      </w:pPr>
    </w:p>
    <w:p>
      <w:pPr>
        <w:spacing w:after="0" w:line="235" w:lineRule="auto"/>
        <w:rPr>
          <w:sz w:val="20"/>
          <w:szCs w:val="20"/>
          <w:color w:val="auto"/>
        </w:rPr>
      </w:pPr>
      <w:r>
        <w:rPr>
          <w:rFonts w:ascii="Arial" w:cs="Arial" w:eastAsia="Arial" w:hAnsi="Arial"/>
          <w:sz w:val="18"/>
          <w:szCs w:val="18"/>
          <w:color w:val="0E93D8"/>
        </w:rPr>
        <w:t xml:space="preserve">Transactions with Related Persons. </w:t>
      </w:r>
      <w:r>
        <w:rPr>
          <w:rFonts w:ascii="Arial" w:cs="Arial" w:eastAsia="Arial" w:hAnsi="Arial"/>
          <w:sz w:val="18"/>
          <w:szCs w:val="18"/>
          <w:color w:val="000000"/>
        </w:rPr>
        <w:t>UTC has a written policy for the review of transactions with related persons. The Related Person Transactions</w:t>
      </w:r>
      <w:r>
        <w:rPr>
          <w:rFonts w:ascii="Arial" w:cs="Arial" w:eastAsia="Arial" w:hAnsi="Arial"/>
          <w:sz w:val="18"/>
          <w:szCs w:val="18"/>
          <w:color w:val="0E93D8"/>
        </w:rPr>
        <w:t xml:space="preserve"> </w:t>
      </w:r>
      <w:r>
        <w:rPr>
          <w:rFonts w:ascii="Arial" w:cs="Arial" w:eastAsia="Arial" w:hAnsi="Arial"/>
          <w:sz w:val="18"/>
          <w:szCs w:val="18"/>
          <w:color w:val="000000"/>
        </w:rPr>
        <w:t>Policy requires review, approval or ratification of transactions exceeding $120,000 in which UTC is a participant and in which a UTC director, executive officer, a beneficial owner of five percent or more of UTC’s outstanding shares, or an immediate family member of any of the foregoing persons has a direct or indirect material interest. Any such transactions must be reported for review by the UTC Corporate Secretary who will, in consultation with the Corporate Vice President, Global Ethics &amp; Compliance, assess whether the transaction is a transaction with a related person, as such term is defined under UTC’s policy and the relevant SEC rules. Following this review, the Board’s Governance Committee must determine whether the transaction can be approved or not, based on whether the transaction is determined to be in, or not inconsistent with, the best interests of UTC and its shareowners. In making this determination, the Governance Committee must take into consideration whether the transaction is on terms no less favorable to UTC than those available with other parties and the related person’s interest in the transaction. UTC’s policy generally permits employment of relatives of related persons possessing qualifications consistent with UTC’s requirements for non-related persons in similar circumstances, provided the employment is approved by the Executive Vice President &amp; Chief Human Resources Officer and the Corporate Vice President, Global Ethics &amp; Compliance.</w:t>
      </w:r>
    </w:p>
    <w:p>
      <w:pPr>
        <w:spacing w:after="0" w:line="21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State Street Corporation (“State Street”), acting in various fiduciary capacities, filed a Schedule 13G with the SEC reporting that as of December 31, 2018, State Street and certain of its subsidiaries collectively were the beneficial owners of more than five percent of UTC’s outstanding shares of Common Stock. A subsidiary of State Street is the trustee for the UTC Employee Savings Plan Master Trust. Other State Street subsidiaries provide investment management services. During 2018, the UTC Employee Savings Plan Master Trust paid State Street and its subsidiaries approximately $4,761,187 for services as trustee, as investment managers and for administrative and other services.</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BlackRock, Inc. (“BlackRock”) filed a Schedule 13G with the SEC reporting that as of December 31, 2018 BlackRock and certain subsidiaries collectively were the beneficial owners of more than five percent of UTC’s outstanding shares of Common Stock. During 2018, BlackRock acted as an investment manager for certain assets within UTC’s pension plans and employee savings plan. BlackRock received approximately $2,660,794 for such services.</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Maurice Castonguay, an employee of Pratt &amp; Whitney, is the brother-in-law of Robert J. Bailey, UTC’s Corporate Vice President, Controller, and an executive officer of UTC. In 2018, Mr. Castonguay received approximately $185,330 in total compensation, consisting of his salary and participation in employee benefit plans and programs generally made available to employees of similar responsibility levels.</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Sean Dwyer, an employee of Carrier since 2016, is the son-in-law of UTC’s Chairman &amp; CEO, Greg Hayes. In 2018, Mr. Dwyer received approximately $140,999 in total compensation, consisting of his salary and participation in employee benefit plans and programs generally made available to employees of similar responsibility levels.</w:t>
      </w:r>
    </w:p>
    <w:p>
      <w:pPr>
        <w:spacing w:after="0" w:line="20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Garrett Griffiths, an employee of UTC’s Corporate Office, is the son-in-law of Pratt &amp; Whitney President Robert F. Leduc, an executive officer of UTC. In 2018, Mr. Griffiths received approximately $244,549 in total compensation, consisting of his salary and participation in employee benefit plans and programs generally made available to employees of similar responsibility levels.</w:t>
      </w:r>
    </w:p>
    <w:p>
      <w:pPr>
        <w:spacing w:after="0" w:line="20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David Kullman, an employee of Otis since 2016, is the son of Ellen J. Kullman, a UTC Director. In 2018, Mr. Kullman received approximately $127,200 in total compensation, consisting of his salary and participation in employee benefit plans and programs generally made available to employees of similar responsibility levels.</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William M. Sullivan, an employee of Collins Aerospace Systems, is the son-in-law of John V. Faraci, a UTC Director. In 2018, Mr. Sullivan received approximately $203,214 in total compensation, consisting of his salary and participation in employee benefit plans and programs generally made available to employees of similar responsibility levels.</w:t>
      </w:r>
    </w:p>
    <w:p>
      <w:pPr>
        <w:spacing w:after="0" w:line="20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Emiliya S. West, an employee of UTC’s Corporate Office, is the sister-in-law of UTC’s Chairman &amp; CEO, Greg Hayes. In 2018, Ms. West received approximately $136,426 in total compensation, consisting of her salary and participation in employee benefit plans and programs generally made available to employees of similar responsibility levels.</w:t>
      </w:r>
    </w:p>
    <w:p>
      <w:pPr>
        <w:spacing w:after="0" w:line="20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Each of the relationships described above was reviewed and approved in accordance with UTC’s Related Person Transactions Policy, which is available on our website listed on page 17.</w:t>
      </w:r>
    </w:p>
    <w:p>
      <w:pPr>
        <w:spacing w:after="0" w:line="201" w:lineRule="exact"/>
        <w:rPr>
          <w:sz w:val="20"/>
          <w:szCs w:val="20"/>
          <w:color w:val="auto"/>
        </w:rPr>
      </w:pPr>
    </w:p>
    <w:p>
      <w:pPr>
        <w:ind w:left="880" w:hanging="628"/>
        <w:spacing w:after="0"/>
        <w:tabs>
          <w:tab w:leader="none" w:pos="880" w:val="left"/>
        </w:tabs>
        <w:numPr>
          <w:ilvl w:val="0"/>
          <w:numId w:val="169"/>
        </w:numPr>
        <w:rPr>
          <w:rFonts w:ascii="Arial" w:cs="Arial" w:eastAsia="Arial" w:hAnsi="Arial"/>
          <w:sz w:val="18"/>
          <w:szCs w:val="18"/>
          <w:b w:val="1"/>
          <w:bCs w:val="1"/>
          <w:color w:val="FFFFFF"/>
        </w:rPr>
      </w:pPr>
      <w:r>
        <w:rPr>
          <w:rFonts w:ascii="Arial" w:cs="Arial" w:eastAsia="Arial" w:hAnsi="Arial"/>
          <w:sz w:val="14"/>
          <w:szCs w:val="14"/>
          <w:color w:val="0F94D8"/>
        </w:rPr>
        <w:t xml:space="preserve">United Technologies </w:t>
      </w:r>
      <w:r>
        <w:rPr>
          <w:rFonts w:ascii="Arial" w:cs="Arial" w:eastAsia="Arial" w:hAnsi="Arial"/>
          <w:sz w:val="14"/>
          <w:szCs w:val="14"/>
          <w:color w:val="000000"/>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146685</wp:posOffset>
            </wp:positionV>
            <wp:extent cx="1595120" cy="1289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595120" cy="128905"/>
                    </a:xfrm>
                    <a:prstGeom prst="rect">
                      <a:avLst/>
                    </a:prstGeom>
                    <a:noFill/>
                  </pic:spPr>
                </pic:pic>
              </a:graphicData>
            </a:graphic>
          </wp:anchor>
        </w:drawing>
      </w:r>
    </w:p>
    <w:p>
      <w:pPr>
        <w:spacing w:after="0" w:line="22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FFFFFF"/>
        </w:rPr>
        <w:t>OTHER IMPORTANT INFORMATION</w:t>
      </w:r>
    </w:p>
    <w:p>
      <w:pPr>
        <w:spacing w:after="0" w:line="25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0E93D8"/>
        </w:rPr>
        <w:t xml:space="preserve">Section 16(a) Beneficial Ownership Reporting Compliance. </w:t>
      </w:r>
      <w:r>
        <w:rPr>
          <w:rFonts w:ascii="Arial" w:cs="Arial" w:eastAsia="Arial" w:hAnsi="Arial"/>
          <w:sz w:val="18"/>
          <w:szCs w:val="18"/>
          <w:color w:val="000000"/>
        </w:rPr>
        <w:t>Section 16(a) of the Securities Exchange Act of 1934, as amended, requires certain of</w:t>
      </w:r>
      <w:r>
        <w:rPr>
          <w:rFonts w:ascii="Arial" w:cs="Arial" w:eastAsia="Arial" w:hAnsi="Arial"/>
          <w:sz w:val="18"/>
          <w:szCs w:val="18"/>
          <w:color w:val="0E93D8"/>
        </w:rPr>
        <w:t xml:space="preserve"> </w:t>
      </w:r>
      <w:r>
        <w:rPr>
          <w:rFonts w:ascii="Arial" w:cs="Arial" w:eastAsia="Arial" w:hAnsi="Arial"/>
          <w:sz w:val="18"/>
          <w:szCs w:val="18"/>
          <w:color w:val="000000"/>
        </w:rPr>
        <w:t>our officers as well as each director and any beneficial owner of more than 10% of UTC Common Stock to file reports with the SEC regarding their holdings and transactions in UTC’s equity securities. Based upon a review of these reports as filed with the SEC during or with respect to 2018, and upon written confirmation from our directors and officers, we believe that each director and covered officer met these filing requirements, except that there were inadvertent delays in reporting the following: on behalf of Charles D. Gill, Gregory J. Hayes, and Robert F. Leduc we filed late Form 4’s relating to the UTC Common Stock that each acquired through their respective ownership of Rockwell Collins common stock, which was converted to cash and UTC Common Stock when UTC acquired Rockwell Collins in November 2018. UTC is not aware of any beneficial owners of more than 10% of UTC Common Stock for purposes of Section 16(a).</w:t>
      </w:r>
    </w:p>
    <w:p>
      <w:pPr>
        <w:spacing w:after="0" w:line="208"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0E93D8"/>
        </w:rPr>
        <w:t xml:space="preserve">Incorporation by Reference. </w:t>
      </w:r>
      <w:r>
        <w:rPr>
          <w:rFonts w:ascii="Arial" w:cs="Arial" w:eastAsia="Arial" w:hAnsi="Arial"/>
          <w:sz w:val="18"/>
          <w:szCs w:val="18"/>
          <w:color w:val="000000"/>
        </w:rPr>
        <w:t>In connection with our discussion of director and executive compensation, we have incorporated by reference in this</w:t>
      </w:r>
      <w:r>
        <w:rPr>
          <w:rFonts w:ascii="Arial" w:cs="Arial" w:eastAsia="Arial" w:hAnsi="Arial"/>
          <w:sz w:val="18"/>
          <w:szCs w:val="18"/>
          <w:color w:val="0E93D8"/>
        </w:rPr>
        <w:t xml:space="preserve"> </w:t>
      </w:r>
      <w:r>
        <w:rPr>
          <w:rFonts w:ascii="Arial" w:cs="Arial" w:eastAsia="Arial" w:hAnsi="Arial"/>
          <w:sz w:val="18"/>
          <w:szCs w:val="18"/>
          <w:color w:val="000000"/>
        </w:rPr>
        <w:t>Proxy Statement certain information from Note 12: Employee Benefit Plans, to the Consolidated Financial Statements in Exhibit 13 to UTC’s 2018 Annual Report on Form 10-K filed on February 7, 2019; these are the only portions of such filings that are incorporated by reference in this Proxy Statement.</w:t>
      </w:r>
    </w:p>
    <w:p>
      <w:pPr>
        <w:spacing w:after="0" w:line="20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0E93D8"/>
        </w:rPr>
        <w:t xml:space="preserve">Company Names, Trademarks and Trade Names. </w:t>
      </w:r>
      <w:r>
        <w:rPr>
          <w:rFonts w:ascii="Arial" w:cs="Arial" w:eastAsia="Arial" w:hAnsi="Arial"/>
          <w:sz w:val="16"/>
          <w:szCs w:val="16"/>
          <w:color w:val="000000"/>
        </w:rPr>
        <w:t>United Technologies Corporation and its subsidiaries’ names, abbreviations thereof, logos, and</w:t>
      </w:r>
      <w:r>
        <w:rPr>
          <w:rFonts w:ascii="Arial" w:cs="Arial" w:eastAsia="Arial" w:hAnsi="Arial"/>
          <w:sz w:val="16"/>
          <w:szCs w:val="16"/>
          <w:color w:val="0E93D8"/>
        </w:rPr>
        <w:t xml:space="preserve"> </w:t>
      </w:r>
      <w:r>
        <w:rPr>
          <w:rFonts w:ascii="Arial" w:cs="Arial" w:eastAsia="Arial" w:hAnsi="Arial"/>
          <w:sz w:val="16"/>
          <w:szCs w:val="16"/>
          <w:color w:val="000000"/>
        </w:rPr>
        <w:t>product and service designators are either the registered or unregistered trademarks or trade names of United Technologies Corporation and its subsidiaries. Names of other companies and organizations, abbreviations thereof, logos of other companies and organizations, and product and service designators of other companies are either the registered or unregistered trademarks or trade names of their respective owners.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0F94D8"/>
                <w:w w:val="99"/>
              </w:rPr>
              <w:t xml:space="preserve">United Technologies </w:t>
            </w:r>
            <w:r>
              <w:rPr>
                <w:rFonts w:ascii="Arial" w:cs="Arial" w:eastAsia="Arial" w:hAnsi="Arial"/>
                <w:sz w:val="14"/>
                <w:szCs w:val="14"/>
                <w:color w:val="000000"/>
                <w:w w:val="99"/>
              </w:rPr>
              <w:t>Notice of 2019 Annual Meeting of Shareowners and Proxy Statement</w:t>
            </w:r>
          </w:p>
        </w:tc>
        <w:tc>
          <w:tcPr>
            <w:tcW w:w="680" w:type="dxa"/>
            <w:vAlign w:val="bottom"/>
            <w:shd w:val="clear" w:color="auto" w:fill="0F94D8"/>
          </w:tcPr>
          <w:p>
            <w:pPr>
              <w:jc w:val="right"/>
              <w:ind w:right="152"/>
              <w:spacing w:after="0"/>
              <w:rPr>
                <w:sz w:val="20"/>
                <w:szCs w:val="20"/>
                <w:color w:val="auto"/>
              </w:rPr>
            </w:pPr>
            <w:r>
              <w:rPr>
                <w:rFonts w:ascii="Arial" w:cs="Arial" w:eastAsia="Arial" w:hAnsi="Arial"/>
                <w:sz w:val="18"/>
                <w:szCs w:val="18"/>
                <w:b w:val="1"/>
                <w:bCs w:val="1"/>
                <w:color w:val="FFFFFF"/>
              </w:rPr>
              <w:t>85</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APPENDIX A</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616161"/>
        </w:rPr>
        <w:t>Reconciliation</w:t>
      </w:r>
    </w:p>
    <w:p>
      <w:pPr>
        <w:spacing w:after="0" w:line="48"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OF GAAP MEASURES TO CORRESPONDING NON-GAAP MEASURES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616161"/>
        </w:rPr>
        <w:t>RECONCILIATION OF NET SALES (GAAP) TO ADJUSTED NET SALES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-90805</wp:posOffset>
            </wp:positionV>
            <wp:extent cx="3807460" cy="946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07460" cy="9461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b w:val="1"/>
                <w:bCs w:val="1"/>
                <w:color w:val="616161"/>
              </w:rPr>
              <w:t>(dollars in millions)</w:t>
            </w: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616161"/>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616161"/>
              </w:rPr>
              <w:t>2017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616161"/>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0" w:type="dxa"/>
            <w:vAlign w:val="bottom"/>
            <w:shd w:val="clear" w:color="auto" w:fill="D6D6D6"/>
          </w:tcPr>
          <w:p>
            <w:pPr>
              <w:spacing w:after="0"/>
              <w:rPr>
                <w:sz w:val="5"/>
                <w:szCs w:val="5"/>
                <w:color w:val="auto"/>
              </w:rPr>
            </w:pPr>
          </w:p>
        </w:tc>
        <w:tc>
          <w:tcPr>
            <w:tcW w:w="640" w:type="dxa"/>
            <w:vAlign w:val="bottom"/>
            <w:shd w:val="clear" w:color="auto" w:fill="D6D6D6"/>
          </w:tcPr>
          <w:p>
            <w:pPr>
              <w:spacing w:after="0"/>
              <w:rPr>
                <w:sz w:val="5"/>
                <w:szCs w:val="5"/>
                <w:color w:val="auto"/>
              </w:rPr>
            </w:pPr>
          </w:p>
        </w:tc>
        <w:tc>
          <w:tcPr>
            <w:tcW w:w="4480" w:type="dxa"/>
            <w:vAlign w:val="bottom"/>
            <w:shd w:val="clear" w:color="auto" w:fill="D6D6D6"/>
          </w:tcPr>
          <w:p>
            <w:pPr>
              <w:spacing w:after="0"/>
              <w:rPr>
                <w:sz w:val="5"/>
                <w:szCs w:val="5"/>
                <w:color w:val="auto"/>
              </w:rPr>
            </w:pPr>
          </w:p>
        </w:tc>
        <w:tc>
          <w:tcPr>
            <w:tcW w:w="3700" w:type="dxa"/>
            <w:vAlign w:val="bottom"/>
            <w:shd w:val="clear" w:color="auto" w:fill="D6D6D6"/>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616161"/>
          </w:tcPr>
          <w:p>
            <w:pPr>
              <w:spacing w:after="0"/>
              <w:rPr>
                <w:sz w:val="5"/>
                <w:szCs w:val="5"/>
                <w:color w:val="auto"/>
              </w:rPr>
            </w:pPr>
          </w:p>
        </w:tc>
        <w:tc>
          <w:tcPr>
            <w:tcW w:w="40" w:type="dxa"/>
            <w:vAlign w:val="bottom"/>
            <w:shd w:val="clear" w:color="auto" w:fill="616161"/>
          </w:tcPr>
          <w:p>
            <w:pPr>
              <w:spacing w:after="0"/>
              <w:rPr>
                <w:sz w:val="5"/>
                <w:szCs w:val="5"/>
                <w:color w:val="auto"/>
              </w:rPr>
            </w:pPr>
          </w:p>
        </w:tc>
        <w:tc>
          <w:tcPr>
            <w:tcW w:w="100" w:type="dxa"/>
            <w:vAlign w:val="bottom"/>
            <w:tcBorders>
              <w:right w:val="single" w:sz="8" w:color="616161"/>
            </w:tcBorders>
            <w:shd w:val="clear" w:color="auto" w:fill="616161"/>
          </w:tcPr>
          <w:p>
            <w:pPr>
              <w:spacing w:after="0"/>
              <w:rPr>
                <w:sz w:val="5"/>
                <w:szCs w:val="5"/>
                <w:color w:val="auto"/>
              </w:rPr>
            </w:pPr>
          </w:p>
        </w:tc>
        <w:tc>
          <w:tcPr>
            <w:tcW w:w="260" w:type="dxa"/>
            <w:vAlign w:val="bottom"/>
            <w:shd w:val="clear" w:color="auto" w:fill="616161"/>
          </w:tcPr>
          <w:p>
            <w:pPr>
              <w:spacing w:after="0"/>
              <w:rPr>
                <w:sz w:val="5"/>
                <w:szCs w:val="5"/>
                <w:color w:val="auto"/>
              </w:rPr>
            </w:pPr>
          </w:p>
        </w:tc>
        <w:tc>
          <w:tcPr>
            <w:tcW w:w="140" w:type="dxa"/>
            <w:vAlign w:val="bottom"/>
            <w:tcBorders>
              <w:right w:val="single" w:sz="8" w:color="616161"/>
            </w:tcBorders>
          </w:tcPr>
          <w:p>
            <w:pPr>
              <w:spacing w:after="0"/>
              <w:rPr>
                <w:sz w:val="5"/>
                <w:szCs w:val="5"/>
                <w:color w:val="auto"/>
              </w:rPr>
            </w:pPr>
          </w:p>
        </w:tc>
        <w:tc>
          <w:tcPr>
            <w:tcW w:w="120" w:type="dxa"/>
            <w:vAlign w:val="bottom"/>
            <w:tcBorders>
              <w:left w:val="single" w:sz="8" w:color="616161"/>
              <w:right w:val="single" w:sz="8" w:color="616161"/>
            </w:tcBorders>
            <w:shd w:val="clear" w:color="auto" w:fill="616161"/>
          </w:tcPr>
          <w:p>
            <w:pPr>
              <w:spacing w:after="0"/>
              <w:rPr>
                <w:sz w:val="5"/>
                <w:szCs w:val="5"/>
                <w:color w:val="auto"/>
              </w:rPr>
            </w:pPr>
          </w:p>
        </w:tc>
        <w:tc>
          <w:tcPr>
            <w:tcW w:w="340" w:type="dxa"/>
            <w:vAlign w:val="bottom"/>
            <w:shd w:val="clear" w:color="auto" w:fill="616161"/>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616161"/>
            </w:tcBorders>
          </w:tcPr>
          <w:p>
            <w:pPr>
              <w:spacing w:after="0"/>
              <w:rPr>
                <w:sz w:val="5"/>
                <w:szCs w:val="5"/>
                <w:color w:val="auto"/>
              </w:rPr>
            </w:pPr>
          </w:p>
        </w:tc>
        <w:tc>
          <w:tcPr>
            <w:tcW w:w="480" w:type="dxa"/>
            <w:vAlign w:val="bottom"/>
            <w:shd w:val="clear" w:color="auto" w:fill="61616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auto"/>
              </w:rPr>
              <w:t>Net sales</w:t>
            </w: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w w:val="94"/>
              </w:rPr>
              <w:t>$66,501</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$59,837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75"/>
              </w:rPr>
              <w:t>$57,244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4480" w:type="dxa"/>
            <w:vAlign w:val="bottom"/>
            <w:tcBorders>
              <w:bottom w:val="single" w:sz="8" w:color="7C7C7C"/>
            </w:tcBorders>
          </w:tcPr>
          <w:p>
            <w:pPr>
              <w:spacing w:after="0"/>
              <w:rPr>
                <w:sz w:val="3"/>
                <w:szCs w:val="3"/>
                <w:color w:val="auto"/>
              </w:rPr>
            </w:pPr>
          </w:p>
        </w:tc>
        <w:tc>
          <w:tcPr>
            <w:tcW w:w="370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40" w:type="dxa"/>
            <w:vAlign w:val="bottom"/>
            <w:tcBorders>
              <w:bottom w:val="single" w:sz="8" w:color="7C7C7C"/>
            </w:tcBorders>
          </w:tcPr>
          <w:p>
            <w:pPr>
              <w:spacing w:after="0"/>
              <w:rPr>
                <w:sz w:val="3"/>
                <w:szCs w:val="3"/>
                <w:color w:val="auto"/>
              </w:rPr>
            </w:pPr>
          </w:p>
        </w:tc>
        <w:tc>
          <w:tcPr>
            <w:tcW w:w="60" w:type="dxa"/>
            <w:vAlign w:val="bottom"/>
            <w:tcBorders>
              <w:bottom w:val="single" w:sz="8" w:color="7C7C7C"/>
            </w:tcBorders>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b w:val="1"/>
                <w:bCs w:val="1"/>
                <w:color w:val="616161"/>
              </w:rPr>
              <w:t>Adjustments to net sales: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4480" w:type="dxa"/>
            <w:vAlign w:val="bottom"/>
            <w:tcBorders>
              <w:bottom w:val="single" w:sz="8" w:color="7C7C7C"/>
            </w:tcBorders>
          </w:tcPr>
          <w:p>
            <w:pPr>
              <w:spacing w:after="0"/>
              <w:rPr>
                <w:sz w:val="3"/>
                <w:szCs w:val="3"/>
                <w:color w:val="auto"/>
              </w:rPr>
            </w:pPr>
          </w:p>
        </w:tc>
        <w:tc>
          <w:tcPr>
            <w:tcW w:w="370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40" w:type="dxa"/>
            <w:vAlign w:val="bottom"/>
            <w:tcBorders>
              <w:bottom w:val="single" w:sz="8" w:color="7C7C7C"/>
            </w:tcBorders>
          </w:tcPr>
          <w:p>
            <w:pPr>
              <w:spacing w:after="0"/>
              <w:rPr>
                <w:sz w:val="3"/>
                <w:szCs w:val="3"/>
                <w:color w:val="auto"/>
              </w:rPr>
            </w:pPr>
          </w:p>
        </w:tc>
        <w:tc>
          <w:tcPr>
            <w:tcW w:w="60" w:type="dxa"/>
            <w:vAlign w:val="bottom"/>
            <w:tcBorders>
              <w:bottom w:val="single" w:sz="8" w:color="7C7C7C"/>
            </w:tcBorders>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Pratt &amp; Whitney — charge resulting from customer contract matters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$385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4480" w:type="dxa"/>
            <w:vAlign w:val="bottom"/>
            <w:tcBorders>
              <w:bottom w:val="single" w:sz="8" w:color="7C7C7C"/>
            </w:tcBorders>
          </w:tcPr>
          <w:p>
            <w:pPr>
              <w:spacing w:after="0"/>
              <w:rPr>
                <w:sz w:val="3"/>
                <w:szCs w:val="3"/>
                <w:color w:val="auto"/>
              </w:rPr>
            </w:pPr>
          </w:p>
        </w:tc>
        <w:tc>
          <w:tcPr>
            <w:tcW w:w="370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40" w:type="dxa"/>
            <w:vAlign w:val="bottom"/>
            <w:tcBorders>
              <w:bottom w:val="single" w:sz="8" w:color="7C7C7C"/>
            </w:tcBorders>
          </w:tcPr>
          <w:p>
            <w:pPr>
              <w:spacing w:after="0"/>
              <w:rPr>
                <w:sz w:val="3"/>
                <w:szCs w:val="3"/>
                <w:color w:val="auto"/>
              </w:rPr>
            </w:pPr>
          </w:p>
        </w:tc>
        <w:tc>
          <w:tcPr>
            <w:tcW w:w="60" w:type="dxa"/>
            <w:vAlign w:val="bottom"/>
            <w:tcBorders>
              <w:bottom w:val="single" w:sz="8" w:color="7C7C7C"/>
            </w:tcBorders>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20" w:type="dxa"/>
            <w:vAlign w:val="bottom"/>
            <w:tcBorders>
              <w:bottom w:val="single" w:sz="8" w:color="F5F5F5"/>
            </w:tcBorders>
            <w:gridSpan w:val="5"/>
            <w:shd w:val="clear" w:color="auto" w:fill="F5F5F5"/>
          </w:tcPr>
          <w:p>
            <w:pPr>
              <w:ind w:left="60"/>
              <w:spacing w:after="0"/>
              <w:rPr>
                <w:sz w:val="20"/>
                <w:szCs w:val="20"/>
                <w:color w:val="auto"/>
              </w:rPr>
            </w:pPr>
            <w:r>
              <w:rPr>
                <w:rFonts w:ascii="Arial" w:cs="Arial" w:eastAsia="Arial" w:hAnsi="Arial"/>
                <w:sz w:val="14"/>
                <w:szCs w:val="14"/>
                <w:color w:val="auto"/>
              </w:rPr>
              <w:t>Adjusted net sales</w:t>
            </w:r>
          </w:p>
        </w:tc>
        <w:tc>
          <w:tcPr>
            <w:tcW w:w="500" w:type="dxa"/>
            <w:vAlign w:val="bottom"/>
            <w:tcBorders>
              <w:bottom w:val="single" w:sz="8" w:color="F5F5F5"/>
            </w:tcBorders>
            <w:gridSpan w:val="4"/>
            <w:shd w:val="clear" w:color="auto" w:fill="F5F5F5"/>
          </w:tcPr>
          <w:p>
            <w:pPr>
              <w:jc w:val="right"/>
              <w:spacing w:after="0"/>
              <w:rPr>
                <w:sz w:val="20"/>
                <w:szCs w:val="20"/>
                <w:color w:val="auto"/>
              </w:rPr>
            </w:pPr>
            <w:r>
              <w:rPr>
                <w:rFonts w:ascii="Arial" w:cs="Arial" w:eastAsia="Arial" w:hAnsi="Arial"/>
                <w:sz w:val="14"/>
                <w:szCs w:val="14"/>
                <w:color w:val="auto"/>
                <w:w w:val="94"/>
              </w:rPr>
              <w:t>$66,501</w:t>
            </w:r>
          </w:p>
        </w:tc>
        <w:tc>
          <w:tcPr>
            <w:tcW w:w="600" w:type="dxa"/>
            <w:vAlign w:val="bottom"/>
            <w:tcBorders>
              <w:bottom w:val="single" w:sz="8" w:color="F5F5F5"/>
            </w:tcBorders>
            <w:gridSpan w:val="3"/>
            <w:shd w:val="clear" w:color="auto" w:fill="F5F5F5"/>
          </w:tcPr>
          <w:p>
            <w:pPr>
              <w:jc w:val="right"/>
              <w:spacing w:after="0"/>
              <w:rPr>
                <w:sz w:val="20"/>
                <w:szCs w:val="20"/>
                <w:color w:val="auto"/>
              </w:rPr>
            </w:pPr>
            <w:r>
              <w:rPr>
                <w:rFonts w:ascii="Arial" w:cs="Arial" w:eastAsia="Arial" w:hAnsi="Arial"/>
                <w:sz w:val="14"/>
                <w:szCs w:val="14"/>
                <w:color w:val="auto"/>
              </w:rPr>
              <w:t>$60,222</w:t>
            </w:r>
          </w:p>
        </w:tc>
        <w:tc>
          <w:tcPr>
            <w:tcW w:w="60" w:type="dxa"/>
            <w:vAlign w:val="bottom"/>
            <w:tcBorders>
              <w:bottom w:val="single" w:sz="8" w:color="F5F5F5"/>
            </w:tcBorders>
            <w:shd w:val="clear" w:color="auto" w:fill="F5F5F5"/>
          </w:tcPr>
          <w:p>
            <w:pPr>
              <w:spacing w:after="0"/>
              <w:rPr>
                <w:sz w:val="18"/>
                <w:szCs w:val="18"/>
                <w:color w:val="auto"/>
              </w:rPr>
            </w:pPr>
          </w:p>
        </w:tc>
        <w:tc>
          <w:tcPr>
            <w:tcW w:w="20" w:type="dxa"/>
            <w:vAlign w:val="bottom"/>
            <w:tcBorders>
              <w:bottom w:val="single" w:sz="8" w:color="F5F5F5"/>
            </w:tcBorders>
            <w:shd w:val="clear" w:color="auto" w:fill="F5F5F5"/>
          </w:tcPr>
          <w:p>
            <w:pPr>
              <w:spacing w:after="0"/>
              <w:rPr>
                <w:sz w:val="18"/>
                <w:szCs w:val="18"/>
                <w:color w:val="auto"/>
              </w:rPr>
            </w:pPr>
          </w:p>
        </w:tc>
        <w:tc>
          <w:tcPr>
            <w:tcW w:w="120" w:type="dxa"/>
            <w:vAlign w:val="bottom"/>
            <w:tcBorders>
              <w:bottom w:val="single" w:sz="8" w:color="F5F5F5"/>
              <w:right w:val="single" w:sz="8" w:color="F5F5F5"/>
            </w:tcBorders>
            <w:shd w:val="clear" w:color="auto" w:fill="F5F5F5"/>
          </w:tcPr>
          <w:p>
            <w:pPr>
              <w:spacing w:after="0"/>
              <w:rPr>
                <w:sz w:val="18"/>
                <w:szCs w:val="18"/>
                <w:color w:val="auto"/>
              </w:rPr>
            </w:pPr>
          </w:p>
        </w:tc>
        <w:tc>
          <w:tcPr>
            <w:tcW w:w="480" w:type="dxa"/>
            <w:vAlign w:val="bottom"/>
            <w:tcBorders>
              <w:bottom w:val="single" w:sz="8" w:color="F5F5F5"/>
            </w:tcBorders>
            <w:shd w:val="clear" w:color="auto" w:fill="F5F5F5"/>
          </w:tcPr>
          <w:p>
            <w:pPr>
              <w:jc w:val="right"/>
              <w:ind w:right="12"/>
              <w:spacing w:after="0"/>
              <w:rPr>
                <w:sz w:val="20"/>
                <w:szCs w:val="20"/>
                <w:color w:val="auto"/>
              </w:rPr>
            </w:pPr>
            <w:r>
              <w:rPr>
                <w:rFonts w:ascii="Arial" w:cs="Arial" w:eastAsia="Arial" w:hAnsi="Arial"/>
                <w:sz w:val="14"/>
                <w:szCs w:val="14"/>
                <w:color w:val="auto"/>
                <w:w w:val="75"/>
              </w:rPr>
              <w:t>$57,428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gridSpan w:val="2"/>
            <w:shd w:val="clear" w:color="auto" w:fill="616161"/>
          </w:tcPr>
          <w:p>
            <w:pPr>
              <w:spacing w:after="0"/>
              <w:rPr>
                <w:sz w:val="2"/>
                <w:szCs w:val="2"/>
                <w:color w:val="auto"/>
              </w:rPr>
            </w:pPr>
          </w:p>
        </w:tc>
        <w:tc>
          <w:tcPr>
            <w:tcW w:w="4480" w:type="dxa"/>
            <w:vAlign w:val="bottom"/>
            <w:shd w:val="clear" w:color="auto" w:fill="616161"/>
          </w:tcPr>
          <w:p>
            <w:pPr>
              <w:spacing w:after="0"/>
              <w:rPr>
                <w:sz w:val="2"/>
                <w:szCs w:val="2"/>
                <w:color w:val="auto"/>
              </w:rPr>
            </w:pPr>
          </w:p>
        </w:tc>
        <w:tc>
          <w:tcPr>
            <w:tcW w:w="3700" w:type="dxa"/>
            <w:vAlign w:val="bottom"/>
            <w:shd w:val="clear" w:color="auto" w:fill="616161"/>
          </w:tcPr>
          <w:p>
            <w:pPr>
              <w:spacing w:after="0"/>
              <w:rPr>
                <w:sz w:val="2"/>
                <w:szCs w:val="2"/>
                <w:color w:val="auto"/>
              </w:rPr>
            </w:pPr>
          </w:p>
        </w:tc>
        <w:tc>
          <w:tcPr>
            <w:tcW w:w="120" w:type="dxa"/>
            <w:vAlign w:val="bottom"/>
            <w:shd w:val="clear" w:color="auto" w:fill="616161"/>
          </w:tcPr>
          <w:p>
            <w:pPr>
              <w:spacing w:after="0"/>
              <w:rPr>
                <w:sz w:val="2"/>
                <w:szCs w:val="2"/>
                <w:color w:val="auto"/>
              </w:rPr>
            </w:pPr>
          </w:p>
        </w:tc>
        <w:tc>
          <w:tcPr>
            <w:tcW w:w="100" w:type="dxa"/>
            <w:vAlign w:val="bottom"/>
            <w:shd w:val="clear" w:color="auto" w:fill="616161"/>
          </w:tcPr>
          <w:p>
            <w:pPr>
              <w:spacing w:after="0"/>
              <w:rPr>
                <w:sz w:val="2"/>
                <w:szCs w:val="2"/>
                <w:color w:val="auto"/>
              </w:rPr>
            </w:pPr>
          </w:p>
        </w:tc>
        <w:tc>
          <w:tcPr>
            <w:tcW w:w="40" w:type="dxa"/>
            <w:vAlign w:val="bottom"/>
            <w:shd w:val="clear" w:color="auto" w:fill="616161"/>
          </w:tcPr>
          <w:p>
            <w:pPr>
              <w:spacing w:after="0"/>
              <w:rPr>
                <w:sz w:val="2"/>
                <w:szCs w:val="2"/>
                <w:color w:val="auto"/>
              </w:rPr>
            </w:pPr>
          </w:p>
        </w:tc>
        <w:tc>
          <w:tcPr>
            <w:tcW w:w="100" w:type="dxa"/>
            <w:vAlign w:val="bottom"/>
            <w:tcBorders>
              <w:right w:val="single" w:sz="8" w:color="616161"/>
            </w:tcBorders>
            <w:shd w:val="clear" w:color="auto" w:fill="616161"/>
          </w:tcPr>
          <w:p>
            <w:pPr>
              <w:spacing w:after="0"/>
              <w:rPr>
                <w:sz w:val="2"/>
                <w:szCs w:val="2"/>
                <w:color w:val="auto"/>
              </w:rPr>
            </w:pPr>
          </w:p>
        </w:tc>
        <w:tc>
          <w:tcPr>
            <w:tcW w:w="260" w:type="dxa"/>
            <w:vAlign w:val="bottom"/>
            <w:shd w:val="clear" w:color="auto" w:fill="616161"/>
          </w:tcPr>
          <w:p>
            <w:pPr>
              <w:spacing w:after="0"/>
              <w:rPr>
                <w:sz w:val="2"/>
                <w:szCs w:val="2"/>
                <w:color w:val="auto"/>
              </w:rPr>
            </w:pPr>
          </w:p>
        </w:tc>
        <w:tc>
          <w:tcPr>
            <w:tcW w:w="140" w:type="dxa"/>
            <w:vAlign w:val="bottom"/>
            <w:tcBorders>
              <w:right w:val="single" w:sz="8" w:color="616161"/>
            </w:tcBorders>
            <w:shd w:val="clear" w:color="auto" w:fill="616161"/>
          </w:tcPr>
          <w:p>
            <w:pPr>
              <w:spacing w:after="0"/>
              <w:rPr>
                <w:sz w:val="2"/>
                <w:szCs w:val="2"/>
                <w:color w:val="auto"/>
              </w:rPr>
            </w:pPr>
          </w:p>
        </w:tc>
        <w:tc>
          <w:tcPr>
            <w:tcW w:w="120" w:type="dxa"/>
            <w:vAlign w:val="bottom"/>
            <w:tcBorders>
              <w:left w:val="single" w:sz="8" w:color="616161"/>
              <w:right w:val="single" w:sz="8" w:color="616161"/>
            </w:tcBorders>
            <w:shd w:val="clear" w:color="auto" w:fill="616161"/>
          </w:tcPr>
          <w:p>
            <w:pPr>
              <w:spacing w:after="0"/>
              <w:rPr>
                <w:sz w:val="2"/>
                <w:szCs w:val="2"/>
                <w:color w:val="auto"/>
              </w:rPr>
            </w:pPr>
          </w:p>
        </w:tc>
        <w:tc>
          <w:tcPr>
            <w:tcW w:w="340" w:type="dxa"/>
            <w:vAlign w:val="bottom"/>
            <w:shd w:val="clear" w:color="auto" w:fill="616161"/>
          </w:tcPr>
          <w:p>
            <w:pPr>
              <w:spacing w:after="0"/>
              <w:rPr>
                <w:sz w:val="2"/>
                <w:szCs w:val="2"/>
                <w:color w:val="auto"/>
              </w:rPr>
            </w:pPr>
          </w:p>
        </w:tc>
        <w:tc>
          <w:tcPr>
            <w:tcW w:w="60" w:type="dxa"/>
            <w:vAlign w:val="bottom"/>
            <w:shd w:val="clear" w:color="auto" w:fill="616161"/>
          </w:tcPr>
          <w:p>
            <w:pPr>
              <w:spacing w:after="0"/>
              <w:rPr>
                <w:sz w:val="2"/>
                <w:szCs w:val="2"/>
                <w:color w:val="auto"/>
              </w:rPr>
            </w:pPr>
          </w:p>
        </w:tc>
        <w:tc>
          <w:tcPr>
            <w:tcW w:w="20" w:type="dxa"/>
            <w:vAlign w:val="bottom"/>
            <w:shd w:val="clear" w:color="auto" w:fill="616161"/>
          </w:tcPr>
          <w:p>
            <w:pPr>
              <w:spacing w:after="0"/>
              <w:rPr>
                <w:sz w:val="2"/>
                <w:szCs w:val="2"/>
                <w:color w:val="auto"/>
              </w:rPr>
            </w:pPr>
          </w:p>
        </w:tc>
        <w:tc>
          <w:tcPr>
            <w:tcW w:w="120" w:type="dxa"/>
            <w:vAlign w:val="bottom"/>
            <w:tcBorders>
              <w:right w:val="single" w:sz="8" w:color="616161"/>
            </w:tcBorders>
            <w:shd w:val="clear" w:color="auto" w:fill="616161"/>
          </w:tcPr>
          <w:p>
            <w:pPr>
              <w:spacing w:after="0"/>
              <w:rPr>
                <w:sz w:val="2"/>
                <w:szCs w:val="2"/>
                <w:color w:val="auto"/>
              </w:rPr>
            </w:pPr>
          </w:p>
        </w:tc>
        <w:tc>
          <w:tcPr>
            <w:tcW w:w="480" w:type="dxa"/>
            <w:vAlign w:val="bottom"/>
            <w:shd w:val="clear" w:color="auto" w:fill="616161"/>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5"/>
        </w:trPr>
        <w:tc>
          <w:tcPr>
            <w:tcW w:w="9640" w:type="dxa"/>
            <w:vAlign w:val="bottom"/>
            <w:gridSpan w:val="6"/>
          </w:tcPr>
          <w:p>
            <w:pPr>
              <w:spacing w:after="0"/>
              <w:rPr>
                <w:sz w:val="20"/>
                <w:szCs w:val="20"/>
                <w:color w:val="auto"/>
              </w:rPr>
            </w:pPr>
            <w:r>
              <w:rPr>
                <w:rFonts w:ascii="Arial" w:cs="Arial" w:eastAsia="Arial" w:hAnsi="Arial"/>
                <w:sz w:val="14"/>
                <w:szCs w:val="14"/>
                <w:b w:val="1"/>
                <w:bCs w:val="1"/>
                <w:color w:val="616161"/>
              </w:rPr>
              <w:t>RECONCILIATION OF NET INCOME FROM CONTINUING OPERATIONS ATTRIBUTABLE TO COMMON SHAREOWNERS AND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20" w:type="dxa"/>
            <w:vAlign w:val="bottom"/>
            <w:gridSpan w:val="4"/>
          </w:tcPr>
          <w:p>
            <w:pPr>
              <w:spacing w:after="0"/>
              <w:rPr>
                <w:sz w:val="20"/>
                <w:szCs w:val="20"/>
                <w:color w:val="auto"/>
              </w:rPr>
            </w:pPr>
            <w:r>
              <w:rPr>
                <w:rFonts w:ascii="Arial" w:cs="Arial" w:eastAsia="Arial" w:hAnsi="Arial"/>
                <w:sz w:val="14"/>
                <w:szCs w:val="14"/>
                <w:b w:val="1"/>
                <w:bCs w:val="1"/>
                <w:color w:val="616161"/>
                <w:w w:val="97"/>
              </w:rPr>
              <w:t>DILUTED EARNINGS PER SHARE (GAAP) TO CORRESPONDING NON-GAAP MEASURES</w:t>
            </w:r>
          </w:p>
        </w:tc>
        <w:tc>
          <w:tcPr>
            <w:tcW w:w="3820" w:type="dxa"/>
            <w:vAlign w:val="bottom"/>
            <w:gridSpan w:val="2"/>
            <w:shd w:val="clear" w:color="auto" w:fill="E2E2E2"/>
          </w:tcPr>
          <w:p>
            <w:pPr>
              <w:spacing w:after="0"/>
              <w:rPr>
                <w:sz w:val="14"/>
                <w:szCs w:val="14"/>
                <w:color w:val="auto"/>
              </w:rPr>
            </w:pPr>
          </w:p>
        </w:tc>
        <w:tc>
          <w:tcPr>
            <w:tcW w:w="100" w:type="dxa"/>
            <w:vAlign w:val="bottom"/>
            <w:shd w:val="clear" w:color="auto" w:fill="E2E2E2"/>
          </w:tcPr>
          <w:p>
            <w:pPr>
              <w:spacing w:after="0"/>
              <w:rPr>
                <w:sz w:val="14"/>
                <w:szCs w:val="14"/>
                <w:color w:val="auto"/>
              </w:rPr>
            </w:pPr>
          </w:p>
        </w:tc>
        <w:tc>
          <w:tcPr>
            <w:tcW w:w="40" w:type="dxa"/>
            <w:vAlign w:val="bottom"/>
            <w:shd w:val="clear" w:color="auto" w:fill="E2E2E2"/>
          </w:tcPr>
          <w:p>
            <w:pPr>
              <w:spacing w:after="0"/>
              <w:rPr>
                <w:sz w:val="14"/>
                <w:szCs w:val="14"/>
                <w:color w:val="auto"/>
              </w:rPr>
            </w:pPr>
          </w:p>
        </w:tc>
        <w:tc>
          <w:tcPr>
            <w:tcW w:w="100" w:type="dxa"/>
            <w:vAlign w:val="bottom"/>
            <w:tcBorders>
              <w:right w:val="single" w:sz="8" w:color="E2E2E2"/>
            </w:tcBorders>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140" w:type="dxa"/>
            <w:vAlign w:val="bottom"/>
            <w:tcBorders>
              <w:right w:val="single" w:sz="8" w:color="E2E2E2"/>
            </w:tcBorders>
            <w:shd w:val="clear" w:color="auto" w:fill="E2E2E2"/>
          </w:tcPr>
          <w:p>
            <w:pPr>
              <w:spacing w:after="0"/>
              <w:rPr>
                <w:sz w:val="14"/>
                <w:szCs w:val="14"/>
                <w:color w:val="auto"/>
              </w:rPr>
            </w:pPr>
          </w:p>
        </w:tc>
        <w:tc>
          <w:tcPr>
            <w:tcW w:w="120" w:type="dxa"/>
            <w:vAlign w:val="bottom"/>
            <w:tcBorders>
              <w:left w:val="single" w:sz="8" w:color="E2E2E2"/>
              <w:right w:val="single" w:sz="8" w:color="E2E2E2"/>
            </w:tcBorders>
            <w:shd w:val="clear" w:color="auto" w:fill="E2E2E2"/>
          </w:tcPr>
          <w:p>
            <w:pPr>
              <w:spacing w:after="0"/>
              <w:rPr>
                <w:sz w:val="14"/>
                <w:szCs w:val="14"/>
                <w:color w:val="auto"/>
              </w:rPr>
            </w:pPr>
          </w:p>
        </w:tc>
        <w:tc>
          <w:tcPr>
            <w:tcW w:w="3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0" w:type="dxa"/>
            <w:vAlign w:val="bottom"/>
            <w:shd w:val="clear" w:color="auto" w:fill="E2E2E2"/>
          </w:tcPr>
          <w:p>
            <w:pPr>
              <w:spacing w:after="0"/>
              <w:rPr>
                <w:sz w:val="14"/>
                <w:szCs w:val="14"/>
                <w:color w:val="auto"/>
              </w:rPr>
            </w:pPr>
          </w:p>
        </w:tc>
        <w:tc>
          <w:tcPr>
            <w:tcW w:w="120" w:type="dxa"/>
            <w:vAlign w:val="bottom"/>
            <w:tcBorders>
              <w:right w:val="single" w:sz="8" w:color="E2E2E2"/>
            </w:tcBorders>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b w:val="1"/>
                <w:bCs w:val="1"/>
                <w:color w:val="616161"/>
              </w:rPr>
              <w:t>(dollars in millions, except per share amounts)</w:t>
            </w:r>
          </w:p>
        </w:tc>
        <w:tc>
          <w:tcPr>
            <w:tcW w:w="640" w:type="dxa"/>
            <w:vAlign w:val="bottom"/>
            <w:gridSpan w:val="5"/>
          </w:tcPr>
          <w:p>
            <w:pPr>
              <w:jc w:val="right"/>
              <w:spacing w:after="0"/>
              <w:rPr>
                <w:sz w:val="20"/>
                <w:szCs w:val="20"/>
                <w:color w:val="auto"/>
              </w:rPr>
            </w:pPr>
            <w:r>
              <w:rPr>
                <w:rFonts w:ascii="Arial" w:cs="Arial" w:eastAsia="Arial" w:hAnsi="Arial"/>
                <w:sz w:val="14"/>
                <w:szCs w:val="14"/>
                <w:b w:val="1"/>
                <w:bCs w:val="1"/>
                <w:color w:val="616161"/>
              </w:rPr>
              <w:t>2018</w:t>
            </w:r>
          </w:p>
        </w:tc>
        <w:tc>
          <w:tcPr>
            <w:tcW w:w="1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616161"/>
              </w:rPr>
              <w:t>2017</w:t>
            </w:r>
          </w:p>
        </w:tc>
        <w:tc>
          <w:tcPr>
            <w:tcW w:w="120" w:type="dxa"/>
            <w:vAlign w:val="bottom"/>
          </w:tcPr>
          <w:p>
            <w:pPr>
              <w:spacing w:after="0"/>
              <w:rPr>
                <w:sz w:val="24"/>
                <w:szCs w:val="2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616161"/>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20" w:type="dxa"/>
            <w:vAlign w:val="bottom"/>
            <w:gridSpan w:val="2"/>
            <w:shd w:val="clear" w:color="auto" w:fill="D6D6D6"/>
          </w:tcPr>
          <w:p>
            <w:pPr>
              <w:spacing w:after="0"/>
              <w:rPr>
                <w:sz w:val="5"/>
                <w:szCs w:val="5"/>
                <w:color w:val="auto"/>
              </w:rPr>
            </w:pPr>
          </w:p>
        </w:tc>
        <w:tc>
          <w:tcPr>
            <w:tcW w:w="8300" w:type="dxa"/>
            <w:vAlign w:val="bottom"/>
            <w:gridSpan w:val="3"/>
            <w:shd w:val="clear" w:color="auto" w:fill="D6D6D6"/>
          </w:tcPr>
          <w:p>
            <w:pPr>
              <w:spacing w:after="0"/>
              <w:rPr>
                <w:sz w:val="5"/>
                <w:szCs w:val="5"/>
                <w:color w:val="auto"/>
              </w:rPr>
            </w:pPr>
          </w:p>
        </w:tc>
        <w:tc>
          <w:tcPr>
            <w:tcW w:w="100" w:type="dxa"/>
            <w:vAlign w:val="bottom"/>
            <w:shd w:val="clear" w:color="auto" w:fill="D6D6D6"/>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616161"/>
            </w:tcBorders>
          </w:tcPr>
          <w:p>
            <w:pPr>
              <w:spacing w:after="0"/>
              <w:rPr>
                <w:sz w:val="5"/>
                <w:szCs w:val="5"/>
                <w:color w:val="auto"/>
              </w:rPr>
            </w:pPr>
          </w:p>
        </w:tc>
        <w:tc>
          <w:tcPr>
            <w:tcW w:w="400" w:type="dxa"/>
            <w:vAlign w:val="bottom"/>
            <w:tcBorders>
              <w:right w:val="single" w:sz="8" w:color="616161"/>
            </w:tcBorders>
            <w:gridSpan w:val="2"/>
            <w:shd w:val="clear" w:color="auto" w:fill="616161"/>
          </w:tcPr>
          <w:p>
            <w:pPr>
              <w:spacing w:after="0"/>
              <w:rPr>
                <w:sz w:val="5"/>
                <w:szCs w:val="5"/>
                <w:color w:val="auto"/>
              </w:rPr>
            </w:pPr>
          </w:p>
        </w:tc>
        <w:tc>
          <w:tcPr>
            <w:tcW w:w="120" w:type="dxa"/>
            <w:vAlign w:val="bottom"/>
            <w:tcBorders>
              <w:right w:val="single" w:sz="8" w:color="616161"/>
            </w:tcBorders>
          </w:tcPr>
          <w:p>
            <w:pPr>
              <w:spacing w:after="0"/>
              <w:rPr>
                <w:sz w:val="5"/>
                <w:szCs w:val="5"/>
                <w:color w:val="auto"/>
              </w:rPr>
            </w:pPr>
          </w:p>
        </w:tc>
        <w:tc>
          <w:tcPr>
            <w:tcW w:w="400" w:type="dxa"/>
            <w:vAlign w:val="bottom"/>
            <w:gridSpan w:val="2"/>
            <w:shd w:val="clear" w:color="auto" w:fill="616161"/>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616161"/>
            </w:tcBorders>
          </w:tcPr>
          <w:p>
            <w:pPr>
              <w:spacing w:after="0"/>
              <w:rPr>
                <w:sz w:val="5"/>
                <w:szCs w:val="5"/>
                <w:color w:val="auto"/>
              </w:rPr>
            </w:pPr>
          </w:p>
        </w:tc>
        <w:tc>
          <w:tcPr>
            <w:tcW w:w="480" w:type="dxa"/>
            <w:vAlign w:val="bottom"/>
            <w:shd w:val="clear" w:color="auto" w:fill="61616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Net income attributable to common shareowners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$5,269</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w w:val="88"/>
              </w:rPr>
              <w:t>$4,552</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$5,055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Less: Income (loss) from discontinued operations attributable to common shareowners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Borders>
              <w:bottom w:val="single" w:sz="8" w:color="616161"/>
            </w:tcBorders>
            <w:gridSpan w:val="2"/>
          </w:tcPr>
          <w:p>
            <w:pPr>
              <w:spacing w:after="0"/>
              <w:rPr>
                <w:sz w:val="4"/>
                <w:szCs w:val="4"/>
                <w:color w:val="auto"/>
              </w:rPr>
            </w:pPr>
          </w:p>
        </w:tc>
        <w:tc>
          <w:tcPr>
            <w:tcW w:w="8300" w:type="dxa"/>
            <w:vAlign w:val="bottom"/>
            <w:tcBorders>
              <w:bottom w:val="single" w:sz="8" w:color="616161"/>
            </w:tcBorders>
            <w:gridSpan w:val="3"/>
          </w:tcPr>
          <w:p>
            <w:pPr>
              <w:spacing w:after="0"/>
              <w:rPr>
                <w:sz w:val="4"/>
                <w:szCs w:val="4"/>
                <w:color w:val="auto"/>
              </w:rPr>
            </w:pPr>
          </w:p>
        </w:tc>
        <w:tc>
          <w:tcPr>
            <w:tcW w:w="100" w:type="dxa"/>
            <w:vAlign w:val="bottom"/>
            <w:tcBorders>
              <w:bottom w:val="single" w:sz="8" w:color="616161"/>
            </w:tcBorders>
          </w:tcPr>
          <w:p>
            <w:pPr>
              <w:spacing w:after="0"/>
              <w:rPr>
                <w:sz w:val="4"/>
                <w:szCs w:val="4"/>
                <w:color w:val="auto"/>
              </w:rPr>
            </w:pPr>
          </w:p>
        </w:tc>
        <w:tc>
          <w:tcPr>
            <w:tcW w:w="40" w:type="dxa"/>
            <w:vAlign w:val="bottom"/>
            <w:tcBorders>
              <w:bottom w:val="single" w:sz="8" w:color="616161"/>
            </w:tcBorders>
          </w:tcPr>
          <w:p>
            <w:pPr>
              <w:spacing w:after="0"/>
              <w:rPr>
                <w:sz w:val="4"/>
                <w:szCs w:val="4"/>
                <w:color w:val="auto"/>
              </w:rPr>
            </w:pPr>
          </w:p>
        </w:tc>
        <w:tc>
          <w:tcPr>
            <w:tcW w:w="100" w:type="dxa"/>
            <w:vAlign w:val="bottom"/>
            <w:tcBorders>
              <w:bottom w:val="single" w:sz="8" w:color="616161"/>
            </w:tcBorders>
          </w:tcPr>
          <w:p>
            <w:pPr>
              <w:spacing w:after="0"/>
              <w:rPr>
                <w:sz w:val="4"/>
                <w:szCs w:val="4"/>
                <w:color w:val="auto"/>
              </w:rPr>
            </w:pPr>
          </w:p>
        </w:tc>
        <w:tc>
          <w:tcPr>
            <w:tcW w:w="400" w:type="dxa"/>
            <w:vAlign w:val="bottom"/>
            <w:tcBorders>
              <w:bottom w:val="single" w:sz="8" w:color="616161"/>
            </w:tcBorders>
            <w:gridSpan w:val="2"/>
          </w:tcPr>
          <w:p>
            <w:pPr>
              <w:spacing w:after="0"/>
              <w:rPr>
                <w:sz w:val="4"/>
                <w:szCs w:val="4"/>
                <w:color w:val="auto"/>
              </w:rPr>
            </w:pPr>
          </w:p>
        </w:tc>
        <w:tc>
          <w:tcPr>
            <w:tcW w:w="120" w:type="dxa"/>
            <w:vAlign w:val="bottom"/>
            <w:tcBorders>
              <w:bottom w:val="single" w:sz="8" w:color="616161"/>
            </w:tcBorders>
          </w:tcPr>
          <w:p>
            <w:pPr>
              <w:spacing w:after="0"/>
              <w:rPr>
                <w:sz w:val="4"/>
                <w:szCs w:val="4"/>
                <w:color w:val="auto"/>
              </w:rPr>
            </w:pPr>
          </w:p>
        </w:tc>
        <w:tc>
          <w:tcPr>
            <w:tcW w:w="400" w:type="dxa"/>
            <w:vAlign w:val="bottom"/>
            <w:tcBorders>
              <w:bottom w:val="single" w:sz="8" w:color="616161"/>
            </w:tcBorders>
            <w:gridSpan w:val="2"/>
          </w:tcPr>
          <w:p>
            <w:pPr>
              <w:spacing w:after="0"/>
              <w:rPr>
                <w:sz w:val="4"/>
                <w:szCs w:val="4"/>
                <w:color w:val="auto"/>
              </w:rPr>
            </w:pPr>
          </w:p>
        </w:tc>
        <w:tc>
          <w:tcPr>
            <w:tcW w:w="20" w:type="dxa"/>
            <w:vAlign w:val="bottom"/>
            <w:tcBorders>
              <w:bottom w:val="single" w:sz="8" w:color="616161"/>
            </w:tcBorders>
          </w:tcPr>
          <w:p>
            <w:pPr>
              <w:spacing w:after="0"/>
              <w:rPr>
                <w:sz w:val="4"/>
                <w:szCs w:val="4"/>
                <w:color w:val="auto"/>
              </w:rPr>
            </w:pPr>
          </w:p>
        </w:tc>
        <w:tc>
          <w:tcPr>
            <w:tcW w:w="120" w:type="dxa"/>
            <w:vAlign w:val="bottom"/>
            <w:tcBorders>
              <w:bottom w:val="single" w:sz="8" w:color="616161"/>
            </w:tcBorders>
          </w:tcPr>
          <w:p>
            <w:pPr>
              <w:spacing w:after="0"/>
              <w:rPr>
                <w:sz w:val="4"/>
                <w:szCs w:val="4"/>
                <w:color w:val="auto"/>
              </w:rPr>
            </w:pPr>
          </w:p>
        </w:tc>
        <w:tc>
          <w:tcPr>
            <w:tcW w:w="480" w:type="dxa"/>
            <w:vAlign w:val="bottom"/>
            <w:tcBorders>
              <w:bottom w:val="single" w:sz="8" w:color="616161"/>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Net income from continuing operations attributable to common shareowners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$5,269</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w w:val="88"/>
              </w:rPr>
              <w:t>$4,552</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$5,065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340" w:type="dxa"/>
            <w:vAlign w:val="bottom"/>
            <w:tcBorders>
              <w:bottom w:val="single" w:sz="8" w:color="7C7C7C"/>
            </w:tcBorders>
          </w:tcPr>
          <w:p>
            <w:pPr>
              <w:spacing w:after="0"/>
              <w:rPr>
                <w:sz w:val="3"/>
                <w:szCs w:val="3"/>
                <w:color w:val="auto"/>
              </w:rPr>
            </w:pPr>
          </w:p>
        </w:tc>
        <w:tc>
          <w:tcPr>
            <w:tcW w:w="60" w:type="dxa"/>
            <w:vAlign w:val="bottom"/>
            <w:tcBorders>
              <w:bottom w:val="single" w:sz="8" w:color="7C7C7C"/>
            </w:tcBorders>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b w:val="1"/>
                <w:bCs w:val="1"/>
                <w:color w:val="616161"/>
              </w:rPr>
              <w:t>Adjustments to net income from continuing operations attributable to common shareowners: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Restructuring costs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Significant non-recurring and non-operational charges (gains)</w:t>
            </w:r>
          </w:p>
        </w:tc>
        <w:tc>
          <w:tcPr>
            <w:tcW w:w="1160" w:type="dxa"/>
            <w:vAlign w:val="bottom"/>
            <w:gridSpan w:val="8"/>
          </w:tcPr>
          <w:p>
            <w:pPr>
              <w:jc w:val="right"/>
              <w:spacing w:after="0"/>
              <w:rPr>
                <w:sz w:val="20"/>
                <w:szCs w:val="20"/>
                <w:color w:val="auto"/>
              </w:rPr>
            </w:pPr>
            <w:r>
              <w:rPr>
                <w:rFonts w:ascii="Arial" w:cs="Arial" w:eastAsia="Arial" w:hAnsi="Arial"/>
                <w:sz w:val="14"/>
                <w:szCs w:val="14"/>
                <w:color w:val="auto"/>
              </w:rPr>
              <w:t>($214)  ($143)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Significant non-recurring and non-operational items included in net interest expense</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Income tax expense (benefit) on restructuring costs and significant non-recurring and non-operational items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93"/>
              </w:rPr>
              <w:t>($354)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Significant non-recurring and non-operational charges (gains) recorded within income tax expense</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93"/>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Significant non-recurring and non-operational items included in noncontrolling interest</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Total adjustments to net income from continuing operations attributable to common shareowners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Borders>
              <w:bottom w:val="single" w:sz="8" w:color="616161"/>
            </w:tcBorders>
            <w:gridSpan w:val="2"/>
          </w:tcPr>
          <w:p>
            <w:pPr>
              <w:spacing w:after="0"/>
              <w:rPr>
                <w:sz w:val="4"/>
                <w:szCs w:val="4"/>
                <w:color w:val="auto"/>
              </w:rPr>
            </w:pPr>
          </w:p>
        </w:tc>
        <w:tc>
          <w:tcPr>
            <w:tcW w:w="8300" w:type="dxa"/>
            <w:vAlign w:val="bottom"/>
            <w:tcBorders>
              <w:bottom w:val="single" w:sz="8" w:color="616161"/>
            </w:tcBorders>
            <w:gridSpan w:val="3"/>
          </w:tcPr>
          <w:p>
            <w:pPr>
              <w:spacing w:after="0"/>
              <w:rPr>
                <w:sz w:val="4"/>
                <w:szCs w:val="4"/>
                <w:color w:val="auto"/>
              </w:rPr>
            </w:pPr>
          </w:p>
        </w:tc>
        <w:tc>
          <w:tcPr>
            <w:tcW w:w="100" w:type="dxa"/>
            <w:vAlign w:val="bottom"/>
            <w:tcBorders>
              <w:bottom w:val="single" w:sz="8" w:color="616161"/>
            </w:tcBorders>
          </w:tcPr>
          <w:p>
            <w:pPr>
              <w:spacing w:after="0"/>
              <w:rPr>
                <w:sz w:val="4"/>
                <w:szCs w:val="4"/>
                <w:color w:val="auto"/>
              </w:rPr>
            </w:pPr>
          </w:p>
        </w:tc>
        <w:tc>
          <w:tcPr>
            <w:tcW w:w="40" w:type="dxa"/>
            <w:vAlign w:val="bottom"/>
            <w:tcBorders>
              <w:bottom w:val="single" w:sz="8" w:color="616161"/>
            </w:tcBorders>
          </w:tcPr>
          <w:p>
            <w:pPr>
              <w:spacing w:after="0"/>
              <w:rPr>
                <w:sz w:val="4"/>
                <w:szCs w:val="4"/>
                <w:color w:val="auto"/>
              </w:rPr>
            </w:pPr>
          </w:p>
        </w:tc>
        <w:tc>
          <w:tcPr>
            <w:tcW w:w="100" w:type="dxa"/>
            <w:vAlign w:val="bottom"/>
            <w:tcBorders>
              <w:bottom w:val="single" w:sz="8" w:color="616161"/>
            </w:tcBorders>
          </w:tcPr>
          <w:p>
            <w:pPr>
              <w:spacing w:after="0"/>
              <w:rPr>
                <w:sz w:val="4"/>
                <w:szCs w:val="4"/>
                <w:color w:val="auto"/>
              </w:rPr>
            </w:pPr>
          </w:p>
        </w:tc>
        <w:tc>
          <w:tcPr>
            <w:tcW w:w="400" w:type="dxa"/>
            <w:vAlign w:val="bottom"/>
            <w:tcBorders>
              <w:bottom w:val="single" w:sz="8" w:color="616161"/>
            </w:tcBorders>
            <w:gridSpan w:val="2"/>
          </w:tcPr>
          <w:p>
            <w:pPr>
              <w:spacing w:after="0"/>
              <w:rPr>
                <w:sz w:val="4"/>
                <w:szCs w:val="4"/>
                <w:color w:val="auto"/>
              </w:rPr>
            </w:pPr>
          </w:p>
        </w:tc>
        <w:tc>
          <w:tcPr>
            <w:tcW w:w="120" w:type="dxa"/>
            <w:vAlign w:val="bottom"/>
            <w:tcBorders>
              <w:bottom w:val="single" w:sz="8" w:color="616161"/>
            </w:tcBorders>
          </w:tcPr>
          <w:p>
            <w:pPr>
              <w:spacing w:after="0"/>
              <w:rPr>
                <w:sz w:val="4"/>
                <w:szCs w:val="4"/>
                <w:color w:val="auto"/>
              </w:rPr>
            </w:pPr>
          </w:p>
        </w:tc>
        <w:tc>
          <w:tcPr>
            <w:tcW w:w="400" w:type="dxa"/>
            <w:vAlign w:val="bottom"/>
            <w:tcBorders>
              <w:bottom w:val="single" w:sz="8" w:color="616161"/>
            </w:tcBorders>
            <w:gridSpan w:val="2"/>
          </w:tcPr>
          <w:p>
            <w:pPr>
              <w:spacing w:after="0"/>
              <w:rPr>
                <w:sz w:val="4"/>
                <w:szCs w:val="4"/>
                <w:color w:val="auto"/>
              </w:rPr>
            </w:pPr>
          </w:p>
        </w:tc>
        <w:tc>
          <w:tcPr>
            <w:tcW w:w="20" w:type="dxa"/>
            <w:vAlign w:val="bottom"/>
            <w:tcBorders>
              <w:bottom w:val="single" w:sz="8" w:color="616161"/>
            </w:tcBorders>
          </w:tcPr>
          <w:p>
            <w:pPr>
              <w:spacing w:after="0"/>
              <w:rPr>
                <w:sz w:val="4"/>
                <w:szCs w:val="4"/>
                <w:color w:val="auto"/>
              </w:rPr>
            </w:pPr>
          </w:p>
        </w:tc>
        <w:tc>
          <w:tcPr>
            <w:tcW w:w="120" w:type="dxa"/>
            <w:vAlign w:val="bottom"/>
            <w:tcBorders>
              <w:bottom w:val="single" w:sz="8" w:color="616161"/>
            </w:tcBorders>
          </w:tcPr>
          <w:p>
            <w:pPr>
              <w:spacing w:after="0"/>
              <w:rPr>
                <w:sz w:val="4"/>
                <w:szCs w:val="4"/>
                <w:color w:val="auto"/>
              </w:rPr>
            </w:pPr>
          </w:p>
        </w:tc>
        <w:tc>
          <w:tcPr>
            <w:tcW w:w="480" w:type="dxa"/>
            <w:vAlign w:val="bottom"/>
            <w:tcBorders>
              <w:bottom w:val="single" w:sz="8" w:color="616161"/>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620" w:type="dxa"/>
            <w:vAlign w:val="bottom"/>
            <w:tcBorders>
              <w:bottom w:val="single" w:sz="8" w:color="F5F5F5"/>
            </w:tcBorders>
            <w:gridSpan w:val="5"/>
            <w:shd w:val="clear" w:color="auto" w:fill="F5F5F5"/>
          </w:tcPr>
          <w:p>
            <w:pPr>
              <w:ind w:left="60"/>
              <w:spacing w:after="0"/>
              <w:rPr>
                <w:sz w:val="20"/>
                <w:szCs w:val="20"/>
                <w:color w:val="auto"/>
              </w:rPr>
            </w:pPr>
            <w:r>
              <w:rPr>
                <w:rFonts w:ascii="Arial" w:cs="Arial" w:eastAsia="Arial" w:hAnsi="Arial"/>
                <w:sz w:val="14"/>
                <w:szCs w:val="14"/>
                <w:color w:val="auto"/>
              </w:rPr>
              <w:t>Adjusted net income from continuing operations attributable to common shareowners</w:t>
            </w:r>
          </w:p>
        </w:tc>
        <w:tc>
          <w:tcPr>
            <w:tcW w:w="640" w:type="dxa"/>
            <w:vAlign w:val="bottom"/>
            <w:tcBorders>
              <w:bottom w:val="single" w:sz="8" w:color="F5F5F5"/>
              <w:right w:val="single" w:sz="8" w:color="F5F5F5"/>
            </w:tcBorders>
            <w:gridSpan w:val="5"/>
            <w:shd w:val="clear" w:color="auto" w:fill="F5F5F5"/>
          </w:tcPr>
          <w:p>
            <w:pPr>
              <w:jc w:val="right"/>
              <w:spacing w:after="0"/>
              <w:rPr>
                <w:sz w:val="20"/>
                <w:szCs w:val="20"/>
                <w:color w:val="auto"/>
              </w:rPr>
            </w:pPr>
            <w:r>
              <w:rPr>
                <w:rFonts w:ascii="Arial" w:cs="Arial" w:eastAsia="Arial" w:hAnsi="Arial"/>
                <w:sz w:val="14"/>
                <w:szCs w:val="14"/>
                <w:color w:val="auto"/>
              </w:rPr>
              <w:t>$6,165</w:t>
            </w:r>
          </w:p>
        </w:tc>
        <w:tc>
          <w:tcPr>
            <w:tcW w:w="120" w:type="dxa"/>
            <w:vAlign w:val="bottom"/>
            <w:tcBorders>
              <w:left w:val="single" w:sz="8" w:color="F5F5F5"/>
              <w:bottom w:val="single" w:sz="8" w:color="F5F5F5"/>
              <w:right w:val="single" w:sz="8" w:color="F5F5F5"/>
            </w:tcBorders>
            <w:shd w:val="clear" w:color="auto" w:fill="F5F5F5"/>
          </w:tcPr>
          <w:p>
            <w:pPr>
              <w:spacing w:after="0"/>
              <w:rPr>
                <w:sz w:val="21"/>
                <w:szCs w:val="21"/>
                <w:color w:val="auto"/>
              </w:rPr>
            </w:pPr>
          </w:p>
        </w:tc>
        <w:tc>
          <w:tcPr>
            <w:tcW w:w="420" w:type="dxa"/>
            <w:vAlign w:val="bottom"/>
            <w:tcBorders>
              <w:bottom w:val="single" w:sz="8" w:color="F5F5F5"/>
            </w:tcBorders>
            <w:gridSpan w:val="3"/>
            <w:shd w:val="clear" w:color="auto" w:fill="F5F5F5"/>
          </w:tcPr>
          <w:p>
            <w:pPr>
              <w:jc w:val="right"/>
              <w:ind w:right="20"/>
              <w:spacing w:after="0"/>
              <w:rPr>
                <w:sz w:val="20"/>
                <w:szCs w:val="20"/>
                <w:color w:val="auto"/>
              </w:rPr>
            </w:pPr>
            <w:r>
              <w:rPr>
                <w:rFonts w:ascii="Arial" w:cs="Arial" w:eastAsia="Arial" w:hAnsi="Arial"/>
                <w:sz w:val="14"/>
                <w:szCs w:val="14"/>
                <w:color w:val="auto"/>
                <w:w w:val="88"/>
              </w:rPr>
              <w:t>$5,315</w:t>
            </w:r>
          </w:p>
        </w:tc>
        <w:tc>
          <w:tcPr>
            <w:tcW w:w="120" w:type="dxa"/>
            <w:vAlign w:val="bottom"/>
            <w:tcBorders>
              <w:bottom w:val="single" w:sz="8" w:color="F5F5F5"/>
              <w:right w:val="single" w:sz="8" w:color="F5F5F5"/>
            </w:tcBorders>
            <w:shd w:val="clear" w:color="auto" w:fill="F5F5F5"/>
          </w:tcPr>
          <w:p>
            <w:pPr>
              <w:spacing w:after="0"/>
              <w:rPr>
                <w:sz w:val="21"/>
                <w:szCs w:val="21"/>
                <w:color w:val="auto"/>
              </w:rPr>
            </w:pPr>
          </w:p>
        </w:tc>
        <w:tc>
          <w:tcPr>
            <w:tcW w:w="480" w:type="dxa"/>
            <w:vAlign w:val="bottom"/>
            <w:tcBorders>
              <w:bottom w:val="single" w:sz="8" w:color="F5F5F5"/>
            </w:tcBorders>
            <w:shd w:val="clear" w:color="auto" w:fill="F5F5F5"/>
          </w:tcPr>
          <w:p>
            <w:pPr>
              <w:jc w:val="right"/>
              <w:ind w:right="12"/>
              <w:spacing w:after="0"/>
              <w:rPr>
                <w:sz w:val="20"/>
                <w:szCs w:val="20"/>
                <w:color w:val="auto"/>
              </w:rPr>
            </w:pPr>
            <w:r>
              <w:rPr>
                <w:rFonts w:ascii="Arial" w:cs="Arial" w:eastAsia="Arial" w:hAnsi="Arial"/>
                <w:sz w:val="14"/>
                <w:szCs w:val="14"/>
                <w:color w:val="auto"/>
                <w:w w:val="88"/>
              </w:rPr>
              <w:t>$5,460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tcBorders>
              <w:top w:val="single" w:sz="8" w:color="7C7C7C"/>
            </w:tcBorders>
            <w:gridSpan w:val="5"/>
          </w:tcPr>
          <w:p>
            <w:pPr>
              <w:ind w:left="60"/>
              <w:spacing w:after="0"/>
              <w:rPr>
                <w:sz w:val="20"/>
                <w:szCs w:val="20"/>
                <w:color w:val="auto"/>
              </w:rPr>
            </w:pPr>
            <w:r>
              <w:rPr>
                <w:rFonts w:ascii="Arial" w:cs="Arial" w:eastAsia="Arial" w:hAnsi="Arial"/>
                <w:sz w:val="14"/>
                <w:szCs w:val="14"/>
                <w:color w:val="auto"/>
              </w:rPr>
              <w:t>Weighted average diluted shares outstanding</w:t>
            </w:r>
          </w:p>
        </w:tc>
        <w:tc>
          <w:tcPr>
            <w:tcW w:w="640" w:type="dxa"/>
            <w:vAlign w:val="bottom"/>
            <w:tcBorders>
              <w:top w:val="single" w:sz="8" w:color="7C7C7C"/>
            </w:tcBorders>
            <w:gridSpan w:val="5"/>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Borders>
              <w:top w:val="single" w:sz="8" w:color="7C7C7C"/>
            </w:tcBorders>
          </w:tcPr>
          <w:p>
            <w:pPr>
              <w:spacing w:after="0"/>
              <w:rPr>
                <w:sz w:val="17"/>
                <w:szCs w:val="17"/>
                <w:color w:val="auto"/>
              </w:rPr>
            </w:pPr>
          </w:p>
        </w:tc>
        <w:tc>
          <w:tcPr>
            <w:tcW w:w="420" w:type="dxa"/>
            <w:vAlign w:val="bottom"/>
            <w:tcBorders>
              <w:top w:val="single" w:sz="8" w:color="7C7C7C"/>
            </w:tcBorders>
            <w:gridSpan w:val="3"/>
          </w:tcPr>
          <w:p>
            <w:pPr>
              <w:jc w:val="right"/>
              <w:ind w:right="20"/>
              <w:spacing w:after="0"/>
              <w:rPr>
                <w:sz w:val="20"/>
                <w:szCs w:val="20"/>
                <w:color w:val="auto"/>
              </w:rPr>
            </w:pPr>
            <w:r>
              <w:rPr>
                <w:rFonts w:ascii="Arial" w:cs="Arial" w:eastAsia="Arial" w:hAnsi="Arial"/>
                <w:sz w:val="14"/>
                <w:szCs w:val="14"/>
                <w:color w:val="auto"/>
              </w:rPr>
              <w:t>799</w:t>
            </w:r>
          </w:p>
        </w:tc>
        <w:tc>
          <w:tcPr>
            <w:tcW w:w="120" w:type="dxa"/>
            <w:vAlign w:val="bottom"/>
            <w:tcBorders>
              <w:top w:val="single" w:sz="8" w:color="7C7C7C"/>
            </w:tcBorders>
          </w:tcPr>
          <w:p>
            <w:pPr>
              <w:spacing w:after="0"/>
              <w:rPr>
                <w:sz w:val="17"/>
                <w:szCs w:val="17"/>
                <w:color w:val="auto"/>
              </w:rPr>
            </w:pPr>
          </w:p>
        </w:tc>
        <w:tc>
          <w:tcPr>
            <w:tcW w:w="480" w:type="dxa"/>
            <w:vAlign w:val="bottom"/>
            <w:tcBorders>
              <w:top w:val="single" w:sz="8" w:color="7C7C7C"/>
            </w:tcBorders>
          </w:tcPr>
          <w:p>
            <w:pPr>
              <w:jc w:val="right"/>
              <w:ind w:right="12"/>
              <w:spacing w:after="0"/>
              <w:rPr>
                <w:sz w:val="20"/>
                <w:szCs w:val="20"/>
                <w:color w:val="auto"/>
              </w:rPr>
            </w:pPr>
            <w:r>
              <w:rPr>
                <w:rFonts w:ascii="Arial" w:cs="Arial" w:eastAsia="Arial" w:hAnsi="Arial"/>
                <w:sz w:val="14"/>
                <w:szCs w:val="14"/>
                <w:color w:val="auto"/>
              </w:rPr>
              <w:t>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Diluted earnings per share — net income attributable to common shareowners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$6.12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260" w:type="dxa"/>
            <w:vAlign w:val="bottom"/>
            <w:tcBorders>
              <w:bottom w:val="single" w:sz="8" w:color="7C7C7C"/>
            </w:tcBorders>
          </w:tcPr>
          <w:p>
            <w:pPr>
              <w:spacing w:after="0"/>
              <w:rPr>
                <w:sz w:val="3"/>
                <w:szCs w:val="3"/>
                <w:color w:val="auto"/>
              </w:rPr>
            </w:pPr>
          </w:p>
        </w:tc>
        <w:tc>
          <w:tcPr>
            <w:tcW w:w="1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Net income (loss) from discontinued operations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5"/>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Diluted earnings per share — net income from continuing operations attributable to common shareowners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$6.13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7C7C7C"/>
            </w:tcBorders>
            <w:gridSpan w:val="2"/>
          </w:tcPr>
          <w:p>
            <w:pPr>
              <w:spacing w:after="0"/>
              <w:rPr>
                <w:sz w:val="3"/>
                <w:szCs w:val="3"/>
                <w:color w:val="auto"/>
              </w:rPr>
            </w:pPr>
          </w:p>
        </w:tc>
        <w:tc>
          <w:tcPr>
            <w:tcW w:w="8300" w:type="dxa"/>
            <w:vAlign w:val="bottom"/>
            <w:tcBorders>
              <w:bottom w:val="single" w:sz="8" w:color="7C7C7C"/>
            </w:tcBorders>
            <w:gridSpan w:val="3"/>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2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Impact of non-recurring and non-operational charges (gains) on diluted earnings per share</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$0.95</w:t>
            </w: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Borders>
              <w:bottom w:val="single" w:sz="8" w:color="616161"/>
            </w:tcBorders>
            <w:gridSpan w:val="2"/>
          </w:tcPr>
          <w:p>
            <w:pPr>
              <w:spacing w:after="0"/>
              <w:rPr>
                <w:sz w:val="4"/>
                <w:szCs w:val="4"/>
                <w:color w:val="auto"/>
              </w:rPr>
            </w:pPr>
          </w:p>
        </w:tc>
        <w:tc>
          <w:tcPr>
            <w:tcW w:w="8300" w:type="dxa"/>
            <w:vAlign w:val="bottom"/>
            <w:tcBorders>
              <w:bottom w:val="single" w:sz="8" w:color="616161"/>
            </w:tcBorders>
            <w:gridSpan w:val="3"/>
          </w:tcPr>
          <w:p>
            <w:pPr>
              <w:spacing w:after="0"/>
              <w:rPr>
                <w:sz w:val="4"/>
                <w:szCs w:val="4"/>
                <w:color w:val="auto"/>
              </w:rPr>
            </w:pPr>
          </w:p>
        </w:tc>
        <w:tc>
          <w:tcPr>
            <w:tcW w:w="100" w:type="dxa"/>
            <w:vAlign w:val="bottom"/>
            <w:tcBorders>
              <w:bottom w:val="single" w:sz="8" w:color="616161"/>
            </w:tcBorders>
          </w:tcPr>
          <w:p>
            <w:pPr>
              <w:spacing w:after="0"/>
              <w:rPr>
                <w:sz w:val="4"/>
                <w:szCs w:val="4"/>
                <w:color w:val="auto"/>
              </w:rPr>
            </w:pPr>
          </w:p>
        </w:tc>
        <w:tc>
          <w:tcPr>
            <w:tcW w:w="40" w:type="dxa"/>
            <w:vAlign w:val="bottom"/>
            <w:tcBorders>
              <w:bottom w:val="single" w:sz="8" w:color="616161"/>
            </w:tcBorders>
          </w:tcPr>
          <w:p>
            <w:pPr>
              <w:spacing w:after="0"/>
              <w:rPr>
                <w:sz w:val="4"/>
                <w:szCs w:val="4"/>
                <w:color w:val="auto"/>
              </w:rPr>
            </w:pPr>
          </w:p>
        </w:tc>
        <w:tc>
          <w:tcPr>
            <w:tcW w:w="100" w:type="dxa"/>
            <w:vAlign w:val="bottom"/>
            <w:tcBorders>
              <w:bottom w:val="single" w:sz="8" w:color="616161"/>
            </w:tcBorders>
          </w:tcPr>
          <w:p>
            <w:pPr>
              <w:spacing w:after="0"/>
              <w:rPr>
                <w:sz w:val="4"/>
                <w:szCs w:val="4"/>
                <w:color w:val="auto"/>
              </w:rPr>
            </w:pPr>
          </w:p>
        </w:tc>
        <w:tc>
          <w:tcPr>
            <w:tcW w:w="400" w:type="dxa"/>
            <w:vAlign w:val="bottom"/>
            <w:tcBorders>
              <w:bottom w:val="single" w:sz="8" w:color="616161"/>
            </w:tcBorders>
            <w:gridSpan w:val="2"/>
          </w:tcPr>
          <w:p>
            <w:pPr>
              <w:spacing w:after="0"/>
              <w:rPr>
                <w:sz w:val="4"/>
                <w:szCs w:val="4"/>
                <w:color w:val="auto"/>
              </w:rPr>
            </w:pPr>
          </w:p>
        </w:tc>
        <w:tc>
          <w:tcPr>
            <w:tcW w:w="120" w:type="dxa"/>
            <w:vAlign w:val="bottom"/>
            <w:tcBorders>
              <w:bottom w:val="single" w:sz="8" w:color="616161"/>
            </w:tcBorders>
          </w:tcPr>
          <w:p>
            <w:pPr>
              <w:spacing w:after="0"/>
              <w:rPr>
                <w:sz w:val="4"/>
                <w:szCs w:val="4"/>
                <w:color w:val="auto"/>
              </w:rPr>
            </w:pPr>
          </w:p>
        </w:tc>
        <w:tc>
          <w:tcPr>
            <w:tcW w:w="400" w:type="dxa"/>
            <w:vAlign w:val="bottom"/>
            <w:tcBorders>
              <w:bottom w:val="single" w:sz="8" w:color="616161"/>
            </w:tcBorders>
            <w:gridSpan w:val="2"/>
          </w:tcPr>
          <w:p>
            <w:pPr>
              <w:spacing w:after="0"/>
              <w:rPr>
                <w:sz w:val="4"/>
                <w:szCs w:val="4"/>
                <w:color w:val="auto"/>
              </w:rPr>
            </w:pPr>
          </w:p>
        </w:tc>
        <w:tc>
          <w:tcPr>
            <w:tcW w:w="20" w:type="dxa"/>
            <w:vAlign w:val="bottom"/>
            <w:tcBorders>
              <w:bottom w:val="single" w:sz="8" w:color="616161"/>
            </w:tcBorders>
          </w:tcPr>
          <w:p>
            <w:pPr>
              <w:spacing w:after="0"/>
              <w:rPr>
                <w:sz w:val="4"/>
                <w:szCs w:val="4"/>
                <w:color w:val="auto"/>
              </w:rPr>
            </w:pPr>
          </w:p>
        </w:tc>
        <w:tc>
          <w:tcPr>
            <w:tcW w:w="120" w:type="dxa"/>
            <w:vAlign w:val="bottom"/>
            <w:tcBorders>
              <w:bottom w:val="single" w:sz="8" w:color="616161"/>
            </w:tcBorders>
          </w:tcPr>
          <w:p>
            <w:pPr>
              <w:spacing w:after="0"/>
              <w:rPr>
                <w:sz w:val="4"/>
                <w:szCs w:val="4"/>
                <w:color w:val="auto"/>
              </w:rPr>
            </w:pPr>
          </w:p>
        </w:tc>
        <w:tc>
          <w:tcPr>
            <w:tcW w:w="480" w:type="dxa"/>
            <w:vAlign w:val="bottom"/>
            <w:tcBorders>
              <w:bottom w:val="single" w:sz="8" w:color="616161"/>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Borders>
              <w:bottom w:val="single" w:sz="8" w:color="F5F5F5"/>
            </w:tcBorders>
            <w:gridSpan w:val="5"/>
            <w:shd w:val="clear" w:color="auto" w:fill="F5F5F5"/>
          </w:tcPr>
          <w:p>
            <w:pPr>
              <w:ind w:left="60"/>
              <w:spacing w:after="0"/>
              <w:rPr>
                <w:sz w:val="20"/>
                <w:szCs w:val="20"/>
                <w:color w:val="auto"/>
              </w:rPr>
            </w:pPr>
            <w:r>
              <w:rPr>
                <w:rFonts w:ascii="Arial" w:cs="Arial" w:eastAsia="Arial" w:hAnsi="Arial"/>
                <w:sz w:val="14"/>
                <w:szCs w:val="14"/>
                <w:color w:val="auto"/>
              </w:rPr>
              <w:t>Adjusted diluted earnings per share — net income from continuing operations attributable to common shareowners</w:t>
            </w:r>
          </w:p>
        </w:tc>
        <w:tc>
          <w:tcPr>
            <w:tcW w:w="640" w:type="dxa"/>
            <w:vAlign w:val="bottom"/>
            <w:tcBorders>
              <w:bottom w:val="single" w:sz="8" w:color="F5F5F5"/>
              <w:right w:val="single" w:sz="8" w:color="F5F5F5"/>
            </w:tcBorders>
            <w:gridSpan w:val="5"/>
            <w:shd w:val="clear" w:color="auto" w:fill="F5F5F5"/>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Borders>
              <w:left w:val="single" w:sz="8" w:color="F5F5F5"/>
              <w:bottom w:val="single" w:sz="8" w:color="F5F5F5"/>
              <w:right w:val="single" w:sz="8" w:color="F5F5F5"/>
            </w:tcBorders>
            <w:shd w:val="clear" w:color="auto" w:fill="F5F5F5"/>
          </w:tcPr>
          <w:p>
            <w:pPr>
              <w:spacing w:after="0"/>
              <w:rPr>
                <w:sz w:val="19"/>
                <w:szCs w:val="19"/>
                <w:color w:val="auto"/>
              </w:rPr>
            </w:pPr>
          </w:p>
        </w:tc>
        <w:tc>
          <w:tcPr>
            <w:tcW w:w="420" w:type="dxa"/>
            <w:vAlign w:val="bottom"/>
            <w:tcBorders>
              <w:bottom w:val="single" w:sz="8" w:color="F5F5F5"/>
            </w:tcBorders>
            <w:gridSpan w:val="3"/>
            <w:shd w:val="clear" w:color="auto" w:fill="F5F5F5"/>
          </w:tcPr>
          <w:p>
            <w:pPr>
              <w:jc w:val="right"/>
              <w:ind w:right="20"/>
              <w:spacing w:after="0"/>
              <w:rPr>
                <w:sz w:val="20"/>
                <w:szCs w:val="20"/>
                <w:color w:val="auto"/>
              </w:rPr>
            </w:pPr>
            <w:r>
              <w:rPr>
                <w:rFonts w:ascii="Arial" w:cs="Arial" w:eastAsia="Arial" w:hAnsi="Arial"/>
                <w:sz w:val="14"/>
                <w:szCs w:val="14"/>
                <w:color w:val="auto"/>
              </w:rPr>
              <w:t>$6.65</w:t>
            </w:r>
          </w:p>
        </w:tc>
        <w:tc>
          <w:tcPr>
            <w:tcW w:w="120" w:type="dxa"/>
            <w:vAlign w:val="bottom"/>
            <w:tcBorders>
              <w:bottom w:val="single" w:sz="8" w:color="F5F5F5"/>
              <w:right w:val="single" w:sz="8" w:color="F5F5F5"/>
            </w:tcBorders>
            <w:shd w:val="clear" w:color="auto" w:fill="F5F5F5"/>
          </w:tcPr>
          <w:p>
            <w:pPr>
              <w:spacing w:after="0"/>
              <w:rPr>
                <w:sz w:val="19"/>
                <w:szCs w:val="19"/>
                <w:color w:val="auto"/>
              </w:rPr>
            </w:pPr>
          </w:p>
        </w:tc>
        <w:tc>
          <w:tcPr>
            <w:tcW w:w="480" w:type="dxa"/>
            <w:vAlign w:val="bottom"/>
            <w:tcBorders>
              <w:bottom w:val="single" w:sz="8" w:color="F5F5F5"/>
            </w:tcBorders>
            <w:shd w:val="clear" w:color="auto" w:fill="F5F5F5"/>
          </w:tcPr>
          <w:p>
            <w:pPr>
              <w:jc w:val="right"/>
              <w:ind w:right="12"/>
              <w:spacing w:after="0"/>
              <w:rPr>
                <w:sz w:val="20"/>
                <w:szCs w:val="20"/>
                <w:color w:val="auto"/>
              </w:rPr>
            </w:pPr>
            <w:r>
              <w:rPr>
                <w:rFonts w:ascii="Arial" w:cs="Arial" w:eastAsia="Arial" w:hAnsi="Arial"/>
                <w:sz w:val="14"/>
                <w:szCs w:val="14"/>
                <w:color w:val="auto"/>
              </w:rPr>
              <w:t>$6.61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gridSpan w:val="2"/>
            <w:shd w:val="clear" w:color="auto" w:fill="616161"/>
          </w:tcPr>
          <w:p>
            <w:pPr>
              <w:spacing w:after="0"/>
              <w:rPr>
                <w:sz w:val="2"/>
                <w:szCs w:val="2"/>
                <w:color w:val="auto"/>
              </w:rPr>
            </w:pPr>
          </w:p>
        </w:tc>
        <w:tc>
          <w:tcPr>
            <w:tcW w:w="8300" w:type="dxa"/>
            <w:vAlign w:val="bottom"/>
            <w:gridSpan w:val="3"/>
            <w:shd w:val="clear" w:color="auto" w:fill="616161"/>
          </w:tcPr>
          <w:p>
            <w:pPr>
              <w:spacing w:after="0"/>
              <w:rPr>
                <w:sz w:val="2"/>
                <w:szCs w:val="2"/>
                <w:color w:val="auto"/>
              </w:rPr>
            </w:pPr>
          </w:p>
        </w:tc>
        <w:tc>
          <w:tcPr>
            <w:tcW w:w="100" w:type="dxa"/>
            <w:vAlign w:val="bottom"/>
            <w:shd w:val="clear" w:color="auto" w:fill="616161"/>
          </w:tcPr>
          <w:p>
            <w:pPr>
              <w:spacing w:after="0"/>
              <w:rPr>
                <w:sz w:val="2"/>
                <w:szCs w:val="2"/>
                <w:color w:val="auto"/>
              </w:rPr>
            </w:pPr>
          </w:p>
        </w:tc>
        <w:tc>
          <w:tcPr>
            <w:tcW w:w="40" w:type="dxa"/>
            <w:vAlign w:val="bottom"/>
            <w:shd w:val="clear" w:color="auto" w:fill="616161"/>
          </w:tcPr>
          <w:p>
            <w:pPr>
              <w:spacing w:after="0"/>
              <w:rPr>
                <w:sz w:val="2"/>
                <w:szCs w:val="2"/>
                <w:color w:val="auto"/>
              </w:rPr>
            </w:pPr>
          </w:p>
        </w:tc>
        <w:tc>
          <w:tcPr>
            <w:tcW w:w="100" w:type="dxa"/>
            <w:vAlign w:val="bottom"/>
            <w:tcBorders>
              <w:right w:val="single" w:sz="8" w:color="616161"/>
            </w:tcBorders>
            <w:shd w:val="clear" w:color="auto" w:fill="616161"/>
          </w:tcPr>
          <w:p>
            <w:pPr>
              <w:spacing w:after="0"/>
              <w:rPr>
                <w:sz w:val="2"/>
                <w:szCs w:val="2"/>
                <w:color w:val="auto"/>
              </w:rPr>
            </w:pPr>
          </w:p>
        </w:tc>
        <w:tc>
          <w:tcPr>
            <w:tcW w:w="260" w:type="dxa"/>
            <w:vAlign w:val="bottom"/>
            <w:shd w:val="clear" w:color="auto" w:fill="616161"/>
          </w:tcPr>
          <w:p>
            <w:pPr>
              <w:spacing w:after="0"/>
              <w:rPr>
                <w:sz w:val="2"/>
                <w:szCs w:val="2"/>
                <w:color w:val="auto"/>
              </w:rPr>
            </w:pPr>
          </w:p>
        </w:tc>
        <w:tc>
          <w:tcPr>
            <w:tcW w:w="140" w:type="dxa"/>
            <w:vAlign w:val="bottom"/>
            <w:tcBorders>
              <w:right w:val="single" w:sz="8" w:color="616161"/>
            </w:tcBorders>
            <w:shd w:val="clear" w:color="auto" w:fill="616161"/>
          </w:tcPr>
          <w:p>
            <w:pPr>
              <w:spacing w:after="0"/>
              <w:rPr>
                <w:sz w:val="2"/>
                <w:szCs w:val="2"/>
                <w:color w:val="auto"/>
              </w:rPr>
            </w:pPr>
          </w:p>
        </w:tc>
        <w:tc>
          <w:tcPr>
            <w:tcW w:w="120" w:type="dxa"/>
            <w:vAlign w:val="bottom"/>
            <w:tcBorders>
              <w:left w:val="single" w:sz="8" w:color="616161"/>
              <w:right w:val="single" w:sz="8" w:color="616161"/>
            </w:tcBorders>
            <w:shd w:val="clear" w:color="auto" w:fill="616161"/>
          </w:tcPr>
          <w:p>
            <w:pPr>
              <w:spacing w:after="0"/>
              <w:rPr>
                <w:sz w:val="2"/>
                <w:szCs w:val="2"/>
                <w:color w:val="auto"/>
              </w:rPr>
            </w:pPr>
          </w:p>
        </w:tc>
        <w:tc>
          <w:tcPr>
            <w:tcW w:w="340" w:type="dxa"/>
            <w:vAlign w:val="bottom"/>
            <w:shd w:val="clear" w:color="auto" w:fill="616161"/>
          </w:tcPr>
          <w:p>
            <w:pPr>
              <w:spacing w:after="0"/>
              <w:rPr>
                <w:sz w:val="2"/>
                <w:szCs w:val="2"/>
                <w:color w:val="auto"/>
              </w:rPr>
            </w:pPr>
          </w:p>
        </w:tc>
        <w:tc>
          <w:tcPr>
            <w:tcW w:w="60" w:type="dxa"/>
            <w:vAlign w:val="bottom"/>
            <w:shd w:val="clear" w:color="auto" w:fill="616161"/>
          </w:tcPr>
          <w:p>
            <w:pPr>
              <w:spacing w:after="0"/>
              <w:rPr>
                <w:sz w:val="2"/>
                <w:szCs w:val="2"/>
                <w:color w:val="auto"/>
              </w:rPr>
            </w:pPr>
          </w:p>
        </w:tc>
        <w:tc>
          <w:tcPr>
            <w:tcW w:w="20" w:type="dxa"/>
            <w:vAlign w:val="bottom"/>
            <w:shd w:val="clear" w:color="auto" w:fill="616161"/>
          </w:tcPr>
          <w:p>
            <w:pPr>
              <w:spacing w:after="0"/>
              <w:rPr>
                <w:sz w:val="2"/>
                <w:szCs w:val="2"/>
                <w:color w:val="auto"/>
              </w:rPr>
            </w:pPr>
          </w:p>
        </w:tc>
        <w:tc>
          <w:tcPr>
            <w:tcW w:w="120" w:type="dxa"/>
            <w:vAlign w:val="bottom"/>
            <w:tcBorders>
              <w:right w:val="single" w:sz="8" w:color="616161"/>
            </w:tcBorders>
            <w:shd w:val="clear" w:color="auto" w:fill="616161"/>
          </w:tcPr>
          <w:p>
            <w:pPr>
              <w:spacing w:after="0"/>
              <w:rPr>
                <w:sz w:val="2"/>
                <w:szCs w:val="2"/>
                <w:color w:val="auto"/>
              </w:rPr>
            </w:pPr>
          </w:p>
        </w:tc>
        <w:tc>
          <w:tcPr>
            <w:tcW w:w="480" w:type="dxa"/>
            <w:vAlign w:val="bottom"/>
            <w:shd w:val="clear" w:color="auto" w:fill="616161"/>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8"/>
        </w:trPr>
        <w:tc>
          <w:tcPr>
            <w:tcW w:w="9640" w:type="dxa"/>
            <w:vAlign w:val="bottom"/>
            <w:gridSpan w:val="6"/>
          </w:tcPr>
          <w:p>
            <w:pPr>
              <w:spacing w:after="0"/>
              <w:rPr>
                <w:sz w:val="20"/>
                <w:szCs w:val="20"/>
                <w:color w:val="auto"/>
              </w:rPr>
            </w:pPr>
            <w:r>
              <w:rPr>
                <w:rFonts w:ascii="Arial" w:cs="Arial" w:eastAsia="Arial" w:hAnsi="Arial"/>
                <w:sz w:val="14"/>
                <w:szCs w:val="14"/>
                <w:b w:val="1"/>
                <w:bCs w:val="1"/>
                <w:color w:val="616161"/>
              </w:rPr>
              <w:t>RECONCILIATION OF CASH FLOWS FROM OPERATING ACTIVITIES OF CONTINUING OPERATIONS (GAAP) TO FREE CASH</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340" w:type="dxa"/>
            <w:vAlign w:val="bottom"/>
            <w:gridSpan w:val="3"/>
          </w:tcPr>
          <w:p>
            <w:pPr>
              <w:spacing w:after="0"/>
              <w:rPr>
                <w:sz w:val="20"/>
                <w:szCs w:val="20"/>
                <w:color w:val="auto"/>
              </w:rPr>
            </w:pPr>
            <w:r>
              <w:rPr>
                <w:rFonts w:ascii="Arial" w:cs="Arial" w:eastAsia="Arial" w:hAnsi="Arial"/>
                <w:sz w:val="14"/>
                <w:szCs w:val="14"/>
                <w:b w:val="1"/>
                <w:bCs w:val="1"/>
                <w:color w:val="616161"/>
              </w:rPr>
              <w:t>FLOW (NON-GAAP)</w:t>
            </w:r>
          </w:p>
        </w:tc>
        <w:tc>
          <w:tcPr>
            <w:tcW w:w="8300" w:type="dxa"/>
            <w:vAlign w:val="bottom"/>
            <w:gridSpan w:val="3"/>
            <w:shd w:val="clear" w:color="auto" w:fill="E2E2E2"/>
          </w:tcPr>
          <w:p>
            <w:pPr>
              <w:spacing w:after="0"/>
              <w:rPr>
                <w:sz w:val="14"/>
                <w:szCs w:val="14"/>
                <w:color w:val="auto"/>
              </w:rPr>
            </w:pPr>
          </w:p>
        </w:tc>
        <w:tc>
          <w:tcPr>
            <w:tcW w:w="100" w:type="dxa"/>
            <w:vAlign w:val="bottom"/>
            <w:shd w:val="clear" w:color="auto" w:fill="E2E2E2"/>
          </w:tcPr>
          <w:p>
            <w:pPr>
              <w:spacing w:after="0"/>
              <w:rPr>
                <w:sz w:val="14"/>
                <w:szCs w:val="14"/>
                <w:color w:val="auto"/>
              </w:rPr>
            </w:pPr>
          </w:p>
        </w:tc>
        <w:tc>
          <w:tcPr>
            <w:tcW w:w="40" w:type="dxa"/>
            <w:vAlign w:val="bottom"/>
            <w:shd w:val="clear" w:color="auto" w:fill="E2E2E2"/>
          </w:tcPr>
          <w:p>
            <w:pPr>
              <w:spacing w:after="0"/>
              <w:rPr>
                <w:sz w:val="14"/>
                <w:szCs w:val="14"/>
                <w:color w:val="auto"/>
              </w:rPr>
            </w:pPr>
          </w:p>
        </w:tc>
        <w:tc>
          <w:tcPr>
            <w:tcW w:w="100" w:type="dxa"/>
            <w:vAlign w:val="bottom"/>
            <w:tcBorders>
              <w:right w:val="single" w:sz="8" w:color="E2E2E2"/>
            </w:tcBorders>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140" w:type="dxa"/>
            <w:vAlign w:val="bottom"/>
            <w:tcBorders>
              <w:right w:val="single" w:sz="8" w:color="E2E2E2"/>
            </w:tcBorders>
            <w:shd w:val="clear" w:color="auto" w:fill="E2E2E2"/>
          </w:tcPr>
          <w:p>
            <w:pPr>
              <w:spacing w:after="0"/>
              <w:rPr>
                <w:sz w:val="14"/>
                <w:szCs w:val="14"/>
                <w:color w:val="auto"/>
              </w:rPr>
            </w:pPr>
          </w:p>
        </w:tc>
        <w:tc>
          <w:tcPr>
            <w:tcW w:w="120" w:type="dxa"/>
            <w:vAlign w:val="bottom"/>
            <w:tcBorders>
              <w:left w:val="single" w:sz="8" w:color="E2E2E2"/>
              <w:right w:val="single" w:sz="8" w:color="E2E2E2"/>
            </w:tcBorders>
            <w:shd w:val="clear" w:color="auto" w:fill="E2E2E2"/>
          </w:tcPr>
          <w:p>
            <w:pPr>
              <w:spacing w:after="0"/>
              <w:rPr>
                <w:sz w:val="14"/>
                <w:szCs w:val="14"/>
                <w:color w:val="auto"/>
              </w:rPr>
            </w:pPr>
          </w:p>
        </w:tc>
        <w:tc>
          <w:tcPr>
            <w:tcW w:w="3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0" w:type="dxa"/>
            <w:vAlign w:val="bottom"/>
            <w:shd w:val="clear" w:color="auto" w:fill="E2E2E2"/>
          </w:tcPr>
          <w:p>
            <w:pPr>
              <w:spacing w:after="0"/>
              <w:rPr>
                <w:sz w:val="14"/>
                <w:szCs w:val="14"/>
                <w:color w:val="auto"/>
              </w:rPr>
            </w:pPr>
          </w:p>
        </w:tc>
        <w:tc>
          <w:tcPr>
            <w:tcW w:w="120" w:type="dxa"/>
            <w:vAlign w:val="bottom"/>
            <w:tcBorders>
              <w:right w:val="single" w:sz="8" w:color="E2E2E2"/>
            </w:tcBorders>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b w:val="1"/>
                <w:bCs w:val="1"/>
                <w:color w:val="616161"/>
              </w:rPr>
              <w:t>(dollars in millions)</w:t>
            </w:r>
          </w:p>
        </w:tc>
        <w:tc>
          <w:tcPr>
            <w:tcW w:w="640" w:type="dxa"/>
            <w:vAlign w:val="bottom"/>
            <w:gridSpan w:val="5"/>
          </w:tcPr>
          <w:p>
            <w:pPr>
              <w:jc w:val="right"/>
              <w:spacing w:after="0"/>
              <w:rPr>
                <w:sz w:val="20"/>
                <w:szCs w:val="20"/>
                <w:color w:val="auto"/>
              </w:rPr>
            </w:pPr>
            <w:r>
              <w:rPr>
                <w:rFonts w:ascii="Arial" w:cs="Arial" w:eastAsia="Arial" w:hAnsi="Arial"/>
                <w:sz w:val="14"/>
                <w:szCs w:val="14"/>
                <w:b w:val="1"/>
                <w:bCs w:val="1"/>
                <w:color w:val="616161"/>
              </w:rPr>
              <w:t>2018</w:t>
            </w:r>
          </w:p>
        </w:tc>
        <w:tc>
          <w:tcPr>
            <w:tcW w:w="120" w:type="dxa"/>
            <w:vAlign w:val="bottom"/>
          </w:tcPr>
          <w:p>
            <w:pPr>
              <w:spacing w:after="0"/>
              <w:rPr>
                <w:sz w:val="24"/>
                <w:szCs w:val="2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616161"/>
              </w:rPr>
              <w:t>2017</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616161"/>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20" w:type="dxa"/>
            <w:vAlign w:val="bottom"/>
            <w:tcBorders>
              <w:bottom w:val="single" w:sz="8" w:color="D6D6D6"/>
            </w:tcBorders>
            <w:gridSpan w:val="5"/>
          </w:tcPr>
          <w:p>
            <w:pPr>
              <w:spacing w:after="0"/>
              <w:rPr>
                <w:sz w:val="6"/>
                <w:szCs w:val="6"/>
                <w:color w:val="auto"/>
              </w:rPr>
            </w:pPr>
          </w:p>
        </w:tc>
        <w:tc>
          <w:tcPr>
            <w:tcW w:w="140" w:type="dxa"/>
            <w:vAlign w:val="bottom"/>
            <w:tcBorders>
              <w:bottom w:val="single" w:sz="8" w:color="D6D6D6"/>
            </w:tcBorders>
            <w:gridSpan w:val="2"/>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616161"/>
            </w:tcBorders>
            <w:gridSpan w:val="2"/>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616161"/>
            </w:tcBorders>
            <w:gridSpan w:val="3"/>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616161"/>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gridSpan w:val="5"/>
          </w:tcPr>
          <w:p>
            <w:pPr>
              <w:ind w:left="60"/>
              <w:spacing w:after="0"/>
              <w:rPr>
                <w:sz w:val="20"/>
                <w:szCs w:val="20"/>
                <w:color w:val="auto"/>
              </w:rPr>
            </w:pPr>
            <w:r>
              <w:rPr>
                <w:rFonts w:ascii="Arial" w:cs="Arial" w:eastAsia="Arial" w:hAnsi="Arial"/>
                <w:sz w:val="14"/>
                <w:szCs w:val="14"/>
                <w:color w:val="auto"/>
              </w:rPr>
              <w:t>Cash flow provided by operating activities of continuing operations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$6,322</w:t>
            </w:r>
          </w:p>
        </w:tc>
        <w:tc>
          <w:tcPr>
            <w:tcW w:w="120" w:type="dxa"/>
            <w:vAlign w:val="bottom"/>
          </w:tcPr>
          <w:p>
            <w:pPr>
              <w:spacing w:after="0"/>
              <w:rPr>
                <w:sz w:val="17"/>
                <w:szCs w:val="17"/>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4"/>
                <w:szCs w:val="14"/>
                <w:color w:val="auto"/>
                <w:w w:val="93"/>
              </w:rPr>
              <w:t>$5,631</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$6,412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620" w:type="dxa"/>
            <w:vAlign w:val="bottom"/>
            <w:tcBorders>
              <w:bottom w:val="single" w:sz="8" w:color="7C7C7C"/>
            </w:tcBorders>
            <w:gridSpan w:val="5"/>
          </w:tcPr>
          <w:p>
            <w:pPr>
              <w:spacing w:after="0"/>
              <w:rPr>
                <w:sz w:val="3"/>
                <w:szCs w:val="3"/>
                <w:color w:val="auto"/>
              </w:rPr>
            </w:pPr>
          </w:p>
        </w:tc>
        <w:tc>
          <w:tcPr>
            <w:tcW w:w="140" w:type="dxa"/>
            <w:vAlign w:val="bottom"/>
            <w:tcBorders>
              <w:bottom w:val="single" w:sz="8" w:color="7C7C7C"/>
            </w:tcBorders>
            <w:gridSpan w:val="2"/>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400" w:type="dxa"/>
            <w:vAlign w:val="bottom"/>
            <w:tcBorders>
              <w:bottom w:val="single" w:sz="8" w:color="7C7C7C"/>
            </w:tcBorders>
            <w:gridSpan w:val="2"/>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20" w:type="dxa"/>
            <w:vAlign w:val="bottom"/>
            <w:tcBorders>
              <w:bottom w:val="single" w:sz="8" w:color="7C7C7C"/>
            </w:tcBorders>
            <w:gridSpan w:val="3"/>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480" w:type="dxa"/>
            <w:vAlign w:val="bottom"/>
            <w:tcBorders>
              <w:bottom w:val="single" w:sz="8" w:color="7C7C7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gridSpan w:val="5"/>
          </w:tcPr>
          <w:p>
            <w:pPr>
              <w:ind w:left="260"/>
              <w:spacing w:after="0"/>
              <w:rPr>
                <w:sz w:val="20"/>
                <w:szCs w:val="20"/>
                <w:color w:val="auto"/>
              </w:rPr>
            </w:pPr>
            <w:r>
              <w:rPr>
                <w:rFonts w:ascii="Arial" w:cs="Arial" w:eastAsia="Arial" w:hAnsi="Arial"/>
                <w:sz w:val="14"/>
                <w:szCs w:val="14"/>
                <w:color w:val="auto"/>
              </w:rPr>
              <w:t>Less: Capital expenditures</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17"/>
                <w:szCs w:val="17"/>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4"/>
                <w:szCs w:val="14"/>
                <w:color w:val="auto"/>
                <w:w w:val="93"/>
              </w:rPr>
              <w:t>$2,014</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$1,699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20" w:type="dxa"/>
            <w:vAlign w:val="bottom"/>
            <w:tcBorders>
              <w:bottom w:val="single" w:sz="8" w:color="7C7C7C"/>
            </w:tcBorders>
            <w:gridSpan w:val="5"/>
          </w:tcPr>
          <w:p>
            <w:pPr>
              <w:spacing w:after="0"/>
              <w:rPr>
                <w:sz w:val="4"/>
                <w:szCs w:val="4"/>
                <w:color w:val="auto"/>
              </w:rPr>
            </w:pPr>
          </w:p>
        </w:tc>
        <w:tc>
          <w:tcPr>
            <w:tcW w:w="140" w:type="dxa"/>
            <w:vAlign w:val="bottom"/>
            <w:tcBorders>
              <w:bottom w:val="single" w:sz="8" w:color="7C7C7C"/>
            </w:tcBorders>
            <w:gridSpan w:val="2"/>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400" w:type="dxa"/>
            <w:vAlign w:val="bottom"/>
            <w:tcBorders>
              <w:bottom w:val="single" w:sz="8" w:color="7C7C7C"/>
            </w:tcBorders>
            <w:gridSpan w:val="2"/>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420" w:type="dxa"/>
            <w:vAlign w:val="bottom"/>
            <w:tcBorders>
              <w:bottom w:val="single" w:sz="8" w:color="7C7C7C"/>
            </w:tcBorders>
            <w:gridSpan w:val="3"/>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480" w:type="dxa"/>
            <w:vAlign w:val="bottom"/>
            <w:tcBorders>
              <w:bottom w:val="single" w:sz="8" w:color="7C7C7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9620" w:type="dxa"/>
            <w:vAlign w:val="bottom"/>
            <w:tcBorders>
              <w:bottom w:val="single" w:sz="8" w:color="F5F5F5"/>
            </w:tcBorders>
            <w:gridSpan w:val="5"/>
            <w:shd w:val="clear" w:color="auto" w:fill="F5F5F5"/>
          </w:tcPr>
          <w:p>
            <w:pPr>
              <w:ind w:left="60"/>
              <w:spacing w:after="0"/>
              <w:rPr>
                <w:sz w:val="20"/>
                <w:szCs w:val="20"/>
                <w:color w:val="auto"/>
              </w:rPr>
            </w:pPr>
            <w:r>
              <w:rPr>
                <w:rFonts w:ascii="Arial" w:cs="Arial" w:eastAsia="Arial" w:hAnsi="Arial"/>
                <w:sz w:val="14"/>
                <w:szCs w:val="14"/>
                <w:color w:val="auto"/>
              </w:rPr>
              <w:t>Free cash flow from continuing operations</w:t>
            </w:r>
          </w:p>
        </w:tc>
        <w:tc>
          <w:tcPr>
            <w:tcW w:w="640" w:type="dxa"/>
            <w:vAlign w:val="bottom"/>
            <w:tcBorders>
              <w:bottom w:val="single" w:sz="8" w:color="F5F5F5"/>
              <w:right w:val="single" w:sz="8" w:color="F5F5F5"/>
            </w:tcBorders>
            <w:gridSpan w:val="5"/>
            <w:shd w:val="clear" w:color="auto" w:fill="F5F5F5"/>
          </w:tcPr>
          <w:p>
            <w:pPr>
              <w:jc w:val="right"/>
              <w:spacing w:after="0"/>
              <w:rPr>
                <w:sz w:val="20"/>
                <w:szCs w:val="20"/>
                <w:color w:val="auto"/>
              </w:rPr>
            </w:pPr>
            <w:r>
              <w:rPr>
                <w:rFonts w:ascii="Arial" w:cs="Arial" w:eastAsia="Arial" w:hAnsi="Arial"/>
                <w:sz w:val="14"/>
                <w:szCs w:val="14"/>
                <w:color w:val="auto"/>
              </w:rPr>
              <w:t>$4,420</w:t>
            </w:r>
          </w:p>
        </w:tc>
        <w:tc>
          <w:tcPr>
            <w:tcW w:w="120" w:type="dxa"/>
            <w:vAlign w:val="bottom"/>
            <w:tcBorders>
              <w:left w:val="single" w:sz="8" w:color="F5F5F5"/>
              <w:bottom w:val="single" w:sz="8" w:color="F5F5F5"/>
              <w:right w:val="single" w:sz="8" w:color="F5F5F5"/>
            </w:tcBorders>
            <w:shd w:val="clear" w:color="auto" w:fill="F5F5F5"/>
          </w:tcPr>
          <w:p>
            <w:pPr>
              <w:spacing w:after="0"/>
              <w:rPr>
                <w:sz w:val="21"/>
                <w:szCs w:val="21"/>
                <w:color w:val="auto"/>
              </w:rPr>
            </w:pPr>
          </w:p>
        </w:tc>
        <w:tc>
          <w:tcPr>
            <w:tcW w:w="540" w:type="dxa"/>
            <w:vAlign w:val="bottom"/>
            <w:tcBorders>
              <w:bottom w:val="single" w:sz="8" w:color="F5F5F5"/>
              <w:right w:val="single" w:sz="8" w:color="F5F5F5"/>
            </w:tcBorders>
            <w:gridSpan w:val="4"/>
            <w:shd w:val="clear" w:color="auto" w:fill="F5F5F5"/>
          </w:tcPr>
          <w:p>
            <w:pPr>
              <w:jc w:val="right"/>
              <w:ind w:right="120"/>
              <w:spacing w:after="0"/>
              <w:rPr>
                <w:sz w:val="20"/>
                <w:szCs w:val="20"/>
                <w:color w:val="auto"/>
              </w:rPr>
            </w:pPr>
            <w:r>
              <w:rPr>
                <w:rFonts w:ascii="Arial" w:cs="Arial" w:eastAsia="Arial" w:hAnsi="Arial"/>
                <w:sz w:val="14"/>
                <w:szCs w:val="14"/>
                <w:color w:val="auto"/>
                <w:w w:val="93"/>
              </w:rPr>
              <w:t>$3,617</w:t>
            </w:r>
          </w:p>
        </w:tc>
        <w:tc>
          <w:tcPr>
            <w:tcW w:w="480" w:type="dxa"/>
            <w:vAlign w:val="bottom"/>
            <w:tcBorders>
              <w:bottom w:val="single" w:sz="8" w:color="F5F5F5"/>
            </w:tcBorders>
            <w:shd w:val="clear" w:color="auto" w:fill="F5F5F5"/>
          </w:tcPr>
          <w:p>
            <w:pPr>
              <w:jc w:val="right"/>
              <w:ind w:right="12"/>
              <w:spacing w:after="0"/>
              <w:rPr>
                <w:sz w:val="20"/>
                <w:szCs w:val="20"/>
                <w:color w:val="auto"/>
              </w:rPr>
            </w:pPr>
            <w:r>
              <w:rPr>
                <w:rFonts w:ascii="Arial" w:cs="Arial" w:eastAsia="Arial" w:hAnsi="Arial"/>
                <w:sz w:val="14"/>
                <w:szCs w:val="14"/>
                <w:color w:val="auto"/>
                <w:w w:val="88"/>
              </w:rPr>
              <w:t>$4,713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80" w:type="dxa"/>
            <w:vAlign w:val="bottom"/>
            <w:tcBorders>
              <w:top w:val="single" w:sz="8" w:color="7C7C7C"/>
            </w:tcBorders>
          </w:tcPr>
          <w:p>
            <w:pPr>
              <w:spacing w:after="0"/>
              <w:rPr>
                <w:sz w:val="21"/>
                <w:szCs w:val="21"/>
                <w:color w:val="auto"/>
              </w:rPr>
            </w:pPr>
          </w:p>
        </w:tc>
        <w:tc>
          <w:tcPr>
            <w:tcW w:w="8940" w:type="dxa"/>
            <w:vAlign w:val="bottom"/>
            <w:tcBorders>
              <w:top w:val="single" w:sz="8" w:color="7C7C7C"/>
            </w:tcBorders>
            <w:gridSpan w:val="4"/>
          </w:tcPr>
          <w:p>
            <w:pPr>
              <w:spacing w:after="0"/>
              <w:rPr>
                <w:sz w:val="21"/>
                <w:szCs w:val="21"/>
                <w:color w:val="auto"/>
              </w:rPr>
            </w:pPr>
          </w:p>
        </w:tc>
        <w:tc>
          <w:tcPr>
            <w:tcW w:w="100" w:type="dxa"/>
            <w:vAlign w:val="bottom"/>
            <w:tcBorders>
              <w:top w:val="single" w:sz="8" w:color="7C7C7C"/>
            </w:tcBorders>
          </w:tcPr>
          <w:p>
            <w:pPr>
              <w:spacing w:after="0"/>
              <w:rPr>
                <w:sz w:val="21"/>
                <w:szCs w:val="21"/>
                <w:color w:val="auto"/>
              </w:rPr>
            </w:pPr>
          </w:p>
        </w:tc>
        <w:tc>
          <w:tcPr>
            <w:tcW w:w="40" w:type="dxa"/>
            <w:vAlign w:val="bottom"/>
            <w:tcBorders>
              <w:top w:val="single" w:sz="8" w:color="7C7C7C"/>
            </w:tcBorders>
          </w:tcPr>
          <w:p>
            <w:pPr>
              <w:spacing w:after="0"/>
              <w:rPr>
                <w:sz w:val="21"/>
                <w:szCs w:val="21"/>
                <w:color w:val="auto"/>
              </w:rPr>
            </w:pPr>
          </w:p>
        </w:tc>
        <w:tc>
          <w:tcPr>
            <w:tcW w:w="100" w:type="dxa"/>
            <w:vAlign w:val="bottom"/>
            <w:tcBorders>
              <w:top w:val="single" w:sz="8" w:color="7C7C7C"/>
            </w:tcBorders>
          </w:tcPr>
          <w:p>
            <w:pPr>
              <w:spacing w:after="0"/>
              <w:rPr>
                <w:sz w:val="21"/>
                <w:szCs w:val="21"/>
                <w:color w:val="auto"/>
              </w:rPr>
            </w:pPr>
          </w:p>
        </w:tc>
        <w:tc>
          <w:tcPr>
            <w:tcW w:w="260" w:type="dxa"/>
            <w:vAlign w:val="bottom"/>
            <w:tcBorders>
              <w:top w:val="single" w:sz="8" w:color="7C7C7C"/>
            </w:tcBorders>
          </w:tcPr>
          <w:p>
            <w:pPr>
              <w:spacing w:after="0"/>
              <w:rPr>
                <w:sz w:val="21"/>
                <w:szCs w:val="21"/>
                <w:color w:val="auto"/>
              </w:rPr>
            </w:pPr>
          </w:p>
        </w:tc>
        <w:tc>
          <w:tcPr>
            <w:tcW w:w="140" w:type="dxa"/>
            <w:vAlign w:val="bottom"/>
            <w:tcBorders>
              <w:top w:val="single" w:sz="8" w:color="7C7C7C"/>
            </w:tcBorders>
          </w:tcPr>
          <w:p>
            <w:pPr>
              <w:spacing w:after="0"/>
              <w:rPr>
                <w:sz w:val="21"/>
                <w:szCs w:val="21"/>
                <w:color w:val="auto"/>
              </w:rPr>
            </w:pPr>
          </w:p>
        </w:tc>
        <w:tc>
          <w:tcPr>
            <w:tcW w:w="120" w:type="dxa"/>
            <w:vAlign w:val="bottom"/>
            <w:tcBorders>
              <w:top w:val="single" w:sz="8" w:color="7C7C7C"/>
            </w:tcBorders>
          </w:tcPr>
          <w:p>
            <w:pPr>
              <w:spacing w:after="0"/>
              <w:rPr>
                <w:sz w:val="21"/>
                <w:szCs w:val="21"/>
                <w:color w:val="auto"/>
              </w:rPr>
            </w:pPr>
          </w:p>
        </w:tc>
        <w:tc>
          <w:tcPr>
            <w:tcW w:w="340" w:type="dxa"/>
            <w:vAlign w:val="bottom"/>
            <w:tcBorders>
              <w:top w:val="single" w:sz="8" w:color="7C7C7C"/>
            </w:tcBorders>
          </w:tcPr>
          <w:p>
            <w:pPr>
              <w:spacing w:after="0"/>
              <w:rPr>
                <w:sz w:val="21"/>
                <w:szCs w:val="21"/>
                <w:color w:val="auto"/>
              </w:rPr>
            </w:pPr>
          </w:p>
        </w:tc>
        <w:tc>
          <w:tcPr>
            <w:tcW w:w="60" w:type="dxa"/>
            <w:vAlign w:val="bottom"/>
            <w:tcBorders>
              <w:top w:val="single" w:sz="8" w:color="7C7C7C"/>
            </w:tcBorders>
          </w:tcPr>
          <w:p>
            <w:pPr>
              <w:spacing w:after="0"/>
              <w:rPr>
                <w:sz w:val="21"/>
                <w:szCs w:val="21"/>
                <w:color w:val="auto"/>
              </w:rPr>
            </w:pPr>
          </w:p>
        </w:tc>
        <w:tc>
          <w:tcPr>
            <w:tcW w:w="20" w:type="dxa"/>
            <w:vAlign w:val="bottom"/>
            <w:tcBorders>
              <w:top w:val="single" w:sz="8" w:color="7C7C7C"/>
            </w:tcBorders>
          </w:tcPr>
          <w:p>
            <w:pPr>
              <w:spacing w:after="0"/>
              <w:rPr>
                <w:sz w:val="21"/>
                <w:szCs w:val="21"/>
                <w:color w:val="auto"/>
              </w:rPr>
            </w:pPr>
          </w:p>
        </w:tc>
        <w:tc>
          <w:tcPr>
            <w:tcW w:w="120" w:type="dxa"/>
            <w:vAlign w:val="bottom"/>
            <w:tcBorders>
              <w:top w:val="single" w:sz="8" w:color="7C7C7C"/>
            </w:tcBorders>
          </w:tcPr>
          <w:p>
            <w:pPr>
              <w:spacing w:after="0"/>
              <w:rPr>
                <w:sz w:val="21"/>
                <w:szCs w:val="21"/>
                <w:color w:val="auto"/>
              </w:rPr>
            </w:pPr>
          </w:p>
        </w:tc>
        <w:tc>
          <w:tcPr>
            <w:tcW w:w="480" w:type="dxa"/>
            <w:vAlign w:val="bottom"/>
            <w:tcBorders>
              <w:top w:val="single" w:sz="8" w:color="7C7C7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 w:type="dxa"/>
            <w:vAlign w:val="bottom"/>
            <w:shd w:val="clear" w:color="auto" w:fill="616161"/>
          </w:tcPr>
          <w:p>
            <w:pPr>
              <w:ind w:left="240"/>
              <w:spacing w:after="0"/>
              <w:rPr>
                <w:sz w:val="20"/>
                <w:szCs w:val="20"/>
                <w:color w:val="auto"/>
              </w:rPr>
            </w:pPr>
            <w:r>
              <w:rPr>
                <w:rFonts w:ascii="Arial" w:cs="Arial" w:eastAsia="Arial" w:hAnsi="Arial"/>
                <w:sz w:val="18"/>
                <w:szCs w:val="18"/>
                <w:b w:val="1"/>
                <w:bCs w:val="1"/>
                <w:color w:val="FFFFFF"/>
              </w:rPr>
              <w:t>86</w:t>
            </w:r>
          </w:p>
        </w:tc>
        <w:tc>
          <w:tcPr>
            <w:tcW w:w="8940" w:type="dxa"/>
            <w:vAlign w:val="bottom"/>
            <w:gridSpan w:val="4"/>
          </w:tcPr>
          <w:p>
            <w:pPr>
              <w:ind w:left="180"/>
              <w:spacing w:after="0"/>
              <w:rPr>
                <w:sz w:val="20"/>
                <w:szCs w:val="20"/>
                <w:color w:val="auto"/>
              </w:rPr>
            </w:pPr>
            <w:r>
              <w:rPr>
                <w:rFonts w:ascii="Arial" w:cs="Arial" w:eastAsia="Arial" w:hAnsi="Arial"/>
                <w:sz w:val="14"/>
                <w:szCs w:val="14"/>
                <w:color w:val="auto"/>
              </w:rPr>
              <w:t xml:space="preserve">United Technologies </w:t>
            </w:r>
            <w:r>
              <w:rPr>
                <w:rFonts w:ascii="Arial" w:cs="Arial" w:eastAsia="Arial" w:hAnsi="Arial"/>
                <w:sz w:val="14"/>
                <w:szCs w:val="14"/>
                <w:color w:val="616161"/>
              </w:rPr>
              <w:t>Notice of 2019 Annual Meeting of Shareowners and Proxy Statement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146685</wp:posOffset>
            </wp:positionV>
            <wp:extent cx="26035" cy="1289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80" w:type="dxa"/>
            <w:vAlign w:val="bottom"/>
            <w:shd w:val="clear" w:color="auto" w:fill="D6D6D6"/>
          </w:tcPr>
          <w:p>
            <w:pPr>
              <w:ind w:left="120"/>
              <w:spacing w:after="0"/>
              <w:rPr>
                <w:sz w:val="20"/>
                <w:szCs w:val="20"/>
                <w:color w:val="auto"/>
              </w:rPr>
            </w:pPr>
            <w:r>
              <w:rPr>
                <w:rFonts w:ascii="Arial" w:cs="Arial" w:eastAsia="Arial" w:hAnsi="Arial"/>
                <w:sz w:val="14"/>
                <w:szCs w:val="14"/>
                <w:b w:val="1"/>
                <w:bCs w:val="1"/>
                <w:color w:val="424242"/>
              </w:rPr>
              <w:t>APPENDIX A</w:t>
            </w:r>
          </w:p>
        </w:tc>
        <w:tc>
          <w:tcPr>
            <w:tcW w:w="5880" w:type="dxa"/>
            <w:vAlign w:val="bottom"/>
            <w:gridSpan w:val="12"/>
            <w:shd w:val="clear" w:color="auto" w:fill="616161"/>
          </w:tcPr>
          <w:p>
            <w:pPr>
              <w:jc w:val="right"/>
              <w:ind w:right="52"/>
              <w:spacing w:after="0"/>
              <w:rPr>
                <w:sz w:val="20"/>
                <w:szCs w:val="20"/>
                <w:color w:val="auto"/>
              </w:rPr>
            </w:pPr>
            <w:r>
              <w:rPr>
                <w:rFonts w:ascii="Arial" w:cs="Arial" w:eastAsia="Arial" w:hAnsi="Arial"/>
                <w:sz w:val="14"/>
                <w:szCs w:val="14"/>
                <w:b w:val="1"/>
                <w:bCs w:val="1"/>
                <w:color w:val="FFFFFF"/>
                <w:w w:val="97"/>
              </w:rPr>
              <w:t>RECONCILIATION OF GAAP MEASURES TO CORRESPONDING NON-GAAP MEASURES</w:t>
            </w:r>
          </w:p>
        </w:tc>
        <w:tc>
          <w:tcPr>
            <w:tcW w:w="0" w:type="dxa"/>
            <w:vAlign w:val="bottom"/>
          </w:tcPr>
          <w:p>
            <w:pPr>
              <w:spacing w:after="0"/>
              <w:rPr>
                <w:sz w:val="1"/>
                <w:szCs w:val="1"/>
                <w:color w:val="auto"/>
              </w:rPr>
            </w:pPr>
          </w:p>
        </w:tc>
      </w:tr>
      <w:tr>
        <w:trPr>
          <w:trHeight w:val="243"/>
        </w:trPr>
        <w:tc>
          <w:tcPr>
            <w:tcW w:w="6660" w:type="dxa"/>
            <w:vAlign w:val="bottom"/>
            <w:gridSpan w:val="5"/>
            <w:vMerge w:val="restart"/>
          </w:tcPr>
          <w:p>
            <w:pPr>
              <w:spacing w:after="0"/>
              <w:rPr>
                <w:sz w:val="20"/>
                <w:szCs w:val="20"/>
                <w:color w:val="auto"/>
              </w:rPr>
            </w:pPr>
            <w:r>
              <w:rPr>
                <w:rFonts w:ascii="Arial" w:cs="Arial" w:eastAsia="Arial" w:hAnsi="Arial"/>
                <w:sz w:val="14"/>
                <w:szCs w:val="14"/>
                <w:b w:val="1"/>
                <w:bCs w:val="1"/>
                <w:color w:val="616161"/>
                <w:w w:val="97"/>
              </w:rPr>
              <w:t>RECONCILIATION OF 2018 NET SALES GROWTH (GAAP) TO ORGANIC SALES GROWTH (NON-GAAP)</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6660" w:type="dxa"/>
            <w:vAlign w:val="bottom"/>
            <w:gridSpan w:val="5"/>
            <w:vMerge w:val="continue"/>
          </w:tcPr>
          <w:p>
            <w:pPr>
              <w:spacing w:after="0"/>
              <w:rPr>
                <w:sz w:val="12"/>
                <w:szCs w:val="12"/>
                <w:color w:val="auto"/>
              </w:rPr>
            </w:pPr>
          </w:p>
        </w:tc>
        <w:tc>
          <w:tcPr>
            <w:tcW w:w="4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94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108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980" w:type="dxa"/>
            <w:vAlign w:val="bottom"/>
            <w:shd w:val="clear" w:color="auto" w:fill="E2E2E2"/>
          </w:tcPr>
          <w:p>
            <w:pPr>
              <w:spacing w:after="0"/>
              <w:rPr>
                <w:sz w:val="12"/>
                <w:szCs w:val="12"/>
                <w:color w:val="auto"/>
              </w:rPr>
            </w:pPr>
          </w:p>
        </w:tc>
        <w:tc>
          <w:tcPr>
            <w:tcW w:w="0" w:type="dxa"/>
            <w:vAlign w:val="bottom"/>
          </w:tcPr>
          <w:p>
            <w:pPr>
              <w:spacing w:after="0"/>
              <w:rPr>
                <w:sz w:val="1"/>
                <w:szCs w:val="1"/>
                <w:color w:val="auto"/>
              </w:rPr>
            </w:pPr>
          </w:p>
        </w:tc>
      </w:tr>
      <w:tr>
        <w:trPr>
          <w:trHeight w:val="391"/>
        </w:trPr>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Collins Aerospace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Carrier</w:t>
            </w: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Otis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Pratt &amp; Whitney</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Systems</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w w:val="91"/>
              </w:rPr>
              <w:t>Total Net Sales</w:t>
            </w:r>
          </w:p>
        </w:tc>
        <w:tc>
          <w:tcPr>
            <w:tcW w:w="0" w:type="dxa"/>
            <w:vAlign w:val="bottom"/>
          </w:tcPr>
          <w:p>
            <w:pPr>
              <w:spacing w:after="0"/>
              <w:rPr>
                <w:sz w:val="1"/>
                <w:szCs w:val="1"/>
                <w:color w:val="auto"/>
              </w:rPr>
            </w:pPr>
          </w:p>
        </w:tc>
      </w:tr>
      <w:tr>
        <w:trPr>
          <w:trHeight w:val="61"/>
        </w:trPr>
        <w:tc>
          <w:tcPr>
            <w:tcW w:w="4460" w:type="dxa"/>
            <w:vAlign w:val="bottom"/>
            <w:shd w:val="clear" w:color="auto" w:fill="D6D6D6"/>
          </w:tcPr>
          <w:p>
            <w:pPr>
              <w:spacing w:after="0"/>
              <w:rPr>
                <w:sz w:val="5"/>
                <w:szCs w:val="5"/>
                <w:color w:val="auto"/>
              </w:rPr>
            </w:pPr>
          </w:p>
        </w:tc>
        <w:tc>
          <w:tcPr>
            <w:tcW w:w="1520" w:type="dxa"/>
            <w:vAlign w:val="bottom"/>
            <w:gridSpan w:val="2"/>
            <w:shd w:val="clear" w:color="auto" w:fill="D6D6D6"/>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shd w:val="clear" w:color="auto" w:fill="616161"/>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shd w:val="clear" w:color="auto" w:fill="616161"/>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shd w:val="clear" w:color="auto" w:fill="616161"/>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shd w:val="clear" w:color="auto" w:fill="616161"/>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shd w:val="clear" w:color="auto" w:fill="616161"/>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460" w:type="dxa"/>
            <w:vAlign w:val="bottom"/>
          </w:tcPr>
          <w:p>
            <w:pPr>
              <w:ind w:left="80"/>
              <w:spacing w:after="0"/>
              <w:rPr>
                <w:sz w:val="20"/>
                <w:szCs w:val="20"/>
                <w:color w:val="auto"/>
              </w:rPr>
            </w:pPr>
            <w:r>
              <w:rPr>
                <w:rFonts w:ascii="Arial" w:cs="Arial" w:eastAsia="Arial" w:hAnsi="Arial"/>
                <w:sz w:val="14"/>
                <w:szCs w:val="14"/>
                <w:color w:val="auto"/>
              </w:rPr>
              <w:t>Net sales growth</w:t>
            </w:r>
          </w:p>
        </w:tc>
        <w:tc>
          <w:tcPr>
            <w:tcW w:w="2760" w:type="dxa"/>
            <w:vAlign w:val="bottom"/>
            <w:gridSpan w:val="6"/>
          </w:tcPr>
          <w:p>
            <w:pPr>
              <w:jc w:val="right"/>
              <w:ind w:right="100"/>
              <w:spacing w:after="0"/>
              <w:rPr>
                <w:sz w:val="20"/>
                <w:szCs w:val="20"/>
                <w:color w:val="auto"/>
              </w:rPr>
            </w:pPr>
            <w:r>
              <w:rPr>
                <w:rFonts w:ascii="Arial" w:cs="Arial" w:eastAsia="Arial" w:hAnsi="Arial"/>
                <w:sz w:val="14"/>
                <w:szCs w:val="14"/>
                <w:color w:val="auto"/>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41"/>
        </w:trPr>
        <w:tc>
          <w:tcPr>
            <w:tcW w:w="4460" w:type="dxa"/>
            <w:vAlign w:val="bottom"/>
            <w:tcBorders>
              <w:bottom w:val="single" w:sz="8" w:color="7C7C7C"/>
            </w:tcBorders>
          </w:tcPr>
          <w:p>
            <w:pPr>
              <w:spacing w:after="0"/>
              <w:rPr>
                <w:sz w:val="3"/>
                <w:szCs w:val="3"/>
                <w:color w:val="auto"/>
              </w:rPr>
            </w:pPr>
          </w:p>
        </w:tc>
        <w:tc>
          <w:tcPr>
            <w:tcW w:w="1080" w:type="dxa"/>
            <w:vAlign w:val="bottom"/>
            <w:tcBorders>
              <w:bottom w:val="single" w:sz="8" w:color="7C7C7C"/>
            </w:tcBorders>
          </w:tcPr>
          <w:p>
            <w:pPr>
              <w:spacing w:after="0"/>
              <w:rPr>
                <w:sz w:val="3"/>
                <w:szCs w:val="3"/>
                <w:color w:val="auto"/>
              </w:rPr>
            </w:pPr>
          </w:p>
        </w:tc>
        <w:tc>
          <w:tcPr>
            <w:tcW w:w="44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580" w:type="dxa"/>
            <w:vAlign w:val="bottom"/>
            <w:tcBorders>
              <w:bottom w:val="single" w:sz="8" w:color="7C7C7C"/>
            </w:tcBorders>
          </w:tcPr>
          <w:p>
            <w:pPr>
              <w:spacing w:after="0"/>
              <w:rPr>
                <w:sz w:val="3"/>
                <w:szCs w:val="3"/>
                <w:color w:val="auto"/>
              </w:rPr>
            </w:pPr>
          </w:p>
        </w:tc>
        <w:tc>
          <w:tcPr>
            <w:tcW w:w="4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8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9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08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9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4460" w:type="dxa"/>
            <w:vAlign w:val="bottom"/>
          </w:tcPr>
          <w:p>
            <w:pPr>
              <w:ind w:left="80"/>
              <w:spacing w:after="0"/>
              <w:rPr>
                <w:sz w:val="20"/>
                <w:szCs w:val="20"/>
                <w:color w:val="auto"/>
              </w:rPr>
            </w:pPr>
            <w:r>
              <w:rPr>
                <w:rFonts w:ascii="Arial" w:cs="Arial" w:eastAsia="Arial" w:hAnsi="Arial"/>
                <w:sz w:val="14"/>
                <w:szCs w:val="14"/>
                <w:b w:val="1"/>
                <w:bCs w:val="1"/>
                <w:color w:val="616161"/>
              </w:rPr>
              <w:t>Adjustments to net sales growth:</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460" w:type="dxa"/>
            <w:vAlign w:val="bottom"/>
            <w:tcBorders>
              <w:bottom w:val="single" w:sz="8" w:color="7C7C7C"/>
            </w:tcBorders>
          </w:tcPr>
          <w:p>
            <w:pPr>
              <w:spacing w:after="0"/>
              <w:rPr>
                <w:sz w:val="3"/>
                <w:szCs w:val="3"/>
                <w:color w:val="auto"/>
              </w:rPr>
            </w:pPr>
          </w:p>
        </w:tc>
        <w:tc>
          <w:tcPr>
            <w:tcW w:w="2760" w:type="dxa"/>
            <w:vAlign w:val="bottom"/>
            <w:tcBorders>
              <w:bottom w:val="single" w:sz="8" w:color="7C7C7C"/>
            </w:tcBorders>
            <w:gridSpan w:val="6"/>
          </w:tcPr>
          <w:p>
            <w:pPr>
              <w:spacing w:after="0"/>
              <w:rPr>
                <w:sz w:val="3"/>
                <w:szCs w:val="3"/>
                <w:color w:val="auto"/>
              </w:rPr>
            </w:pPr>
          </w:p>
        </w:tc>
        <w:tc>
          <w:tcPr>
            <w:tcW w:w="8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060" w:type="dxa"/>
            <w:vAlign w:val="bottom"/>
            <w:tcBorders>
              <w:bottom w:val="single" w:sz="8" w:color="7C7C7C"/>
            </w:tcBorders>
            <w:gridSpan w:val="2"/>
          </w:tcPr>
          <w:p>
            <w:pPr>
              <w:spacing w:after="0"/>
              <w:rPr>
                <w:sz w:val="3"/>
                <w:szCs w:val="3"/>
                <w:color w:val="auto"/>
              </w:rPr>
            </w:pPr>
          </w:p>
        </w:tc>
        <w:tc>
          <w:tcPr>
            <w:tcW w:w="1200" w:type="dxa"/>
            <w:vAlign w:val="bottom"/>
            <w:tcBorders>
              <w:bottom w:val="single" w:sz="8" w:color="7C7C7C"/>
            </w:tcBorders>
            <w:gridSpan w:val="2"/>
          </w:tcPr>
          <w:p>
            <w:pPr>
              <w:spacing w:after="0"/>
              <w:rPr>
                <w:sz w:val="3"/>
                <w:szCs w:val="3"/>
                <w:color w:val="auto"/>
              </w:rPr>
            </w:pPr>
          </w:p>
        </w:tc>
        <w:tc>
          <w:tcPr>
            <w:tcW w:w="9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80"/>
              <w:spacing w:after="0"/>
              <w:rPr>
                <w:sz w:val="20"/>
                <w:szCs w:val="20"/>
                <w:color w:val="auto"/>
              </w:rPr>
            </w:pPr>
            <w:r>
              <w:rPr>
                <w:rFonts w:ascii="Arial" w:cs="Arial" w:eastAsia="Arial" w:hAnsi="Arial"/>
                <w:sz w:val="14"/>
                <w:szCs w:val="14"/>
                <w:color w:val="auto"/>
              </w:rPr>
              <w:t>Foreign currency translation</w:t>
            </w:r>
          </w:p>
        </w:tc>
        <w:tc>
          <w:tcPr>
            <w:tcW w:w="2760" w:type="dxa"/>
            <w:vAlign w:val="bottom"/>
            <w:gridSpan w:val="6"/>
          </w:tcPr>
          <w:p>
            <w:pPr>
              <w:jc w:val="right"/>
              <w:ind w:right="100"/>
              <w:spacing w:after="0"/>
              <w:rPr>
                <w:sz w:val="20"/>
                <w:szCs w:val="20"/>
                <w:color w:val="auto"/>
              </w:rPr>
            </w:pPr>
            <w:r>
              <w:rPr>
                <w:rFonts w:ascii="Arial" w:cs="Arial" w:eastAsia="Arial" w:hAnsi="Arial"/>
                <w:sz w:val="14"/>
                <w:szCs w:val="14"/>
                <w:color w:val="auto"/>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1"/>
        </w:trPr>
        <w:tc>
          <w:tcPr>
            <w:tcW w:w="4460" w:type="dxa"/>
            <w:vAlign w:val="bottom"/>
            <w:tcBorders>
              <w:bottom w:val="single" w:sz="8" w:color="7C7C7C"/>
            </w:tcBorders>
          </w:tcPr>
          <w:p>
            <w:pPr>
              <w:spacing w:after="0"/>
              <w:rPr>
                <w:sz w:val="3"/>
                <w:szCs w:val="3"/>
                <w:color w:val="auto"/>
              </w:rPr>
            </w:pPr>
          </w:p>
        </w:tc>
        <w:tc>
          <w:tcPr>
            <w:tcW w:w="2760" w:type="dxa"/>
            <w:vAlign w:val="bottom"/>
            <w:tcBorders>
              <w:bottom w:val="single" w:sz="8" w:color="7C7C7C"/>
            </w:tcBorders>
            <w:gridSpan w:val="6"/>
          </w:tcPr>
          <w:p>
            <w:pPr>
              <w:spacing w:after="0"/>
              <w:rPr>
                <w:sz w:val="3"/>
                <w:szCs w:val="3"/>
                <w:color w:val="auto"/>
              </w:rPr>
            </w:pPr>
          </w:p>
        </w:tc>
        <w:tc>
          <w:tcPr>
            <w:tcW w:w="960" w:type="dxa"/>
            <w:vAlign w:val="bottom"/>
            <w:tcBorders>
              <w:bottom w:val="single" w:sz="8" w:color="7C7C7C"/>
            </w:tcBorders>
            <w:gridSpan w:val="2"/>
          </w:tcPr>
          <w:p>
            <w:pPr>
              <w:spacing w:after="0"/>
              <w:rPr>
                <w:sz w:val="3"/>
                <w:szCs w:val="3"/>
                <w:color w:val="auto"/>
              </w:rPr>
            </w:pPr>
          </w:p>
        </w:tc>
        <w:tc>
          <w:tcPr>
            <w:tcW w:w="1060" w:type="dxa"/>
            <w:vAlign w:val="bottom"/>
            <w:tcBorders>
              <w:bottom w:val="single" w:sz="8" w:color="7C7C7C"/>
            </w:tcBorders>
            <w:gridSpan w:val="2"/>
          </w:tcPr>
          <w:p>
            <w:pPr>
              <w:spacing w:after="0"/>
              <w:rPr>
                <w:sz w:val="3"/>
                <w:szCs w:val="3"/>
                <w:color w:val="auto"/>
              </w:rPr>
            </w:pPr>
          </w:p>
        </w:tc>
        <w:tc>
          <w:tcPr>
            <w:tcW w:w="108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9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80"/>
              <w:spacing w:after="0"/>
              <w:rPr>
                <w:sz w:val="20"/>
                <w:szCs w:val="20"/>
                <w:color w:val="auto"/>
              </w:rPr>
            </w:pPr>
            <w:r>
              <w:rPr>
                <w:rFonts w:ascii="Arial" w:cs="Arial" w:eastAsia="Arial" w:hAnsi="Arial"/>
                <w:sz w:val="14"/>
                <w:szCs w:val="14"/>
                <w:color w:val="auto"/>
              </w:rPr>
              <w:t>Acquisitions and divestitures, net</w:t>
            </w:r>
          </w:p>
        </w:tc>
        <w:tc>
          <w:tcPr>
            <w:tcW w:w="2760" w:type="dxa"/>
            <w:vAlign w:val="bottom"/>
            <w:gridSpan w:val="6"/>
          </w:tcPr>
          <w:p>
            <w:pPr>
              <w:jc w:val="right"/>
              <w:ind w:right="100"/>
              <w:spacing w:after="0"/>
              <w:rPr>
                <w:sz w:val="20"/>
                <w:szCs w:val="20"/>
                <w:color w:val="auto"/>
              </w:rPr>
            </w:pPr>
            <w:r>
              <w:rPr>
                <w:rFonts w:ascii="Arial" w:cs="Arial" w:eastAsia="Arial" w:hAnsi="Arial"/>
                <w:sz w:val="14"/>
                <w:szCs w:val="14"/>
                <w:color w:val="auto"/>
              </w:rPr>
              <w:t>(1%)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1"/>
        </w:trPr>
        <w:tc>
          <w:tcPr>
            <w:tcW w:w="4460" w:type="dxa"/>
            <w:vAlign w:val="bottom"/>
            <w:tcBorders>
              <w:bottom w:val="single" w:sz="8" w:color="7C7C7C"/>
            </w:tcBorders>
          </w:tcPr>
          <w:p>
            <w:pPr>
              <w:spacing w:after="0"/>
              <w:rPr>
                <w:sz w:val="3"/>
                <w:szCs w:val="3"/>
                <w:color w:val="auto"/>
              </w:rPr>
            </w:pPr>
          </w:p>
        </w:tc>
        <w:tc>
          <w:tcPr>
            <w:tcW w:w="2760" w:type="dxa"/>
            <w:vAlign w:val="bottom"/>
            <w:tcBorders>
              <w:bottom w:val="single" w:sz="8" w:color="7C7C7C"/>
            </w:tcBorders>
            <w:gridSpan w:val="6"/>
          </w:tcPr>
          <w:p>
            <w:pPr>
              <w:spacing w:after="0"/>
              <w:rPr>
                <w:sz w:val="3"/>
                <w:szCs w:val="3"/>
                <w:color w:val="auto"/>
              </w:rPr>
            </w:pPr>
          </w:p>
        </w:tc>
        <w:tc>
          <w:tcPr>
            <w:tcW w:w="86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940" w:type="dxa"/>
            <w:vAlign w:val="bottom"/>
            <w:tcBorders>
              <w:bottom w:val="single" w:sz="8" w:color="7C7C7C"/>
            </w:tcBorders>
          </w:tcPr>
          <w:p>
            <w:pPr>
              <w:spacing w:after="0"/>
              <w:rPr>
                <w:sz w:val="3"/>
                <w:szCs w:val="3"/>
                <w:color w:val="auto"/>
              </w:rPr>
            </w:pPr>
          </w:p>
        </w:tc>
        <w:tc>
          <w:tcPr>
            <w:tcW w:w="120" w:type="dxa"/>
            <w:vAlign w:val="bottom"/>
            <w:tcBorders>
              <w:bottom w:val="single" w:sz="8" w:color="7C7C7C"/>
            </w:tcBorders>
          </w:tcPr>
          <w:p>
            <w:pPr>
              <w:spacing w:after="0"/>
              <w:rPr>
                <w:sz w:val="3"/>
                <w:szCs w:val="3"/>
                <w:color w:val="auto"/>
              </w:rPr>
            </w:pPr>
          </w:p>
        </w:tc>
        <w:tc>
          <w:tcPr>
            <w:tcW w:w="1200" w:type="dxa"/>
            <w:vAlign w:val="bottom"/>
            <w:tcBorders>
              <w:bottom w:val="single" w:sz="8" w:color="7C7C7C"/>
            </w:tcBorders>
            <w:gridSpan w:val="2"/>
          </w:tcPr>
          <w:p>
            <w:pPr>
              <w:spacing w:after="0"/>
              <w:rPr>
                <w:sz w:val="3"/>
                <w:szCs w:val="3"/>
                <w:color w:val="auto"/>
              </w:rPr>
            </w:pPr>
          </w:p>
        </w:tc>
        <w:tc>
          <w:tcPr>
            <w:tcW w:w="9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80"/>
              <w:spacing w:after="0"/>
              <w:rPr>
                <w:sz w:val="20"/>
                <w:szCs w:val="20"/>
                <w:color w:val="auto"/>
              </w:rPr>
            </w:pPr>
            <w:r>
              <w:rPr>
                <w:rFonts w:ascii="Arial" w:cs="Arial" w:eastAsia="Arial" w:hAnsi="Arial"/>
                <w:sz w:val="14"/>
                <w:szCs w:val="14"/>
                <w:color w:val="auto"/>
              </w:rPr>
              <w:t>Other</w:t>
            </w:r>
          </w:p>
        </w:tc>
        <w:tc>
          <w:tcPr>
            <w:tcW w:w="2760" w:type="dxa"/>
            <w:vAlign w:val="bottom"/>
            <w:gridSpan w:val="6"/>
          </w:tcPr>
          <w:p>
            <w:pPr>
              <w:jc w:val="right"/>
              <w:ind w:right="100"/>
              <w:spacing w:after="0"/>
              <w:rPr>
                <w:sz w:val="20"/>
                <w:szCs w:val="20"/>
                <w:color w:val="auto"/>
              </w:rPr>
            </w:pPr>
            <w:r>
              <w:rPr>
                <w:rFonts w:ascii="Arial" w:cs="Arial" w:eastAsia="Arial" w:hAnsi="Arial"/>
                <w:sz w:val="14"/>
                <w:szCs w:val="14"/>
                <w:color w:val="auto"/>
              </w:rPr>
              <w:t>0%</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8"/>
        </w:trPr>
        <w:tc>
          <w:tcPr>
            <w:tcW w:w="4460" w:type="dxa"/>
            <w:vAlign w:val="bottom"/>
            <w:tcBorders>
              <w:bottom w:val="single" w:sz="8" w:color="7C7C7C"/>
            </w:tcBorders>
          </w:tcPr>
          <w:p>
            <w:pPr>
              <w:spacing w:after="0"/>
              <w:rPr>
                <w:sz w:val="4"/>
                <w:szCs w:val="4"/>
                <w:color w:val="auto"/>
              </w:rPr>
            </w:pPr>
          </w:p>
        </w:tc>
        <w:tc>
          <w:tcPr>
            <w:tcW w:w="2760" w:type="dxa"/>
            <w:vAlign w:val="bottom"/>
            <w:tcBorders>
              <w:bottom w:val="single" w:sz="8" w:color="7C7C7C"/>
            </w:tcBorders>
            <w:gridSpan w:val="6"/>
          </w:tcPr>
          <w:p>
            <w:pPr>
              <w:spacing w:after="0"/>
              <w:rPr>
                <w:sz w:val="4"/>
                <w:szCs w:val="4"/>
                <w:color w:val="auto"/>
              </w:rPr>
            </w:pPr>
          </w:p>
        </w:tc>
        <w:tc>
          <w:tcPr>
            <w:tcW w:w="860" w:type="dxa"/>
            <w:vAlign w:val="bottom"/>
            <w:tcBorders>
              <w:bottom w:val="single" w:sz="8" w:color="7C7C7C"/>
            </w:tcBorders>
          </w:tcPr>
          <w:p>
            <w:pPr>
              <w:spacing w:after="0"/>
              <w:rPr>
                <w:sz w:val="4"/>
                <w:szCs w:val="4"/>
                <w:color w:val="auto"/>
              </w:rPr>
            </w:pPr>
          </w:p>
        </w:tc>
        <w:tc>
          <w:tcPr>
            <w:tcW w:w="100" w:type="dxa"/>
            <w:vAlign w:val="bottom"/>
            <w:tcBorders>
              <w:bottom w:val="single" w:sz="8" w:color="7C7C7C"/>
            </w:tcBorders>
          </w:tcPr>
          <w:p>
            <w:pPr>
              <w:spacing w:after="0"/>
              <w:rPr>
                <w:sz w:val="4"/>
                <w:szCs w:val="4"/>
                <w:color w:val="auto"/>
              </w:rPr>
            </w:pPr>
          </w:p>
        </w:tc>
        <w:tc>
          <w:tcPr>
            <w:tcW w:w="1060" w:type="dxa"/>
            <w:vAlign w:val="bottom"/>
            <w:tcBorders>
              <w:bottom w:val="single" w:sz="8" w:color="7C7C7C"/>
            </w:tcBorders>
            <w:gridSpan w:val="2"/>
          </w:tcPr>
          <w:p>
            <w:pPr>
              <w:spacing w:after="0"/>
              <w:rPr>
                <w:sz w:val="4"/>
                <w:szCs w:val="4"/>
                <w:color w:val="auto"/>
              </w:rPr>
            </w:pPr>
          </w:p>
        </w:tc>
        <w:tc>
          <w:tcPr>
            <w:tcW w:w="1080" w:type="dxa"/>
            <w:vAlign w:val="bottom"/>
            <w:tcBorders>
              <w:bottom w:val="single" w:sz="8" w:color="7C7C7C"/>
            </w:tcBorders>
          </w:tcPr>
          <w:p>
            <w:pPr>
              <w:spacing w:after="0"/>
              <w:rPr>
                <w:sz w:val="4"/>
                <w:szCs w:val="4"/>
                <w:color w:val="auto"/>
              </w:rPr>
            </w:pPr>
          </w:p>
        </w:tc>
        <w:tc>
          <w:tcPr>
            <w:tcW w:w="120" w:type="dxa"/>
            <w:vAlign w:val="bottom"/>
            <w:tcBorders>
              <w:bottom w:val="single" w:sz="8" w:color="7C7C7C"/>
            </w:tcBorders>
          </w:tcPr>
          <w:p>
            <w:pPr>
              <w:spacing w:after="0"/>
              <w:rPr>
                <w:sz w:val="4"/>
                <w:szCs w:val="4"/>
                <w:color w:val="auto"/>
              </w:rPr>
            </w:pPr>
          </w:p>
        </w:tc>
        <w:tc>
          <w:tcPr>
            <w:tcW w:w="980" w:type="dxa"/>
            <w:vAlign w:val="bottom"/>
            <w:tcBorders>
              <w:bottom w:val="single" w:sz="8" w:color="7C7C7C"/>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F5F5F5"/>
            </w:tcBorders>
            <w:shd w:val="clear" w:color="auto" w:fill="F5F5F5"/>
          </w:tcPr>
          <w:p>
            <w:pPr>
              <w:ind w:left="80"/>
              <w:spacing w:after="0"/>
              <w:rPr>
                <w:sz w:val="20"/>
                <w:szCs w:val="20"/>
                <w:color w:val="auto"/>
              </w:rPr>
            </w:pPr>
            <w:r>
              <w:rPr>
                <w:rFonts w:ascii="Arial" w:cs="Arial" w:eastAsia="Arial" w:hAnsi="Arial"/>
                <w:sz w:val="14"/>
                <w:szCs w:val="14"/>
                <w:color w:val="auto"/>
              </w:rPr>
              <w:t>Organic sales growth</w:t>
            </w:r>
          </w:p>
        </w:tc>
        <w:tc>
          <w:tcPr>
            <w:tcW w:w="2760" w:type="dxa"/>
            <w:vAlign w:val="bottom"/>
            <w:tcBorders>
              <w:bottom w:val="single" w:sz="8" w:color="F5F5F5"/>
            </w:tcBorders>
            <w:gridSpan w:val="6"/>
            <w:shd w:val="clear" w:color="auto" w:fill="F5F5F5"/>
          </w:tcPr>
          <w:p>
            <w:pPr>
              <w:jc w:val="right"/>
              <w:ind w:right="100"/>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F5F5F5"/>
            </w:tcBorders>
            <w:shd w:val="clear" w:color="auto" w:fill="F5F5F5"/>
          </w:tcPr>
          <w:p>
            <w:pPr>
              <w:spacing w:after="0"/>
              <w:rPr>
                <w:sz w:val="19"/>
                <w:szCs w:val="19"/>
                <w:color w:val="auto"/>
              </w:rPr>
            </w:pPr>
          </w:p>
        </w:tc>
        <w:tc>
          <w:tcPr>
            <w:tcW w:w="1060" w:type="dxa"/>
            <w:vAlign w:val="bottom"/>
            <w:tcBorders>
              <w:bottom w:val="single" w:sz="8" w:color="F5F5F5"/>
            </w:tcBorders>
            <w:gridSpan w:val="2"/>
            <w:shd w:val="clear" w:color="auto" w:fill="F5F5F5"/>
          </w:tcPr>
          <w:p>
            <w:pPr>
              <w:jc w:val="right"/>
              <w:ind w:right="120"/>
              <w:spacing w:after="0"/>
              <w:rPr>
                <w:sz w:val="20"/>
                <w:szCs w:val="20"/>
                <w:color w:val="auto"/>
              </w:rPr>
            </w:pPr>
            <w:r>
              <w:rPr>
                <w:rFonts w:ascii="Arial" w:cs="Arial" w:eastAsia="Arial" w:hAnsi="Arial"/>
                <w:sz w:val="14"/>
                <w:szCs w:val="14"/>
                <w:color w:val="auto"/>
              </w:rPr>
              <w:t>14%</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F5F5F5"/>
            </w:tcBorders>
            <w:shd w:val="clear" w:color="auto" w:fill="F5F5F5"/>
          </w:tcPr>
          <w:p>
            <w:pPr>
              <w:spacing w:after="0"/>
              <w:rPr>
                <w:sz w:val="19"/>
                <w:szCs w:val="19"/>
                <w:color w:val="auto"/>
              </w:rPr>
            </w:pPr>
          </w:p>
        </w:tc>
        <w:tc>
          <w:tcPr>
            <w:tcW w:w="980" w:type="dxa"/>
            <w:vAlign w:val="bottom"/>
            <w:tcBorders>
              <w:bottom w:val="single" w:sz="8" w:color="F5F5F5"/>
            </w:tcBorders>
            <w:shd w:val="clear" w:color="auto" w:fill="F5F5F5"/>
          </w:tcPr>
          <w:p>
            <w:pPr>
              <w:jc w:val="right"/>
              <w:ind w:right="12"/>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
        </w:trPr>
        <w:tc>
          <w:tcPr>
            <w:tcW w:w="4460" w:type="dxa"/>
            <w:vAlign w:val="bottom"/>
            <w:shd w:val="clear" w:color="auto" w:fill="7C7C7C"/>
          </w:tcPr>
          <w:p>
            <w:pPr>
              <w:spacing w:after="0"/>
              <w:rPr>
                <w:sz w:val="2"/>
                <w:szCs w:val="2"/>
                <w:color w:val="auto"/>
              </w:rPr>
            </w:pPr>
          </w:p>
        </w:tc>
        <w:tc>
          <w:tcPr>
            <w:tcW w:w="1080" w:type="dxa"/>
            <w:vAlign w:val="bottom"/>
            <w:shd w:val="clear" w:color="auto" w:fill="7C7C7C"/>
          </w:tcPr>
          <w:p>
            <w:pPr>
              <w:spacing w:after="0"/>
              <w:rPr>
                <w:sz w:val="2"/>
                <w:szCs w:val="2"/>
                <w:color w:val="auto"/>
              </w:rPr>
            </w:pPr>
          </w:p>
        </w:tc>
        <w:tc>
          <w:tcPr>
            <w:tcW w:w="440" w:type="dxa"/>
            <w:vAlign w:val="bottom"/>
            <w:shd w:val="clear" w:color="auto" w:fill="7C7C7C"/>
          </w:tcPr>
          <w:p>
            <w:pPr>
              <w:spacing w:after="0"/>
              <w:rPr>
                <w:sz w:val="2"/>
                <w:szCs w:val="2"/>
                <w:color w:val="auto"/>
              </w:rPr>
            </w:pPr>
          </w:p>
        </w:tc>
        <w:tc>
          <w:tcPr>
            <w:tcW w:w="100" w:type="dxa"/>
            <w:vAlign w:val="bottom"/>
            <w:shd w:val="clear" w:color="auto" w:fill="7C7C7C"/>
          </w:tcPr>
          <w:p>
            <w:pPr>
              <w:spacing w:after="0"/>
              <w:rPr>
                <w:sz w:val="2"/>
                <w:szCs w:val="2"/>
                <w:color w:val="auto"/>
              </w:rPr>
            </w:pPr>
          </w:p>
        </w:tc>
        <w:tc>
          <w:tcPr>
            <w:tcW w:w="580" w:type="dxa"/>
            <w:vAlign w:val="bottom"/>
            <w:shd w:val="clear" w:color="auto" w:fill="7C7C7C"/>
          </w:tcPr>
          <w:p>
            <w:pPr>
              <w:spacing w:after="0"/>
              <w:rPr>
                <w:sz w:val="2"/>
                <w:szCs w:val="2"/>
                <w:color w:val="auto"/>
              </w:rPr>
            </w:pPr>
          </w:p>
        </w:tc>
        <w:tc>
          <w:tcPr>
            <w:tcW w:w="460" w:type="dxa"/>
            <w:vAlign w:val="bottom"/>
            <w:shd w:val="clear" w:color="auto" w:fill="7C7C7C"/>
          </w:tcPr>
          <w:p>
            <w:pPr>
              <w:spacing w:after="0"/>
              <w:rPr>
                <w:sz w:val="2"/>
                <w:szCs w:val="2"/>
                <w:color w:val="auto"/>
              </w:rPr>
            </w:pPr>
          </w:p>
        </w:tc>
        <w:tc>
          <w:tcPr>
            <w:tcW w:w="100" w:type="dxa"/>
            <w:vAlign w:val="bottom"/>
            <w:shd w:val="clear" w:color="auto" w:fill="7C7C7C"/>
          </w:tcPr>
          <w:p>
            <w:pPr>
              <w:spacing w:after="0"/>
              <w:rPr>
                <w:sz w:val="2"/>
                <w:szCs w:val="2"/>
                <w:color w:val="auto"/>
              </w:rPr>
            </w:pPr>
          </w:p>
        </w:tc>
        <w:tc>
          <w:tcPr>
            <w:tcW w:w="860" w:type="dxa"/>
            <w:vAlign w:val="bottom"/>
            <w:shd w:val="clear" w:color="auto" w:fill="7C7C7C"/>
          </w:tcPr>
          <w:p>
            <w:pPr>
              <w:spacing w:after="0"/>
              <w:rPr>
                <w:sz w:val="2"/>
                <w:szCs w:val="2"/>
                <w:color w:val="auto"/>
              </w:rPr>
            </w:pPr>
          </w:p>
        </w:tc>
        <w:tc>
          <w:tcPr>
            <w:tcW w:w="100" w:type="dxa"/>
            <w:vAlign w:val="bottom"/>
            <w:shd w:val="clear" w:color="auto" w:fill="7C7C7C"/>
          </w:tcPr>
          <w:p>
            <w:pPr>
              <w:spacing w:after="0"/>
              <w:rPr>
                <w:sz w:val="2"/>
                <w:szCs w:val="2"/>
                <w:color w:val="auto"/>
              </w:rPr>
            </w:pPr>
          </w:p>
        </w:tc>
        <w:tc>
          <w:tcPr>
            <w:tcW w:w="940" w:type="dxa"/>
            <w:vAlign w:val="bottom"/>
            <w:shd w:val="clear" w:color="auto" w:fill="7C7C7C"/>
          </w:tcPr>
          <w:p>
            <w:pPr>
              <w:spacing w:after="0"/>
              <w:rPr>
                <w:sz w:val="2"/>
                <w:szCs w:val="2"/>
                <w:color w:val="auto"/>
              </w:rPr>
            </w:pPr>
          </w:p>
        </w:tc>
        <w:tc>
          <w:tcPr>
            <w:tcW w:w="120" w:type="dxa"/>
            <w:vAlign w:val="bottom"/>
            <w:shd w:val="clear" w:color="auto" w:fill="7C7C7C"/>
          </w:tcPr>
          <w:p>
            <w:pPr>
              <w:spacing w:after="0"/>
              <w:rPr>
                <w:sz w:val="2"/>
                <w:szCs w:val="2"/>
                <w:color w:val="auto"/>
              </w:rPr>
            </w:pPr>
          </w:p>
        </w:tc>
        <w:tc>
          <w:tcPr>
            <w:tcW w:w="1080" w:type="dxa"/>
            <w:vAlign w:val="bottom"/>
            <w:shd w:val="clear" w:color="auto" w:fill="7C7C7C"/>
          </w:tcPr>
          <w:p>
            <w:pPr>
              <w:spacing w:after="0"/>
              <w:rPr>
                <w:sz w:val="2"/>
                <w:szCs w:val="2"/>
                <w:color w:val="auto"/>
              </w:rPr>
            </w:pPr>
          </w:p>
        </w:tc>
        <w:tc>
          <w:tcPr>
            <w:tcW w:w="120" w:type="dxa"/>
            <w:vAlign w:val="bottom"/>
            <w:shd w:val="clear" w:color="auto" w:fill="7C7C7C"/>
          </w:tcPr>
          <w:p>
            <w:pPr>
              <w:spacing w:after="0"/>
              <w:rPr>
                <w:sz w:val="2"/>
                <w:szCs w:val="2"/>
                <w:color w:val="auto"/>
              </w:rPr>
            </w:pPr>
          </w:p>
        </w:tc>
        <w:tc>
          <w:tcPr>
            <w:tcW w:w="980" w:type="dxa"/>
            <w:vAlign w:val="bottom"/>
            <w:shd w:val="clear" w:color="auto" w:fill="7C7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AND DEFINITIONS OF NON-GAAP FINANCIAL MEASURES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reports its financial results in accordance with accounting principles generally accepted in the United States (“GAAP”).</w:t>
      </w:r>
    </w:p>
    <w:p>
      <w:pPr>
        <w:spacing w:after="0" w:line="212"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Moreover, other companies may define non-GAAP measures differently, which limits the usefulness of these measures for comparisons with such other companies. We encourage investors to review our financial statements and publicly filed reports in their entirety and not to rely on any single financial measure.</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Adjusted net sales, organic sales, adjusted net income and adjusted diluted EPS are non-GAAP financial measures. Adjusted net sales represents consolidated net sales from continuing operations (a GAAP measure), excluding significant items of a non-recurring and/or non-operational nature (hereinafter referred to as “other significant items”). Organic sales represents consolidated net sales (a GAAP measure), excluding the impact of foreign currency translation, acquisitions and divestitures completed in the preceding twelve months and other significant items. Adjusted net income represents net income from continuing operations (a GAAP measure), excluding restructuring costs and other significant items. Adjusted diluted EPS represents diluted earnings per share from continuing operations (a GAAP measure), excluding restructuring costs and other significant items. Management believes that the non-GAAP measures just mentioned are useful in providing period-to-period comparisons of the results of the Company’s ongoing operational performance.</w:t>
      </w:r>
    </w:p>
    <w:p>
      <w:pPr>
        <w:spacing w:after="0" w:line="208" w:lineRule="exact"/>
        <w:rPr>
          <w:sz w:val="20"/>
          <w:szCs w:val="20"/>
          <w:color w:val="auto"/>
        </w:rPr>
      </w:pPr>
    </w:p>
    <w:p>
      <w:pPr>
        <w:ind w:right="640"/>
        <w:spacing w:after="0" w:line="281" w:lineRule="auto"/>
        <w:rPr>
          <w:sz w:val="20"/>
          <w:szCs w:val="20"/>
          <w:color w:val="auto"/>
        </w:rPr>
      </w:pPr>
      <w:r>
        <w:rPr>
          <w:rFonts w:ascii="Arial" w:cs="Arial" w:eastAsia="Arial" w:hAnsi="Arial"/>
          <w:sz w:val="16"/>
          <w:szCs w:val="16"/>
          <w:color w:val="auto"/>
        </w:rPr>
        <w:t>Free cash flow is a non-GAAP financial measure that represents cash flow from operations (a GAAP measure) less capital expenditures. Management believes free cash flow is a useful measure of liquidity and an additional basis for assessing UTC’s ability to fund its activities, including the financing of acquisitions, debt service, repurchases of UTC’s common stock and distribution of earnings to shareholders.</w:t>
      </w:r>
    </w:p>
    <w:p>
      <w:pPr>
        <w:spacing w:after="0" w:line="178"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A reconciliation of the non-GAAP measures to the corresponding amounts prepared in accordance with GAAP appears in the tables above and on the prior page. The tables provide additional information as to the items and amounts that have been excluded from the adjusted measures.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auto"/>
                <w:w w:val="99"/>
              </w:rPr>
              <w:t xml:space="preserve">United Technologies </w:t>
            </w:r>
            <w:r>
              <w:rPr>
                <w:rFonts w:ascii="Arial" w:cs="Arial" w:eastAsia="Arial" w:hAnsi="Arial"/>
                <w:sz w:val="14"/>
                <w:szCs w:val="14"/>
                <w:color w:val="616161"/>
                <w:w w:val="99"/>
              </w:rPr>
              <w:t>Notice of 2019 Annual Meeting of Shareowners and Proxy Statement</w:t>
            </w:r>
          </w:p>
        </w:tc>
        <w:tc>
          <w:tcPr>
            <w:tcW w:w="680" w:type="dxa"/>
            <w:vAlign w:val="bottom"/>
            <w:shd w:val="clear" w:color="auto" w:fill="616161"/>
          </w:tcPr>
          <w:p>
            <w:pPr>
              <w:jc w:val="right"/>
              <w:ind w:right="152"/>
              <w:spacing w:after="0"/>
              <w:rPr>
                <w:sz w:val="20"/>
                <w:szCs w:val="20"/>
                <w:color w:val="auto"/>
              </w:rPr>
            </w:pPr>
            <w:r>
              <w:rPr>
                <w:rFonts w:ascii="Arial" w:cs="Arial" w:eastAsia="Arial" w:hAnsi="Arial"/>
                <w:sz w:val="18"/>
                <w:szCs w:val="18"/>
                <w:b w:val="1"/>
                <w:bCs w:val="1"/>
                <w:color w:val="FFFFFF"/>
              </w:rPr>
              <w:t>87</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APPENDIX B</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616161"/>
        </w:rPr>
        <w:t>Financial Performance Metrics</w:t>
      </w:r>
    </w:p>
    <w:p>
      <w:pPr>
        <w:spacing w:after="0" w:line="48"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USED IN UTC’S INCENTIVE COMPENSATION PLANS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All performance measures are based on performance of continuing operations, unless otherwise noted.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ind w:left="80"/>
              <w:spacing w:after="0"/>
              <w:rPr>
                <w:sz w:val="20"/>
                <w:szCs w:val="20"/>
                <w:color w:val="auto"/>
              </w:rPr>
            </w:pPr>
            <w:r>
              <w:rPr>
                <w:rFonts w:ascii="Arial" w:cs="Arial" w:eastAsia="Arial" w:hAnsi="Arial"/>
                <w:sz w:val="14"/>
                <w:szCs w:val="14"/>
                <w:b w:val="1"/>
                <w:bCs w:val="1"/>
                <w:color w:val="616161"/>
              </w:rPr>
              <w:t>Plan</w:t>
            </w:r>
          </w:p>
        </w:tc>
        <w:tc>
          <w:tcPr>
            <w:tcW w:w="120" w:type="dxa"/>
            <w:vAlign w:val="bottom"/>
          </w:tcPr>
          <w:p>
            <w:pPr>
              <w:spacing w:after="0"/>
              <w:rPr>
                <w:sz w:val="16"/>
                <w:szCs w:val="16"/>
                <w:color w:val="auto"/>
              </w:rPr>
            </w:pPr>
          </w:p>
        </w:tc>
        <w:tc>
          <w:tcPr>
            <w:tcW w:w="2740" w:type="dxa"/>
            <w:vAlign w:val="bottom"/>
          </w:tcPr>
          <w:p>
            <w:pPr>
              <w:ind w:left="60"/>
              <w:spacing w:after="0"/>
              <w:rPr>
                <w:sz w:val="20"/>
                <w:szCs w:val="20"/>
                <w:color w:val="auto"/>
              </w:rPr>
            </w:pPr>
            <w:r>
              <w:rPr>
                <w:rFonts w:ascii="Arial" w:cs="Arial" w:eastAsia="Arial" w:hAnsi="Arial"/>
                <w:sz w:val="14"/>
                <w:szCs w:val="14"/>
                <w:b w:val="1"/>
                <w:bCs w:val="1"/>
                <w:color w:val="616161"/>
              </w:rPr>
              <w:t>Metric</w:t>
            </w:r>
          </w:p>
        </w:tc>
        <w:tc>
          <w:tcPr>
            <w:tcW w:w="12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b w:val="1"/>
                <w:bCs w:val="1"/>
                <w:color w:val="616161"/>
              </w:rPr>
              <w:t>UTC</w:t>
            </w:r>
          </w:p>
        </w:tc>
        <w:tc>
          <w:tcPr>
            <w:tcW w:w="120" w:type="dxa"/>
            <w:vAlign w:val="bottom"/>
          </w:tcPr>
          <w:p>
            <w:pPr>
              <w:spacing w:after="0"/>
              <w:rPr>
                <w:sz w:val="16"/>
                <w:szCs w:val="16"/>
                <w:color w:val="auto"/>
              </w:rPr>
            </w:pPr>
          </w:p>
        </w:tc>
        <w:tc>
          <w:tcPr>
            <w:tcW w:w="2720" w:type="dxa"/>
            <w:vAlign w:val="bottom"/>
            <w:gridSpan w:val="2"/>
          </w:tcPr>
          <w:p>
            <w:pPr>
              <w:ind w:left="60"/>
              <w:spacing w:after="0"/>
              <w:rPr>
                <w:sz w:val="20"/>
                <w:szCs w:val="20"/>
                <w:color w:val="auto"/>
              </w:rPr>
            </w:pPr>
            <w:r>
              <w:rPr>
                <w:rFonts w:ascii="Arial" w:cs="Arial" w:eastAsia="Arial" w:hAnsi="Arial"/>
                <w:sz w:val="14"/>
                <w:szCs w:val="14"/>
                <w:b w:val="1"/>
                <w:bCs w:val="1"/>
                <w:color w:val="616161"/>
              </w:rPr>
              <w:t>Business Units</w:t>
            </w:r>
          </w:p>
        </w:tc>
      </w:tr>
      <w:tr>
        <w:trPr>
          <w:trHeight w:val="61"/>
        </w:trPr>
        <w:tc>
          <w:tcPr>
            <w:tcW w:w="2880" w:type="dxa"/>
            <w:vAlign w:val="bottom"/>
            <w:shd w:val="clear" w:color="auto" w:fill="D6D6D6"/>
          </w:tcPr>
          <w:p>
            <w:pPr>
              <w:spacing w:after="0"/>
              <w:rPr>
                <w:sz w:val="5"/>
                <w:szCs w:val="5"/>
                <w:color w:val="auto"/>
              </w:rPr>
            </w:pPr>
          </w:p>
        </w:tc>
        <w:tc>
          <w:tcPr>
            <w:tcW w:w="120" w:type="dxa"/>
            <w:vAlign w:val="bottom"/>
          </w:tcPr>
          <w:p>
            <w:pPr>
              <w:spacing w:after="0"/>
              <w:rPr>
                <w:sz w:val="5"/>
                <w:szCs w:val="5"/>
                <w:color w:val="auto"/>
              </w:rPr>
            </w:pPr>
          </w:p>
        </w:tc>
        <w:tc>
          <w:tcPr>
            <w:tcW w:w="2740" w:type="dxa"/>
            <w:vAlign w:val="bottom"/>
            <w:shd w:val="clear" w:color="auto" w:fill="616161"/>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shd w:val="clear" w:color="auto" w:fill="616161"/>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gridSpan w:val="2"/>
            <w:shd w:val="clear" w:color="auto" w:fill="616161"/>
          </w:tcPr>
          <w:p>
            <w:pPr>
              <w:spacing w:after="0"/>
              <w:rPr>
                <w:sz w:val="5"/>
                <w:szCs w:val="5"/>
                <w:color w:val="auto"/>
              </w:rPr>
            </w:pPr>
          </w:p>
        </w:tc>
      </w:tr>
      <w:tr>
        <w:trPr>
          <w:trHeight w:val="175"/>
        </w:trPr>
        <w:tc>
          <w:tcPr>
            <w:tcW w:w="2880" w:type="dxa"/>
            <w:vAlign w:val="bottom"/>
          </w:tcPr>
          <w:p>
            <w:pPr>
              <w:ind w:left="80"/>
              <w:spacing w:after="0"/>
              <w:rPr>
                <w:sz w:val="20"/>
                <w:szCs w:val="20"/>
                <w:color w:val="auto"/>
              </w:rPr>
            </w:pPr>
            <w:r>
              <w:rPr>
                <w:rFonts w:ascii="Arial" w:cs="Arial" w:eastAsia="Arial" w:hAnsi="Arial"/>
                <w:sz w:val="14"/>
                <w:szCs w:val="14"/>
                <w:color w:val="auto"/>
              </w:rPr>
              <w:t>Annual Bonus</w:t>
            </w:r>
          </w:p>
        </w:tc>
        <w:tc>
          <w:tcPr>
            <w:tcW w:w="120" w:type="dxa"/>
            <w:vAlign w:val="bottom"/>
          </w:tcPr>
          <w:p>
            <w:pPr>
              <w:spacing w:after="0"/>
              <w:rPr>
                <w:sz w:val="15"/>
                <w:szCs w:val="15"/>
                <w:color w:val="auto"/>
              </w:rPr>
            </w:pPr>
          </w:p>
        </w:tc>
        <w:tc>
          <w:tcPr>
            <w:tcW w:w="2740" w:type="dxa"/>
            <w:vAlign w:val="bottom"/>
          </w:tcPr>
          <w:p>
            <w:pPr>
              <w:ind w:left="60"/>
              <w:spacing w:after="0"/>
              <w:rPr>
                <w:sz w:val="20"/>
                <w:szCs w:val="20"/>
                <w:color w:val="auto"/>
              </w:rPr>
            </w:pPr>
            <w:r>
              <w:rPr>
                <w:rFonts w:ascii="Arial" w:cs="Arial" w:eastAsia="Arial" w:hAnsi="Arial"/>
                <w:sz w:val="14"/>
                <w:szCs w:val="14"/>
                <w:color w:val="auto"/>
              </w:rPr>
              <w:t>Earnings Metric</w:t>
            </w:r>
          </w:p>
        </w:tc>
        <w:tc>
          <w:tcPr>
            <w:tcW w:w="12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See Adjusted Net Income metric below.</w:t>
            </w:r>
          </w:p>
        </w:tc>
        <w:tc>
          <w:tcPr>
            <w:tcW w:w="120" w:type="dxa"/>
            <w:vAlign w:val="bottom"/>
          </w:tcPr>
          <w:p>
            <w:pPr>
              <w:spacing w:after="0"/>
              <w:rPr>
                <w:sz w:val="15"/>
                <w:szCs w:val="15"/>
                <w:color w:val="auto"/>
              </w:rPr>
            </w:pPr>
          </w:p>
        </w:tc>
        <w:tc>
          <w:tcPr>
            <w:tcW w:w="2720" w:type="dxa"/>
            <w:vAlign w:val="bottom"/>
            <w:gridSpan w:val="2"/>
          </w:tcPr>
          <w:p>
            <w:pPr>
              <w:ind w:left="60"/>
              <w:spacing w:after="0"/>
              <w:rPr>
                <w:sz w:val="20"/>
                <w:szCs w:val="20"/>
                <w:color w:val="auto"/>
              </w:rPr>
            </w:pPr>
            <w:r>
              <w:rPr>
                <w:rFonts w:ascii="Arial" w:cs="Arial" w:eastAsia="Arial" w:hAnsi="Arial"/>
                <w:sz w:val="14"/>
                <w:szCs w:val="14"/>
                <w:color w:val="auto"/>
              </w:rPr>
              <w:t>Earnings before interest and taxes (at</w:t>
            </w: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tcPr>
          <w:p>
            <w:pPr>
              <w:ind w:left="60"/>
              <w:spacing w:after="0"/>
              <w:rPr>
                <w:sz w:val="20"/>
                <w:szCs w:val="20"/>
                <w:color w:val="auto"/>
              </w:rPr>
            </w:pPr>
            <w:r>
              <w:rPr>
                <w:rFonts w:ascii="Arial" w:cs="Arial" w:eastAsia="Arial" w:hAnsi="Arial"/>
                <w:sz w:val="14"/>
                <w:szCs w:val="14"/>
                <w:color w:val="auto"/>
              </w:rPr>
              <w:t>constant currency) less:</w:t>
            </w:r>
          </w:p>
        </w:tc>
      </w:tr>
      <w:tr>
        <w:trPr>
          <w:trHeight w:val="202"/>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2480" w:type="dxa"/>
            <w:vAlign w:val="bottom"/>
          </w:tcPr>
          <w:p>
            <w:pPr>
              <w:ind w:left="80"/>
              <w:spacing w:after="0"/>
              <w:rPr>
                <w:sz w:val="20"/>
                <w:szCs w:val="20"/>
                <w:color w:val="auto"/>
              </w:rPr>
            </w:pPr>
            <w:r>
              <w:rPr>
                <w:rFonts w:ascii="Arial" w:cs="Arial" w:eastAsia="Arial" w:hAnsi="Arial"/>
                <w:sz w:val="14"/>
                <w:szCs w:val="14"/>
                <w:color w:val="auto"/>
              </w:rPr>
              <w:t>Restructuring costs;</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2"/>
          </w:tcPr>
          <w:p>
            <w:pPr>
              <w:ind w:left="100"/>
              <w:spacing w:after="0"/>
              <w:rPr>
                <w:sz w:val="20"/>
                <w:szCs w:val="20"/>
                <w:color w:val="auto"/>
              </w:rPr>
            </w:pPr>
            <w:r>
              <w:rPr>
                <w:rFonts w:ascii="Arial" w:cs="Arial" w:eastAsia="Arial" w:hAnsi="Arial"/>
                <w:sz w:val="13"/>
                <w:szCs w:val="13"/>
                <w:color w:val="auto"/>
              </w:rPr>
              <w:t>●   Non-recurring items;</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2"/>
          </w:tcPr>
          <w:p>
            <w:pPr>
              <w:ind w:left="100"/>
              <w:spacing w:after="0"/>
              <w:rPr>
                <w:sz w:val="20"/>
                <w:szCs w:val="20"/>
                <w:color w:val="auto"/>
              </w:rPr>
            </w:pPr>
            <w:r>
              <w:rPr>
                <w:rFonts w:ascii="Arial" w:cs="Arial" w:eastAsia="Arial" w:hAnsi="Arial"/>
                <w:sz w:val="13"/>
                <w:szCs w:val="13"/>
                <w:color w:val="auto"/>
              </w:rPr>
              <w:t>●   Significant, non-operational items; and</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Impact of significant</w:t>
            </w: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acquisitions/divestitures</w:t>
            </w:r>
          </w:p>
        </w:tc>
      </w:tr>
      <w:tr>
        <w:trPr>
          <w:trHeight w:val="28"/>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7C7C7C"/>
            </w:tcBorders>
          </w:tcPr>
          <w:p>
            <w:pPr>
              <w:spacing w:after="0"/>
              <w:rPr>
                <w:sz w:val="2"/>
                <w:szCs w:val="2"/>
                <w:color w:val="auto"/>
              </w:rPr>
            </w:pPr>
          </w:p>
        </w:tc>
        <w:tc>
          <w:tcPr>
            <w:tcW w:w="120" w:type="dxa"/>
            <w:vAlign w:val="bottom"/>
            <w:tcBorders>
              <w:bottom w:val="single" w:sz="8" w:color="7C7C7C"/>
            </w:tcBorders>
          </w:tcPr>
          <w:p>
            <w:pPr>
              <w:spacing w:after="0"/>
              <w:rPr>
                <w:sz w:val="2"/>
                <w:szCs w:val="2"/>
                <w:color w:val="auto"/>
              </w:rPr>
            </w:pPr>
          </w:p>
        </w:tc>
        <w:tc>
          <w:tcPr>
            <w:tcW w:w="2720" w:type="dxa"/>
            <w:vAlign w:val="bottom"/>
            <w:tcBorders>
              <w:bottom w:val="single" w:sz="8" w:color="7C7C7C"/>
            </w:tcBorders>
          </w:tcPr>
          <w:p>
            <w:pPr>
              <w:spacing w:after="0"/>
              <w:rPr>
                <w:sz w:val="2"/>
                <w:szCs w:val="2"/>
                <w:color w:val="auto"/>
              </w:rPr>
            </w:pPr>
          </w:p>
        </w:tc>
        <w:tc>
          <w:tcPr>
            <w:tcW w:w="120" w:type="dxa"/>
            <w:vAlign w:val="bottom"/>
            <w:tcBorders>
              <w:bottom w:val="single" w:sz="8" w:color="7C7C7C"/>
            </w:tcBorders>
          </w:tcPr>
          <w:p>
            <w:pPr>
              <w:spacing w:after="0"/>
              <w:rPr>
                <w:sz w:val="2"/>
                <w:szCs w:val="2"/>
                <w:color w:val="auto"/>
              </w:rPr>
            </w:pPr>
          </w:p>
        </w:tc>
        <w:tc>
          <w:tcPr>
            <w:tcW w:w="2720" w:type="dxa"/>
            <w:vAlign w:val="bottom"/>
            <w:tcBorders>
              <w:bottom w:val="single" w:sz="8" w:color="7C7C7C"/>
            </w:tcBorders>
            <w:gridSpan w:val="2"/>
          </w:tcPr>
          <w:p>
            <w:pPr>
              <w:spacing w:after="0"/>
              <w:rPr>
                <w:sz w:val="2"/>
                <w:szCs w:val="2"/>
                <w:color w:val="auto"/>
              </w:rPr>
            </w:pPr>
          </w:p>
        </w:tc>
      </w:tr>
      <w:tr>
        <w:trPr>
          <w:trHeight w:val="168"/>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Arial" w:cs="Arial" w:eastAsia="Arial" w:hAnsi="Arial"/>
                <w:sz w:val="14"/>
                <w:szCs w:val="14"/>
                <w:color w:val="auto"/>
              </w:rPr>
              <w:t>Free Cash Flow Metric</w:t>
            </w:r>
          </w:p>
        </w:tc>
        <w:tc>
          <w:tcPr>
            <w:tcW w:w="12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Consolidated net cash flow provided by</w:t>
            </w:r>
          </w:p>
        </w:tc>
        <w:tc>
          <w:tcPr>
            <w:tcW w:w="120" w:type="dxa"/>
            <w:vAlign w:val="bottom"/>
          </w:tcPr>
          <w:p>
            <w:pPr>
              <w:spacing w:after="0"/>
              <w:rPr>
                <w:sz w:val="14"/>
                <w:szCs w:val="14"/>
                <w:color w:val="auto"/>
              </w:rPr>
            </w:pPr>
          </w:p>
        </w:tc>
        <w:tc>
          <w:tcPr>
            <w:tcW w:w="2720" w:type="dxa"/>
            <w:vAlign w:val="bottom"/>
            <w:gridSpan w:val="2"/>
          </w:tcPr>
          <w:p>
            <w:pPr>
              <w:ind w:left="60"/>
              <w:spacing w:after="0"/>
              <w:rPr>
                <w:sz w:val="20"/>
                <w:szCs w:val="20"/>
                <w:color w:val="auto"/>
              </w:rPr>
            </w:pPr>
            <w:r>
              <w:rPr>
                <w:rFonts w:ascii="Arial" w:cs="Arial" w:eastAsia="Arial" w:hAnsi="Arial"/>
                <w:sz w:val="14"/>
                <w:szCs w:val="14"/>
                <w:color w:val="auto"/>
              </w:rPr>
              <w:t>Internal measure based on consolidated</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ind w:left="60"/>
              <w:spacing w:after="0" w:line="149" w:lineRule="exact"/>
              <w:rPr>
                <w:sz w:val="20"/>
                <w:szCs w:val="20"/>
                <w:color w:val="auto"/>
              </w:rPr>
            </w:pPr>
            <w:r>
              <w:rPr>
                <w:rFonts w:ascii="Arial" w:cs="Arial" w:eastAsia="Arial" w:hAnsi="Arial"/>
                <w:sz w:val="14"/>
                <w:szCs w:val="14"/>
                <w:color w:val="auto"/>
              </w:rPr>
              <w:t>operating activities, less capital</w:t>
            </w:r>
          </w:p>
        </w:tc>
        <w:tc>
          <w:tcPr>
            <w:tcW w:w="120" w:type="dxa"/>
            <w:vAlign w:val="bottom"/>
          </w:tcPr>
          <w:p>
            <w:pPr>
              <w:spacing w:after="0"/>
              <w:rPr>
                <w:sz w:val="12"/>
                <w:szCs w:val="12"/>
                <w:color w:val="auto"/>
              </w:rPr>
            </w:pPr>
          </w:p>
        </w:tc>
        <w:tc>
          <w:tcPr>
            <w:tcW w:w="2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net cash flow provided by operating</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ind w:left="60"/>
              <w:spacing w:after="0" w:line="149" w:lineRule="exact"/>
              <w:rPr>
                <w:sz w:val="20"/>
                <w:szCs w:val="20"/>
                <w:color w:val="auto"/>
              </w:rPr>
            </w:pPr>
            <w:r>
              <w:rPr>
                <w:rFonts w:ascii="Arial" w:cs="Arial" w:eastAsia="Arial" w:hAnsi="Arial"/>
                <w:sz w:val="14"/>
                <w:szCs w:val="14"/>
                <w:color w:val="auto"/>
              </w:rPr>
              <w:t>expenditures (as reported in the 2018</w:t>
            </w:r>
          </w:p>
        </w:tc>
        <w:tc>
          <w:tcPr>
            <w:tcW w:w="120" w:type="dxa"/>
            <w:vAlign w:val="bottom"/>
          </w:tcPr>
          <w:p>
            <w:pPr>
              <w:spacing w:after="0"/>
              <w:rPr>
                <w:sz w:val="12"/>
                <w:szCs w:val="12"/>
                <w:color w:val="auto"/>
              </w:rPr>
            </w:pPr>
          </w:p>
        </w:tc>
        <w:tc>
          <w:tcPr>
            <w:tcW w:w="2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activities, less capital expenditure (both as</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ind w:left="60"/>
              <w:spacing w:after="0" w:line="149" w:lineRule="exact"/>
              <w:rPr>
                <w:sz w:val="20"/>
                <w:szCs w:val="20"/>
                <w:color w:val="auto"/>
              </w:rPr>
            </w:pPr>
            <w:r>
              <w:rPr>
                <w:rFonts w:ascii="Arial" w:cs="Arial" w:eastAsia="Arial" w:hAnsi="Arial"/>
                <w:sz w:val="14"/>
                <w:szCs w:val="14"/>
                <w:color w:val="auto"/>
                <w:w w:val="99"/>
              </w:rPr>
              <w:t>Annual Report on Form 10-K), adjusted for</w:t>
            </w:r>
          </w:p>
        </w:tc>
        <w:tc>
          <w:tcPr>
            <w:tcW w:w="120" w:type="dxa"/>
            <w:vAlign w:val="bottom"/>
          </w:tcPr>
          <w:p>
            <w:pPr>
              <w:spacing w:after="0"/>
              <w:rPr>
                <w:sz w:val="12"/>
                <w:szCs w:val="12"/>
                <w:color w:val="auto"/>
              </w:rPr>
            </w:pPr>
          </w:p>
        </w:tc>
        <w:tc>
          <w:tcPr>
            <w:tcW w:w="2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reported in the 2018 Annual Report on</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ind w:left="60"/>
              <w:spacing w:after="0" w:line="149" w:lineRule="exact"/>
              <w:rPr>
                <w:sz w:val="20"/>
                <w:szCs w:val="20"/>
                <w:color w:val="auto"/>
              </w:rPr>
            </w:pPr>
            <w:r>
              <w:rPr>
                <w:rFonts w:ascii="Arial" w:cs="Arial" w:eastAsia="Arial" w:hAnsi="Arial"/>
                <w:sz w:val="14"/>
                <w:szCs w:val="14"/>
                <w:color w:val="auto"/>
              </w:rPr>
              <w:t>restructuring, non-recurring and other</w:t>
            </w:r>
          </w:p>
        </w:tc>
        <w:tc>
          <w:tcPr>
            <w:tcW w:w="120" w:type="dxa"/>
            <w:vAlign w:val="bottom"/>
          </w:tcPr>
          <w:p>
            <w:pPr>
              <w:spacing w:after="0"/>
              <w:rPr>
                <w:sz w:val="12"/>
                <w:szCs w:val="12"/>
                <w:color w:val="auto"/>
              </w:rPr>
            </w:pPr>
          </w:p>
        </w:tc>
        <w:tc>
          <w:tcPr>
            <w:tcW w:w="272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Form 10-K), and adjusted for restructuring,</w:t>
            </w: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ind w:left="60"/>
              <w:spacing w:after="0" w:line="149" w:lineRule="exact"/>
              <w:rPr>
                <w:sz w:val="20"/>
                <w:szCs w:val="20"/>
                <w:color w:val="auto"/>
              </w:rPr>
            </w:pPr>
            <w:r>
              <w:rPr>
                <w:rFonts w:ascii="Arial" w:cs="Arial" w:eastAsia="Arial" w:hAnsi="Arial"/>
                <w:sz w:val="14"/>
                <w:szCs w:val="14"/>
                <w:color w:val="auto"/>
              </w:rPr>
              <w:t>significant, non-operational items.</w:t>
            </w:r>
          </w:p>
        </w:tc>
        <w:tc>
          <w:tcPr>
            <w:tcW w:w="120" w:type="dxa"/>
            <w:vAlign w:val="bottom"/>
          </w:tcPr>
          <w:p>
            <w:pPr>
              <w:spacing w:after="0"/>
              <w:rPr>
                <w:sz w:val="12"/>
                <w:szCs w:val="12"/>
                <w:color w:val="auto"/>
              </w:rPr>
            </w:pPr>
          </w:p>
        </w:tc>
        <w:tc>
          <w:tcPr>
            <w:tcW w:w="2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non-recurring and other significant, non-</w:t>
            </w: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tcPr>
          <w:p>
            <w:pPr>
              <w:ind w:left="60"/>
              <w:spacing w:after="0"/>
              <w:rPr>
                <w:sz w:val="20"/>
                <w:szCs w:val="20"/>
                <w:color w:val="auto"/>
              </w:rPr>
            </w:pPr>
            <w:r>
              <w:rPr>
                <w:rFonts w:ascii="Arial" w:cs="Arial" w:eastAsia="Arial" w:hAnsi="Arial"/>
                <w:sz w:val="14"/>
                <w:szCs w:val="14"/>
                <w:color w:val="auto"/>
              </w:rPr>
              <w:t>operational items.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8890</wp:posOffset>
            </wp:positionV>
            <wp:extent cx="53511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1" w:lineRule="exact"/>
        <w:rPr>
          <w:sz w:val="20"/>
          <w:szCs w:val="20"/>
          <w:color w:val="auto"/>
        </w:rPr>
      </w:pPr>
    </w:p>
    <w:p>
      <w:pPr>
        <w:ind w:left="3060"/>
        <w:spacing w:after="0"/>
        <w:tabs>
          <w:tab w:leader="none" w:pos="5900" w:val="left"/>
        </w:tabs>
        <w:rPr>
          <w:sz w:val="20"/>
          <w:szCs w:val="20"/>
          <w:color w:val="auto"/>
        </w:rPr>
      </w:pPr>
      <w:r>
        <w:rPr>
          <w:rFonts w:ascii="Arial" w:cs="Arial" w:eastAsia="Arial" w:hAnsi="Arial"/>
          <w:sz w:val="14"/>
          <w:szCs w:val="14"/>
          <w:color w:val="auto"/>
        </w:rPr>
        <w:t>Adjusted Net Income Metric</w:t>
      </w:r>
      <w:r>
        <w:rPr>
          <w:sz w:val="20"/>
          <w:szCs w:val="20"/>
          <w:color w:val="auto"/>
        </w:rPr>
        <w:tab/>
      </w:r>
      <w:r>
        <w:rPr>
          <w:rFonts w:ascii="Arial" w:cs="Arial" w:eastAsia="Arial" w:hAnsi="Arial"/>
          <w:sz w:val="12"/>
          <w:szCs w:val="12"/>
          <w:color w:val="auto"/>
        </w:rPr>
        <w:t>UTC’s net income from continuing</w:t>
      </w:r>
    </w:p>
    <w:p>
      <w:pPr>
        <w:ind w:left="5920"/>
        <w:spacing w:after="0" w:line="221" w:lineRule="auto"/>
        <w:rPr>
          <w:sz w:val="20"/>
          <w:szCs w:val="20"/>
          <w:color w:val="auto"/>
        </w:rPr>
      </w:pPr>
      <w:r>
        <w:rPr>
          <w:rFonts w:ascii="Arial" w:cs="Arial" w:eastAsia="Arial" w:hAnsi="Arial"/>
          <w:sz w:val="14"/>
          <w:szCs w:val="14"/>
          <w:color w:val="auto"/>
        </w:rPr>
        <w:t>operations attributable to common</w:t>
      </w:r>
    </w:p>
    <w:p>
      <w:pPr>
        <w:ind w:left="5920"/>
        <w:spacing w:after="0" w:line="221" w:lineRule="auto"/>
        <w:rPr>
          <w:sz w:val="20"/>
          <w:szCs w:val="20"/>
          <w:color w:val="auto"/>
        </w:rPr>
      </w:pPr>
      <w:r>
        <w:rPr>
          <w:rFonts w:ascii="Arial" w:cs="Arial" w:eastAsia="Arial" w:hAnsi="Arial"/>
          <w:sz w:val="14"/>
          <w:szCs w:val="14"/>
          <w:color w:val="auto"/>
        </w:rPr>
        <w:t>shareowners (as reported in the 2018</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Annual Report on Form 10-K), adjusted for</w:t>
      </w:r>
    </w:p>
    <w:p>
      <w:pPr>
        <w:ind w:left="5920"/>
        <w:spacing w:after="0" w:line="237" w:lineRule="auto"/>
        <w:rPr>
          <w:sz w:val="20"/>
          <w:szCs w:val="20"/>
          <w:color w:val="auto"/>
        </w:rPr>
      </w:pPr>
      <w:r>
        <w:rPr>
          <w:rFonts w:ascii="Arial" w:cs="Arial" w:eastAsia="Arial" w:hAnsi="Arial"/>
          <w:sz w:val="14"/>
          <w:szCs w:val="14"/>
          <w:color w:val="auto"/>
        </w:rPr>
        <w:t>restructuring, non-recurring and other</w:t>
      </w:r>
    </w:p>
    <w:p>
      <w:pPr>
        <w:ind w:left="5920"/>
        <w:spacing w:after="0"/>
        <w:rPr>
          <w:sz w:val="20"/>
          <w:szCs w:val="20"/>
          <w:color w:val="auto"/>
        </w:rPr>
      </w:pPr>
      <w:r>
        <w:rPr>
          <w:rFonts w:ascii="Arial" w:cs="Arial" w:eastAsia="Arial" w:hAnsi="Arial"/>
          <w:sz w:val="14"/>
          <w:szCs w:val="14"/>
          <w:color w:val="auto"/>
        </w:rPr>
        <w:t>significant, non-operational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80"/>
        <w:spacing w:after="0" w:line="224" w:lineRule="auto"/>
        <w:rPr>
          <w:sz w:val="20"/>
          <w:szCs w:val="20"/>
          <w:color w:val="auto"/>
        </w:rPr>
      </w:pPr>
      <w:r>
        <w:rPr>
          <w:rFonts w:ascii="Arial" w:cs="Arial" w:eastAsia="Arial" w:hAnsi="Arial"/>
          <w:sz w:val="14"/>
          <w:szCs w:val="14"/>
          <w:color w:val="auto"/>
        </w:rPr>
        <w:t>Internal measure consisting of each business unit’s respective share of UTC net income attributable to common shareowners, but excluding restructuring, non-recurring and other significant, non-operational items.</w:t>
      </w:r>
    </w:p>
    <w:p>
      <w:pPr>
        <w:spacing w:after="0" w:line="45" w:lineRule="exact"/>
        <w:rPr>
          <w:sz w:val="20"/>
          <w:szCs w:val="20"/>
          <w:color w:val="auto"/>
        </w:rPr>
      </w:pPr>
    </w:p>
    <w:p>
      <w:pPr>
        <w:sectPr>
          <w:pgSz w:w="11900" w:h="16838" w:orient="portrait"/>
          <w:cols w:equalWidth="0" w:num="2">
            <w:col w:w="8480" w:space="280"/>
            <w:col w:w="26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000" w:type="dxa"/>
            <w:vAlign w:val="bottom"/>
          </w:tcPr>
          <w:p>
            <w:pPr>
              <w:ind w:left="80"/>
              <w:spacing w:after="0"/>
              <w:rPr>
                <w:sz w:val="20"/>
                <w:szCs w:val="20"/>
                <w:color w:val="auto"/>
              </w:rPr>
            </w:pPr>
            <w:r>
              <w:rPr>
                <w:rFonts w:ascii="Arial" w:cs="Arial" w:eastAsia="Arial" w:hAnsi="Arial"/>
                <w:sz w:val="14"/>
                <w:szCs w:val="14"/>
                <w:color w:val="auto"/>
              </w:rPr>
              <w:t>Long-Term Incentives</w:t>
            </w:r>
          </w:p>
        </w:tc>
        <w:tc>
          <w:tcPr>
            <w:tcW w:w="2560" w:type="dxa"/>
            <w:vAlign w:val="bottom"/>
          </w:tcPr>
          <w:p>
            <w:pPr>
              <w:ind w:left="60"/>
              <w:spacing w:after="0"/>
              <w:rPr>
                <w:sz w:val="20"/>
                <w:szCs w:val="20"/>
                <w:color w:val="auto"/>
              </w:rPr>
            </w:pPr>
            <w:r>
              <w:rPr>
                <w:rFonts w:ascii="Arial" w:cs="Arial" w:eastAsia="Arial" w:hAnsi="Arial"/>
                <w:sz w:val="14"/>
                <w:szCs w:val="14"/>
                <w:color w:val="auto"/>
              </w:rPr>
              <w:t>Adjusted Earnings Per Share Metric</w:t>
            </w:r>
          </w:p>
        </w:tc>
        <w:tc>
          <w:tcPr>
            <w:tcW w:w="5860" w:type="dxa"/>
            <w:vAlign w:val="bottom"/>
          </w:tcPr>
          <w:p>
            <w:pPr>
              <w:ind w:left="360"/>
              <w:spacing w:after="0"/>
              <w:rPr>
                <w:sz w:val="20"/>
                <w:szCs w:val="20"/>
                <w:color w:val="auto"/>
              </w:rPr>
            </w:pPr>
            <w:r>
              <w:rPr>
                <w:rFonts w:ascii="Arial" w:cs="Arial" w:eastAsia="Arial" w:hAnsi="Arial"/>
                <w:sz w:val="14"/>
                <w:szCs w:val="14"/>
                <w:color w:val="auto"/>
              </w:rPr>
              <w:t>Diluted earnings per share, subject to adjustments for restructuring, non-recurring and</w:t>
            </w:r>
          </w:p>
        </w:tc>
      </w:tr>
      <w:tr>
        <w:trPr>
          <w:trHeight w:val="170"/>
        </w:trPr>
        <w:tc>
          <w:tcPr>
            <w:tcW w:w="3000" w:type="dxa"/>
            <w:vAlign w:val="bottom"/>
          </w:tcPr>
          <w:p>
            <w:pPr>
              <w:spacing w:after="0"/>
              <w:rPr>
                <w:sz w:val="14"/>
                <w:szCs w:val="14"/>
                <w:color w:val="auto"/>
              </w:rPr>
            </w:pPr>
          </w:p>
        </w:tc>
        <w:tc>
          <w:tcPr>
            <w:tcW w:w="2560" w:type="dxa"/>
            <w:vAlign w:val="bottom"/>
            <w:tcBorders>
              <w:bottom w:val="single" w:sz="8" w:color="7C7C7C"/>
            </w:tcBorders>
          </w:tcPr>
          <w:p>
            <w:pPr>
              <w:spacing w:after="0"/>
              <w:rPr>
                <w:sz w:val="14"/>
                <w:szCs w:val="14"/>
                <w:color w:val="auto"/>
              </w:rPr>
            </w:pPr>
          </w:p>
        </w:tc>
        <w:tc>
          <w:tcPr>
            <w:tcW w:w="5860" w:type="dxa"/>
            <w:vAlign w:val="bottom"/>
            <w:tcBorders>
              <w:bottom w:val="single" w:sz="8" w:color="7C7C7C"/>
            </w:tcBorders>
          </w:tcPr>
          <w:p>
            <w:pPr>
              <w:ind w:left="360"/>
              <w:spacing w:after="0"/>
              <w:rPr>
                <w:sz w:val="20"/>
                <w:szCs w:val="20"/>
                <w:color w:val="auto"/>
              </w:rPr>
            </w:pPr>
            <w:r>
              <w:rPr>
                <w:rFonts w:ascii="Arial" w:cs="Arial" w:eastAsia="Arial" w:hAnsi="Arial"/>
                <w:sz w:val="14"/>
                <w:szCs w:val="14"/>
                <w:color w:val="auto"/>
              </w:rPr>
              <w:t>other significant, non-operational items.</w:t>
            </w:r>
          </w:p>
        </w:tc>
      </w:tr>
      <w:tr>
        <w:trPr>
          <w:trHeight w:val="175"/>
        </w:trPr>
        <w:tc>
          <w:tcPr>
            <w:tcW w:w="3000" w:type="dxa"/>
            <w:vAlign w:val="bottom"/>
          </w:tcPr>
          <w:p>
            <w:pPr>
              <w:spacing w:after="0"/>
              <w:rPr>
                <w:sz w:val="15"/>
                <w:szCs w:val="15"/>
                <w:color w:val="auto"/>
              </w:rPr>
            </w:pPr>
          </w:p>
        </w:tc>
        <w:tc>
          <w:tcPr>
            <w:tcW w:w="2560" w:type="dxa"/>
            <w:vAlign w:val="bottom"/>
          </w:tcPr>
          <w:p>
            <w:pPr>
              <w:ind w:left="60"/>
              <w:spacing w:after="0"/>
              <w:rPr>
                <w:sz w:val="20"/>
                <w:szCs w:val="20"/>
                <w:color w:val="auto"/>
              </w:rPr>
            </w:pPr>
            <w:r>
              <w:rPr>
                <w:rFonts w:ascii="Arial" w:cs="Arial" w:eastAsia="Arial" w:hAnsi="Arial"/>
                <w:sz w:val="14"/>
                <w:szCs w:val="14"/>
                <w:color w:val="auto"/>
              </w:rPr>
              <w:t>Return on Invested Capital Metric</w:t>
            </w:r>
          </w:p>
        </w:tc>
        <w:tc>
          <w:tcPr>
            <w:tcW w:w="5860" w:type="dxa"/>
            <w:vAlign w:val="bottom"/>
          </w:tcPr>
          <w:p>
            <w:pPr>
              <w:ind w:left="360"/>
              <w:spacing w:after="0"/>
              <w:rPr>
                <w:sz w:val="20"/>
                <w:szCs w:val="20"/>
                <w:color w:val="auto"/>
              </w:rPr>
            </w:pPr>
            <w:r>
              <w:rPr>
                <w:rFonts w:ascii="Arial" w:cs="Arial" w:eastAsia="Arial" w:hAnsi="Arial"/>
                <w:sz w:val="14"/>
                <w:szCs w:val="14"/>
                <w:color w:val="auto"/>
              </w:rPr>
              <w:t>Quarterly average, net operating profit after tax (“NOPAT”), adjusted for non-controlling</w:t>
            </w:r>
          </w:p>
        </w:tc>
      </w:tr>
      <w:tr>
        <w:trPr>
          <w:trHeight w:val="149"/>
        </w:trPr>
        <w:tc>
          <w:tcPr>
            <w:tcW w:w="3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60" w:type="dxa"/>
            <w:vAlign w:val="bottom"/>
          </w:tcPr>
          <w:p>
            <w:pPr>
              <w:ind w:left="360"/>
              <w:spacing w:after="0" w:line="149" w:lineRule="exact"/>
              <w:rPr>
                <w:sz w:val="20"/>
                <w:szCs w:val="20"/>
                <w:color w:val="auto"/>
              </w:rPr>
            </w:pPr>
            <w:r>
              <w:rPr>
                <w:rFonts w:ascii="Arial" w:cs="Arial" w:eastAsia="Arial" w:hAnsi="Arial"/>
                <w:sz w:val="14"/>
                <w:szCs w:val="14"/>
                <w:color w:val="auto"/>
              </w:rPr>
              <w:t>interest, non-service pension, acquisitions and divestiture earnings, one-timers,</w:t>
            </w:r>
          </w:p>
        </w:tc>
      </w:tr>
      <w:tr>
        <w:trPr>
          <w:trHeight w:val="149"/>
        </w:trPr>
        <w:tc>
          <w:tcPr>
            <w:tcW w:w="3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60" w:type="dxa"/>
            <w:vAlign w:val="bottom"/>
          </w:tcPr>
          <w:p>
            <w:pPr>
              <w:ind w:left="360"/>
              <w:spacing w:after="0" w:line="149" w:lineRule="exact"/>
              <w:rPr>
                <w:sz w:val="20"/>
                <w:szCs w:val="20"/>
                <w:color w:val="auto"/>
              </w:rPr>
            </w:pPr>
            <w:r>
              <w:rPr>
                <w:rFonts w:ascii="Arial" w:cs="Arial" w:eastAsia="Arial" w:hAnsi="Arial"/>
                <w:sz w:val="14"/>
                <w:szCs w:val="14"/>
                <w:color w:val="auto"/>
              </w:rPr>
              <w:t>restructuring, material one-time tax charges and the impact of foreign exchange</w:t>
            </w:r>
          </w:p>
        </w:tc>
      </w:tr>
      <w:tr>
        <w:trPr>
          <w:trHeight w:val="149"/>
        </w:trPr>
        <w:tc>
          <w:tcPr>
            <w:tcW w:w="3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60" w:type="dxa"/>
            <w:vAlign w:val="bottom"/>
          </w:tcPr>
          <w:p>
            <w:pPr>
              <w:ind w:left="360"/>
              <w:spacing w:after="0" w:line="149" w:lineRule="exact"/>
              <w:rPr>
                <w:sz w:val="20"/>
                <w:szCs w:val="20"/>
                <w:color w:val="auto"/>
              </w:rPr>
            </w:pPr>
            <w:r>
              <w:rPr>
                <w:rFonts w:ascii="Arial" w:cs="Arial" w:eastAsia="Arial" w:hAnsi="Arial"/>
                <w:sz w:val="14"/>
                <w:szCs w:val="14"/>
                <w:color w:val="auto"/>
              </w:rPr>
              <w:t>fluctuations, divided by invested capital, adjusted for accumulated other comprehensive</w:t>
            </w:r>
          </w:p>
        </w:tc>
      </w:tr>
      <w:tr>
        <w:trPr>
          <w:trHeight w:val="149"/>
        </w:trPr>
        <w:tc>
          <w:tcPr>
            <w:tcW w:w="3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60" w:type="dxa"/>
            <w:vAlign w:val="bottom"/>
          </w:tcPr>
          <w:p>
            <w:pPr>
              <w:ind w:left="360"/>
              <w:spacing w:after="0" w:line="149" w:lineRule="exact"/>
              <w:rPr>
                <w:sz w:val="20"/>
                <w:szCs w:val="20"/>
                <w:color w:val="auto"/>
              </w:rPr>
            </w:pPr>
            <w:r>
              <w:rPr>
                <w:rFonts w:ascii="Arial" w:cs="Arial" w:eastAsia="Arial" w:hAnsi="Arial"/>
                <w:sz w:val="14"/>
                <w:szCs w:val="14"/>
                <w:color w:val="auto"/>
              </w:rPr>
              <w:t>income, cash and equivalents, acquisition and divestiture borrowings, short-term</w:t>
            </w:r>
          </w:p>
        </w:tc>
      </w:tr>
      <w:tr>
        <w:trPr>
          <w:trHeight w:val="170"/>
        </w:trPr>
        <w:tc>
          <w:tcPr>
            <w:tcW w:w="3000" w:type="dxa"/>
            <w:vAlign w:val="bottom"/>
          </w:tcPr>
          <w:p>
            <w:pPr>
              <w:spacing w:after="0"/>
              <w:rPr>
                <w:sz w:val="14"/>
                <w:szCs w:val="14"/>
                <w:color w:val="auto"/>
              </w:rPr>
            </w:pPr>
          </w:p>
        </w:tc>
        <w:tc>
          <w:tcPr>
            <w:tcW w:w="2560" w:type="dxa"/>
            <w:vAlign w:val="bottom"/>
            <w:tcBorders>
              <w:bottom w:val="single" w:sz="8" w:color="7C7C7C"/>
            </w:tcBorders>
          </w:tcPr>
          <w:p>
            <w:pPr>
              <w:spacing w:after="0"/>
              <w:rPr>
                <w:sz w:val="14"/>
                <w:szCs w:val="14"/>
                <w:color w:val="auto"/>
              </w:rPr>
            </w:pPr>
          </w:p>
        </w:tc>
        <w:tc>
          <w:tcPr>
            <w:tcW w:w="5860" w:type="dxa"/>
            <w:vAlign w:val="bottom"/>
            <w:tcBorders>
              <w:bottom w:val="single" w:sz="8" w:color="7C7C7C"/>
            </w:tcBorders>
          </w:tcPr>
          <w:p>
            <w:pPr>
              <w:ind w:left="360"/>
              <w:spacing w:after="0"/>
              <w:rPr>
                <w:sz w:val="20"/>
                <w:szCs w:val="20"/>
                <w:color w:val="auto"/>
              </w:rPr>
            </w:pPr>
            <w:r>
              <w:rPr>
                <w:rFonts w:ascii="Arial" w:cs="Arial" w:eastAsia="Arial" w:hAnsi="Arial"/>
                <w:sz w:val="14"/>
                <w:szCs w:val="14"/>
                <w:color w:val="auto"/>
              </w:rPr>
              <w:t>borrowings and material one-time tax charges.</w:t>
            </w:r>
          </w:p>
        </w:tc>
      </w:tr>
      <w:tr>
        <w:trPr>
          <w:trHeight w:val="175"/>
        </w:trPr>
        <w:tc>
          <w:tcPr>
            <w:tcW w:w="3000" w:type="dxa"/>
            <w:vAlign w:val="bottom"/>
          </w:tcPr>
          <w:p>
            <w:pPr>
              <w:spacing w:after="0"/>
              <w:rPr>
                <w:sz w:val="15"/>
                <w:szCs w:val="15"/>
                <w:color w:val="auto"/>
              </w:rPr>
            </w:pPr>
          </w:p>
        </w:tc>
        <w:tc>
          <w:tcPr>
            <w:tcW w:w="2560" w:type="dxa"/>
            <w:vAlign w:val="bottom"/>
          </w:tcPr>
          <w:p>
            <w:pPr>
              <w:ind w:left="60"/>
              <w:spacing w:after="0"/>
              <w:rPr>
                <w:sz w:val="20"/>
                <w:szCs w:val="20"/>
                <w:color w:val="auto"/>
              </w:rPr>
            </w:pPr>
            <w:r>
              <w:rPr>
                <w:rFonts w:ascii="Arial" w:cs="Arial" w:eastAsia="Arial" w:hAnsi="Arial"/>
                <w:sz w:val="14"/>
                <w:szCs w:val="14"/>
                <w:color w:val="auto"/>
              </w:rPr>
              <w:t>Total Shareowner Return Metric</w:t>
            </w:r>
          </w:p>
        </w:tc>
        <w:tc>
          <w:tcPr>
            <w:tcW w:w="5860" w:type="dxa"/>
            <w:vAlign w:val="bottom"/>
          </w:tcPr>
          <w:p>
            <w:pPr>
              <w:ind w:left="360"/>
              <w:spacing w:after="0"/>
              <w:rPr>
                <w:sz w:val="20"/>
                <w:szCs w:val="20"/>
                <w:color w:val="auto"/>
              </w:rPr>
            </w:pPr>
            <w:r>
              <w:rPr>
                <w:rFonts w:ascii="Arial" w:cs="Arial" w:eastAsia="Arial" w:hAnsi="Arial"/>
                <w:sz w:val="14"/>
                <w:szCs w:val="14"/>
                <w:color w:val="auto"/>
                <w:w w:val="99"/>
              </w:rPr>
              <w:t>Total investment return on Common Stock between two points in time, using a trailing 60-</w:t>
            </w:r>
          </w:p>
        </w:tc>
      </w:tr>
      <w:tr>
        <w:trPr>
          <w:trHeight w:val="170"/>
        </w:trPr>
        <w:tc>
          <w:tcPr>
            <w:tcW w:w="3000" w:type="dxa"/>
            <w:vAlign w:val="bottom"/>
            <w:tcBorders>
              <w:bottom w:val="single" w:sz="8" w:color="7C7C7C"/>
            </w:tcBorders>
          </w:tcPr>
          <w:p>
            <w:pPr>
              <w:spacing w:after="0"/>
              <w:rPr>
                <w:sz w:val="14"/>
                <w:szCs w:val="14"/>
                <w:color w:val="auto"/>
              </w:rPr>
            </w:pPr>
          </w:p>
        </w:tc>
        <w:tc>
          <w:tcPr>
            <w:tcW w:w="2560" w:type="dxa"/>
            <w:vAlign w:val="bottom"/>
            <w:tcBorders>
              <w:bottom w:val="single" w:sz="8" w:color="7C7C7C"/>
            </w:tcBorders>
          </w:tcPr>
          <w:p>
            <w:pPr>
              <w:spacing w:after="0"/>
              <w:rPr>
                <w:sz w:val="14"/>
                <w:szCs w:val="14"/>
                <w:color w:val="auto"/>
              </w:rPr>
            </w:pPr>
          </w:p>
        </w:tc>
        <w:tc>
          <w:tcPr>
            <w:tcW w:w="5860" w:type="dxa"/>
            <w:vAlign w:val="bottom"/>
            <w:tcBorders>
              <w:bottom w:val="single" w:sz="8" w:color="7C7C7C"/>
            </w:tcBorders>
          </w:tcPr>
          <w:p>
            <w:pPr>
              <w:ind w:left="360"/>
              <w:spacing w:after="0"/>
              <w:rPr>
                <w:sz w:val="20"/>
                <w:szCs w:val="20"/>
                <w:color w:val="auto"/>
              </w:rPr>
            </w:pPr>
            <w:r>
              <w:rPr>
                <w:rFonts w:ascii="Arial" w:cs="Arial" w:eastAsia="Arial" w:hAnsi="Arial"/>
                <w:sz w:val="14"/>
                <w:szCs w:val="14"/>
                <w:color w:val="auto"/>
              </w:rPr>
              <w:t>day average, calculated to account for changes in share price and reinvested dividends.</w:t>
            </w:r>
          </w:p>
        </w:tc>
      </w:tr>
    </w:tbl>
    <w:p>
      <w:pPr>
        <w:spacing w:after="0" w:line="238" w:lineRule="exact"/>
        <w:rPr>
          <w:sz w:val="20"/>
          <w:szCs w:val="20"/>
          <w:color w:val="auto"/>
        </w:rPr>
      </w:pPr>
    </w:p>
    <w:p>
      <w:pPr>
        <w:ind w:left="880" w:hanging="628"/>
        <w:spacing w:after="0"/>
        <w:tabs>
          <w:tab w:leader="none" w:pos="880" w:val="left"/>
        </w:tabs>
        <w:numPr>
          <w:ilvl w:val="0"/>
          <w:numId w:val="170"/>
        </w:numPr>
        <w:rPr>
          <w:rFonts w:ascii="Arial" w:cs="Arial" w:eastAsia="Arial" w:hAnsi="Arial"/>
          <w:sz w:val="18"/>
          <w:szCs w:val="18"/>
          <w:b w:val="1"/>
          <w:bCs w:val="1"/>
          <w:color w:val="FFFFFF"/>
        </w:rPr>
      </w:pPr>
      <w:r>
        <w:rPr>
          <w:rFonts w:ascii="Arial" w:cs="Arial" w:eastAsia="Arial" w:hAnsi="Arial"/>
          <w:sz w:val="14"/>
          <w:szCs w:val="14"/>
          <w:color w:val="auto"/>
        </w:rPr>
        <w:t xml:space="preserve">United Technologies </w:t>
      </w:r>
      <w:r>
        <w:rPr>
          <w:rFonts w:ascii="Arial" w:cs="Arial" w:eastAsia="Arial" w:hAnsi="Arial"/>
          <w:sz w:val="14"/>
          <w:szCs w:val="14"/>
          <w:color w:val="616161"/>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918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FFFFFF"/>
        </w:rPr>
        <w:t>APPENDIX C</w:t>
      </w:r>
    </w:p>
    <w:p>
      <w:pPr>
        <w:spacing w:after="0" w:line="256" w:lineRule="exact"/>
        <w:rPr>
          <w:sz w:val="20"/>
          <w:szCs w:val="20"/>
          <w:color w:val="auto"/>
        </w:rPr>
      </w:pPr>
    </w:p>
    <w:p>
      <w:pPr>
        <w:spacing w:after="0"/>
        <w:rPr>
          <w:sz w:val="20"/>
          <w:szCs w:val="20"/>
          <w:color w:val="auto"/>
        </w:rPr>
      </w:pPr>
      <w:r>
        <w:rPr>
          <w:rFonts w:ascii="Arial" w:cs="Arial" w:eastAsia="Arial" w:hAnsi="Arial"/>
          <w:sz w:val="47"/>
          <w:szCs w:val="47"/>
          <w:b w:val="1"/>
          <w:bCs w:val="1"/>
          <w:color w:val="616161"/>
        </w:rPr>
        <w:t>Proposed Amendment to the</w:t>
      </w:r>
    </w:p>
    <w:p>
      <w:pPr>
        <w:spacing w:after="0" w:line="48"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CORPORATION’S RESTATED CERTIFICATE OF INCORPORATION</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The Restated Certificate of Incorporation would be amended and restated to reflect the following amendment, with deletion of the Article Ninth and replacing the clause with “[Reserved]”</w:t>
      </w:r>
      <w:r>
        <w:rPr>
          <w:rFonts w:ascii="Arial" w:cs="Arial" w:eastAsia="Arial" w:hAnsi="Arial"/>
          <w:sz w:val="12"/>
          <w:szCs w:val="12"/>
          <w:color w:val="auto"/>
        </w:rPr>
        <w:t>:</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4"/>
          <w:szCs w:val="14"/>
          <w:color w:val="auto"/>
          <w:strike w:val="1"/>
        </w:rPr>
        <w:t>NINTH: The stockholder vote required to approve Business Combinations (hereinafter defined) shall be as set forth in this Article Ninth.</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strike w:val="1"/>
        </w:rPr>
        <w:t xml:space="preserve">SECTION 1. </w:t>
      </w:r>
      <w:r>
        <w:rPr>
          <w:rFonts w:ascii="Arial" w:cs="Arial" w:eastAsia="Arial" w:hAnsi="Arial"/>
          <w:sz w:val="12"/>
          <w:szCs w:val="12"/>
          <w:i w:val="1"/>
          <w:iCs w:val="1"/>
          <w:color w:val="auto"/>
          <w:strike w:val="1"/>
        </w:rPr>
        <w:t>Higher Vote for Business Combinations</w:t>
      </w:r>
      <w:r>
        <w:rPr>
          <w:rFonts w:ascii="Arial" w:cs="Arial" w:eastAsia="Arial" w:hAnsi="Arial"/>
          <w:sz w:val="12"/>
          <w:szCs w:val="12"/>
          <w:color w:val="auto"/>
          <w:strike w:val="1"/>
        </w:rPr>
        <w:t>. In addition to any affirmative vote required by law or this Certificate of Incorporation, and except as otherwise expressly provided in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strike w:val="1"/>
        </w:rPr>
        <w:t>Section 3 of this Article Ninth:</w:t>
      </w:r>
    </w:p>
    <w:p>
      <w:pPr>
        <w:spacing w:after="0" w:line="204" w:lineRule="exact"/>
        <w:rPr>
          <w:sz w:val="20"/>
          <w:szCs w:val="20"/>
          <w:color w:val="auto"/>
        </w:rPr>
      </w:pPr>
    </w:p>
    <w:p>
      <w:pPr>
        <w:ind w:left="280" w:right="260" w:firstLine="270"/>
        <w:spacing w:after="0" w:line="300" w:lineRule="auto"/>
        <w:rPr>
          <w:sz w:val="20"/>
          <w:szCs w:val="20"/>
          <w:color w:val="auto"/>
        </w:rPr>
      </w:pPr>
      <w:r>
        <w:rPr>
          <w:rFonts w:ascii="Arial" w:cs="Arial" w:eastAsia="Arial" w:hAnsi="Arial"/>
          <w:sz w:val="12"/>
          <w:szCs w:val="12"/>
          <w:color w:val="auto"/>
          <w:strike w:val="1"/>
        </w:rPr>
        <w:t>A. any merger or consolidation of the Corporation or any Subsidiary (as hereinafter defined) with (i) any Interested Stockholder (as hereinafter defined) or (ii) any other corporation (whether or not itself an Interested Stockholder) which is, or after such merger or consolidation would be, an Affiliate (as hereinafter defined) of an Interested Stockholder; or</w:t>
      </w:r>
    </w:p>
    <w:p>
      <w:pPr>
        <w:spacing w:after="0" w:line="168" w:lineRule="exact"/>
        <w:rPr>
          <w:sz w:val="20"/>
          <w:szCs w:val="20"/>
          <w:color w:val="auto"/>
        </w:rPr>
      </w:pPr>
    </w:p>
    <w:p>
      <w:pPr>
        <w:ind w:left="280" w:right="20" w:firstLine="270"/>
        <w:spacing w:after="0" w:line="231" w:lineRule="auto"/>
        <w:rPr>
          <w:sz w:val="20"/>
          <w:szCs w:val="20"/>
          <w:color w:val="auto"/>
        </w:rPr>
      </w:pPr>
      <w:r>
        <w:rPr>
          <w:rFonts w:ascii="Arial" w:cs="Arial" w:eastAsia="Arial" w:hAnsi="Arial"/>
          <w:sz w:val="14"/>
          <w:szCs w:val="14"/>
          <w:color w:val="auto"/>
          <w:strike w:val="1"/>
        </w:rPr>
        <w:t>B. 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$25,000,000 or more; or</w:t>
      </w:r>
    </w:p>
    <w:p>
      <w:pPr>
        <w:spacing w:after="0" w:line="203" w:lineRule="exact"/>
        <w:rPr>
          <w:sz w:val="20"/>
          <w:szCs w:val="20"/>
          <w:color w:val="auto"/>
        </w:rPr>
      </w:pPr>
    </w:p>
    <w:p>
      <w:pPr>
        <w:ind w:left="280" w:right="60" w:firstLine="270"/>
        <w:spacing w:after="0" w:line="228" w:lineRule="auto"/>
        <w:rPr>
          <w:sz w:val="20"/>
          <w:szCs w:val="20"/>
          <w:color w:val="auto"/>
        </w:rPr>
      </w:pPr>
      <w:r>
        <w:rPr>
          <w:rFonts w:ascii="Arial" w:cs="Arial" w:eastAsia="Arial" w:hAnsi="Arial"/>
          <w:sz w:val="14"/>
          <w:szCs w:val="14"/>
          <w:color w:val="auto"/>
          <w:strike w:val="1"/>
        </w:rPr>
        <w:t>C. the issuance or transfer by the Corporation or any subsidiary (in one transaction or a series of transactions) of any securities of the Corporation or any Subsidiary to any Interested Stockholder or any Affiliate of any Interested Stockholder in exchange for cash, securities or other property (or a combination thereof) having an aggregate Fair Market Value of $25,000,000 or more; or</w:t>
      </w:r>
    </w:p>
    <w:p>
      <w:pPr>
        <w:spacing w:after="0" w:line="203" w:lineRule="exact"/>
        <w:rPr>
          <w:sz w:val="20"/>
          <w:szCs w:val="20"/>
          <w:color w:val="auto"/>
        </w:rPr>
      </w:pPr>
    </w:p>
    <w:p>
      <w:pPr>
        <w:ind w:left="280" w:right="360" w:firstLine="270"/>
        <w:spacing w:after="0" w:line="231" w:lineRule="auto"/>
        <w:rPr>
          <w:sz w:val="20"/>
          <w:szCs w:val="20"/>
          <w:color w:val="auto"/>
        </w:rPr>
      </w:pPr>
      <w:r>
        <w:rPr>
          <w:rFonts w:ascii="Arial" w:cs="Arial" w:eastAsia="Arial" w:hAnsi="Arial"/>
          <w:sz w:val="14"/>
          <w:szCs w:val="14"/>
          <w:color w:val="auto"/>
          <w:strike w:val="1"/>
        </w:rPr>
        <w:t>D. the adoption of any plan or proposal for the liquidation or dissolution of the Corporation proposed by or on behalf of an Interested Stockholder or any Affiliate of any Interested Stockholder; or</w:t>
      </w:r>
    </w:p>
    <w:p>
      <w:pPr>
        <w:spacing w:after="0" w:line="203" w:lineRule="exact"/>
        <w:rPr>
          <w:sz w:val="20"/>
          <w:szCs w:val="20"/>
          <w:color w:val="auto"/>
        </w:rPr>
      </w:pPr>
    </w:p>
    <w:p>
      <w:pPr>
        <w:ind w:left="280" w:right="20" w:firstLine="270"/>
        <w:spacing w:after="0" w:line="226" w:lineRule="auto"/>
        <w:rPr>
          <w:sz w:val="20"/>
          <w:szCs w:val="20"/>
          <w:color w:val="auto"/>
        </w:rPr>
      </w:pPr>
      <w:r>
        <w:rPr>
          <w:rFonts w:ascii="Arial" w:cs="Arial" w:eastAsia="Arial" w:hAnsi="Arial"/>
          <w:sz w:val="14"/>
          <w:szCs w:val="14"/>
          <w:color w:val="auto"/>
          <w:strike w:val="1"/>
        </w:rPr>
        <w:t>E. 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w:t>
      </w:r>
    </w:p>
    <w:p>
      <w:pPr>
        <w:spacing w:after="0" w:line="204"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strike w:val="1"/>
        </w:rPr>
        <w:t>shall require the affirmative vote of the holders of at least 80% of the voting power of the then outstanding shares of capital stock of the Corporation entitled to vote generally in the election of directors (the “Voting Stock”), voting together as a single class (it being understood that for purposes of this Article Ninth, each share of the Voting Stock shall have the number of votes granted to it pursuant to Article Fourth of this Certificate of Incorporation). Such affirmative vote shall be required notwithstanding the fact that no vote may be required, or that a lesser percentage may be specified, by law or in any agreement with any national securities exchange or otherwise.</w:t>
      </w:r>
    </w:p>
    <w:p>
      <w:pPr>
        <w:spacing w:after="0" w:line="190" w:lineRule="exact"/>
        <w:rPr>
          <w:sz w:val="20"/>
          <w:szCs w:val="20"/>
          <w:color w:val="auto"/>
        </w:rPr>
      </w:pPr>
    </w:p>
    <w:p>
      <w:pPr>
        <w:ind w:right="300" w:firstLine="270"/>
        <w:spacing w:after="0" w:line="244" w:lineRule="auto"/>
        <w:rPr>
          <w:sz w:val="20"/>
          <w:szCs w:val="20"/>
          <w:color w:val="auto"/>
        </w:rPr>
      </w:pPr>
      <w:r>
        <w:rPr>
          <w:rFonts w:ascii="Arial" w:cs="Arial" w:eastAsia="Arial" w:hAnsi="Arial"/>
          <w:sz w:val="14"/>
          <w:szCs w:val="14"/>
          <w:color w:val="auto"/>
          <w:strike w:val="1"/>
        </w:rPr>
        <w:t xml:space="preserve">SECTION 2. </w:t>
      </w:r>
      <w:r>
        <w:rPr>
          <w:rFonts w:ascii="Arial" w:cs="Arial" w:eastAsia="Arial" w:hAnsi="Arial"/>
          <w:sz w:val="14"/>
          <w:szCs w:val="14"/>
          <w:i w:val="1"/>
          <w:iCs w:val="1"/>
          <w:color w:val="auto"/>
          <w:strike w:val="1"/>
        </w:rPr>
        <w:t>Definition of “Business Combination”</w:t>
      </w:r>
      <w:r>
        <w:rPr>
          <w:rFonts w:ascii="Arial" w:cs="Arial" w:eastAsia="Arial" w:hAnsi="Arial"/>
          <w:sz w:val="14"/>
          <w:szCs w:val="14"/>
          <w:color w:val="auto"/>
          <w:strike w:val="1"/>
        </w:rPr>
        <w:t>. The term “Business Combination” as used in this Article Ninth shall mean any transaction which is referred to in any one or more of paragraphs A through E of Section</w:t>
      </w:r>
    </w:p>
    <w:p>
      <w:pPr>
        <w:spacing w:after="0" w:line="186" w:lineRule="exact"/>
        <w:rPr>
          <w:sz w:val="20"/>
          <w:szCs w:val="20"/>
          <w:color w:val="auto"/>
        </w:rPr>
      </w:pPr>
    </w:p>
    <w:p>
      <w:pPr>
        <w:ind w:right="120" w:firstLine="270"/>
        <w:spacing w:after="0" w:line="231" w:lineRule="auto"/>
        <w:rPr>
          <w:sz w:val="20"/>
          <w:szCs w:val="20"/>
          <w:color w:val="auto"/>
        </w:rPr>
      </w:pPr>
      <w:r>
        <w:rPr>
          <w:rFonts w:ascii="Arial" w:cs="Arial" w:eastAsia="Arial" w:hAnsi="Arial"/>
          <w:sz w:val="14"/>
          <w:szCs w:val="14"/>
          <w:color w:val="auto"/>
          <w:strike w:val="1"/>
        </w:rPr>
        <w:t xml:space="preserve">SECTION 3. </w:t>
      </w:r>
      <w:r>
        <w:rPr>
          <w:rFonts w:ascii="Arial" w:cs="Arial" w:eastAsia="Arial" w:hAnsi="Arial"/>
          <w:sz w:val="14"/>
          <w:szCs w:val="14"/>
          <w:i w:val="1"/>
          <w:iCs w:val="1"/>
          <w:color w:val="auto"/>
          <w:strike w:val="1"/>
        </w:rPr>
        <w:t>When Higher Vote is Not Required</w:t>
      </w:r>
      <w:r>
        <w:rPr>
          <w:rFonts w:ascii="Arial" w:cs="Arial" w:eastAsia="Arial" w:hAnsi="Arial"/>
          <w:sz w:val="14"/>
          <w:szCs w:val="14"/>
          <w:color w:val="auto"/>
          <w:strike w:val="1"/>
        </w:rPr>
        <w:t>. The provisions of Section 1 of this Article Ninth shall not be applicable to any particular Business Combination, and such Business Combination shall require only such affirmative vote as is required by law and any other provision of this Certificate of Incorporation, if in the case of a Business Combination that does not involve any cash or other consideration being received by the stockholders of the Corporation, solely in their capacities as stockholders, the condition specified in the following paragraph A is met, or if in the case of any other Business Combination, the conditions specified in either of the following paragraphs A or B are met:</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strike w:val="1"/>
        </w:rPr>
        <w:t>Approval by Disinterested Directors</w:t>
      </w:r>
      <w:r>
        <w:rPr>
          <w:rFonts w:ascii="Arial" w:cs="Arial" w:eastAsia="Arial" w:hAnsi="Arial"/>
          <w:sz w:val="14"/>
          <w:szCs w:val="14"/>
          <w:color w:val="auto"/>
          <w:strike w:val="1"/>
        </w:rPr>
        <w:t>. The Business Combination shall have been approved by a majority of the Disinterested Directors (as hereinafter defined).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strike w:val="1"/>
        </w:rPr>
        <w:t>Price and Procedure Requirements</w:t>
      </w:r>
      <w:r>
        <w:rPr>
          <w:rFonts w:ascii="Arial" w:cs="Arial" w:eastAsia="Arial" w:hAnsi="Arial"/>
          <w:sz w:val="14"/>
          <w:szCs w:val="14"/>
          <w:color w:val="auto"/>
          <w:strike w:val="1"/>
        </w:rPr>
        <w:t>. All of the following conditions shall have been met:</w:t>
      </w:r>
    </w:p>
    <w:p>
      <w:pPr>
        <w:spacing w:after="0" w:line="218" w:lineRule="exact"/>
        <w:rPr>
          <w:sz w:val="20"/>
          <w:szCs w:val="20"/>
          <w:color w:val="auto"/>
        </w:rPr>
      </w:pPr>
    </w:p>
    <w:p>
      <w:pPr>
        <w:ind w:left="280" w:right="100" w:hanging="272"/>
        <w:spacing w:after="0" w:line="226" w:lineRule="auto"/>
        <w:tabs>
          <w:tab w:leader="none" w:pos="280" w:val="left"/>
        </w:tabs>
        <w:numPr>
          <w:ilvl w:val="0"/>
          <w:numId w:val="171"/>
        </w:numPr>
        <w:rPr>
          <w:rFonts w:ascii="Arial" w:cs="Arial" w:eastAsia="Arial" w:hAnsi="Arial"/>
          <w:sz w:val="14"/>
          <w:szCs w:val="14"/>
          <w:color w:val="auto"/>
        </w:rPr>
      </w:pPr>
      <w:r>
        <w:rPr>
          <w:rFonts w:ascii="Arial" w:cs="Arial" w:eastAsia="Arial" w:hAnsi="Arial"/>
          <w:sz w:val="14"/>
          <w:szCs w:val="14"/>
          <w:color w:val="auto"/>
          <w:strike w:val="1"/>
        </w:rPr>
        <w:t>The aggregate amount of the cash and the Fair Market Value (as hereinafter defined) as of the date of the consummation of the Business Combination (the “Consummation Date”) of the consideration other than cash to be received per share by holders of Common Stock in such Business Combination shall be an amount at least equal to the higher of the following (it being intended that the requirements of this paragraph B(i) shall be required to be met with respect to all shares of Common Stock outstanding, whether or not the Interested Stockholder has previously acquired any shares of the Common Stock):</w:t>
      </w:r>
    </w:p>
    <w:p>
      <w:pPr>
        <w:spacing w:after="0" w:line="203" w:lineRule="exact"/>
        <w:rPr>
          <w:rFonts w:ascii="Arial" w:cs="Arial" w:eastAsia="Arial" w:hAnsi="Arial"/>
          <w:sz w:val="14"/>
          <w:szCs w:val="14"/>
          <w:color w:val="auto"/>
        </w:rPr>
      </w:pPr>
    </w:p>
    <w:p>
      <w:pPr>
        <w:ind w:left="280" w:right="20"/>
        <w:spacing w:after="0" w:line="224" w:lineRule="auto"/>
        <w:rPr>
          <w:rFonts w:ascii="Arial" w:cs="Arial" w:eastAsia="Arial" w:hAnsi="Arial"/>
          <w:sz w:val="14"/>
          <w:szCs w:val="14"/>
          <w:color w:val="auto"/>
        </w:rPr>
      </w:pPr>
      <w:r>
        <w:rPr>
          <w:rFonts w:ascii="Arial" w:cs="Arial" w:eastAsia="Arial" w:hAnsi="Arial"/>
          <w:sz w:val="14"/>
          <w:szCs w:val="14"/>
          <w:color w:val="auto"/>
          <w:strike w:val="1"/>
        </w:rPr>
        <w:t xml:space="preserve">the highest per share price (including any brokerage commissions, transfer taxes and soliciting dealers’ fees) paid by the Interested Stockholder for any shares of Common Stock acquired by it (1) within the two-year period immediately prior to the first public announcement of the proposal of the Business Combination (the “Announcement Date”) or (2) in the transaction in which it became an Interested Stockholder, whichever is higher, </w:t>
      </w:r>
      <w:r>
        <w:rPr>
          <w:rFonts w:ascii="Arial" w:cs="Arial" w:eastAsia="Arial" w:hAnsi="Arial"/>
          <w:sz w:val="14"/>
          <w:szCs w:val="14"/>
          <w:u w:val="single" w:color="auto"/>
          <w:color w:val="auto"/>
          <w:strike w:val="1"/>
        </w:rPr>
        <w:t>plus</w:t>
      </w:r>
      <w:r>
        <w:rPr>
          <w:rFonts w:ascii="Arial" w:cs="Arial" w:eastAsia="Arial" w:hAnsi="Arial"/>
          <w:sz w:val="14"/>
          <w:szCs w:val="14"/>
          <w:color w:val="auto"/>
          <w:strike w:val="1"/>
        </w:rPr>
        <w:t xml:space="preserve"> interest compounded annually from the date on which the Interested Stockholder became an Interested Stockholder through the Consummation Date at the prime rate of interest of Citibank, N.A. (or other major bank headquartered in New York City selected by a majority of the Disinterested Directors) from time to time in effect in New York City, </w:t>
      </w:r>
      <w:r>
        <w:rPr>
          <w:rFonts w:ascii="Arial" w:cs="Arial" w:eastAsia="Arial" w:hAnsi="Arial"/>
          <w:sz w:val="14"/>
          <w:szCs w:val="14"/>
          <w:u w:val="single" w:color="auto"/>
          <w:color w:val="auto"/>
          <w:strike w:val="1"/>
        </w:rPr>
        <w:t>less</w:t>
      </w:r>
      <w:r>
        <w:rPr>
          <w:rFonts w:ascii="Arial" w:cs="Arial" w:eastAsia="Arial" w:hAnsi="Arial"/>
          <w:sz w:val="14"/>
          <w:szCs w:val="14"/>
          <w:color w:val="auto"/>
          <w:strike w:val="1"/>
        </w:rPr>
        <w:t xml:space="preserve"> the aggregate amount of any cash dividends paid, and the Fair Market Value of any dividends paid in other than cash, per share of Common Stock from the date on which the Interested Stockholder became an Interested Stockholder through the Consummation Date in an amount up to but not exceeding the amount of such interest payable per share of Common Stock; or</w:t>
      </w:r>
    </w:p>
    <w:p>
      <w:pPr>
        <w:spacing w:after="0" w:line="204"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strike w:val="1"/>
        </w:rPr>
        <w:t>the Fair Market Value per share of Common Stock on the Announcement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-1362075</wp:posOffset>
            </wp:positionV>
            <wp:extent cx="17145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auto"/>
                <w:w w:val="99"/>
              </w:rPr>
              <w:t xml:space="preserve">United Technologies </w:t>
            </w:r>
            <w:r>
              <w:rPr>
                <w:rFonts w:ascii="Arial" w:cs="Arial" w:eastAsia="Arial" w:hAnsi="Arial"/>
                <w:sz w:val="14"/>
                <w:szCs w:val="14"/>
                <w:color w:val="616161"/>
                <w:w w:val="99"/>
              </w:rPr>
              <w:t>Notice of 2019 Annual Meeting of Shareowners and Proxy Statement</w:t>
            </w:r>
          </w:p>
        </w:tc>
        <w:tc>
          <w:tcPr>
            <w:tcW w:w="680" w:type="dxa"/>
            <w:vAlign w:val="bottom"/>
            <w:shd w:val="clear" w:color="auto" w:fill="616161"/>
          </w:tcPr>
          <w:p>
            <w:pPr>
              <w:jc w:val="right"/>
              <w:ind w:right="152"/>
              <w:spacing w:after="0"/>
              <w:rPr>
                <w:sz w:val="20"/>
                <w:szCs w:val="20"/>
                <w:color w:val="auto"/>
              </w:rPr>
            </w:pPr>
            <w:r>
              <w:rPr>
                <w:rFonts w:ascii="Arial" w:cs="Arial" w:eastAsia="Arial" w:hAnsi="Arial"/>
                <w:sz w:val="18"/>
                <w:szCs w:val="18"/>
                <w:b w:val="1"/>
                <w:bCs w:val="1"/>
                <w:color w:val="FFFFFF"/>
              </w:rPr>
              <w:t>89</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4922520" cy="1289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24242"/>
        </w:rPr>
        <w:t xml:space="preserve">APPENDIX C  </w:t>
      </w:r>
      <w:r>
        <w:rPr>
          <w:sz w:val="1"/>
          <w:szCs w:val="1"/>
          <w:color w:val="auto"/>
        </w:rPr>
        <w:drawing>
          <wp:inline distT="0" distB="0" distL="0" distR="0">
            <wp:extent cx="26035" cy="128905"/>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4"/>
          <w:szCs w:val="14"/>
          <w:b w:val="1"/>
          <w:bCs w:val="1"/>
          <w:color w:val="FFFFFF"/>
        </w:rPr>
        <w:t xml:space="preserve">  PROPOSED AMENDMENT TO THE CORPORATION’S RESTATED CERTIFICATE OF INCORPORATION</w:t>
      </w:r>
    </w:p>
    <w:p>
      <w:pPr>
        <w:spacing w:after="0" w:line="242" w:lineRule="exact"/>
        <w:rPr>
          <w:sz w:val="20"/>
          <w:szCs w:val="20"/>
          <w:color w:val="auto"/>
        </w:rPr>
      </w:pPr>
    </w:p>
    <w:p>
      <w:pPr>
        <w:ind w:left="240" w:right="20" w:hanging="232"/>
        <w:spacing w:after="0" w:line="226" w:lineRule="auto"/>
        <w:tabs>
          <w:tab w:leader="none" w:pos="240" w:val="left"/>
        </w:tabs>
        <w:numPr>
          <w:ilvl w:val="0"/>
          <w:numId w:val="172"/>
        </w:numPr>
        <w:rPr>
          <w:rFonts w:ascii="Arial" w:cs="Arial" w:eastAsia="Arial" w:hAnsi="Arial"/>
          <w:sz w:val="14"/>
          <w:szCs w:val="14"/>
          <w:color w:val="auto"/>
          <w:strike w:val="1"/>
        </w:rPr>
      </w:pPr>
      <w:r>
        <w:rPr>
          <w:rFonts w:ascii="Arial" w:cs="Arial" w:eastAsia="Arial" w:hAnsi="Arial"/>
          <w:sz w:val="14"/>
          <w:szCs w:val="14"/>
          <w:color w:val="auto"/>
          <w:strike w:val="1"/>
        </w:rPr>
        <w:t>The aggregate amount of the cash and the Fair Market Value as of the Consummation Date of the consideration other than cash to be received per share by holders of shares of any class of outstanding Voting Stock, other than the Common Stock, in such Business Combination shall be an amount at least equal to the highest of the following (it being intended that the requirements of this paragraph B (ii) shall be required to be met with respect to all shares of every such other class of outstanding Voting Stock, whether or not the Interested Stockholder has previously acquired any shares of a particular class of Voting Stock):</w:t>
      </w:r>
    </w:p>
    <w:p>
      <w:pPr>
        <w:spacing w:after="0" w:line="203" w:lineRule="exact"/>
        <w:rPr>
          <w:rFonts w:ascii="Arial" w:cs="Arial" w:eastAsia="Arial" w:hAnsi="Arial"/>
          <w:sz w:val="14"/>
          <w:szCs w:val="14"/>
          <w:color w:val="auto"/>
          <w:strike w:val="1"/>
        </w:rPr>
      </w:pPr>
    </w:p>
    <w:p>
      <w:pPr>
        <w:ind w:left="240" w:right="100"/>
        <w:spacing w:after="0" w:line="224" w:lineRule="auto"/>
        <w:rPr>
          <w:rFonts w:ascii="Arial" w:cs="Arial" w:eastAsia="Arial" w:hAnsi="Arial"/>
          <w:sz w:val="14"/>
          <w:szCs w:val="14"/>
          <w:color w:val="auto"/>
          <w:strike w:val="1"/>
        </w:rPr>
      </w:pPr>
      <w:r>
        <w:rPr>
          <w:rFonts w:ascii="Arial" w:cs="Arial" w:eastAsia="Arial" w:hAnsi="Arial"/>
          <w:sz w:val="14"/>
          <w:szCs w:val="14"/>
          <w:color w:val="auto"/>
          <w:strike w:val="1"/>
        </w:rPr>
        <w:t>the highest per share price (including any brokerage commissions, transfer taxes and soliciting dealers’ fees) paid by the Interested Stockholder for any shares of such class of Voting Stock acquired by it (1) within the two-year period immediately prior to the Announcement Date or (2) in the transaction in which it became an Interested Stockholder, whichever is higher, plus interest compounded annually from the date on which the Interested Stockholder became an Interested Stockholder through the Consummation Date at the prime rate of interest of Citibank, N.A. (or other major bank headquartered in New York City selected by a majority of the Disinterested Directors) from time to time in effect in New York City, less the aggregate amount of any cash dividends paid, and the Fair Market Value of any dividends paid in other than cash, per share of such class of Voting Stock from the date on which the Interested Stockholder became an Interested Stockholder through the Consummation Date in an amount up to but not exceeding the amount of such interest payable per share of such class of Voting Stock;</w:t>
      </w:r>
    </w:p>
    <w:p>
      <w:pPr>
        <w:spacing w:after="0" w:line="204" w:lineRule="exact"/>
        <w:rPr>
          <w:rFonts w:ascii="Arial" w:cs="Arial" w:eastAsia="Arial" w:hAnsi="Arial"/>
          <w:sz w:val="14"/>
          <w:szCs w:val="14"/>
          <w:color w:val="auto"/>
          <w:strike w:val="1"/>
        </w:rPr>
      </w:pPr>
    </w:p>
    <w:p>
      <w:pPr>
        <w:ind w:left="240"/>
        <w:spacing w:after="0"/>
        <w:rPr>
          <w:rFonts w:ascii="Arial" w:cs="Arial" w:eastAsia="Arial" w:hAnsi="Arial"/>
          <w:sz w:val="14"/>
          <w:szCs w:val="14"/>
          <w:color w:val="auto"/>
          <w:strike w:val="1"/>
        </w:rPr>
      </w:pPr>
      <w:r>
        <w:rPr>
          <w:rFonts w:ascii="Arial" w:cs="Arial" w:eastAsia="Arial" w:hAnsi="Arial"/>
          <w:sz w:val="14"/>
          <w:szCs w:val="14"/>
          <w:color w:val="auto"/>
          <w:strike w:val="1"/>
        </w:rPr>
        <w:t>the Fair Market Value per share of such class of Voting Stock on the Announcement Date; or</w:t>
      </w:r>
    </w:p>
    <w:p>
      <w:pPr>
        <w:spacing w:after="0" w:line="203" w:lineRule="exact"/>
        <w:rPr>
          <w:rFonts w:ascii="Arial" w:cs="Arial" w:eastAsia="Arial" w:hAnsi="Arial"/>
          <w:sz w:val="14"/>
          <w:szCs w:val="14"/>
          <w:color w:val="auto"/>
          <w:strike w:val="1"/>
        </w:rPr>
      </w:pPr>
    </w:p>
    <w:p>
      <w:pPr>
        <w:ind w:left="240" w:right="320"/>
        <w:spacing w:after="0" w:line="231" w:lineRule="auto"/>
        <w:rPr>
          <w:rFonts w:ascii="Arial" w:cs="Arial" w:eastAsia="Arial" w:hAnsi="Arial"/>
          <w:sz w:val="14"/>
          <w:szCs w:val="14"/>
          <w:color w:val="auto"/>
          <w:strike w:val="1"/>
        </w:rPr>
      </w:pPr>
      <w:r>
        <w:rPr>
          <w:rFonts w:ascii="Arial" w:cs="Arial" w:eastAsia="Arial" w:hAnsi="Arial"/>
          <w:sz w:val="14"/>
          <w:szCs w:val="14"/>
          <w:color w:val="auto"/>
          <w:strike w:val="1"/>
        </w:rPr>
        <w:t>the highest preferential amount per share to which the holders of shares of such class of Voting Stock are entitled in the event of any voluntary or involuntary liquidation, dissolution or winding up of the Corporation.</w:t>
      </w:r>
    </w:p>
    <w:p>
      <w:pPr>
        <w:spacing w:after="0" w:line="203" w:lineRule="exact"/>
        <w:rPr>
          <w:rFonts w:ascii="Arial" w:cs="Arial" w:eastAsia="Arial" w:hAnsi="Arial"/>
          <w:sz w:val="14"/>
          <w:szCs w:val="14"/>
          <w:color w:val="auto"/>
          <w:strike w:val="1"/>
        </w:rPr>
      </w:pPr>
    </w:p>
    <w:p>
      <w:pPr>
        <w:ind w:left="240" w:right="100"/>
        <w:spacing w:after="0" w:line="279" w:lineRule="auto"/>
        <w:rPr>
          <w:rFonts w:ascii="Arial" w:cs="Arial" w:eastAsia="Arial" w:hAnsi="Arial"/>
          <w:sz w:val="14"/>
          <w:szCs w:val="14"/>
          <w:color w:val="auto"/>
          <w:strike w:val="1"/>
        </w:rPr>
      </w:pPr>
      <w:r>
        <w:rPr>
          <w:rFonts w:ascii="Arial" w:cs="Arial" w:eastAsia="Arial" w:hAnsi="Arial"/>
          <w:sz w:val="12"/>
          <w:szCs w:val="12"/>
          <w:color w:val="auto"/>
          <w:strike w:val="1"/>
        </w:rPr>
        <w:t>The consideration to be received by holders of a particular class of outstanding Voting Stock (including Common Stock) shall be in cash or in the same form as the Interested Stockholder has previously paid for shares of such class of Voting Stock. If the Interested Stockholder has paid for shares of any class of Voting Stock with varying forms of consideration, the form of consideration for such class of Voting Stock shall be either cash or the form used to acquire the largest number of shares of such class of Voting Stock previously acquired by it.</w:t>
      </w:r>
    </w:p>
    <w:p>
      <w:pPr>
        <w:spacing w:after="0" w:line="180" w:lineRule="exact"/>
        <w:rPr>
          <w:rFonts w:ascii="Arial" w:cs="Arial" w:eastAsia="Arial" w:hAnsi="Arial"/>
          <w:sz w:val="14"/>
          <w:szCs w:val="14"/>
          <w:color w:val="auto"/>
          <w:strike w:val="1"/>
        </w:rPr>
      </w:pPr>
    </w:p>
    <w:p>
      <w:pPr>
        <w:ind w:left="240" w:right="20"/>
        <w:spacing w:after="0" w:line="224" w:lineRule="auto"/>
        <w:rPr>
          <w:rFonts w:ascii="Arial" w:cs="Arial" w:eastAsia="Arial" w:hAnsi="Arial"/>
          <w:sz w:val="14"/>
          <w:szCs w:val="14"/>
          <w:color w:val="auto"/>
          <w:strike w:val="1"/>
        </w:rPr>
      </w:pPr>
      <w:r>
        <w:rPr>
          <w:rFonts w:ascii="Arial" w:cs="Arial" w:eastAsia="Arial" w:hAnsi="Arial"/>
          <w:sz w:val="14"/>
          <w:szCs w:val="14"/>
          <w:color w:val="auto"/>
          <w:strike w:val="1"/>
        </w:rPr>
        <w:t>After such Interested Stockholder has become an Interested Stockholder and prior to the consummation of such Business Combination: (a) except as approved by a majority of the Disinterested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Disinterested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204" w:lineRule="exact"/>
        <w:rPr>
          <w:rFonts w:ascii="Arial" w:cs="Arial" w:eastAsia="Arial" w:hAnsi="Arial"/>
          <w:sz w:val="14"/>
          <w:szCs w:val="14"/>
          <w:color w:val="auto"/>
          <w:strike w:val="1"/>
        </w:rPr>
      </w:pPr>
    </w:p>
    <w:p>
      <w:pPr>
        <w:ind w:left="240" w:right="80"/>
        <w:spacing w:after="0" w:line="231" w:lineRule="auto"/>
        <w:rPr>
          <w:rFonts w:ascii="Arial" w:cs="Arial" w:eastAsia="Arial" w:hAnsi="Arial"/>
          <w:sz w:val="14"/>
          <w:szCs w:val="14"/>
          <w:color w:val="auto"/>
          <w:strike w:val="1"/>
        </w:rPr>
      </w:pPr>
      <w:r>
        <w:rPr>
          <w:rFonts w:ascii="Arial" w:cs="Arial" w:eastAsia="Arial" w:hAnsi="Arial"/>
          <w:sz w:val="14"/>
          <w:szCs w:val="14"/>
          <w:color w:val="auto"/>
          <w:strike w:val="1"/>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w:t>
      </w:r>
    </w:p>
    <w:p>
      <w:pPr>
        <w:spacing w:after="0" w:line="203" w:lineRule="exact"/>
        <w:rPr>
          <w:rFonts w:ascii="Arial" w:cs="Arial" w:eastAsia="Arial" w:hAnsi="Arial"/>
          <w:sz w:val="14"/>
          <w:szCs w:val="14"/>
          <w:color w:val="auto"/>
          <w:strike w:val="1"/>
        </w:rPr>
      </w:pPr>
    </w:p>
    <w:p>
      <w:pPr>
        <w:ind w:left="240" w:right="520"/>
        <w:spacing w:after="0" w:line="279" w:lineRule="auto"/>
        <w:rPr>
          <w:rFonts w:ascii="Arial" w:cs="Arial" w:eastAsia="Arial" w:hAnsi="Arial"/>
          <w:sz w:val="14"/>
          <w:szCs w:val="14"/>
          <w:color w:val="auto"/>
          <w:strike w:val="1"/>
        </w:rPr>
      </w:pPr>
      <w:r>
        <w:rPr>
          <w:rFonts w:ascii="Arial" w:cs="Arial" w:eastAsia="Arial" w:hAnsi="Arial"/>
          <w:sz w:val="12"/>
          <w:szCs w:val="12"/>
          <w:color w:val="auto"/>
          <w:strike w:val="1"/>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66" w:lineRule="exact"/>
        <w:rPr>
          <w:rFonts w:ascii="Arial" w:cs="Arial" w:eastAsia="Arial" w:hAnsi="Arial"/>
          <w:sz w:val="14"/>
          <w:szCs w:val="14"/>
          <w:color w:val="auto"/>
          <w:strike w:val="1"/>
        </w:rPr>
      </w:pPr>
    </w:p>
    <w:p>
      <w:pPr>
        <w:ind w:left="240"/>
        <w:spacing w:after="0"/>
        <w:rPr>
          <w:rFonts w:ascii="Arial" w:cs="Arial" w:eastAsia="Arial" w:hAnsi="Arial"/>
          <w:sz w:val="14"/>
          <w:szCs w:val="14"/>
          <w:color w:val="auto"/>
          <w:strike w:val="1"/>
        </w:rPr>
      </w:pPr>
      <w:r>
        <w:rPr>
          <w:rFonts w:ascii="Arial" w:cs="Arial" w:eastAsia="Arial" w:hAnsi="Arial"/>
          <w:sz w:val="14"/>
          <w:szCs w:val="14"/>
          <w:color w:val="auto"/>
          <w:strike w:val="1"/>
        </w:rPr>
        <w:t xml:space="preserve">SECTION 4. </w:t>
      </w:r>
      <w:r>
        <w:rPr>
          <w:rFonts w:ascii="Arial" w:cs="Arial" w:eastAsia="Arial" w:hAnsi="Arial"/>
          <w:sz w:val="14"/>
          <w:szCs w:val="14"/>
          <w:i w:val="1"/>
          <w:iCs w:val="1"/>
          <w:color w:val="auto"/>
          <w:strike w:val="1"/>
        </w:rPr>
        <w:t>Certain Definitions</w:t>
      </w:r>
      <w:r>
        <w:rPr>
          <w:rFonts w:ascii="Arial" w:cs="Arial" w:eastAsia="Arial" w:hAnsi="Arial"/>
          <w:sz w:val="14"/>
          <w:szCs w:val="14"/>
          <w:color w:val="auto"/>
          <w:strike w:val="1"/>
        </w:rPr>
        <w:t>. For the purposes of this Article Ninth:</w:t>
      </w:r>
    </w:p>
    <w:p>
      <w:pPr>
        <w:spacing w:after="0" w:line="150" w:lineRule="exact"/>
        <w:rPr>
          <w:rFonts w:ascii="Arial" w:cs="Arial" w:eastAsia="Arial" w:hAnsi="Arial"/>
          <w:sz w:val="14"/>
          <w:szCs w:val="14"/>
          <w:color w:val="auto"/>
          <w:strike w:val="1"/>
        </w:rPr>
      </w:pPr>
    </w:p>
    <w:p>
      <w:pPr>
        <w:ind w:left="520" w:hanging="282"/>
        <w:spacing w:after="0"/>
        <w:tabs>
          <w:tab w:leader="none" w:pos="520" w:val="left"/>
        </w:tabs>
        <w:numPr>
          <w:ilvl w:val="1"/>
          <w:numId w:val="172"/>
        </w:numPr>
        <w:rPr>
          <w:rFonts w:ascii="Arial" w:cs="Arial" w:eastAsia="Arial" w:hAnsi="Arial"/>
          <w:sz w:val="14"/>
          <w:szCs w:val="14"/>
          <w:color w:val="auto"/>
        </w:rPr>
      </w:pPr>
      <w:r>
        <w:rPr>
          <w:rFonts w:ascii="Arial" w:cs="Arial" w:eastAsia="Arial" w:hAnsi="Arial"/>
          <w:sz w:val="14"/>
          <w:szCs w:val="14"/>
          <w:color w:val="auto"/>
          <w:strike w:val="1"/>
        </w:rPr>
        <w:t>A “person” shall mean any individual, firm, corporation or other entity.</w:t>
      </w:r>
    </w:p>
    <w:p>
      <w:pPr>
        <w:spacing w:after="0" w:line="136" w:lineRule="exact"/>
        <w:rPr>
          <w:rFonts w:ascii="Arial" w:cs="Arial" w:eastAsia="Arial" w:hAnsi="Arial"/>
          <w:sz w:val="14"/>
          <w:szCs w:val="14"/>
          <w:color w:val="auto"/>
        </w:rPr>
      </w:pPr>
    </w:p>
    <w:p>
      <w:pPr>
        <w:ind w:left="520" w:right="160" w:hanging="282"/>
        <w:spacing w:after="0" w:line="231" w:lineRule="auto"/>
        <w:tabs>
          <w:tab w:leader="none" w:pos="520" w:val="left"/>
        </w:tabs>
        <w:numPr>
          <w:ilvl w:val="1"/>
          <w:numId w:val="172"/>
        </w:numPr>
        <w:rPr>
          <w:rFonts w:ascii="Arial" w:cs="Arial" w:eastAsia="Arial" w:hAnsi="Arial"/>
          <w:sz w:val="14"/>
          <w:szCs w:val="14"/>
          <w:color w:val="auto"/>
        </w:rPr>
      </w:pPr>
      <w:r>
        <w:rPr>
          <w:rFonts w:ascii="Arial" w:cs="Arial" w:eastAsia="Arial" w:hAnsi="Arial"/>
          <w:sz w:val="14"/>
          <w:szCs w:val="14"/>
          <w:color w:val="auto"/>
          <w:strike w:val="1"/>
        </w:rPr>
        <w:t>“Interested Stockholder” shall mean any person (other than the Corporation or any Subsidiary) who or which: (i) is the beneficial owner, directly or indirectly, of more than 10% of the voting power of the outstanding Voting Stock; or</w:t>
      </w:r>
    </w:p>
    <w:p>
      <w:pPr>
        <w:spacing w:after="0" w:line="203" w:lineRule="exact"/>
        <w:rPr>
          <w:rFonts w:ascii="Arial" w:cs="Arial" w:eastAsia="Arial" w:hAnsi="Arial"/>
          <w:sz w:val="14"/>
          <w:szCs w:val="14"/>
          <w:color w:val="auto"/>
        </w:rPr>
      </w:pPr>
    </w:p>
    <w:p>
      <w:pPr>
        <w:ind w:left="280" w:right="100" w:firstLine="268"/>
        <w:spacing w:after="0" w:line="231" w:lineRule="auto"/>
        <w:tabs>
          <w:tab w:leader="none" w:pos="738" w:val="left"/>
        </w:tabs>
        <w:numPr>
          <w:ilvl w:val="3"/>
          <w:numId w:val="172"/>
        </w:numPr>
        <w:rPr>
          <w:rFonts w:ascii="Arial" w:cs="Arial" w:eastAsia="Arial" w:hAnsi="Arial"/>
          <w:sz w:val="14"/>
          <w:szCs w:val="14"/>
          <w:color w:val="auto"/>
          <w:strike w:val="1"/>
        </w:rPr>
      </w:pPr>
      <w:r>
        <w:rPr>
          <w:rFonts w:ascii="Arial" w:cs="Arial" w:eastAsia="Arial" w:hAnsi="Arial"/>
          <w:sz w:val="14"/>
          <w:szCs w:val="14"/>
          <w:color w:val="auto"/>
          <w:strike w:val="1"/>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203" w:lineRule="exact"/>
        <w:rPr>
          <w:rFonts w:ascii="Arial" w:cs="Arial" w:eastAsia="Arial" w:hAnsi="Arial"/>
          <w:sz w:val="14"/>
          <w:szCs w:val="14"/>
          <w:color w:val="auto"/>
          <w:strike w:val="1"/>
        </w:rPr>
      </w:pPr>
    </w:p>
    <w:p>
      <w:pPr>
        <w:jc w:val="both"/>
        <w:ind w:left="280" w:right="20" w:firstLine="268"/>
        <w:spacing w:after="0" w:line="228" w:lineRule="auto"/>
        <w:tabs>
          <w:tab w:leader="none" w:pos="767" w:val="left"/>
        </w:tabs>
        <w:numPr>
          <w:ilvl w:val="3"/>
          <w:numId w:val="172"/>
        </w:numPr>
        <w:rPr>
          <w:rFonts w:ascii="Arial" w:cs="Arial" w:eastAsia="Arial" w:hAnsi="Arial"/>
          <w:sz w:val="14"/>
          <w:szCs w:val="14"/>
          <w:color w:val="auto"/>
          <w:strike w:val="1"/>
        </w:rPr>
      </w:pPr>
      <w:r>
        <w:rPr>
          <w:rFonts w:ascii="Arial" w:cs="Arial" w:eastAsia="Arial" w:hAnsi="Arial"/>
          <w:sz w:val="14"/>
          <w:szCs w:val="14"/>
          <w:color w:val="auto"/>
          <w:strike w:val="1"/>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p>
    <w:p>
      <w:pPr>
        <w:spacing w:after="0" w:line="202" w:lineRule="exact"/>
        <w:rPr>
          <w:rFonts w:ascii="Arial" w:cs="Arial" w:eastAsia="Arial" w:hAnsi="Arial"/>
          <w:sz w:val="14"/>
          <w:szCs w:val="14"/>
          <w:color w:val="auto"/>
          <w:strike w:val="1"/>
        </w:rPr>
      </w:pPr>
    </w:p>
    <w:p>
      <w:pPr>
        <w:ind w:left="580" w:hanging="302"/>
        <w:spacing w:after="0"/>
        <w:tabs>
          <w:tab w:leader="none" w:pos="580" w:val="left"/>
        </w:tabs>
        <w:numPr>
          <w:ilvl w:val="2"/>
          <w:numId w:val="172"/>
        </w:numPr>
        <w:rPr>
          <w:rFonts w:ascii="Arial" w:cs="Arial" w:eastAsia="Arial" w:hAnsi="Arial"/>
          <w:sz w:val="14"/>
          <w:szCs w:val="14"/>
          <w:color w:val="auto"/>
        </w:rPr>
      </w:pPr>
      <w:r>
        <w:rPr>
          <w:rFonts w:ascii="Arial" w:cs="Arial" w:eastAsia="Arial" w:hAnsi="Arial"/>
          <w:sz w:val="14"/>
          <w:szCs w:val="14"/>
          <w:color w:val="auto"/>
          <w:strike w:val="1"/>
        </w:rPr>
        <w:t>A person shall be a “beneficial owner” of any Voting Stock:</w:t>
      </w:r>
    </w:p>
    <w:p>
      <w:pPr>
        <w:spacing w:after="0" w:line="203" w:lineRule="exact"/>
        <w:rPr>
          <w:rFonts w:ascii="Arial" w:cs="Arial" w:eastAsia="Arial" w:hAnsi="Arial"/>
          <w:sz w:val="14"/>
          <w:szCs w:val="14"/>
          <w:color w:val="auto"/>
        </w:rPr>
      </w:pPr>
    </w:p>
    <w:p>
      <w:pPr>
        <w:ind w:left="700" w:hanging="152"/>
        <w:spacing w:after="0"/>
        <w:tabs>
          <w:tab w:leader="none" w:pos="700" w:val="left"/>
        </w:tabs>
        <w:numPr>
          <w:ilvl w:val="3"/>
          <w:numId w:val="173"/>
        </w:numPr>
        <w:rPr>
          <w:rFonts w:ascii="Arial" w:cs="Arial" w:eastAsia="Arial" w:hAnsi="Arial"/>
          <w:sz w:val="14"/>
          <w:szCs w:val="14"/>
          <w:color w:val="auto"/>
          <w:strike w:val="1"/>
        </w:rPr>
      </w:pPr>
      <w:r>
        <w:rPr>
          <w:rFonts w:ascii="Arial" w:cs="Arial" w:eastAsia="Arial" w:hAnsi="Arial"/>
          <w:sz w:val="14"/>
          <w:szCs w:val="14"/>
          <w:color w:val="auto"/>
          <w:strike w:val="1"/>
        </w:rPr>
        <w:t>which such person or any of its Affiliates or Associates (as hereinafter defined) beneficially owns, directly or indirectly; or</w:t>
      </w:r>
    </w:p>
    <w:p>
      <w:pPr>
        <w:spacing w:after="0" w:line="203" w:lineRule="exact"/>
        <w:rPr>
          <w:rFonts w:ascii="Arial" w:cs="Arial" w:eastAsia="Arial" w:hAnsi="Arial"/>
          <w:sz w:val="14"/>
          <w:szCs w:val="14"/>
          <w:color w:val="auto"/>
          <w:strike w:val="1"/>
        </w:rPr>
      </w:pPr>
    </w:p>
    <w:p>
      <w:pPr>
        <w:jc w:val="both"/>
        <w:ind w:left="280" w:firstLine="268"/>
        <w:spacing w:after="0" w:line="228" w:lineRule="auto"/>
        <w:tabs>
          <w:tab w:leader="none" w:pos="738" w:val="left"/>
        </w:tabs>
        <w:numPr>
          <w:ilvl w:val="3"/>
          <w:numId w:val="173"/>
        </w:numPr>
        <w:rPr>
          <w:rFonts w:ascii="Arial" w:cs="Arial" w:eastAsia="Arial" w:hAnsi="Arial"/>
          <w:sz w:val="14"/>
          <w:szCs w:val="14"/>
          <w:color w:val="auto"/>
          <w:strike w:val="1"/>
        </w:rPr>
      </w:pPr>
      <w:r>
        <w:rPr>
          <w:rFonts w:ascii="Arial" w:cs="Arial" w:eastAsia="Arial" w:hAnsi="Arial"/>
          <w:sz w:val="14"/>
          <w:szCs w:val="14"/>
          <w:color w:val="auto"/>
          <w:strike w:val="1"/>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-1962785</wp:posOffset>
            </wp:positionV>
            <wp:extent cx="17589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5895" cy="88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-1774190</wp:posOffset>
            </wp:positionV>
            <wp:extent cx="1758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589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-701675</wp:posOffset>
            </wp:positionV>
            <wp:extent cx="18097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80975" cy="8890"/>
                    </a:xfrm>
                    <a:prstGeom prst="rect">
                      <a:avLst/>
                    </a:prstGeom>
                    <a:noFill/>
                  </pic:spPr>
                </pic:pic>
              </a:graphicData>
            </a:graphic>
          </wp:anchor>
        </w:drawing>
      </w:r>
    </w:p>
    <w:p>
      <w:pPr>
        <w:spacing w:after="0" w:line="179" w:lineRule="exact"/>
        <w:rPr>
          <w:sz w:val="20"/>
          <w:szCs w:val="20"/>
          <w:color w:val="auto"/>
        </w:rPr>
      </w:pPr>
    </w:p>
    <w:p>
      <w:pPr>
        <w:ind w:left="880" w:hanging="628"/>
        <w:spacing w:after="0"/>
        <w:tabs>
          <w:tab w:leader="none" w:pos="880" w:val="left"/>
        </w:tabs>
        <w:numPr>
          <w:ilvl w:val="0"/>
          <w:numId w:val="174"/>
        </w:numPr>
        <w:rPr>
          <w:rFonts w:ascii="Arial" w:cs="Arial" w:eastAsia="Arial" w:hAnsi="Arial"/>
          <w:sz w:val="18"/>
          <w:szCs w:val="18"/>
          <w:b w:val="1"/>
          <w:bCs w:val="1"/>
          <w:color w:val="FFFFFF"/>
        </w:rPr>
      </w:pPr>
      <w:r>
        <w:rPr>
          <w:rFonts w:ascii="Arial" w:cs="Arial" w:eastAsia="Arial" w:hAnsi="Arial"/>
          <w:sz w:val="14"/>
          <w:szCs w:val="14"/>
          <w:color w:val="auto"/>
        </w:rPr>
        <w:t xml:space="preserve">United Technologies </w:t>
      </w:r>
      <w:r>
        <w:rPr>
          <w:rFonts w:ascii="Arial" w:cs="Arial" w:eastAsia="Arial" w:hAnsi="Arial"/>
          <w:sz w:val="14"/>
          <w:szCs w:val="14"/>
          <w:color w:val="616161"/>
        </w:rPr>
        <w:t>Notice of 2019 Annual Meeting of Shareowners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7515" cy="154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3751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146685</wp:posOffset>
            </wp:positionV>
            <wp:extent cx="4922520" cy="1289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221" w:lineRule="exact"/>
        <w:rPr>
          <w:sz w:val="20"/>
          <w:szCs w:val="20"/>
          <w:color w:val="auto"/>
        </w:rPr>
      </w:pPr>
    </w:p>
    <w:p>
      <w:pPr>
        <w:ind w:left="3780"/>
        <w:spacing w:after="0"/>
        <w:tabs>
          <w:tab w:leader="none" w:pos="4840" w:val="left"/>
        </w:tabs>
        <w:rPr>
          <w:sz w:val="20"/>
          <w:szCs w:val="20"/>
          <w:color w:val="auto"/>
        </w:rPr>
      </w:pPr>
      <w:r>
        <w:rPr>
          <w:rFonts w:ascii="Arial" w:cs="Arial" w:eastAsia="Arial" w:hAnsi="Arial"/>
          <w:sz w:val="14"/>
          <w:szCs w:val="14"/>
          <w:b w:val="1"/>
          <w:bCs w:val="1"/>
          <w:color w:val="424242"/>
        </w:rPr>
        <w:t>APPENDIX C</w:t>
      </w:r>
      <w:r>
        <w:rPr>
          <w:sz w:val="20"/>
          <w:szCs w:val="20"/>
          <w:color w:val="auto"/>
        </w:rPr>
        <w:tab/>
      </w:r>
      <w:r>
        <w:rPr>
          <w:rFonts w:ascii="Arial" w:cs="Arial" w:eastAsia="Arial" w:hAnsi="Arial"/>
          <w:sz w:val="12"/>
          <w:szCs w:val="12"/>
          <w:b w:val="1"/>
          <w:bCs w:val="1"/>
          <w:color w:val="FFFFFF"/>
        </w:rPr>
        <w:t>PROPOSED AMENDMENT TO THE CORPORATION’S RESTATED CERTIFICATE OF INCORPORATION</w:t>
      </w:r>
    </w:p>
    <w:p>
      <w:pPr>
        <w:spacing w:after="0" w:line="247" w:lineRule="exact"/>
        <w:rPr>
          <w:sz w:val="20"/>
          <w:szCs w:val="20"/>
          <w:color w:val="auto"/>
        </w:rPr>
      </w:pPr>
    </w:p>
    <w:p>
      <w:pPr>
        <w:ind w:left="280" w:right="720" w:firstLine="268"/>
        <w:spacing w:after="0" w:line="231" w:lineRule="auto"/>
        <w:tabs>
          <w:tab w:leader="none" w:pos="767" w:val="left"/>
        </w:tabs>
        <w:numPr>
          <w:ilvl w:val="1"/>
          <w:numId w:val="175"/>
        </w:numPr>
        <w:rPr>
          <w:rFonts w:ascii="Arial" w:cs="Arial" w:eastAsia="Arial" w:hAnsi="Arial"/>
          <w:sz w:val="14"/>
          <w:szCs w:val="14"/>
          <w:color w:val="auto"/>
          <w:strike w:val="1"/>
        </w:rPr>
      </w:pPr>
      <w:r>
        <w:rPr>
          <w:rFonts w:ascii="Arial" w:cs="Arial" w:eastAsia="Arial" w:hAnsi="Arial"/>
          <w:sz w:val="14"/>
          <w:szCs w:val="14"/>
          <w:color w:val="auto"/>
          <w:strike w:val="1"/>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203" w:lineRule="exact"/>
        <w:rPr>
          <w:rFonts w:ascii="Arial" w:cs="Arial" w:eastAsia="Arial" w:hAnsi="Arial"/>
          <w:sz w:val="14"/>
          <w:szCs w:val="14"/>
          <w:color w:val="auto"/>
          <w:strike w:val="1"/>
        </w:rPr>
      </w:pPr>
    </w:p>
    <w:p>
      <w:pPr>
        <w:ind w:right="120" w:firstLine="278"/>
        <w:spacing w:after="0" w:line="228" w:lineRule="auto"/>
        <w:tabs>
          <w:tab w:leader="none" w:pos="443" w:val="left"/>
        </w:tabs>
        <w:numPr>
          <w:ilvl w:val="0"/>
          <w:numId w:val="176"/>
        </w:numPr>
        <w:rPr>
          <w:rFonts w:ascii="Arial" w:cs="Arial" w:eastAsia="Arial" w:hAnsi="Arial"/>
          <w:sz w:val="14"/>
          <w:szCs w:val="14"/>
          <w:color w:val="auto"/>
          <w:strike w:val="1"/>
        </w:rPr>
      </w:pPr>
      <w:r>
        <w:rPr>
          <w:rFonts w:ascii="Arial" w:cs="Arial" w:eastAsia="Arial" w:hAnsi="Arial"/>
          <w:sz w:val="14"/>
          <w:szCs w:val="14"/>
          <w:color w:val="auto"/>
          <w:strike w:val="1"/>
        </w:rPr>
        <w:t>For the purposes of determining whether a person is an Interested Stockholder pursuant to paragraph B of this Section 4, the number of shares of Voting Stock deemed to be outstanding shall include shares deemed owned through application of paragraph C of this Section 4 but shall not include any other shares of Voting Stock which may be issuable pursuant to any agreement, arrangement or understanding, or upon exercise of conversion rights, warrants or options, or otherwise.</w:t>
      </w:r>
    </w:p>
    <w:p>
      <w:pPr>
        <w:spacing w:after="0" w:line="202" w:lineRule="exact"/>
        <w:rPr>
          <w:rFonts w:ascii="Arial" w:cs="Arial" w:eastAsia="Arial" w:hAnsi="Arial"/>
          <w:sz w:val="14"/>
          <w:szCs w:val="14"/>
          <w:color w:val="auto"/>
          <w:strike w:val="1"/>
        </w:rPr>
      </w:pPr>
    </w:p>
    <w:p>
      <w:pPr>
        <w:ind w:right="100" w:firstLine="278"/>
        <w:spacing w:after="0" w:line="231" w:lineRule="auto"/>
        <w:tabs>
          <w:tab w:leader="none" w:pos="435" w:val="left"/>
        </w:tabs>
        <w:numPr>
          <w:ilvl w:val="0"/>
          <w:numId w:val="176"/>
        </w:numPr>
        <w:rPr>
          <w:rFonts w:ascii="Arial" w:cs="Arial" w:eastAsia="Arial" w:hAnsi="Arial"/>
          <w:sz w:val="14"/>
          <w:szCs w:val="14"/>
          <w:color w:val="auto"/>
          <w:strike w:val="1"/>
        </w:rPr>
      </w:pPr>
      <w:r>
        <w:rPr>
          <w:rFonts w:ascii="Arial" w:cs="Arial" w:eastAsia="Arial" w:hAnsi="Arial"/>
          <w:sz w:val="14"/>
          <w:szCs w:val="14"/>
          <w:color w:val="auto"/>
          <w:strike w:val="1"/>
        </w:rPr>
        <w:t>“Affiliate” or “Associate” shall have the respective meanings ascribed to such terms in Rule 12b-2 of the General Rules and Regulations under the Securities Exchange Act of 1934, as in effect on January 1, 1983.</w:t>
      </w:r>
    </w:p>
    <w:p>
      <w:pPr>
        <w:spacing w:after="0" w:line="203" w:lineRule="exact"/>
        <w:rPr>
          <w:rFonts w:ascii="Arial" w:cs="Arial" w:eastAsia="Arial" w:hAnsi="Arial"/>
          <w:sz w:val="14"/>
          <w:szCs w:val="14"/>
          <w:color w:val="auto"/>
          <w:strike w:val="1"/>
        </w:rPr>
      </w:pPr>
    </w:p>
    <w:p>
      <w:pPr>
        <w:jc w:val="both"/>
        <w:ind w:right="100" w:firstLine="278"/>
        <w:spacing w:after="0" w:line="228" w:lineRule="auto"/>
        <w:tabs>
          <w:tab w:leader="none" w:pos="413" w:val="left"/>
        </w:tabs>
        <w:numPr>
          <w:ilvl w:val="0"/>
          <w:numId w:val="176"/>
        </w:numPr>
        <w:rPr>
          <w:rFonts w:ascii="Arial" w:cs="Arial" w:eastAsia="Arial" w:hAnsi="Arial"/>
          <w:sz w:val="14"/>
          <w:szCs w:val="14"/>
          <w:color w:val="auto"/>
          <w:strike w:val="1"/>
        </w:rPr>
      </w:pPr>
      <w:r>
        <w:rPr>
          <w:rFonts w:ascii="Arial" w:cs="Arial" w:eastAsia="Arial" w:hAnsi="Arial"/>
          <w:sz w:val="14"/>
          <w:szCs w:val="14"/>
          <w:color w:val="auto"/>
          <w:strike w:val="1"/>
        </w:rPr>
        <w:t xml:space="preserve">“Subsidiary” means any corporation of which a majority of any class of equity security is owned, directly or indirectly, by the Corporation; </w:t>
      </w:r>
      <w:r>
        <w:rPr>
          <w:rFonts w:ascii="Arial" w:cs="Arial" w:eastAsia="Arial" w:hAnsi="Arial"/>
          <w:sz w:val="14"/>
          <w:szCs w:val="14"/>
          <w:u w:val="single" w:color="auto"/>
          <w:color w:val="auto"/>
          <w:strike w:val="1"/>
        </w:rPr>
        <w:t>provided, however,</w:t>
      </w:r>
      <w:r>
        <w:rPr>
          <w:rFonts w:ascii="Arial" w:cs="Arial" w:eastAsia="Arial" w:hAnsi="Arial"/>
          <w:sz w:val="14"/>
          <w:szCs w:val="14"/>
          <w:color w:val="auto"/>
          <w:strike w:val="1"/>
        </w:rPr>
        <w:t xml:space="preserve"> that for the purposes of the definition of Interested Stockholder set forth in paragraph B of this Section 4, the term “Subsidiary” shall mean only a corporation of which a majority of each class of equity security is owned, directly or indirectly, by the Corporation.</w:t>
      </w:r>
    </w:p>
    <w:p>
      <w:pPr>
        <w:spacing w:after="0" w:line="202" w:lineRule="exact"/>
        <w:rPr>
          <w:rFonts w:ascii="Arial" w:cs="Arial" w:eastAsia="Arial" w:hAnsi="Arial"/>
          <w:sz w:val="14"/>
          <w:szCs w:val="14"/>
          <w:color w:val="auto"/>
          <w:strike w:val="1"/>
        </w:rPr>
      </w:pPr>
    </w:p>
    <w:p>
      <w:pPr>
        <w:ind w:right="60" w:firstLine="278"/>
        <w:spacing w:after="0" w:line="228" w:lineRule="auto"/>
        <w:tabs>
          <w:tab w:leader="none" w:pos="450" w:val="left"/>
        </w:tabs>
        <w:numPr>
          <w:ilvl w:val="0"/>
          <w:numId w:val="176"/>
        </w:numPr>
        <w:rPr>
          <w:rFonts w:ascii="Arial" w:cs="Arial" w:eastAsia="Arial" w:hAnsi="Arial"/>
          <w:sz w:val="14"/>
          <w:szCs w:val="14"/>
          <w:color w:val="auto"/>
          <w:strike w:val="1"/>
        </w:rPr>
      </w:pPr>
      <w:r>
        <w:rPr>
          <w:rFonts w:ascii="Arial" w:cs="Arial" w:eastAsia="Arial" w:hAnsi="Arial"/>
          <w:sz w:val="14"/>
          <w:szCs w:val="14"/>
          <w:color w:val="auto"/>
          <w:strike w:val="1"/>
        </w:rPr>
        <w:t>“Disinterested Director” means any member of the Board of Directors of the Corporation (the “Board”) who is unaffiliated with the Interested Stockholder and was a member of the Board prior to the time that the Interested Stockholder became an Interested Stockholder, and any successor of a Disinterested Director who is unaffiliated with the Interested Stockholder and is recommended to succeed a Disinterested Director by a majority of Disinterested Directors then on the Board.</w:t>
      </w:r>
    </w:p>
    <w:p>
      <w:pPr>
        <w:spacing w:after="0" w:line="202" w:lineRule="exact"/>
        <w:rPr>
          <w:rFonts w:ascii="Arial" w:cs="Arial" w:eastAsia="Arial" w:hAnsi="Arial"/>
          <w:sz w:val="14"/>
          <w:szCs w:val="14"/>
          <w:color w:val="auto"/>
          <w:strike w:val="1"/>
        </w:rPr>
      </w:pPr>
    </w:p>
    <w:p>
      <w:pPr>
        <w:ind w:right="100" w:firstLine="278"/>
        <w:spacing w:after="0" w:line="224" w:lineRule="auto"/>
        <w:tabs>
          <w:tab w:leader="none" w:pos="443" w:val="left"/>
        </w:tabs>
        <w:numPr>
          <w:ilvl w:val="0"/>
          <w:numId w:val="176"/>
        </w:numPr>
        <w:rPr>
          <w:rFonts w:ascii="Arial" w:cs="Arial" w:eastAsia="Arial" w:hAnsi="Arial"/>
          <w:sz w:val="14"/>
          <w:szCs w:val="14"/>
          <w:color w:val="auto"/>
          <w:strike w:val="1"/>
        </w:rPr>
      </w:pPr>
      <w:r>
        <w:rPr>
          <w:rFonts w:ascii="Arial" w:cs="Arial" w:eastAsia="Arial" w:hAnsi="Arial"/>
          <w:sz w:val="14"/>
          <w:szCs w:val="14"/>
          <w:color w:val="auto"/>
          <w:strike w:val="1"/>
        </w:rPr>
        <w:t>“Fair Market Value” means: (i)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a majority of the Disinterested Directors in good faith; and (ii) in the case of property other than cash or stock, the fair market value of such property on the date in question as determined by a majority of the Disinterested Directors in good faith.</w:t>
      </w:r>
    </w:p>
    <w:p>
      <w:pPr>
        <w:spacing w:after="0" w:line="204" w:lineRule="exact"/>
        <w:rPr>
          <w:rFonts w:ascii="Arial" w:cs="Arial" w:eastAsia="Arial" w:hAnsi="Arial"/>
          <w:sz w:val="14"/>
          <w:szCs w:val="14"/>
          <w:color w:val="auto"/>
          <w:strike w:val="1"/>
        </w:rPr>
      </w:pPr>
    </w:p>
    <w:p>
      <w:pPr>
        <w:ind w:right="120" w:firstLine="278"/>
        <w:spacing w:after="0" w:line="231" w:lineRule="auto"/>
        <w:tabs>
          <w:tab w:leader="none" w:pos="383" w:val="left"/>
        </w:tabs>
        <w:numPr>
          <w:ilvl w:val="0"/>
          <w:numId w:val="176"/>
        </w:numPr>
        <w:rPr>
          <w:rFonts w:ascii="Arial" w:cs="Arial" w:eastAsia="Arial" w:hAnsi="Arial"/>
          <w:sz w:val="14"/>
          <w:szCs w:val="14"/>
          <w:color w:val="auto"/>
          <w:strike w:val="1"/>
        </w:rPr>
      </w:pPr>
      <w:r>
        <w:rPr>
          <w:rFonts w:ascii="Arial" w:cs="Arial" w:eastAsia="Arial" w:hAnsi="Arial"/>
          <w:sz w:val="14"/>
          <w:szCs w:val="14"/>
          <w:color w:val="auto"/>
          <w:strike w:val="1"/>
        </w:rPr>
        <w:t>In the event of any Business Combination in which the Corporation survives, the phrase “consideration other than cash to be received” as used in paragraph B(i) and (ii) of Section 3 of this Article Ninth shall include the shares of Common Stock and/or the shares of any other class of outstanding Voting Stock retained by the holders of such shares.</w:t>
      </w:r>
    </w:p>
    <w:p>
      <w:pPr>
        <w:spacing w:after="0" w:line="189" w:lineRule="exact"/>
        <w:rPr>
          <w:sz w:val="20"/>
          <w:szCs w:val="20"/>
          <w:color w:val="auto"/>
        </w:rPr>
      </w:pPr>
    </w:p>
    <w:p>
      <w:pPr>
        <w:ind w:right="100" w:firstLine="270"/>
        <w:spacing w:after="0" w:line="271" w:lineRule="auto"/>
        <w:rPr>
          <w:sz w:val="20"/>
          <w:szCs w:val="20"/>
          <w:color w:val="auto"/>
        </w:rPr>
      </w:pPr>
      <w:r>
        <w:rPr>
          <w:rFonts w:ascii="Arial" w:cs="Arial" w:eastAsia="Arial" w:hAnsi="Arial"/>
          <w:sz w:val="12"/>
          <w:szCs w:val="12"/>
          <w:color w:val="auto"/>
          <w:strike w:val="1"/>
        </w:rPr>
        <w:t xml:space="preserve">SECTION 5. </w:t>
      </w:r>
      <w:r>
        <w:rPr>
          <w:rFonts w:ascii="Arial" w:cs="Arial" w:eastAsia="Arial" w:hAnsi="Arial"/>
          <w:sz w:val="12"/>
          <w:szCs w:val="12"/>
          <w:i w:val="1"/>
          <w:iCs w:val="1"/>
          <w:color w:val="auto"/>
          <w:strike w:val="1"/>
        </w:rPr>
        <w:t>Powers of Disinterested Directors</w:t>
      </w:r>
      <w:r>
        <w:rPr>
          <w:rFonts w:ascii="Arial" w:cs="Arial" w:eastAsia="Arial" w:hAnsi="Arial"/>
          <w:sz w:val="12"/>
          <w:szCs w:val="12"/>
          <w:color w:val="auto"/>
          <w:strike w:val="1"/>
        </w:rPr>
        <w:t>. A majority of the Disinterested Directors of the Corporation shall have the power and duty to determine, on the basis of information known to them after reasonable inquiry, all facts necessary to determine compliance with this Article Ninth, including without limitation (A) whether a person is an Interested Stockholder, (B) the number of shares of Voting Stock beneficially owned by any person, (C) whether a person is an Affiliate or Associate of another, (D) whether the requirements of paragraph B of Section 3 have been met with respect to any Business Combination, and (E) whether the assets which are the subject of any Business Combination have, or the consideration to be received for the issuance or transfer of securities by the Corporation or any Subsidiary in any Business Combination has, an aggregate Fair Market Value of $25,000,000 or more; and the good faith determination of a majority of the Disinterested Directors on such matters shall be conclusive and binding for all the purposes of this Article Ninth.</w:t>
      </w:r>
    </w:p>
    <w:p>
      <w:pPr>
        <w:spacing w:after="0" w:line="173" w:lineRule="exact"/>
        <w:rPr>
          <w:sz w:val="20"/>
          <w:szCs w:val="20"/>
          <w:color w:val="auto"/>
        </w:rPr>
      </w:pPr>
    </w:p>
    <w:p>
      <w:pPr>
        <w:ind w:right="300" w:firstLine="270"/>
        <w:spacing w:after="0" w:line="244" w:lineRule="auto"/>
        <w:rPr>
          <w:sz w:val="20"/>
          <w:szCs w:val="20"/>
          <w:color w:val="auto"/>
        </w:rPr>
      </w:pPr>
      <w:r>
        <w:rPr>
          <w:rFonts w:ascii="Arial" w:cs="Arial" w:eastAsia="Arial" w:hAnsi="Arial"/>
          <w:sz w:val="14"/>
          <w:szCs w:val="14"/>
          <w:color w:val="auto"/>
          <w:strike w:val="1"/>
        </w:rPr>
        <w:t xml:space="preserve">SECTION 6. </w:t>
      </w:r>
      <w:r>
        <w:rPr>
          <w:rFonts w:ascii="Arial" w:cs="Arial" w:eastAsia="Arial" w:hAnsi="Arial"/>
          <w:sz w:val="14"/>
          <w:szCs w:val="14"/>
          <w:i w:val="1"/>
          <w:iCs w:val="1"/>
          <w:color w:val="auto"/>
          <w:strike w:val="1"/>
        </w:rPr>
        <w:t>No effect on Fiduciary Obligations of Interested Stockholders</w:t>
      </w:r>
      <w:r>
        <w:rPr>
          <w:rFonts w:ascii="Arial" w:cs="Arial" w:eastAsia="Arial" w:hAnsi="Arial"/>
          <w:sz w:val="14"/>
          <w:szCs w:val="14"/>
          <w:color w:val="auto"/>
          <w:strike w:val="1"/>
        </w:rPr>
        <w:t>. Nothing contained in this Article Ninth shall be construed to relieve the Board of Directors or any Interested Stockholder from any fiduciary obligation imposed by law.</w:t>
      </w:r>
    </w:p>
    <w:p>
      <w:pPr>
        <w:spacing w:after="0" w:line="186" w:lineRule="exact"/>
        <w:rPr>
          <w:sz w:val="20"/>
          <w:szCs w:val="20"/>
          <w:color w:val="auto"/>
        </w:rPr>
      </w:pPr>
    </w:p>
    <w:p>
      <w:pPr>
        <w:ind w:right="80" w:firstLine="270"/>
        <w:spacing w:after="0" w:line="228" w:lineRule="auto"/>
        <w:rPr>
          <w:sz w:val="20"/>
          <w:szCs w:val="20"/>
          <w:color w:val="auto"/>
        </w:rPr>
      </w:pPr>
      <w:r>
        <w:rPr>
          <w:rFonts w:ascii="Arial" w:cs="Arial" w:eastAsia="Arial" w:hAnsi="Arial"/>
          <w:sz w:val="14"/>
          <w:szCs w:val="14"/>
          <w:color w:val="auto"/>
          <w:strike w:val="1"/>
        </w:rPr>
        <w:t xml:space="preserve">SECTION 7. </w:t>
      </w:r>
      <w:r>
        <w:rPr>
          <w:rFonts w:ascii="Arial" w:cs="Arial" w:eastAsia="Arial" w:hAnsi="Arial"/>
          <w:sz w:val="14"/>
          <w:szCs w:val="14"/>
          <w:i w:val="1"/>
          <w:iCs w:val="1"/>
          <w:color w:val="auto"/>
          <w:strike w:val="1"/>
        </w:rPr>
        <w:t>Amendment, Repeal, etc</w:t>
      </w:r>
      <w:r>
        <w:rPr>
          <w:rFonts w:ascii="Arial" w:cs="Arial" w:eastAsia="Arial" w:hAnsi="Arial"/>
          <w:sz w:val="14"/>
          <w:szCs w:val="14"/>
          <w:color w:val="auto"/>
          <w:strike w:val="1"/>
        </w:rPr>
        <w:t xml:space="preserve">. Notwithstanding any other provisions of this Certificate of Incorporation or the Bylaws of the Corporation (and notwithstanding the fact that a lesser percentage may be specified by law, this Certificate of Incorporation or the Bylaws of the Corporation), the affirmative vote of the holders of 80% or more of the voting power of the shares of the then outstanding Voting Stock, voting together as a single class, shall be required to amend or repeal, or adopt any provisions inconsistent with, this Article Ninth of this Certificate of Incorporation; </w:t>
      </w:r>
      <w:r>
        <w:rPr>
          <w:rFonts w:ascii="Arial" w:cs="Arial" w:eastAsia="Arial" w:hAnsi="Arial"/>
          <w:sz w:val="14"/>
          <w:szCs w:val="14"/>
          <w:u w:val="single" w:color="auto"/>
          <w:color w:val="auto"/>
          <w:strike w:val="1"/>
        </w:rPr>
        <w:t>provided, however,</w:t>
      </w:r>
      <w:r>
        <w:rPr>
          <w:rFonts w:ascii="Arial" w:cs="Arial" w:eastAsia="Arial" w:hAnsi="Arial"/>
          <w:sz w:val="14"/>
          <w:szCs w:val="14"/>
          <w:color w:val="auto"/>
          <w:strike w:val="1"/>
        </w:rPr>
        <w:t xml:space="preserve"> that the preceding provisions of this Section 7 shall not be applicable to any amendment to this Article Ninth of this Certificate of Incorporation, and such amendment shall require only such affirmative vote as is required by law and any other provisions of this Certificate of Incorporation, if such amendment shall have been approved by a majority of the Disinterested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740" w:type="dxa"/>
            <w:vAlign w:val="bottom"/>
          </w:tcPr>
          <w:p>
            <w:pPr>
              <w:ind w:left="5160"/>
              <w:spacing w:after="0"/>
              <w:rPr>
                <w:sz w:val="20"/>
                <w:szCs w:val="20"/>
                <w:color w:val="auto"/>
              </w:rPr>
            </w:pPr>
            <w:r>
              <w:rPr>
                <w:rFonts w:ascii="Arial" w:cs="Arial" w:eastAsia="Arial" w:hAnsi="Arial"/>
                <w:sz w:val="14"/>
                <w:szCs w:val="14"/>
                <w:color w:val="auto"/>
                <w:w w:val="99"/>
              </w:rPr>
              <w:t xml:space="preserve">United Technologies </w:t>
            </w:r>
            <w:r>
              <w:rPr>
                <w:rFonts w:ascii="Arial" w:cs="Arial" w:eastAsia="Arial" w:hAnsi="Arial"/>
                <w:sz w:val="14"/>
                <w:szCs w:val="14"/>
                <w:color w:val="616161"/>
                <w:w w:val="99"/>
              </w:rPr>
              <w:t>Notice of 2019 Annual Meeting of Shareowners and Proxy Statement</w:t>
            </w:r>
          </w:p>
        </w:tc>
        <w:tc>
          <w:tcPr>
            <w:tcW w:w="680" w:type="dxa"/>
            <w:vAlign w:val="bottom"/>
            <w:shd w:val="clear" w:color="auto" w:fill="616161"/>
          </w:tcPr>
          <w:p>
            <w:pPr>
              <w:jc w:val="right"/>
              <w:ind w:right="152"/>
              <w:spacing w:after="0"/>
              <w:rPr>
                <w:sz w:val="20"/>
                <w:szCs w:val="20"/>
                <w:color w:val="auto"/>
              </w:rPr>
            </w:pPr>
            <w:r>
              <w:rPr>
                <w:rFonts w:ascii="Arial" w:cs="Arial" w:eastAsia="Arial" w:hAnsi="Arial"/>
                <w:sz w:val="18"/>
                <w:szCs w:val="18"/>
                <w:b w:val="1"/>
                <w:bCs w:val="1"/>
                <w:color w:val="FFFFFF"/>
              </w:rPr>
              <w:t>91</w:t>
            </w:r>
          </w:p>
        </w:tc>
        <w:tc>
          <w:tcPr>
            <w:tcW w:w="20" w:type="dxa"/>
            <w:vAlign w:val="bottom"/>
          </w:tcPr>
          <w:p>
            <w:pPr>
              <w:spacing w:after="0"/>
              <w:rPr>
                <w:sz w:val="21"/>
                <w:szCs w:val="21"/>
                <w:color w:val="auto"/>
              </w:rPr>
            </w:pPr>
          </w:p>
        </w:tc>
      </w:tr>
      <w:tr>
        <w:trPr>
          <w:trHeight w:val="361"/>
        </w:trPr>
        <w:tc>
          <w:tcPr>
            <w:tcW w:w="10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335280</wp:posOffset>
            </wp:positionV>
            <wp:extent cx="6003290" cy="784669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03290" cy="784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2739"/>
        <w:spacing w:after="0"/>
        <w:rPr>
          <w:sz w:val="20"/>
          <w:szCs w:val="20"/>
          <w:color w:val="auto"/>
        </w:rPr>
      </w:pPr>
      <w:r>
        <w:rPr>
          <w:rFonts w:ascii="Arial" w:cs="Arial" w:eastAsia="Arial" w:hAnsi="Arial"/>
          <w:sz w:val="32"/>
          <w:szCs w:val="32"/>
          <w:b w:val="1"/>
          <w:bCs w:val="1"/>
          <w:color w:val="0E93D8"/>
        </w:rPr>
        <w:t>2018 Company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7256780</wp:posOffset>
            </wp:positionV>
            <wp:extent cx="7267575"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80549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805497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1526540" cy="40322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265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TECHNOLOGIES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FARM SPRINGS ROAD</w:t>
      </w:r>
    </w:p>
    <w:p>
      <w:pPr>
        <w:spacing w:after="0"/>
        <w:rPr>
          <w:sz w:val="20"/>
          <w:szCs w:val="20"/>
          <w:color w:val="auto"/>
        </w:rPr>
      </w:pPr>
      <w:r>
        <w:rPr>
          <w:rFonts w:ascii="Arial" w:cs="Arial" w:eastAsia="Arial" w:hAnsi="Arial"/>
          <w:sz w:val="14"/>
          <w:szCs w:val="14"/>
          <w:b w:val="1"/>
          <w:bCs w:val="1"/>
          <w:i w:val="1"/>
          <w:iCs w:val="1"/>
          <w:color w:val="auto"/>
        </w:rPr>
        <w:t>FARMINGTON, CT 06032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until 11:59 p.m. Eastern Time on Sunday, April 28, 2019, or until 11:00 a.m. Eastern Time on Thursday, April 25, 2019, for participants in an employee savings plan. Follow the instructions to obtain your records and to create an electronic voting instruction form.</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If you would like to reduce the costs our Company incurs in mailing proxy materials, you can consent to receive all future proxy statements, proxy cards and annual reports electronically. To sign up for electronic delivery, please follow the instructions above to vote using the Internet and, when prompted, indicate that you agree to receive or access proxy materials electronically in future years.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TELEPHONE - 1-800-690-6903</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Use any touch-tone telephone to transmit your voting instructions until 11:59 p.m. Eastern Time on Sunday, April 28, 2019, or the earlier cut-off date and time mentioned above for participants in an employee savings plan. Have your proxy card in hand when you call and then follow the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provided or return it in your own envelope by mailing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48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line="231" w:lineRule="auto"/>
        <w:rPr>
          <w:sz w:val="20"/>
          <w:szCs w:val="20"/>
          <w:color w:val="auto"/>
        </w:rPr>
      </w:pPr>
      <w:r>
        <w:rPr>
          <w:rFonts w:ascii="Arial" w:cs="Arial" w:eastAsia="Arial" w:hAnsi="Arial"/>
          <w:sz w:val="14"/>
          <w:szCs w:val="14"/>
          <w:color w:val="auto"/>
        </w:rPr>
        <w:t xml:space="preserve">TO VOTE, MARK BLOCKS BELOW IN BLUE OR BLACK INK AS FOLLOWS:                        E55411-P16496-Z73745         </w:t>
      </w:r>
      <w:r>
        <w:rPr>
          <w:rFonts w:ascii="Arial" w:cs="Arial" w:eastAsia="Arial" w:hAnsi="Arial"/>
          <w:sz w:val="14"/>
          <w:szCs w:val="14"/>
          <w:u w:val="single" w:color="auto"/>
          <w:color w:val="auto"/>
        </w:rPr>
        <w:t>KEEP THIS PORTION FOR YOUR RECORDS</w:t>
      </w:r>
      <w:r>
        <w:rPr>
          <w:rFonts w:ascii="Arial" w:cs="Arial" w:eastAsia="Arial" w:hAnsi="Arial"/>
          <w:sz w:val="14"/>
          <w:szCs w:val="14"/>
          <w:color w:val="auto"/>
        </w:rPr>
        <w:t xml:space="preserve">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42861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42861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7242175" cy="410337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42175" cy="41033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26"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UNITED TECHNOLOGIES CORPORATION</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The Board of Directors recommends a vote FOR</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28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each of the following director nominees:</w:t>
            </w: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restart"/>
          </w:tcPr>
          <w:p>
            <w:pPr>
              <w:jc w:val="center"/>
              <w:ind w:left="54"/>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62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162"/>
        </w:trPr>
        <w:tc>
          <w:tcPr>
            <w:tcW w:w="3360" w:type="dxa"/>
            <w:vAlign w:val="bottom"/>
            <w:gridSpan w:val="4"/>
          </w:tcPr>
          <w:p>
            <w:pPr>
              <w:spacing w:after="0"/>
              <w:rPr>
                <w:sz w:val="20"/>
                <w:szCs w:val="20"/>
                <w:color w:val="auto"/>
              </w:rPr>
            </w:pPr>
            <w:r>
              <w:rPr>
                <w:rFonts w:ascii="Arial" w:cs="Arial" w:eastAsia="Arial" w:hAnsi="Arial"/>
                <w:sz w:val="14"/>
                <w:szCs w:val="14"/>
                <w:color w:val="auto"/>
                <w:w w:val="95"/>
              </w:rPr>
              <w:t>1.Election of Directors</w:t>
            </w: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720" w:type="dxa"/>
            <w:vAlign w:val="bottom"/>
          </w:tcPr>
          <w:p>
            <w:pPr>
              <w:ind w:left="380"/>
              <w:spacing w:after="0"/>
              <w:rPr>
                <w:sz w:val="20"/>
                <w:szCs w:val="20"/>
                <w:color w:val="auto"/>
              </w:rPr>
            </w:pPr>
            <w:r>
              <w:rPr>
                <w:rFonts w:ascii="Arial" w:cs="Arial" w:eastAsia="Arial" w:hAnsi="Arial"/>
                <w:sz w:val="14"/>
                <w:szCs w:val="14"/>
                <w:color w:val="auto"/>
              </w:rPr>
              <w:t>1a.</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Lloyd J. Austin III</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1b.</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Diane M. Bryant</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1c.</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John V. Faraci</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1d.</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Jean-Pierre Garnier</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1e.</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Gregory J. Hayes</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1f.</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Christopher J. Kearney</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1g.</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Ellen J. Kullman</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1h.</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Marshall O. Larsen</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1i.</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Harold W. McGraw III</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1j.</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Margaret L. O’Sullivan</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1k.</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Denise L. Ramos</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1l.</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Fredric G. Reynolds</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720" w:type="dxa"/>
            <w:vAlign w:val="bottom"/>
          </w:tcPr>
          <w:p>
            <w:pPr>
              <w:ind w:left="380"/>
              <w:spacing w:after="0"/>
              <w:rPr>
                <w:sz w:val="20"/>
                <w:szCs w:val="20"/>
                <w:color w:val="auto"/>
              </w:rPr>
            </w:pPr>
            <w:r>
              <w:rPr>
                <w:rFonts w:ascii="Arial" w:cs="Arial" w:eastAsia="Arial" w:hAnsi="Arial"/>
                <w:sz w:val="14"/>
                <w:szCs w:val="14"/>
                <w:color w:val="auto"/>
              </w:rPr>
              <w:t>1m.</w:t>
            </w: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Brian C. Rogers</w:t>
            </w:r>
          </w:p>
        </w:tc>
        <w:tc>
          <w:tcPr>
            <w:tcW w:w="60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34"/>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
        <w:spacing w:after="0" w:line="247"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following proposals:</w:t>
      </w:r>
    </w:p>
    <w:p>
      <w:pPr>
        <w:spacing w:after="0" w:line="117" w:lineRule="exact"/>
        <w:rPr>
          <w:sz w:val="20"/>
          <w:szCs w:val="20"/>
          <w:color w:val="auto"/>
        </w:rPr>
      </w:pPr>
    </w:p>
    <w:p>
      <w:pPr>
        <w:ind w:left="369" w:right="900" w:hanging="369"/>
        <w:spacing w:after="0" w:line="231" w:lineRule="auto"/>
        <w:tabs>
          <w:tab w:leader="none" w:pos="36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Advisory Vote to Approve Executive Compensation.</w:t>
      </w:r>
    </w:p>
    <w:p>
      <w:pPr>
        <w:spacing w:after="0" w:line="122" w:lineRule="exact"/>
        <w:rPr>
          <w:rFonts w:ascii="Arial" w:cs="Arial" w:eastAsia="Arial" w:hAnsi="Arial"/>
          <w:sz w:val="14"/>
          <w:szCs w:val="14"/>
          <w:color w:val="auto"/>
        </w:rPr>
      </w:pPr>
    </w:p>
    <w:p>
      <w:pPr>
        <w:ind w:left="369" w:right="20" w:hanging="369"/>
        <w:spacing w:after="0" w:line="231" w:lineRule="auto"/>
        <w:tabs>
          <w:tab w:leader="none" w:pos="36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Appoint PricewaterhouseCoopers LLP to Serve as Independent Auditor for 2019.</w:t>
      </w:r>
    </w:p>
    <w:p>
      <w:pPr>
        <w:spacing w:after="0" w:line="122" w:lineRule="exact"/>
        <w:rPr>
          <w:rFonts w:ascii="Arial" w:cs="Arial" w:eastAsia="Arial" w:hAnsi="Arial"/>
          <w:sz w:val="14"/>
          <w:szCs w:val="14"/>
          <w:color w:val="auto"/>
        </w:rPr>
      </w:pPr>
    </w:p>
    <w:p>
      <w:pPr>
        <w:ind w:left="369" w:right="540" w:hanging="369"/>
        <w:spacing w:after="0" w:line="226" w:lineRule="auto"/>
        <w:tabs>
          <w:tab w:leader="none" w:pos="36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Approve an Amendment to the Restated Certificate of Incorporation to Eliminate Supermajority Voting for Certain Business Combinations.</w:t>
      </w:r>
    </w:p>
    <w:p>
      <w:pPr>
        <w:spacing w:after="0" w:line="122" w:lineRule="exact"/>
        <w:rPr>
          <w:rFonts w:ascii="Arial" w:cs="Arial" w:eastAsia="Arial" w:hAnsi="Arial"/>
          <w:sz w:val="14"/>
          <w:szCs w:val="14"/>
          <w:color w:val="auto"/>
        </w:rPr>
      </w:pPr>
    </w:p>
    <w:p>
      <w:pPr>
        <w:ind w:left="369" w:right="480" w:hanging="369"/>
        <w:spacing w:after="0" w:line="300" w:lineRule="auto"/>
        <w:tabs>
          <w:tab w:leader="none" w:pos="369" w:val="left"/>
        </w:tabs>
        <w:numPr>
          <w:ilvl w:val="0"/>
          <w:numId w:val="177"/>
        </w:numPr>
        <w:rPr>
          <w:rFonts w:ascii="Arial" w:cs="Arial" w:eastAsia="Arial" w:hAnsi="Arial"/>
          <w:sz w:val="12"/>
          <w:szCs w:val="12"/>
          <w:color w:val="auto"/>
        </w:rPr>
      </w:pPr>
      <w:r>
        <w:rPr>
          <w:rFonts w:ascii="Arial" w:cs="Arial" w:eastAsia="Arial" w:hAnsi="Arial"/>
          <w:sz w:val="12"/>
          <w:szCs w:val="12"/>
          <w:color w:val="auto"/>
        </w:rPr>
        <w:t>Ratify the 15% Special Meeting Ownership Threshold in the Company's Bylaws.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40" w:lineRule="exact"/>
        <w:rPr>
          <w:rFonts w:ascii="Arial" w:cs="Arial" w:eastAsia="Arial" w:hAnsi="Arial"/>
          <w:sz w:val="12"/>
          <w:szCs w:val="12"/>
          <w:color w:val="auto"/>
        </w:rPr>
      </w:pPr>
    </w:p>
    <w:p>
      <w:pPr>
        <w:ind w:left="369" w:right="140"/>
        <w:spacing w:after="0" w:line="231" w:lineRule="auto"/>
        <w:rPr>
          <w:rFonts w:ascii="Arial" w:cs="Arial" w:eastAsia="Arial" w:hAnsi="Arial"/>
          <w:sz w:val="12"/>
          <w:szCs w:val="12"/>
          <w:color w:val="auto"/>
        </w:rPr>
      </w:pPr>
      <w:r>
        <w:rPr>
          <w:rFonts w:ascii="Arial" w:cs="Arial" w:eastAsia="Arial" w:hAnsi="Arial"/>
          <w:sz w:val="14"/>
          <w:szCs w:val="14"/>
          <w:color w:val="auto"/>
        </w:rPr>
        <w:t>For address changes, please check this box and write them on the back where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20" w:val="left"/>
          <w:tab w:leader="none" w:pos="11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20" w:lineRule="exact"/>
        <w:rPr>
          <w:sz w:val="20"/>
          <w:szCs w:val="20"/>
          <w:color w:val="auto"/>
        </w:rPr>
      </w:pPr>
    </w:p>
    <w:p>
      <w:pPr>
        <w:ind w:left="20"/>
        <w:spacing w:after="0" w:line="181" w:lineRule="exact"/>
        <w:tabs>
          <w:tab w:leader="none" w:pos="600" w:val="left"/>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ind w:left="20"/>
        <w:spacing w:after="0" w:line="181" w:lineRule="exact"/>
        <w:tabs>
          <w:tab w:leader="none" w:pos="600" w:val="left"/>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1" w:lineRule="exact"/>
        <w:rPr>
          <w:sz w:val="20"/>
          <w:szCs w:val="20"/>
          <w:color w:val="auto"/>
        </w:rPr>
      </w:pPr>
    </w:p>
    <w:p>
      <w:pPr>
        <w:ind w:left="20"/>
        <w:spacing w:after="0" w:line="181" w:lineRule="exact"/>
        <w:tabs>
          <w:tab w:leader="none" w:pos="600" w:val="left"/>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1" w:lineRule="exact"/>
        <w:rPr>
          <w:sz w:val="20"/>
          <w:szCs w:val="20"/>
          <w:color w:val="auto"/>
        </w:rPr>
      </w:pPr>
    </w:p>
    <w:p>
      <w:pPr>
        <w:ind w:left="20"/>
        <w:spacing w:after="0" w:line="181" w:lineRule="exact"/>
        <w:tabs>
          <w:tab w:leader="none" w:pos="600" w:val="left"/>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40"/>
        <w:spacing w:after="0" w:line="181" w:lineRule="exact"/>
        <w:rPr>
          <w:sz w:val="20"/>
          <w:szCs w:val="20"/>
          <w:color w:val="auto"/>
        </w:rPr>
      </w:pPr>
      <w:r>
        <w:rPr>
          <w:rFonts w:ascii="MS PGothic" w:cs="MS PGothic" w:eastAsia="MS PGothic" w:hAnsi="MS PGothic"/>
          <w:sz w:val="18"/>
          <w:szCs w:val="18"/>
          <w:color w:val="auto"/>
        </w:rPr>
        <w:t>☐</w:t>
      </w:r>
    </w:p>
    <w:p>
      <w:pPr>
        <w:spacing w:after="0" w:line="657" w:lineRule="exact"/>
        <w:rPr>
          <w:sz w:val="20"/>
          <w:szCs w:val="20"/>
          <w:color w:val="auto"/>
        </w:rPr>
      </w:pPr>
    </w:p>
    <w:p>
      <w:pPr>
        <w:sectPr>
          <w:pgSz w:w="11900" w:h="16838" w:orient="portrait"/>
          <w:cols w:equalWidth="0" w:num="3">
            <w:col w:w="5520" w:space="451"/>
            <w:col w:w="3409" w:space="240"/>
            <w:col w:w="1800"/>
          </w:cols>
          <w:pgMar w:left="240" w:top="121" w:right="239" w:bottom="1440" w:gutter="0" w:footer="0" w:header="0"/>
          <w:type w:val="continuous"/>
        </w:sectPr>
      </w:pPr>
    </w:p>
    <w:p>
      <w:pPr>
        <w:ind w:left="220" w:right="140"/>
        <w:spacing w:after="0" w:line="231"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41" w:lineRule="exact"/>
        <w:rPr>
          <w:sz w:val="20"/>
          <w:szCs w:val="20"/>
          <w:color w:val="auto"/>
        </w:rPr>
      </w:pPr>
    </w:p>
    <w:p>
      <w:pPr>
        <w:ind w:left="220"/>
        <w:spacing w:after="0"/>
        <w:tabs>
          <w:tab w:leader="none" w:pos="4080" w:val="left"/>
          <w:tab w:leader="none" w:pos="5740" w:val="left"/>
          <w:tab w:leader="none" w:pos="96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67575"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Annual Meeting of Shareowners of United Technologies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Monday, April 29, 2019, 8:00 a.m. Eastern Time</w:t>
      </w:r>
    </w:p>
    <w:p>
      <w:pPr>
        <w:spacing w:after="0" w:line="19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UTC Center for Intelligent Buildings</w:t>
      </w:r>
    </w:p>
    <w:p>
      <w:pPr>
        <w:spacing w:after="0" w:line="1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13995 Pasteur Boulevard</w:t>
      </w:r>
    </w:p>
    <w:p>
      <w:pPr>
        <w:ind w:left="4220"/>
        <w:spacing w:after="0"/>
        <w:rPr>
          <w:sz w:val="20"/>
          <w:szCs w:val="20"/>
          <w:color w:val="auto"/>
        </w:rPr>
      </w:pPr>
      <w:r>
        <w:rPr>
          <w:rFonts w:ascii="Arial" w:cs="Arial" w:eastAsia="Arial" w:hAnsi="Arial"/>
          <w:sz w:val="18"/>
          <w:szCs w:val="18"/>
          <w:b w:val="1"/>
          <w:bCs w:val="1"/>
          <w:color w:val="auto"/>
        </w:rPr>
        <w:t>Palm Beach Gardens, Florida 33418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meeting is to consider the following matters:</w:t>
      </w:r>
    </w:p>
    <w:p>
      <w:pPr>
        <w:spacing w:after="0" w:line="212" w:lineRule="exact"/>
        <w:rPr>
          <w:sz w:val="20"/>
          <w:szCs w:val="20"/>
          <w:color w:val="auto"/>
        </w:rPr>
      </w:pPr>
    </w:p>
    <w:p>
      <w:pPr>
        <w:ind w:left="700" w:hanging="422"/>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Election of the Thirteen Director Nominees listed in the Proxy Statement</w:t>
      </w:r>
    </w:p>
    <w:p>
      <w:pPr>
        <w:spacing w:after="0" w:line="130" w:lineRule="exact"/>
        <w:rPr>
          <w:rFonts w:ascii="Arial" w:cs="Arial" w:eastAsia="Arial" w:hAnsi="Arial"/>
          <w:sz w:val="18"/>
          <w:szCs w:val="18"/>
          <w:color w:val="auto"/>
        </w:rPr>
      </w:pPr>
    </w:p>
    <w:p>
      <w:pPr>
        <w:ind w:left="700" w:hanging="422"/>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Advisory Vote to Approve Executive Compensation</w:t>
      </w:r>
    </w:p>
    <w:p>
      <w:pPr>
        <w:spacing w:after="0" w:line="130" w:lineRule="exact"/>
        <w:rPr>
          <w:rFonts w:ascii="Arial" w:cs="Arial" w:eastAsia="Arial" w:hAnsi="Arial"/>
          <w:sz w:val="18"/>
          <w:szCs w:val="18"/>
          <w:color w:val="auto"/>
        </w:rPr>
      </w:pPr>
    </w:p>
    <w:p>
      <w:pPr>
        <w:ind w:left="700" w:hanging="422"/>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Appoint PricewaterhouseCoopers LLP to Serve as Independent Auditor for 2019</w:t>
      </w:r>
    </w:p>
    <w:p>
      <w:pPr>
        <w:spacing w:after="0" w:line="130" w:lineRule="exact"/>
        <w:rPr>
          <w:rFonts w:ascii="Arial" w:cs="Arial" w:eastAsia="Arial" w:hAnsi="Arial"/>
          <w:sz w:val="18"/>
          <w:szCs w:val="18"/>
          <w:color w:val="auto"/>
        </w:rPr>
      </w:pPr>
    </w:p>
    <w:p>
      <w:pPr>
        <w:ind w:left="700" w:hanging="422"/>
        <w:spacing w:after="0"/>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Approve an Amendment to the Restated Certificate of Incorporation to Eliminate Supermajority Voting for Certain Business Combinations</w:t>
      </w:r>
    </w:p>
    <w:p>
      <w:pPr>
        <w:spacing w:after="0" w:line="153" w:lineRule="exact"/>
        <w:rPr>
          <w:rFonts w:ascii="Arial" w:cs="Arial" w:eastAsia="Arial" w:hAnsi="Arial"/>
          <w:sz w:val="16"/>
          <w:szCs w:val="16"/>
          <w:color w:val="auto"/>
        </w:rPr>
      </w:pPr>
    </w:p>
    <w:p>
      <w:pPr>
        <w:ind w:left="700" w:hanging="422"/>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Ratify the 15% Special Meeting Ownership Threshold in the Company's Bylaws</w:t>
      </w:r>
    </w:p>
    <w:p>
      <w:pPr>
        <w:spacing w:after="0" w:line="130" w:lineRule="exact"/>
        <w:rPr>
          <w:rFonts w:ascii="Arial" w:cs="Arial" w:eastAsia="Arial" w:hAnsi="Arial"/>
          <w:sz w:val="18"/>
          <w:szCs w:val="18"/>
          <w:color w:val="auto"/>
        </w:rPr>
      </w:pPr>
    </w:p>
    <w:p>
      <w:pPr>
        <w:ind w:left="700" w:hanging="422"/>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Other business, if properly presented</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TICKET REQUESTS: </w:t>
      </w:r>
      <w:r>
        <w:rPr>
          <w:rFonts w:ascii="Arial" w:cs="Arial" w:eastAsia="Arial" w:hAnsi="Arial"/>
          <w:sz w:val="18"/>
          <w:szCs w:val="18"/>
          <w:color w:val="auto"/>
        </w:rPr>
        <w:t>We ask that shareowners request a ticket in advance to attend. Seating at the Annual Meeting is limited and requests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tickets will be processed in the order in which they are received. Please email your request to </w:t>
      </w:r>
      <w:r>
        <w:rPr>
          <w:rFonts w:ascii="Arial" w:cs="Arial" w:eastAsia="Arial" w:hAnsi="Arial"/>
          <w:sz w:val="18"/>
          <w:szCs w:val="18"/>
          <w:u w:val="single" w:color="auto"/>
          <w:color w:val="auto"/>
        </w:rPr>
        <w:t>corpsec@corphq.utc.com</w:t>
      </w:r>
      <w:r>
        <w:rPr>
          <w:rFonts w:ascii="Arial" w:cs="Arial" w:eastAsia="Arial" w:hAnsi="Arial"/>
          <w:sz w:val="18"/>
          <w:szCs w:val="18"/>
          <w:color w:val="auto"/>
        </w:rPr>
        <w:t xml:space="preserve"> or write to the UTC Corporate Secretary, 10 Farm Springs Road, Farmington, CT 06032.</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Notice of 2019 Annual Meeting of Shareowners and Proxy Statement, and the 2018 Annual Report are available at:</w:t>
      </w:r>
    </w:p>
    <w:p>
      <w:pPr>
        <w:jc w:val="center"/>
        <w:spacing w:after="0"/>
        <w:rPr>
          <w:sz w:val="20"/>
          <w:szCs w:val="20"/>
          <w:color w:val="auto"/>
        </w:rPr>
      </w:pPr>
      <w:r>
        <w:rPr>
          <w:rFonts w:ascii="Arial" w:cs="Arial" w:eastAsia="Arial" w:hAnsi="Arial"/>
          <w:sz w:val="18"/>
          <w:szCs w:val="18"/>
          <w:u w:val="single" w:color="auto"/>
          <w:color w:val="auto"/>
        </w:rPr>
        <w:t>www.proxyvote.com.</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E55412-P16496-Z73745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7242175" cy="48406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2175"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PROXY</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This Proxy is Solicited on Behalf of the Board of Directors of United Technologies Corporation.</w:t>
      </w:r>
    </w:p>
    <w:p>
      <w:pPr>
        <w:spacing w:after="0" w:line="200" w:lineRule="exact"/>
        <w:rPr>
          <w:sz w:val="20"/>
          <w:szCs w:val="20"/>
          <w:color w:val="auto"/>
        </w:rPr>
      </w:pPr>
    </w:p>
    <w:p>
      <w:pPr>
        <w:spacing w:after="0" w:line="277" w:lineRule="exact"/>
        <w:rPr>
          <w:sz w:val="20"/>
          <w:szCs w:val="20"/>
          <w:color w:val="auto"/>
        </w:rPr>
      </w:pPr>
    </w:p>
    <w:p>
      <w:pPr>
        <w:jc w:val="both"/>
        <w:ind w:left="220" w:right="200"/>
        <w:spacing w:after="0" w:line="236" w:lineRule="auto"/>
        <w:rPr>
          <w:sz w:val="20"/>
          <w:szCs w:val="20"/>
          <w:color w:val="auto"/>
        </w:rPr>
      </w:pPr>
      <w:r>
        <w:rPr>
          <w:rFonts w:ascii="Arial" w:cs="Arial" w:eastAsia="Arial" w:hAnsi="Arial"/>
          <w:sz w:val="18"/>
          <w:szCs w:val="18"/>
          <w:color w:val="auto"/>
        </w:rPr>
        <w:t xml:space="preserve">The undersigned hereby appoints John V. Faraci, Jean-Pierre Garnier and Ellen J. Kullman, and each of them, each with power of substitution and revocation, as proxies for the undersigned to act and vote at the Annual Meeting of Shareowners of United Technologies Corporation to be held on April 29, 2019, and at any postponed or reconvened meeting, as directed on this Proxy Card, upon the matters set forth on the reverse side hereof, all as described in the Proxy Statement and, in their discretion, upon any other business that may properly come before said meeting, including an adjournment. </w:t>
      </w:r>
      <w:r>
        <w:rPr>
          <w:rFonts w:ascii="Arial" w:cs="Arial" w:eastAsia="Arial" w:hAnsi="Arial"/>
          <w:sz w:val="18"/>
          <w:szCs w:val="18"/>
          <w:b w:val="1"/>
          <w:bCs w:val="1"/>
          <w:color w:val="auto"/>
        </w:rPr>
        <w:t>If this Proxy Card is properly signed and returned, but does not (other than for</w:t>
      </w:r>
      <w:r>
        <w:rPr>
          <w:rFonts w:ascii="Arial" w:cs="Arial" w:eastAsia="Arial" w:hAnsi="Arial"/>
          <w:sz w:val="18"/>
          <w:szCs w:val="18"/>
          <w:color w:val="auto"/>
        </w:rPr>
        <w:t xml:space="preserve"> </w:t>
      </w:r>
      <w:r>
        <w:rPr>
          <w:rFonts w:ascii="Arial" w:cs="Arial" w:eastAsia="Arial" w:hAnsi="Arial"/>
          <w:sz w:val="18"/>
          <w:szCs w:val="18"/>
          <w:b w:val="1"/>
          <w:bCs w:val="1"/>
          <w:color w:val="auto"/>
        </w:rPr>
        <w:t>shares held by the trustees under the employee savings plans) provide voting instructions, then the votes represented by this Proxy Card will be voted FOR the election of the director nominees and FOR Proposals 2, 3, 4 and 5.</w:t>
      </w:r>
    </w:p>
    <w:p>
      <w:pPr>
        <w:spacing w:after="0" w:line="209" w:lineRule="exact"/>
        <w:rPr>
          <w:sz w:val="20"/>
          <w:szCs w:val="20"/>
          <w:color w:val="auto"/>
        </w:rPr>
      </w:pPr>
    </w:p>
    <w:p>
      <w:pPr>
        <w:jc w:val="both"/>
        <w:ind w:left="220" w:right="200"/>
        <w:spacing w:after="0" w:line="236" w:lineRule="auto"/>
        <w:rPr>
          <w:sz w:val="20"/>
          <w:szCs w:val="20"/>
          <w:color w:val="auto"/>
        </w:rPr>
      </w:pPr>
      <w:r>
        <w:rPr>
          <w:rFonts w:ascii="Arial" w:cs="Arial" w:eastAsia="Arial" w:hAnsi="Arial"/>
          <w:sz w:val="18"/>
          <w:szCs w:val="18"/>
          <w:color w:val="auto"/>
        </w:rPr>
        <w:t xml:space="preserve">This Proxy Card also constitutes voting instructions to the trustees under employee savings plans to vote, in person or by proxy, the proportionate interest of the undersigned in the shares of UTC Common Stock held by the trustees under any such plan(s) as described in the Proxy Statement. Such voting instructions, whether received by telephone, the Internet or as indicated by you on this card, must be received by 11:00 a.m. Eastern Time on Thursday, April 25, 2019. </w:t>
      </w:r>
      <w:r>
        <w:rPr>
          <w:rFonts w:ascii="Arial" w:cs="Arial" w:eastAsia="Arial" w:hAnsi="Arial"/>
          <w:sz w:val="18"/>
          <w:szCs w:val="18"/>
          <w:b w:val="1"/>
          <w:bCs w:val="1"/>
          <w:color w:val="auto"/>
        </w:rPr>
        <w:t>To the extent permitted and as described in the Proxy Statement, the</w:t>
      </w:r>
      <w:r>
        <w:rPr>
          <w:rFonts w:ascii="Arial" w:cs="Arial" w:eastAsia="Arial" w:hAnsi="Arial"/>
          <w:sz w:val="18"/>
          <w:szCs w:val="18"/>
          <w:color w:val="auto"/>
        </w:rPr>
        <w:t xml:space="preserve"> </w:t>
      </w:r>
      <w:r>
        <w:rPr>
          <w:rFonts w:ascii="Arial" w:cs="Arial" w:eastAsia="Arial" w:hAnsi="Arial"/>
          <w:sz w:val="18"/>
          <w:szCs w:val="18"/>
          <w:b w:val="1"/>
          <w:bCs w:val="1"/>
          <w:color w:val="auto"/>
        </w:rPr>
        <w:t>trustee will vote your uninstructed proportionate interest in plan shares if voting instructions are not received by that time.</w:t>
      </w:r>
    </w:p>
    <w:p>
      <w:pPr>
        <w:spacing w:after="0" w:line="211" w:lineRule="exact"/>
        <w:rPr>
          <w:sz w:val="20"/>
          <w:szCs w:val="20"/>
          <w:color w:val="auto"/>
        </w:rPr>
      </w:pPr>
    </w:p>
    <w:p>
      <w:pPr>
        <w:jc w:val="both"/>
        <w:ind w:left="220" w:right="200"/>
        <w:spacing w:after="0" w:line="239" w:lineRule="auto"/>
        <w:rPr>
          <w:sz w:val="20"/>
          <w:szCs w:val="20"/>
          <w:color w:val="auto"/>
        </w:rPr>
      </w:pPr>
      <w:r>
        <w:rPr>
          <w:rFonts w:ascii="Arial" w:cs="Arial" w:eastAsia="Arial" w:hAnsi="Arial"/>
          <w:sz w:val="18"/>
          <w:szCs w:val="18"/>
          <w:color w:val="auto"/>
        </w:rPr>
        <w:t>The undersigned hereby revokes all proxies previously given by the undersigned to vote at the Annual Meeting of Shareowners or any adjournment or postponement thereof.</w:t>
      </w:r>
    </w:p>
    <w:p>
      <w:pPr>
        <w:spacing w:after="0" w:line="187" w:lineRule="exact"/>
        <w:rPr>
          <w:sz w:val="20"/>
          <w:szCs w:val="20"/>
          <w:color w:val="auto"/>
        </w:rPr>
      </w:pPr>
    </w:p>
    <w:p>
      <w:pPr>
        <w:jc w:val="both"/>
        <w:ind w:left="220" w:right="200"/>
        <w:spacing w:after="0" w:line="249"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proxies designated above cannot vote these shares unless you sign and return this Proxy Card.</w:t>
      </w:r>
    </w:p>
    <w:p>
      <w:pPr>
        <w:spacing w:after="0" w:line="36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 Changes: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(If you noted any Address Changes above, please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67575"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lvl w:ilvl="1">
      <w:lvlJc w:val="left"/>
      <w:lvlText w:val="%2)"/>
      <w:numFmt w:val="decimal"/>
      <w:start w:val="1"/>
    </w:lvl>
  </w:abstractNum>
  <w:abstractNum w:abstractNumId="3">
    <w:nsid w:val="46B7D447"/>
    <w:multiLevelType w:val="hybridMultilevel"/>
    <w:lvl w:ilvl="0">
      <w:lvlJc w:val="left"/>
      <w:lvlText w:val="1"/>
      <w:numFmt w:val="bullet"/>
      <w:start w:val="1"/>
    </w:lvl>
  </w:abstractNum>
  <w:abstractNum w:abstractNumId="4">
    <w:nsid w:val="4A2AC315"/>
    <w:multiLevelType w:val="hybridMultilevel"/>
    <w:lvl w:ilvl="0">
      <w:lvlJc w:val="left"/>
      <w:lvlText w:val="2"/>
      <w:numFmt w:val="bullet"/>
      <w:start w:val="1"/>
    </w:lvl>
  </w:abstractNum>
  <w:abstractNum w:abstractNumId="5">
    <w:nsid w:val="39EE015C"/>
    <w:multiLevelType w:val="hybridMultilevel"/>
    <w:lvl w:ilvl="0">
      <w:lvlJc w:val="left"/>
      <w:lvlText w:val="3"/>
      <w:numFmt w:val="bullet"/>
      <w:start w:val="1"/>
    </w:lvl>
  </w:abstractNum>
  <w:abstractNum w:abstractNumId="6">
    <w:nsid w:val="57FC4FBB"/>
    <w:multiLevelType w:val="hybridMultilevel"/>
    <w:lvl w:ilvl="0">
      <w:lvlJc w:val="left"/>
      <w:lvlText w:val="4"/>
      <w:numFmt w:val="bullet"/>
      <w:start w:val="1"/>
    </w:lvl>
  </w:abstractNum>
  <w:abstractNum w:abstractNumId="7">
    <w:nsid w:val="CC1016F"/>
    <w:multiLevelType w:val="hybridMultilevel"/>
    <w:lvl w:ilvl="0">
      <w:lvlJc w:val="left"/>
      <w:lvlText w:val="5"/>
      <w:numFmt w:val="bullet"/>
      <w:start w:val="1"/>
    </w:lvl>
  </w:abstractNum>
  <w:abstractNum w:abstractNumId="8">
    <w:nsid w:val="43F18422"/>
    <w:multiLevelType w:val="hybridMultilevel"/>
    <w:lvl w:ilvl="0">
      <w:lvlJc w:val="left"/>
      <w:lvlText w:val="6"/>
      <w:numFmt w:val="bullet"/>
      <w:start w:val="1"/>
    </w:lvl>
  </w:abstractNum>
  <w:abstractNum w:abstractNumId="9">
    <w:nsid w:val="60EF0119"/>
    <w:multiLevelType w:val="hybridMultilevel"/>
    <w:lvl w:ilvl="0">
      <w:lvlJc w:val="left"/>
      <w:lvlText w:val="%1"/>
      <w:numFmt w:val="lowerRoman"/>
      <w:start w:val="2"/>
    </w:lvl>
  </w:abstractNum>
  <w:abstractNum w:abstractNumId="10">
    <w:nsid w:val="26F324BA"/>
    <w:multiLevelType w:val="hybridMultilevel"/>
    <w:lvl w:ilvl="0">
      <w:lvlJc w:val="left"/>
      <w:lvlText w:val="1"/>
      <w:numFmt w:val="bullet"/>
      <w:start w:val="1"/>
    </w:lvl>
  </w:abstractNum>
  <w:abstractNum w:abstractNumId="11">
    <w:nsid w:val="7F01579B"/>
    <w:multiLevelType w:val="hybridMultilevel"/>
    <w:lvl w:ilvl="0">
      <w:lvlJc w:val="left"/>
      <w:lvlText w:val="2"/>
      <w:numFmt w:val="bullet"/>
      <w:start w:val="1"/>
    </w:lvl>
  </w:abstractNum>
  <w:abstractNum w:abstractNumId="12">
    <w:nsid w:val="49DA307D"/>
    <w:multiLevelType w:val="hybridMultilevel"/>
    <w:lvl w:ilvl="0">
      <w:lvlJc w:val="left"/>
      <w:lvlText w:val="3"/>
      <w:numFmt w:val="bullet"/>
      <w:start w:val="1"/>
    </w:lvl>
  </w:abstractNum>
  <w:abstractNum w:abstractNumId="13">
    <w:nsid w:val="7055A5F5"/>
    <w:multiLevelType w:val="hybridMultilevel"/>
    <w:lvl w:ilvl="0">
      <w:lvlJc w:val="left"/>
      <w:lvlText w:val="4"/>
      <w:numFmt w:val="bullet"/>
      <w:start w:val="1"/>
    </w:lvl>
  </w:abstractNum>
  <w:abstractNum w:abstractNumId="14">
    <w:nsid w:val="5FB8370B"/>
    <w:multiLevelType w:val="hybridMultilevel"/>
    <w:lvl w:ilvl="0">
      <w:lvlJc w:val="left"/>
      <w:lvlText w:val="5"/>
      <w:numFmt w:val="bullet"/>
      <w:start w:val="1"/>
    </w:lvl>
  </w:abstractNum>
  <w:abstractNum w:abstractNumId="15">
    <w:nsid w:val="50801EE1"/>
    <w:multiLevelType w:val="hybridMultilevel"/>
    <w:lvl w:ilvl="0">
      <w:lvlJc w:val="left"/>
      <w:lvlText w:val="(%1)"/>
      <w:numFmt w:val="decimal"/>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2"/>
      <w:numFmt w:val="bullet"/>
      <w:start w:val="1"/>
    </w:lvl>
  </w:abstractNum>
  <w:abstractNum w:abstractNumId="18">
    <w:nsid w:val="6AA78F7F"/>
    <w:multiLevelType w:val="hybridMultilevel"/>
    <w:lvl w:ilvl="0">
      <w:lvlJc w:val="left"/>
      <w:lvlText w:val="(%1)"/>
      <w:numFmt w:val="decimal"/>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4"/>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6"/>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8"/>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1"/>
      <w:numFmt w:val="decimal"/>
      <w:start w:val="10"/>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1"/>
      <w:numFmt w:val="decimal"/>
      <w:start w:val="12"/>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
      <w:numFmt w:val="bullet"/>
      <w:start w:val="1"/>
    </w:lvl>
  </w:abstractNum>
  <w:abstractNum w:abstractNumId="61">
    <w:nsid w:val="1DF029D3"/>
    <w:multiLevelType w:val="hybridMultilevel"/>
    <w:lvl w:ilvl="0">
      <w:lvlJc w:val="left"/>
      <w:lvlText w:val="●"/>
      <w:numFmt w:val="bullet"/>
      <w:start w:val="1"/>
    </w:lvl>
  </w:abstractNum>
  <w:abstractNum w:abstractNumId="62">
    <w:nsid w:val="5675FF36"/>
    <w:multiLevelType w:val="hybridMultilevel"/>
    <w:lvl w:ilvl="0">
      <w:lvlJc w:val="left"/>
      <w:lvlText w:val="%1"/>
      <w:numFmt w:val="decimal"/>
      <w:start w:val="14"/>
    </w:lvl>
  </w:abstractNum>
  <w:abstractNum w:abstractNumId="63">
    <w:nsid w:val="3DD15094"/>
    <w:multiLevelType w:val="hybridMultilevel"/>
    <w:lvl w:ilvl="0">
      <w:lvlJc w:val="left"/>
      <w:lvlText w:val="●"/>
      <w:numFmt w:val="bullet"/>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
      <w:numFmt w:val="bullet"/>
      <w:start w:val="1"/>
    </w:lvl>
  </w:abstractNum>
  <w:abstractNum w:abstractNumId="75">
    <w:nsid w:val="17A1B582"/>
    <w:multiLevelType w:val="hybridMultilevel"/>
    <w:lvl w:ilvl="0">
      <w:lvlJc w:val="left"/>
      <w:lvlText w:val="●"/>
      <w:numFmt w:val="bullet"/>
      <w:start w:val="1"/>
    </w:lvl>
  </w:abstractNum>
  <w:abstractNum w:abstractNumId="76">
    <w:nsid w:val="4DF72E4E"/>
    <w:multiLevelType w:val="hybridMultilevel"/>
    <w:lvl w:ilvl="0">
      <w:lvlJc w:val="left"/>
      <w:lvlText w:val="%1"/>
      <w:numFmt w:val="decimal"/>
      <w:start w:val="16"/>
    </w:lvl>
  </w:abstractNum>
  <w:abstractNum w:abstractNumId="77">
    <w:nsid w:val="5046B5A9"/>
    <w:multiLevelType w:val="hybridMultilevel"/>
    <w:lvl w:ilvl="0">
      <w:lvlJc w:val="left"/>
      <w:lvlText w:val="●"/>
      <w:numFmt w:val="bullet"/>
      <w:start w:val="1"/>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1"/>
      <w:numFmt w:val="decimal"/>
      <w:start w:val="18"/>
    </w:lvl>
  </w:abstractNum>
  <w:abstractNum w:abstractNumId="80">
    <w:nsid w:val="5EC6AFD4"/>
    <w:multiLevelType w:val="hybridMultilevel"/>
    <w:lvl w:ilvl="0">
      <w:lvlJc w:val="left"/>
      <w:lvlText w:val="●"/>
      <w:numFmt w:val="bullet"/>
      <w:start w:val="1"/>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1"/>
      <w:numFmt w:val="decimal"/>
      <w:start w:val="20"/>
    </w:lvl>
  </w:abstractNum>
  <w:abstractNum w:abstractNumId="85">
    <w:nsid w:val="20EE1348"/>
    <w:multiLevelType w:val="hybridMultilevel"/>
    <w:lvl w:ilvl="0">
      <w:lvlJc w:val="left"/>
      <w:lvlText w:val="●"/>
      <w:numFmt w:val="bullet"/>
      <w:start w:val="1"/>
    </w:lvl>
  </w:abstractNum>
  <w:abstractNum w:abstractNumId="86">
    <w:nsid w:val="4427069A"/>
    <w:multiLevelType w:val="hybridMultilevel"/>
    <w:lvl w:ilvl="0">
      <w:lvlJc w:val="left"/>
      <w:lvlText w:val="●"/>
      <w:numFmt w:val="bullet"/>
      <w:start w:val="1"/>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
      <w:numFmt w:val="bullet"/>
      <w:start w:val="1"/>
    </w:lvl>
  </w:abstractNum>
  <w:abstractNum w:abstractNumId="89">
    <w:nsid w:val="704E1DD5"/>
    <w:multiLevelType w:val="hybridMultilevel"/>
    <w:lvl w:ilvl="0">
      <w:lvlJc w:val="left"/>
      <w:lvlText w:val="●"/>
      <w:numFmt w:val="bullet"/>
      <w:start w:val="1"/>
    </w:lvl>
  </w:abstractNum>
  <w:abstractNum w:abstractNumId="90">
    <w:nsid w:val="57D2F10E"/>
    <w:multiLevelType w:val="hybridMultilevel"/>
    <w:lvl w:ilvl="0">
      <w:lvlJc w:val="left"/>
      <w:lvlText w:val="●"/>
      <w:numFmt w:val="bullet"/>
      <w:start w:val="1"/>
    </w:lvl>
  </w:abstractNum>
  <w:abstractNum w:abstractNumId="91">
    <w:nsid w:val="BFFAE18"/>
    <w:multiLevelType w:val="hybridMultilevel"/>
    <w:lvl w:ilvl="0">
      <w:lvlJc w:val="left"/>
      <w:lvlText w:val="●"/>
      <w:numFmt w:val="bullet"/>
      <w:start w:val="1"/>
    </w:lvl>
  </w:abstractNum>
  <w:abstractNum w:abstractNumId="92">
    <w:nsid w:val="E3E47A8"/>
    <w:multiLevelType w:val="hybridMultilevel"/>
    <w:lvl w:ilvl="0">
      <w:lvlJc w:val="left"/>
      <w:lvlText w:val="%1"/>
      <w:numFmt w:val="decimal"/>
      <w:start w:val="22"/>
    </w:lvl>
  </w:abstractNum>
  <w:abstractNum w:abstractNumId="93">
    <w:nsid w:val="2E48F044"/>
    <w:multiLevelType w:val="hybridMultilevel"/>
    <w:lvl w:ilvl="0">
      <w:lvlJc w:val="left"/>
      <w:lvlText w:val="●"/>
      <w:numFmt w:val="bullet"/>
      <w:start w:val="1"/>
    </w:lvl>
  </w:abstractNum>
  <w:abstractNum w:abstractNumId="94">
    <w:nsid w:val="49D0FEAC"/>
    <w:multiLevelType w:val="hybridMultilevel"/>
    <w:lvl w:ilvl="0">
      <w:lvlJc w:val="left"/>
      <w:lvlText w:val="●"/>
      <w:numFmt w:val="bullet"/>
      <w:start w:val="1"/>
    </w:lvl>
  </w:abstractNum>
  <w:abstractNum w:abstractNumId="95">
    <w:nsid w:val="4BEE5A5B"/>
    <w:multiLevelType w:val="hybridMultilevel"/>
    <w:lvl w:ilvl="0">
      <w:lvlJc w:val="left"/>
      <w:lvlText w:val="(%1)"/>
      <w:numFmt w:val="decimal"/>
      <w:start w:val="1"/>
    </w:lvl>
  </w:abstractNum>
  <w:abstractNum w:abstractNumId="96">
    <w:nsid w:val="5551B9F3"/>
    <w:multiLevelType w:val="hybridMultilevel"/>
    <w:lvl w:ilvl="0">
      <w:lvlJc w:val="left"/>
      <w:lvlText w:val="%1"/>
      <w:numFmt w:val="decimal"/>
      <w:start w:val="24"/>
    </w:lvl>
  </w:abstractNum>
  <w:abstractNum w:abstractNumId="97">
    <w:nsid w:val="24F6AB8E"/>
    <w:multiLevelType w:val="hybridMultilevel"/>
    <w:lvl w:ilvl="0">
      <w:lvlJc w:val="left"/>
      <w:lvlText w:val="%1"/>
      <w:numFmt w:val="decimal"/>
      <w:start w:val="26"/>
    </w:lvl>
  </w:abstractNum>
  <w:abstractNum w:abstractNumId="98">
    <w:nsid w:val="634C574C"/>
    <w:multiLevelType w:val="hybridMultilevel"/>
    <w:lvl w:ilvl="0">
      <w:lvlJc w:val="left"/>
      <w:lvlText w:val="%1"/>
      <w:numFmt w:val="decimal"/>
      <w:start w:val="28"/>
    </w:lvl>
  </w:abstractNum>
  <w:abstractNum w:abstractNumId="99">
    <w:nsid w:val="24E99DD7"/>
    <w:multiLevelType w:val="hybridMultilevel"/>
    <w:lvl w:ilvl="0">
      <w:lvlJc w:val="left"/>
      <w:lvlText w:val="(%1)"/>
      <w:numFmt w:val="decimal"/>
      <w:start w:val="1"/>
    </w:lvl>
  </w:abstractNum>
  <w:abstractNum w:abstractNumId="100">
    <w:nsid w:val="2A31B62D"/>
    <w:multiLevelType w:val="hybridMultilevel"/>
    <w:lvl w:ilvl="0">
      <w:lvlJc w:val="left"/>
      <w:lvlText w:val="%1"/>
      <w:numFmt w:val="decimal"/>
      <w:start w:val="30"/>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1)"/>
      <w:numFmt w:val="decimal"/>
      <w:start w:val="1"/>
    </w:lvl>
  </w:abstractNum>
  <w:abstractNum w:abstractNumId="103">
    <w:nsid w:val="754342"/>
    <w:multiLevelType w:val="hybridMultilevel"/>
    <w:lvl w:ilvl="0">
      <w:lvlJc w:val="left"/>
      <w:lvlText w:val="%1"/>
      <w:numFmt w:val="decimal"/>
      <w:start w:val="32"/>
    </w:lvl>
  </w:abstractNum>
  <w:abstractNum w:abstractNumId="104">
    <w:nsid w:val="69E7F3E5"/>
    <w:multiLevelType w:val="hybridMultilevel"/>
    <w:lvl w:ilvl="0">
      <w:lvlJc w:val="left"/>
      <w:lvlText w:val="%1"/>
      <w:numFmt w:val="decimal"/>
      <w:start w:val="34"/>
    </w:lvl>
  </w:abstractNum>
  <w:abstractNum w:abstractNumId="105">
    <w:nsid w:val="2A6DE806"/>
    <w:multiLevelType w:val="hybridMultilevel"/>
    <w:lvl w:ilvl="0">
      <w:lvlJc w:val="left"/>
      <w:lvlText w:val="●"/>
      <w:numFmt w:val="bullet"/>
      <w:start w:val="1"/>
    </w:lvl>
  </w:abstractNum>
  <w:abstractNum w:abstractNumId="106">
    <w:nsid w:val="1816F8C4"/>
    <w:multiLevelType w:val="hybridMultilevel"/>
    <w:lvl w:ilvl="0">
      <w:lvlJc w:val="left"/>
      <w:lvlText w:val="%1"/>
      <w:numFmt w:val="decimal"/>
      <w:start w:val="36"/>
    </w:lvl>
  </w:abstractNum>
  <w:abstractNum w:abstractNumId="107">
    <w:nsid w:val="37DF2233"/>
    <w:multiLevelType w:val="hybridMultilevel"/>
    <w:lvl w:ilvl="0">
      <w:lvlJc w:val="left"/>
      <w:lvlText w:val="*"/>
      <w:numFmt w:val="bullet"/>
      <w:start w:val="1"/>
    </w:lvl>
  </w:abstractNum>
  <w:abstractNum w:abstractNumId="108">
    <w:nsid w:val="7AB49DAF"/>
    <w:multiLevelType w:val="hybridMultilevel"/>
    <w:lvl w:ilvl="0">
      <w:lvlJc w:val="left"/>
      <w:lvlText w:val="(%1)"/>
      <w:numFmt w:val="decimal"/>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
      <w:numFmt w:val="bullet"/>
      <w:start w:val="1"/>
    </w:lvl>
  </w:abstractNum>
  <w:abstractNum w:abstractNumId="111">
    <w:nsid w:val="597B4D84"/>
    <w:multiLevelType w:val="hybridMultilevel"/>
    <w:lvl w:ilvl="0">
      <w:lvlJc w:val="left"/>
      <w:lvlText w:val="%1"/>
      <w:numFmt w:val="decimal"/>
      <w:start w:val="38"/>
    </w:lvl>
  </w:abstractNum>
  <w:abstractNum w:abstractNumId="112">
    <w:nsid w:val="F819E7F"/>
    <w:multiLevelType w:val="hybridMultilevel"/>
    <w:lvl w:ilvl="0">
      <w:lvlJc w:val="left"/>
      <w:lvlText w:val="*"/>
      <w:numFmt w:val="bullet"/>
      <w:start w:val="1"/>
    </w:lvl>
  </w:abstractNum>
  <w:abstractNum w:abstractNumId="113">
    <w:nsid w:val="57C7D42D"/>
    <w:multiLevelType w:val="hybridMultilevel"/>
    <w:lvl w:ilvl="0">
      <w:lvlJc w:val="left"/>
      <w:lvlText w:val="%1"/>
      <w:numFmt w:val="decimal"/>
      <w:start w:val="40"/>
    </w:lvl>
  </w:abstractNum>
  <w:abstractNum w:abstractNumId="114">
    <w:nsid w:val="312167AD"/>
    <w:multiLevelType w:val="hybridMultilevel"/>
    <w:lvl w:ilvl="0">
      <w:lvlJc w:val="left"/>
      <w:lvlText w:val="●"/>
      <w:numFmt w:val="bullet"/>
      <w:start w:val="1"/>
    </w:lvl>
  </w:abstractNum>
  <w:abstractNum w:abstractNumId="115">
    <w:nsid w:val="631B64D4"/>
    <w:multiLevelType w:val="hybridMultilevel"/>
    <w:lvl w:ilvl="0">
      <w:lvlJc w:val="left"/>
      <w:lvlText w:val="*"/>
      <w:numFmt w:val="bullet"/>
      <w:start w:val="1"/>
    </w:lvl>
  </w:abstractNum>
  <w:abstractNum w:abstractNumId="116">
    <w:nsid w:val="78B5E776"/>
    <w:multiLevelType w:val="hybridMultilevel"/>
    <w:lvl w:ilvl="0">
      <w:lvlJc w:val="left"/>
      <w:lvlText w:val="●"/>
      <w:numFmt w:val="bullet"/>
      <w:start w:val="1"/>
    </w:lvl>
  </w:abstractNum>
  <w:abstractNum w:abstractNumId="117">
    <w:nsid w:val="75486E47"/>
    <w:multiLevelType w:val="hybridMultilevel"/>
    <w:lvl w:ilvl="0">
      <w:lvlJc w:val="left"/>
      <w:lvlText w:val="●"/>
      <w:numFmt w:val="bullet"/>
      <w:start w:val="1"/>
    </w:lvl>
  </w:abstractNum>
  <w:abstractNum w:abstractNumId="118">
    <w:nsid w:val="6E534CDE"/>
    <w:multiLevelType w:val="hybridMultilevel"/>
    <w:lvl w:ilvl="0">
      <w:lvlJc w:val="left"/>
      <w:lvlText w:val="●"/>
      <w:numFmt w:val="bullet"/>
      <w:start w:val="1"/>
    </w:lvl>
  </w:abstractNum>
  <w:abstractNum w:abstractNumId="119">
    <w:nsid w:val="1A0DDE32"/>
    <w:multiLevelType w:val="hybridMultilevel"/>
    <w:lvl w:ilvl="0">
      <w:lvlJc w:val="left"/>
      <w:lvlText w:val="%1"/>
      <w:numFmt w:val="decimal"/>
      <w:start w:val="44"/>
    </w:lvl>
  </w:abstractNum>
  <w:abstractNum w:abstractNumId="120">
    <w:nsid w:val="65968C1C"/>
    <w:multiLevelType w:val="hybridMultilevel"/>
    <w:lvl w:ilvl="0">
      <w:lvlJc w:val="left"/>
      <w:lvlText w:val="●"/>
      <w:numFmt w:val="bullet"/>
      <w:start w:val="1"/>
    </w:lvl>
  </w:abstractNum>
  <w:abstractNum w:abstractNumId="121">
    <w:nsid w:val="46263DEC"/>
    <w:multiLevelType w:val="hybridMultilevel"/>
    <w:lvl w:ilvl="0">
      <w:lvlJc w:val="left"/>
      <w:lvlText w:val="%1"/>
      <w:numFmt w:val="decimal"/>
      <w:start w:val="46"/>
    </w:lvl>
  </w:abstractNum>
  <w:abstractNum w:abstractNumId="122">
    <w:nsid w:val="260D8C4A"/>
    <w:multiLevelType w:val="hybridMultilevel"/>
    <w:lvl w:ilvl="0">
      <w:lvlJc w:val="left"/>
      <w:lvlText w:val="●"/>
      <w:numFmt w:val="bullet"/>
      <w:start w:val="1"/>
    </w:lvl>
  </w:abstractNum>
  <w:abstractNum w:abstractNumId="123">
    <w:nsid w:val="73D4D3C4"/>
    <w:multiLevelType w:val="hybridMultilevel"/>
    <w:lvl w:ilvl="0">
      <w:lvlJc w:val="left"/>
      <w:lvlText w:val="●"/>
      <w:numFmt w:val="bullet"/>
      <w:start w:val="1"/>
    </w:lvl>
  </w:abstractNum>
  <w:abstractNum w:abstractNumId="124">
    <w:nsid w:val="746F2E30"/>
    <w:multiLevelType w:val="hybridMultilevel"/>
    <w:lvl w:ilvl="0">
      <w:lvlJc w:val="left"/>
      <w:lvlText w:val="●"/>
      <w:numFmt w:val="bullet"/>
      <w:start w:val="1"/>
    </w:lvl>
  </w:abstractNum>
  <w:abstractNum w:abstractNumId="125">
    <w:nsid w:val="6FDE8AF6"/>
    <w:multiLevelType w:val="hybridMultilevel"/>
    <w:lvl w:ilvl="0">
      <w:lvlJc w:val="left"/>
      <w:lvlText w:val="(%1)"/>
      <w:numFmt w:val="decimal"/>
      <w:start w:val="1"/>
    </w:lvl>
  </w:abstractNum>
  <w:abstractNum w:abstractNumId="126">
    <w:nsid w:val="3FC32E20"/>
    <w:multiLevelType w:val="hybridMultilevel"/>
    <w:lvl w:ilvl="0">
      <w:lvlJc w:val="left"/>
      <w:lvlText w:val="%1"/>
      <w:numFmt w:val="decimal"/>
      <w:start w:val="48"/>
    </w:lvl>
  </w:abstractNum>
  <w:abstractNum w:abstractNumId="127">
    <w:nsid w:val="49C0E823"/>
    <w:multiLevelType w:val="hybridMultilevel"/>
    <w:lvl w:ilvl="0">
      <w:lvlJc w:val="left"/>
      <w:lvlText w:val="●"/>
      <w:numFmt w:val="bullet"/>
      <w:start w:val="1"/>
    </w:lvl>
    <w:lvl w:ilvl="1">
      <w:lvlJc w:val="left"/>
      <w:lvlText w:val="●"/>
      <w:numFmt w:val="bullet"/>
      <w:start w:val="1"/>
    </w:lvl>
  </w:abstractNum>
  <w:abstractNum w:abstractNumId="128">
    <w:nsid w:val="14D53685"/>
    <w:multiLevelType w:val="hybridMultilevel"/>
    <w:lvl w:ilvl="0">
      <w:lvlJc w:val="left"/>
      <w:lvlText w:val="%1"/>
      <w:numFmt w:val="decimal"/>
      <w:start w:val="50"/>
    </w:lvl>
  </w:abstractNum>
  <w:abstractNum w:abstractNumId="129">
    <w:nsid w:val="230F856C"/>
    <w:multiLevelType w:val="hybridMultilevel"/>
    <w:lvl w:ilvl="0">
      <w:lvlJc w:val="left"/>
      <w:lvlText w:val="●"/>
      <w:numFmt w:val="bullet"/>
      <w:start w:val="1"/>
    </w:lvl>
    <w:lvl w:ilvl="1">
      <w:lvlJc w:val="left"/>
      <w:lvlText w:val="●"/>
      <w:numFmt w:val="bullet"/>
      <w:start w:val="1"/>
    </w:lvl>
  </w:abstractNum>
  <w:abstractNum w:abstractNumId="130">
    <w:nsid w:val="6EAA85FB"/>
    <w:multiLevelType w:val="hybridMultilevel"/>
    <w:lvl w:ilvl="0">
      <w:lvlJc w:val="left"/>
      <w:lvlText w:val="(%1)"/>
      <w:numFmt w:val="decimal"/>
    </w:lvl>
    <w:lvl w:ilvl="1">
      <w:lvlJc w:val="left"/>
      <w:lvlText w:val="●"/>
      <w:numFmt w:val="bullet"/>
      <w:start w:val="1"/>
    </w:lvl>
  </w:abstractNum>
  <w:abstractNum w:abstractNumId="131">
    <w:nsid w:val="3F06ECB2"/>
    <w:multiLevelType w:val="hybridMultilevel"/>
    <w:lvl w:ilvl="0">
      <w:lvlJc w:val="left"/>
      <w:lvlText w:val="●"/>
      <w:numFmt w:val="bullet"/>
      <w:start w:val="1"/>
    </w:lvl>
    <w:lvl w:ilvl="1">
      <w:lvlJc w:val="left"/>
      <w:lvlText w:val="●"/>
      <w:numFmt w:val="bullet"/>
      <w:start w:val="1"/>
    </w:lvl>
  </w:abstractNum>
  <w:abstractNum w:abstractNumId="132">
    <w:nsid w:val="3B594807"/>
    <w:multiLevelType w:val="hybridMultilevel"/>
    <w:lvl w:ilvl="0">
      <w:lvlJc w:val="left"/>
      <w:lvlText w:val="%1"/>
      <w:numFmt w:val="decimal"/>
      <w:start w:val="52"/>
    </w:lvl>
  </w:abstractNum>
  <w:abstractNum w:abstractNumId="133">
    <w:nsid w:val="6CAA2304"/>
    <w:multiLevelType w:val="hybridMultilevel"/>
    <w:lvl w:ilvl="0">
      <w:lvlJc w:val="left"/>
      <w:lvlText w:val="●"/>
      <w:numFmt w:val="bullet"/>
      <w:start w:val="1"/>
    </w:lvl>
    <w:lvl w:ilvl="1">
      <w:lvlJc w:val="left"/>
      <w:lvlText w:val="●"/>
      <w:numFmt w:val="bullet"/>
      <w:start w:val="1"/>
    </w:lvl>
  </w:abstractNum>
  <w:abstractNum w:abstractNumId="134">
    <w:nsid w:val="3F7C2FF4"/>
    <w:multiLevelType w:val="hybridMultilevel"/>
    <w:lvl w:ilvl="0">
      <w:lvlJc w:val="left"/>
      <w:lvlText w:val="%1"/>
      <w:numFmt w:val="decimal"/>
      <w:start w:val="54"/>
    </w:lvl>
  </w:abstractNum>
  <w:abstractNum w:abstractNumId="135">
    <w:nsid w:val="25413BEC"/>
    <w:multiLevelType w:val="hybridMultilevel"/>
    <w:lvl w:ilvl="0">
      <w:lvlJc w:val="left"/>
      <w:lvlText w:val="%1"/>
      <w:numFmt w:val="decimal"/>
      <w:start w:val="56"/>
    </w:lvl>
  </w:abstractNum>
  <w:abstractNum w:abstractNumId="136">
    <w:nsid w:val="17180B0B"/>
    <w:multiLevelType w:val="hybridMultilevel"/>
    <w:lvl w:ilvl="0">
      <w:lvlJc w:val="left"/>
      <w:lvlText w:val="(%1)"/>
      <w:numFmt w:val="decimal"/>
      <w:start w:val="1"/>
    </w:lvl>
  </w:abstractNum>
  <w:abstractNum w:abstractNumId="137">
    <w:nsid w:val="579328B9"/>
    <w:multiLevelType w:val="hybridMultilevel"/>
    <w:lvl w:ilvl="0">
      <w:lvlJc w:val="left"/>
      <w:lvlText w:val="%1"/>
      <w:numFmt w:val="decimal"/>
      <w:start w:val="58"/>
    </w:lvl>
  </w:abstractNum>
  <w:abstractNum w:abstractNumId="138">
    <w:nsid w:val="5D205E20"/>
    <w:multiLevelType w:val="hybridMultilevel"/>
    <w:lvl w:ilvl="0">
      <w:lvlJc w:val="left"/>
      <w:lvlText w:val="(%1)"/>
      <w:numFmt w:val="decimal"/>
      <w:start w:val="5"/>
    </w:lvl>
  </w:abstractNum>
  <w:abstractNum w:abstractNumId="139">
    <w:nsid w:val="11CCA8BA"/>
    <w:multiLevelType w:val="hybridMultilevel"/>
    <w:lvl w:ilvl="0">
      <w:lvlJc w:val="left"/>
      <w:lvlText w:val="%1"/>
      <w:numFmt w:val="decimal"/>
      <w:start w:val="1"/>
    </w:lvl>
    <w:lvl w:ilvl="1">
      <w:lvlJc w:val="left"/>
      <w:lvlText w:val="(%2)"/>
      <w:numFmt w:val="lowerLetter"/>
      <w:start w:val="1"/>
    </w:lvl>
  </w:abstractNum>
  <w:abstractNum w:abstractNumId="140">
    <w:nsid w:val="4D32AB86"/>
    <w:multiLevelType w:val="hybridMultilevel"/>
    <w:lvl w:ilvl="0">
      <w:lvlJc w:val="left"/>
      <w:lvlText w:val="(%1)"/>
      <w:numFmt w:val="decimal"/>
      <w:start w:val="6"/>
    </w:lvl>
    <w:lvl w:ilvl="1">
      <w:lvlJc w:val="left"/>
      <w:lvlText w:val="%2"/>
      <w:numFmt w:val="lowerLetter"/>
      <w:start w:val="1"/>
    </w:lvl>
  </w:abstractNum>
  <w:abstractNum w:abstractNumId="141">
    <w:nsid w:val="3F07ACC3"/>
    <w:multiLevelType w:val="hybridMultilevel"/>
    <w:lvl w:ilvl="0">
      <w:lvlJc w:val="left"/>
      <w:lvlText w:val="%1"/>
      <w:numFmt w:val="decimal"/>
      <w:start w:val="60"/>
    </w:lvl>
  </w:abstractNum>
  <w:abstractNum w:abstractNumId="142">
    <w:nsid w:val="6B47F63E"/>
    <w:multiLevelType w:val="hybridMultilevel"/>
    <w:lvl w:ilvl="0">
      <w:lvlJc w:val="left"/>
      <w:lvlText w:val="(%1)"/>
      <w:numFmt w:val="decimal"/>
      <w:start w:val="1"/>
    </w:lvl>
  </w:abstractNum>
  <w:abstractNum w:abstractNumId="143">
    <w:nsid w:val="5CB44A05"/>
    <w:multiLevelType w:val="hybridMultilevel"/>
    <w:lvl w:ilvl="0">
      <w:lvlJc w:val="left"/>
      <w:lvlText w:val="%1"/>
      <w:numFmt w:val="decimal"/>
      <w:start w:val="62"/>
    </w:lvl>
  </w:abstractNum>
  <w:abstractNum w:abstractNumId="144">
    <w:nsid w:val="16CF80F1"/>
    <w:multiLevelType w:val="hybridMultilevel"/>
    <w:lvl w:ilvl="0">
      <w:lvlJc w:val="left"/>
      <w:lvlText w:val="(%1)"/>
      <w:numFmt w:val="decimal"/>
      <w:start w:val="1"/>
    </w:lvl>
  </w:abstractNum>
  <w:abstractNum w:abstractNumId="145">
    <w:nsid w:val="1C695DEC"/>
    <w:multiLevelType w:val="hybridMultilevel"/>
    <w:lvl w:ilvl="0">
      <w:lvlJc w:val="left"/>
      <w:lvlText w:val="*"/>
      <w:numFmt w:val="bullet"/>
      <w:start w:val="1"/>
    </w:lvl>
  </w:abstractNum>
  <w:abstractNum w:abstractNumId="146">
    <w:nsid w:val="3FCFAED9"/>
    <w:multiLevelType w:val="hybridMultilevel"/>
    <w:lvl w:ilvl="0">
      <w:lvlJc w:val="left"/>
      <w:lvlText w:val="(%1)"/>
      <w:numFmt w:val="decimal"/>
      <w:start w:val="1"/>
    </w:lvl>
  </w:abstractNum>
  <w:abstractNum w:abstractNumId="147">
    <w:nsid w:val="F856867"/>
    <w:multiLevelType w:val="hybridMultilevel"/>
    <w:lvl w:ilvl="0">
      <w:lvlJc w:val="left"/>
      <w:lvlText w:val="%1"/>
      <w:numFmt w:val="decimal"/>
      <w:start w:val="64"/>
    </w:lvl>
  </w:abstractNum>
  <w:abstractNum w:abstractNumId="148">
    <w:nsid w:val="11B1CC33"/>
    <w:multiLevelType w:val="hybridMultilevel"/>
    <w:lvl w:ilvl="0">
      <w:lvlJc w:val="left"/>
      <w:lvlText w:val="(%1)"/>
      <w:numFmt w:val="decimal"/>
      <w:start w:val="1"/>
    </w:lvl>
  </w:abstractNum>
  <w:abstractNum w:abstractNumId="149">
    <w:nsid w:val="2E22FBB7"/>
    <w:multiLevelType w:val="hybridMultilevel"/>
    <w:lvl w:ilvl="0">
      <w:lvlJc w:val="left"/>
      <w:lvlText w:val="(%1)"/>
      <w:numFmt w:val="decimal"/>
      <w:start w:val="5"/>
    </w:lvl>
  </w:abstractNum>
  <w:abstractNum w:abstractNumId="150">
    <w:nsid w:val="29934699"/>
    <w:multiLevelType w:val="hybridMultilevel"/>
    <w:lvl w:ilvl="0">
      <w:lvlJc w:val="left"/>
      <w:lvlText w:val="●"/>
      <w:numFmt w:val="bullet"/>
      <w:start w:val="1"/>
    </w:lvl>
  </w:abstractNum>
  <w:abstractNum w:abstractNumId="151">
    <w:nsid w:val="77485850"/>
    <w:multiLevelType w:val="hybridMultilevel"/>
    <w:lvl w:ilvl="0">
      <w:lvlJc w:val="left"/>
      <w:lvlText w:val="%1"/>
      <w:numFmt w:val="decimal"/>
      <w:start w:val="66"/>
    </w:lvl>
  </w:abstractNum>
  <w:abstractNum w:abstractNumId="152">
    <w:nsid w:val="744939A3"/>
    <w:multiLevelType w:val="hybridMultilevel"/>
    <w:lvl w:ilvl="0">
      <w:lvlJc w:val="left"/>
      <w:lvlText w:val="●"/>
      <w:numFmt w:val="bullet"/>
      <w:start w:val="1"/>
    </w:lvl>
  </w:abstractNum>
  <w:abstractNum w:abstractNumId="153">
    <w:nsid w:val="4FA0D2E3"/>
    <w:multiLevelType w:val="hybridMultilevel"/>
    <w:lvl w:ilvl="0">
      <w:lvlJc w:val="left"/>
      <w:lvlText w:val="(%1)"/>
      <w:numFmt w:val="decimal"/>
      <w:start w:val="1"/>
    </w:lvl>
  </w:abstractNum>
  <w:abstractNum w:abstractNumId="154">
    <w:nsid w:val="6B1D2C14"/>
    <w:multiLevelType w:val="hybridMultilevel"/>
    <w:lvl w:ilvl="0">
      <w:lvlJc w:val="left"/>
      <w:lvlText w:val="%1"/>
      <w:numFmt w:val="decimal"/>
      <w:start w:val="68"/>
    </w:lvl>
  </w:abstractNum>
  <w:abstractNum w:abstractNumId="155">
    <w:nsid w:val="68B867D3"/>
    <w:multiLevelType w:val="hybridMultilevel"/>
    <w:lvl w:ilvl="0">
      <w:lvlJc w:val="left"/>
      <w:lvlText w:val="(%1)"/>
      <w:numFmt w:val="decimal"/>
      <w:start w:val="5"/>
    </w:lvl>
  </w:abstractNum>
  <w:abstractNum w:abstractNumId="156">
    <w:nsid w:val="3F7F5DD9"/>
    <w:multiLevelType w:val="hybridMultilevel"/>
    <w:lvl w:ilvl="0">
      <w:lvlJc w:val="left"/>
      <w:lvlText w:val="●"/>
      <w:numFmt w:val="bullet"/>
      <w:start w:val="1"/>
    </w:lvl>
  </w:abstractNum>
  <w:abstractNum w:abstractNumId="157">
    <w:nsid w:val="2AE05A34"/>
    <w:multiLevelType w:val="hybridMultilevel"/>
    <w:lvl w:ilvl="0">
      <w:lvlJc w:val="left"/>
      <w:lvlText w:val="(%1)"/>
      <w:numFmt w:val="decimal"/>
      <w:start w:val="1"/>
    </w:lvl>
  </w:abstractNum>
  <w:abstractNum w:abstractNumId="158">
    <w:nsid w:val="32794FF7"/>
    <w:multiLevelType w:val="hybridMultilevel"/>
    <w:lvl w:ilvl="0">
      <w:lvlJc w:val="left"/>
      <w:lvlText w:val="%1"/>
      <w:numFmt w:val="decimal"/>
      <w:start w:val="70"/>
    </w:lvl>
  </w:abstractNum>
  <w:abstractNum w:abstractNumId="159">
    <w:nsid w:val="5454945E"/>
    <w:multiLevelType w:val="hybridMultilevel"/>
    <w:lvl w:ilvl="0">
      <w:lvlJc w:val="left"/>
      <w:lvlText w:val="%1"/>
      <w:numFmt w:val="decimal"/>
      <w:start w:val="72"/>
    </w:lvl>
  </w:abstractNum>
  <w:abstractNum w:abstractNumId="160">
    <w:nsid w:val="4DEFDFA0"/>
    <w:multiLevelType w:val="hybridMultilevel"/>
    <w:lvl w:ilvl="0">
      <w:lvlJc w:val="left"/>
      <w:lvlText w:val="%1"/>
      <w:numFmt w:val="decimal"/>
      <w:start w:val="74"/>
    </w:lvl>
  </w:abstractNum>
  <w:abstractNum w:abstractNumId="161">
    <w:nsid w:val="2123D5F2"/>
    <w:multiLevelType w:val="hybridMultilevel"/>
    <w:lvl w:ilvl="0">
      <w:lvlJc w:val="left"/>
      <w:lvlText w:val="%1"/>
      <w:numFmt w:val="decimal"/>
      <w:start w:val="76"/>
    </w:lvl>
  </w:abstractNum>
  <w:abstractNum w:abstractNumId="162">
    <w:nsid w:val="135B8110"/>
    <w:multiLevelType w:val="hybridMultilevel"/>
    <w:lvl w:ilvl="0">
      <w:lvlJc w:val="left"/>
      <w:lvlText w:val="●"/>
      <w:numFmt w:val="bullet"/>
      <w:start w:val="1"/>
    </w:lvl>
  </w:abstractNum>
  <w:abstractNum w:abstractNumId="163">
    <w:nsid w:val="94927A8"/>
    <w:multiLevelType w:val="hybridMultilevel"/>
    <w:lvl w:ilvl="0">
      <w:lvlJc w:val="left"/>
      <w:lvlText w:val="%1"/>
      <w:numFmt w:val="decimal"/>
      <w:start w:val="78"/>
    </w:lvl>
  </w:abstractNum>
  <w:abstractNum w:abstractNumId="164">
    <w:nsid w:val="DCDF8F6"/>
    <w:multiLevelType w:val="hybridMultilevel"/>
    <w:lvl w:ilvl="0">
      <w:lvlJc w:val="left"/>
      <w:lvlText w:val="%1"/>
      <w:numFmt w:val="decimal"/>
      <w:start w:val="80"/>
    </w:lvl>
  </w:abstractNum>
  <w:abstractNum w:abstractNumId="165">
    <w:nsid w:val="52D7B105"/>
    <w:multiLevelType w:val="hybridMultilevel"/>
    <w:lvl w:ilvl="0">
      <w:lvlJc w:val="left"/>
      <w:lvlText w:val="●"/>
      <w:numFmt w:val="bullet"/>
      <w:start w:val="1"/>
    </w:lvl>
  </w:abstractNum>
  <w:abstractNum w:abstractNumId="166">
    <w:nsid w:val="2E8A6394"/>
    <w:multiLevelType w:val="hybridMultilevel"/>
    <w:lvl w:ilvl="0">
      <w:lvlJc w:val="left"/>
      <w:lvlText w:val="%1"/>
      <w:numFmt w:val="decimal"/>
      <w:start w:val="82"/>
    </w:lvl>
  </w:abstractNum>
  <w:abstractNum w:abstractNumId="167">
    <w:nsid w:val="24E60401"/>
    <w:multiLevelType w:val="hybridMultilevel"/>
    <w:lvl w:ilvl="0">
      <w:lvlJc w:val="left"/>
      <w:lvlText w:val="●"/>
      <w:numFmt w:val="bullet"/>
      <w:start w:val="1"/>
    </w:lvl>
  </w:abstractNum>
  <w:abstractNum w:abstractNumId="168">
    <w:nsid w:val="2A6AD9BE"/>
    <w:multiLevelType w:val="hybridMultilevel"/>
    <w:lvl w:ilvl="0">
      <w:lvlJc w:val="left"/>
      <w:lvlText w:val="%1"/>
      <w:numFmt w:val="decimal"/>
      <w:start w:val="84"/>
    </w:lvl>
  </w:abstractNum>
  <w:abstractNum w:abstractNumId="169">
    <w:nsid w:val="BAAC1B4"/>
    <w:multiLevelType w:val="hybridMultilevel"/>
    <w:lvl w:ilvl="0">
      <w:lvlJc w:val="left"/>
      <w:lvlText w:val="%1"/>
      <w:numFmt w:val="decimal"/>
      <w:start w:val="88"/>
    </w:lvl>
  </w:abstractNum>
  <w:abstractNum w:abstractNumId="170">
    <w:nsid w:val="36B2ACBC"/>
    <w:multiLevelType w:val="hybridMultilevel"/>
    <w:lvl w:ilvl="0">
      <w:lvlJc w:val="left"/>
      <w:lvlText w:val="(%1)"/>
      <w:numFmt w:val="lowerRoman"/>
      <w:start w:val="1"/>
    </w:lvl>
  </w:abstractNum>
  <w:abstractNum w:abstractNumId="171">
    <w:nsid w:val="779D8544"/>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lvl w:ilvl="3">
      <w:lvlJc w:val="left"/>
      <w:lvlText w:val="(%4)"/>
      <w:numFmt w:val="lowerRoman"/>
      <w:start w:val="2"/>
    </w:lvl>
  </w:abstractNum>
  <w:abstractNum w:abstractNumId="172">
    <w:nsid w:val="4AB26E7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173">
    <w:nsid w:val="21FAA2FA"/>
    <w:multiLevelType w:val="hybridMultilevel"/>
    <w:lvl w:ilvl="0">
      <w:lvlJc w:val="left"/>
      <w:lvlText w:val="%1"/>
      <w:numFmt w:val="decimal"/>
      <w:start w:val="90"/>
    </w:lvl>
  </w:abstractNum>
  <w:abstractNum w:abstractNumId="174">
    <w:nsid w:val="5451CF49"/>
    <w:multiLevelType w:val="hybridMultilevel"/>
    <w:lvl w:ilvl="0">
      <w:lvlJc w:val="left"/>
      <w:lvlText w:val="%1"/>
      <w:numFmt w:val="upperLetter"/>
      <w:start w:val="1"/>
    </w:lvl>
    <w:lvl w:ilvl="1">
      <w:lvlJc w:val="left"/>
      <w:lvlText w:val="(%2)"/>
      <w:numFmt w:val="lowerRoman"/>
      <w:start w:val="3"/>
    </w:lvl>
  </w:abstractNum>
  <w:abstractNum w:abstractNumId="175">
    <w:nsid w:val="6181EF69"/>
    <w:multiLevelType w:val="hybridMultilevel"/>
    <w:lvl w:ilvl="0">
      <w:lvlJc w:val="left"/>
      <w:lvlText w:val="%1."/>
      <w:numFmt w:val="upperLetter"/>
      <w:start w:val="4"/>
    </w:lvl>
    <w:lvl w:ilvl="1">
      <w:lvlJc w:val="left"/>
      <w:lvlText w:val="%2"/>
      <w:numFmt w:val="lowerRoman"/>
      <w:start w:val="1"/>
    </w:lvl>
  </w:abstractNum>
  <w:abstractNum w:abstractNumId="176">
    <w:nsid w:val="3E6400E6"/>
    <w:multiLevelType w:val="hybridMultilevel"/>
    <w:lvl w:ilvl="0">
      <w:lvlJc w:val="left"/>
      <w:lvlText w:val="%1."/>
      <w:numFmt w:val="decimal"/>
      <w:start w:val="2"/>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2019-12-03T23:01:28Z</dcterms:created>
  <dcterms:modified xsi:type="dcterms:W3CDTF">2019-12-03T23:01:28Z</dcterms:modified>
</cp:coreProperties>
</file>