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right="1239"/>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52" w:lineRule="exact"/>
        <w:rPr>
          <w:sz w:val="24"/>
          <w:szCs w:val="24"/>
          <w:color w:val="auto"/>
        </w:rPr>
      </w:pPr>
    </w:p>
    <w:p>
      <w:pPr>
        <w:ind w:left="3520"/>
        <w:spacing w:after="0"/>
        <w:rPr>
          <w:sz w:val="20"/>
          <w:szCs w:val="20"/>
          <w:color w:val="auto"/>
        </w:rPr>
      </w:pPr>
      <w:r>
        <w:rPr>
          <w:rFonts w:ascii="Times New Roman" w:cs="Times New Roman" w:eastAsia="Times New Roman" w:hAnsi="Times New Roman"/>
          <w:sz w:val="22"/>
          <w:szCs w:val="22"/>
          <w:b w:val="1"/>
          <w:bCs w:val="1"/>
          <w:color w:val="auto"/>
        </w:rPr>
        <w:t xml:space="preserve">(Amendment No. </w:t>
      </w:r>
      <w:r>
        <w:rPr>
          <w:rFonts w:ascii="Times New Roman" w:cs="Times New Roman" w:eastAsia="Times New Roman" w:hAnsi="Times New Roman"/>
          <w:sz w:val="22"/>
          <w:szCs w:val="22"/>
          <w:b w:val="1"/>
          <w:bCs w:val="1"/>
          <w:color w:val="0000FF"/>
        </w:rPr>
        <w:t>2</w:t>
      </w:r>
      <w:r>
        <w:rPr>
          <w:rFonts w:ascii="Times New Roman" w:cs="Times New Roman" w:eastAsia="Times New Roman" w:hAnsi="Times New Roman"/>
          <w:sz w:val="22"/>
          <w:szCs w:val="22"/>
          <w:b w:val="1"/>
          <w:bCs w:val="1"/>
          <w:color w:val="auto"/>
        </w:rPr>
        <w:t>)*</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RTX Corp.</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412115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03/31/2026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Capital Research Global Investors</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27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DELAWARE</w:t>
      </w:r>
    </w:p>
    <w:p>
      <w:pPr>
        <w:sectPr>
          <w:pgSz w:w="11900" w:h="16838" w:orient="portrait"/>
          <w:cols w:equalWidth="0" w:num="1">
            <w:col w:w="10099"/>
          </w:cols>
          <w:pgMar w:left="360" w:top="866" w:right="1440" w:bottom="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ind w:left="280" w:right="7620" w:hanging="231"/>
        <w:spacing w:after="0" w:line="389" w:lineRule="auto"/>
        <w:tabs>
          <w:tab w:leader="none" w:pos="280" w:val="left"/>
        </w:tabs>
        <w:numPr>
          <w:ilvl w:val="0"/>
          <w:numId w:val="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Sole Voting Power 52,347,134.00</w:t>
      </w:r>
    </w:p>
    <w:p>
      <w:pPr>
        <w:spacing w:after="0" w:line="1"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52,377,687.00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52,377,687.00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3.9 %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IA</w:t>
      </w:r>
    </w:p>
    <w:p>
      <w:pPr>
        <w:spacing w:after="0" w:line="200" w:lineRule="exact"/>
        <w:rPr>
          <w:sz w:val="20"/>
          <w:szCs w:val="20"/>
          <w:color w:val="auto"/>
        </w:rPr>
      </w:pPr>
    </w:p>
    <w:p>
      <w:pPr>
        <w:sectPr>
          <w:pgSz w:w="11900" w:h="16838" w:orient="portrait"/>
          <w:cols w:equalWidth="0" w:num="2">
            <w:col w:w="1060" w:space="60"/>
            <w:col w:w="9520"/>
          </w:cols>
          <w:pgMar w:left="360" w:top="111" w:right="899" w:bottom="0" w:gutter="0" w:footer="0" w:header="0"/>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1.</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issuer:</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RTX Corp.</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1000 Wilson Blvd, Arlington, VA 22209</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2.</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Capital Research Global Investors</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or principal business office or, if none, residence:</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333 South Hope Street, 55th Fl, Los Angeles, CA 90071</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Citizenship:</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ind w:left="920"/>
        <w:spacing w:after="0"/>
        <w:rPr>
          <w:sz w:val="20"/>
          <w:szCs w:val="20"/>
          <w:color w:val="auto"/>
        </w:rPr>
      </w:pPr>
      <w:r>
        <w:rPr>
          <w:rFonts w:ascii="Times New Roman" w:cs="Times New Roman" w:eastAsia="Times New Roman" w:hAnsi="Times New Roman"/>
          <w:sz w:val="22"/>
          <w:szCs w:val="22"/>
          <w:color w:val="auto"/>
        </w:rPr>
        <w:t>N/A</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ind w:left="920"/>
        <w:spacing w:after="0"/>
        <w:rPr>
          <w:sz w:val="20"/>
          <w:szCs w:val="20"/>
          <w:color w:val="auto"/>
        </w:rPr>
      </w:pPr>
      <w:r>
        <w:rPr>
          <w:rFonts w:ascii="Times New Roman" w:cs="Times New Roman" w:eastAsia="Times New Roman" w:hAnsi="Times New Roman"/>
          <w:sz w:val="22"/>
          <w:szCs w:val="22"/>
          <w:color w:val="auto"/>
        </w:rPr>
        <w:t>Common Stock</w:t>
      </w:r>
    </w:p>
    <w:p>
      <w:pPr>
        <w:ind w:left="920" w:hanging="912"/>
        <w:spacing w:after="0" w:line="180" w:lineRule="auto"/>
        <w:tabs>
          <w:tab w:leader="none" w:pos="920" w:val="left"/>
        </w:tabs>
        <w:numPr>
          <w:ilvl w:val="0"/>
          <w:numId w:val="4"/>
        </w:numPr>
        <w:rPr>
          <w:rFonts w:ascii="Times New Roman" w:cs="Times New Roman" w:eastAsia="Times New Roman" w:hAnsi="Times New Roman"/>
          <w:sz w:val="35"/>
          <w:szCs w:val="35"/>
          <w:color w:val="auto"/>
          <w:vertAlign w:val="subscript"/>
        </w:rPr>
      </w:pPr>
      <w:r>
        <w:rPr>
          <w:rFonts w:ascii="Times New Roman" w:cs="Times New Roman" w:eastAsia="Times New Roman" w:hAnsi="Times New Roman"/>
          <w:sz w:val="19"/>
          <w:szCs w:val="19"/>
          <w:color w:val="auto"/>
        </w:rPr>
        <w:t>CUSIP No.:</w:t>
      </w:r>
    </w:p>
    <w:p>
      <w:pPr>
        <w:spacing w:after="0" w:line="258"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3.</w:t>
      </w:r>
      <w:r>
        <w:rPr>
          <w:sz w:val="20"/>
          <w:szCs w:val="20"/>
          <w:color w:val="auto"/>
        </w:rPr>
        <w:tab/>
      </w:r>
      <w:r>
        <w:rPr>
          <w:rFonts w:ascii="Times New Roman" w:cs="Times New Roman" w:eastAsia="Times New Roman" w:hAnsi="Times New Roman"/>
          <w:sz w:val="21"/>
          <w:szCs w:val="21"/>
          <w:color w:val="auto"/>
        </w:rPr>
        <w:t>If this statement is filed pursuant to §§ 240.13d-1(b) or 240.13d-2(b) or (c), check whether the person filing is a:</w:t>
      </w:r>
    </w:p>
    <w:p>
      <w:pPr>
        <w:spacing w:after="0" w:line="58" w:lineRule="exact"/>
        <w:rPr>
          <w:sz w:val="20"/>
          <w:szCs w:val="20"/>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Broker or dealer registered under section 15 of the Act (15 U.S.C. 78o);</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Bank as defined in section 3(a)(6)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Insurance company as defined in section 3(a)(19)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5"/>
        </w:numPr>
        <w:rPr>
          <w:rFonts w:ascii="Times New Roman" w:cs="Times New Roman" w:eastAsia="Times New Roman" w:hAnsi="Times New Roman"/>
          <w:sz w:val="21"/>
          <w:szCs w:val="21"/>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Investment company registered under section 8 of the Investment Company Act of 1940 (15 U.S.C. 80a-8);</w:t>
      </w:r>
    </w:p>
    <w:p>
      <w:pPr>
        <w:spacing w:after="0" w:line="62" w:lineRule="exact"/>
        <w:rPr>
          <w:rFonts w:ascii="Times New Roman" w:cs="Times New Roman" w:eastAsia="Times New Roman" w:hAnsi="Times New Roman"/>
          <w:sz w:val="21"/>
          <w:szCs w:val="21"/>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investment adviser in accordance with § 240.13d-1(b)(1)(ii)(E);</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employee benefit plan or endowment fund in accordance with § 240.13d-1(b)(1)(ii)(F);</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parent holding company or control person in accordance with § 240.13d-1(b)(1)(ii)(G);</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savings associations as defined in Section 3(b) of the Federal Deposit Insurance Act (12 U.S.C. 1813);</w:t>
      </w:r>
    </w:p>
    <w:p>
      <w:pPr>
        <w:sectPr>
          <w:pgSz w:w="11900" w:h="16838" w:orient="portrait"/>
          <w:cols w:equalWidth="0" w:num="1">
            <w:col w:w="10640"/>
          </w:cols>
          <w:pgMar w:left="360" w:top="111" w:right="899" w:bottom="0" w:gutter="0" w:footer="0" w:header="0"/>
          <w:type w:val="continuous"/>
        </w:sectPr>
      </w:pPr>
    </w:p>
    <w:bookmarkStart w:id="2" w:name="page3"/>
    <w:bookmarkEnd w:id="2"/>
    <w:p>
      <w:pPr>
        <w:ind w:left="920" w:right="680" w:hanging="912"/>
        <w:spacing w:after="0" w:line="258" w:lineRule="auto"/>
        <w:tabs>
          <w:tab w:leader="none" w:pos="9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church plan that is excluded from the definition of an investment company under section 3(c)(14) of the Investment Company Act of 1940 (15 U.S.C. 80a-3);</w:t>
      </w:r>
    </w:p>
    <w:p>
      <w:pPr>
        <w:spacing w:after="0" w:line="9" w:lineRule="exact"/>
        <w:rPr>
          <w:rFonts w:ascii="Times New Roman" w:cs="Times New Roman" w:eastAsia="Times New Roman" w:hAnsi="Times New Roman"/>
          <w:sz w:val="22"/>
          <w:szCs w:val="22"/>
          <w:color w:val="auto"/>
        </w:rPr>
      </w:pPr>
    </w:p>
    <w:p>
      <w:pPr>
        <w:ind w:left="9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w:t>
      </w:r>
    </w:p>
    <w:p>
      <w:pPr>
        <w:spacing w:after="0" w:line="14" w:lineRule="exact"/>
        <w:rPr>
          <w:rFonts w:ascii="Times New Roman" w:cs="Times New Roman" w:eastAsia="Times New Roman" w:hAnsi="Times New Roman"/>
          <w:sz w:val="22"/>
          <w:szCs w:val="22"/>
          <w:color w:val="auto"/>
        </w:rPr>
      </w:pPr>
    </w:p>
    <w:p>
      <w:pPr>
        <w:ind w:left="920" w:hanging="912"/>
        <w:spacing w:after="0" w:line="230" w:lineRule="auto"/>
        <w:tabs>
          <w:tab w:leader="none" w:pos="9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accordance with § 240.13d-1(b)(1)(ii)(J),</w:t>
      </w:r>
    </w:p>
    <w:p>
      <w:pPr>
        <w:spacing w:after="0" w:line="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ind w:left="920" w:hanging="912"/>
        <w:spacing w:after="0"/>
        <w:tabs>
          <w:tab w:leader="none" w:pos="92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Group, in accordance with Rule 240.13d-1(b)(1)(ii)(K).</w:t>
      </w:r>
    </w:p>
    <w:p>
      <w:pPr>
        <w:spacing w:after="0" w:line="34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Ownership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233" w:lineRule="exact"/>
        <w:rPr>
          <w:sz w:val="20"/>
          <w:szCs w:val="20"/>
          <w:color w:val="auto"/>
        </w:rPr>
      </w:pPr>
    </w:p>
    <w:p>
      <w:pPr>
        <w:ind w:left="920" w:right="460"/>
        <w:spacing w:after="0" w:line="253" w:lineRule="auto"/>
        <w:rPr>
          <w:sz w:val="20"/>
          <w:szCs w:val="20"/>
          <w:color w:val="auto"/>
        </w:rPr>
      </w:pPr>
      <w:r>
        <w:rPr>
          <w:rFonts w:ascii="Times New Roman" w:cs="Times New Roman" w:eastAsia="Times New Roman" w:hAnsi="Times New Roman"/>
          <w:sz w:val="21"/>
          <w:szCs w:val="21"/>
          <w:color w:val="auto"/>
        </w:rPr>
        <w:t>52,377,687 ** **Capital Research Global Investors ("CRGI") is a division of Capital Research and Management Company ("CRMC"), as well as its investment management subsidiaries and affiliates Capital Bank and Trust</w:t>
      </w:r>
    </w:p>
    <w:p>
      <w:pPr>
        <w:spacing w:after="0" w:line="1" w:lineRule="exact"/>
        <w:rPr>
          <w:sz w:val="20"/>
          <w:szCs w:val="20"/>
          <w:color w:val="auto"/>
        </w:rPr>
      </w:pPr>
    </w:p>
    <w:p>
      <w:pPr>
        <w:ind w:left="920" w:right="100" w:hanging="912"/>
        <w:spacing w:after="0" w:line="201" w:lineRule="auto"/>
        <w:tabs>
          <w:tab w:leader="none" w:pos="920" w:val="left"/>
        </w:tabs>
        <w:numPr>
          <w:ilvl w:val="0"/>
          <w:numId w:val="8"/>
        </w:numPr>
        <w:rPr>
          <w:rFonts w:ascii="Times New Roman" w:cs="Times New Roman" w:eastAsia="Times New Roman" w:hAnsi="Times New Roman"/>
          <w:sz w:val="43"/>
          <w:szCs w:val="43"/>
          <w:color w:val="auto"/>
          <w:vertAlign w:val="subscript"/>
        </w:rPr>
      </w:pPr>
      <w:r>
        <w:rPr>
          <w:rFonts w:ascii="Times New Roman" w:cs="Times New Roman" w:eastAsia="Times New Roman" w:hAnsi="Times New Roman"/>
          <w:sz w:val="22"/>
          <w:szCs w:val="22"/>
          <w:color w:val="auto"/>
        </w:rPr>
        <w:t>Company, Capital International, Inc., Capital International Limited, Capital International Sarl, Capital International K.K., Capital Group Private Client Services, Inc., and Capital Group Investment Management Private Limited (together with CRMC, the "investment management entities"). CRGI's divisions of each of the investment management entities collectively provide investment management services under the name "Capital Research Global Investors." CRGI is deemed to be the beneficial owner of 52,377,687 shares or 3.9% of the 1,346,683,428 shares believed to be outstanding.</w:t>
      </w:r>
    </w:p>
    <w:p>
      <w:pPr>
        <w:spacing w:after="0" w:line="15"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Percent of class: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3.9 %</w:t>
      </w:r>
    </w:p>
    <w:p>
      <w:pPr>
        <w:spacing w:after="0" w:line="20" w:lineRule="exact"/>
        <w:rPr>
          <w:sz w:val="20"/>
          <w:szCs w:val="20"/>
          <w:color w:val="auto"/>
        </w:rPr>
      </w:pPr>
    </w:p>
    <w:p>
      <w:pPr>
        <w:ind w:left="920" w:hanging="912"/>
        <w:spacing w:after="0"/>
        <w:tabs>
          <w:tab w:leader="none" w:pos="920" w:val="left"/>
        </w:tabs>
        <w:numPr>
          <w:ilvl w:val="0"/>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ectPr>
          <w:pgSz w:w="11900" w:h="16838" w:orient="portrait"/>
          <w:cols w:equalWidth="0" w:num="1">
            <w:col w:w="11140"/>
          </w:cols>
          <w:pgMar w:left="360" w:top="126" w:right="399" w:bottom="6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5.</w:t>
      </w:r>
    </w:p>
    <w:p>
      <w:pPr>
        <w:spacing w:after="0" w:line="35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6.</w:t>
      </w: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7.</w:t>
      </w: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8.</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9.</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10.</w:t>
      </w:r>
    </w:p>
    <w:p>
      <w:pPr>
        <w:spacing w:after="0" w:line="20" w:lineRule="exact"/>
        <w:rPr>
          <w:sz w:val="20"/>
          <w:szCs w:val="20"/>
          <w:color w:val="auto"/>
        </w:rPr>
      </w:pPr>
      <w:r>
        <w:rPr>
          <w:sz w:val="20"/>
          <w:szCs w:val="20"/>
          <w:color w:val="auto"/>
        </w:rPr>
        <w:br w:type="column"/>
      </w:r>
    </w:p>
    <w:p>
      <w:pPr>
        <w:spacing w:after="0" w:line="24" w:lineRule="exact"/>
        <w:rPr>
          <w:sz w:val="20"/>
          <w:szCs w:val="20"/>
          <w:color w:val="auto"/>
        </w:rPr>
      </w:pPr>
    </w:p>
    <w:p>
      <w:pPr>
        <w:ind w:right="6520" w:firstLine="6"/>
        <w:spacing w:after="0" w:line="486" w:lineRule="auto"/>
        <w:tabs>
          <w:tab w:leader="none" w:pos="258" w:val="left"/>
        </w:tabs>
        <w:numPr>
          <w:ilvl w:val="0"/>
          <w:numId w:val="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vote or to direct the vote: 52,347,134</w:t>
      </w:r>
    </w:p>
    <w:p>
      <w:pPr>
        <w:spacing w:after="0" w:line="1" w:lineRule="exact"/>
        <w:rPr>
          <w:rFonts w:ascii="Times New Roman" w:cs="Times New Roman" w:eastAsia="Times New Roman" w:hAnsi="Times New Roman"/>
          <w:sz w:val="22"/>
          <w:szCs w:val="22"/>
          <w:color w:val="auto"/>
        </w:rPr>
      </w:pPr>
    </w:p>
    <w:p>
      <w:pPr>
        <w:ind w:left="320" w:hanging="314"/>
        <w:spacing w:after="0"/>
        <w:tabs>
          <w:tab w:leader="none" w:pos="320" w:val="left"/>
        </w:tabs>
        <w:numPr>
          <w:ilvl w:val="0"/>
          <w:numId w:val="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vote or to direct the vote:</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ind w:right="5320" w:firstLine="6"/>
        <w:spacing w:after="0" w:line="486" w:lineRule="auto"/>
        <w:tabs>
          <w:tab w:leader="none" w:pos="378" w:val="left"/>
        </w:tabs>
        <w:numPr>
          <w:ilvl w:val="0"/>
          <w:numId w:val="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dispose or to direct the disposition of: 52,377,687</w:t>
      </w:r>
    </w:p>
    <w:p>
      <w:pPr>
        <w:spacing w:after="0" w:line="1" w:lineRule="exact"/>
        <w:rPr>
          <w:rFonts w:ascii="Times New Roman" w:cs="Times New Roman" w:eastAsia="Times New Roman" w:hAnsi="Times New Roman"/>
          <w:sz w:val="22"/>
          <w:szCs w:val="22"/>
          <w:color w:val="auto"/>
        </w:rPr>
      </w:pPr>
    </w:p>
    <w:p>
      <w:pPr>
        <w:ind w:left="380" w:hanging="374"/>
        <w:spacing w:after="0"/>
        <w:tabs>
          <w:tab w:leader="none" w:pos="380" w:val="left"/>
        </w:tabs>
        <w:numPr>
          <w:ilvl w:val="0"/>
          <w:numId w:val="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dispose or to direct the disposition of:</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5 Percent or Less of a Class.</w:t>
      </w:r>
    </w:p>
    <w:p>
      <w:pPr>
        <w:spacing w:after="0" w:line="5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22"/>
          <w:szCs w:val="22"/>
          <w:color w:val="auto"/>
        </w:rPr>
        <w:t>Ownership of 5 percent or less of a class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Identification and Classification of Members of the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Notice of Dissolution of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color w:val="auto"/>
        </w:rPr>
        <w:t>Certifications:</w:t>
      </w:r>
    </w:p>
    <w:p>
      <w:pPr>
        <w:spacing w:after="0" w:line="44" w:lineRule="exact"/>
        <w:rPr>
          <w:sz w:val="20"/>
          <w:szCs w:val="20"/>
          <w:color w:val="auto"/>
        </w:rPr>
      </w:pPr>
    </w:p>
    <w:p>
      <w:pPr>
        <w:sectPr>
          <w:pgSz w:w="11900" w:h="16838" w:orient="portrait"/>
          <w:cols w:equalWidth="0" w:num="2">
            <w:col w:w="720" w:space="200"/>
            <w:col w:w="10220"/>
          </w:cols>
          <w:pgMar w:left="360" w:top="126" w:right="399" w:bottom="65" w:gutter="0" w:footer="0" w:header="0"/>
          <w:type w:val="continuous"/>
        </w:sectPr>
      </w:pPr>
    </w:p>
    <w:p>
      <w:pPr>
        <w:ind w:left="940" w:right="40"/>
        <w:spacing w:after="0" w:line="238"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ectPr>
          <w:pgSz w:w="11900" w:h="16838" w:orient="portrait"/>
          <w:cols w:equalWidth="0" w:num="1">
            <w:col w:w="11140"/>
          </w:cols>
          <w:pgMar w:left="360" w:top="126" w:right="399" w:bottom="65" w:gutter="0" w:footer="0" w:header="0"/>
          <w:type w:val="continuous"/>
        </w:sectPr>
      </w:pPr>
    </w:p>
    <w:bookmarkStart w:id="3" w:name="page4"/>
    <w:bookmarkEnd w:id="3"/>
    <w:p>
      <w:pPr>
        <w:ind w:left="2080"/>
        <w:spacing w:after="0"/>
        <w:rPr>
          <w:sz w:val="20"/>
          <w:szCs w:val="20"/>
          <w:color w:val="auto"/>
        </w:rPr>
      </w:pPr>
      <w:r>
        <w:rPr>
          <w:rFonts w:ascii="Times New Roman" w:cs="Times New Roman" w:eastAsia="Times New Roman" w:hAnsi="Times New Roman"/>
          <w:sz w:val="22"/>
          <w:szCs w:val="22"/>
          <w:color w:val="auto"/>
        </w:rPr>
        <w:t>Capital Research Global Investors</w:t>
      </w:r>
    </w:p>
    <w:p>
      <w:pPr>
        <w:spacing w:after="0" w:line="153" w:lineRule="exact"/>
        <w:rPr>
          <w:sz w:val="20"/>
          <w:szCs w:val="20"/>
          <w:color w:val="auto"/>
        </w:rPr>
      </w:pPr>
    </w:p>
    <w:p>
      <w:pPr>
        <w:ind w:left="4580"/>
        <w:spacing w:after="0"/>
        <w:tabs>
          <w:tab w:leader="none" w:pos="56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Jae Won Chung</w:t>
      </w:r>
    </w:p>
    <w:p>
      <w:pPr>
        <w:jc w:val="right"/>
        <w:spacing w:after="0" w:line="180" w:lineRule="auto"/>
        <w:rPr>
          <w:sz w:val="20"/>
          <w:szCs w:val="20"/>
          <w:color w:val="auto"/>
        </w:rPr>
      </w:pPr>
      <w:r>
        <w:rPr>
          <w:rFonts w:ascii="Times New Roman" w:cs="Times New Roman" w:eastAsia="Times New Roman" w:hAnsi="Times New Roman"/>
          <w:sz w:val="36"/>
          <w:szCs w:val="36"/>
          <w:color w:val="auto"/>
          <w:vertAlign w:val="subscript"/>
        </w:rPr>
        <w:t>Name/Title:</w:t>
      </w:r>
      <w:r>
        <w:rPr>
          <w:rFonts w:ascii="Times New Roman" w:cs="Times New Roman" w:eastAsia="Times New Roman" w:hAnsi="Times New Roman"/>
          <w:sz w:val="19"/>
          <w:szCs w:val="19"/>
          <w:color w:val="auto"/>
        </w:rPr>
        <w:t xml:space="preserve"> Vice President and Senior Counsel II, Capital</w:t>
      </w:r>
    </w:p>
    <w:p>
      <w:pPr>
        <w:spacing w:after="0" w:line="1"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22"/>
          <w:szCs w:val="22"/>
          <w:color w:val="auto"/>
        </w:rPr>
        <w:t>Research and Management Company</w:t>
      </w:r>
    </w:p>
    <w:p>
      <w:pPr>
        <w:spacing w:after="0" w:line="20" w:lineRule="exact"/>
        <w:rPr>
          <w:sz w:val="20"/>
          <w:szCs w:val="20"/>
          <w:color w:val="auto"/>
        </w:rPr>
      </w:pPr>
    </w:p>
    <w:p>
      <w:pPr>
        <w:ind w:left="4580"/>
        <w:spacing w:after="0"/>
        <w:tabs>
          <w:tab w:leader="none" w:pos="564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05/11/2026</w:t>
      </w:r>
    </w:p>
    <w:sectPr>
      <w:pgSz w:w="11900" w:h="16838" w:orient="portrait"/>
      <w:cols w:equalWidth="0" w:num="1">
        <w:col w:w="9600"/>
      </w:cols>
      <w:pgMar w:left="1440" w:top="112" w:right="8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D1B58BA"/>
    <w:multiLevelType w:val="hybridMultilevel"/>
    <w:lvl w:ilvl="0">
      <w:lvlJc w:val="left"/>
      <w:lvlText w:val="2"/>
      <w:numFmt w:val="bullet"/>
      <w:start w:val="1"/>
    </w:lvl>
  </w:abstractNum>
  <w:abstractNum w:abstractNumId="1">
    <w:nsid w:val="507ED7AB"/>
    <w:multiLevelType w:val="hybridMultilevel"/>
    <w:lvl w:ilvl="0">
      <w:lvlJc w:val="left"/>
      <w:lvlText w:val="3"/>
      <w:numFmt w:val="bullet"/>
      <w:start w:val="1"/>
    </w:lvl>
  </w:abstractNum>
  <w:abstractNum w:abstractNumId="2">
    <w:nsid w:val="2EB141F2"/>
    <w:multiLevelType w:val="hybridMultilevel"/>
    <w:lvl w:ilvl="0">
      <w:lvlJc w:val="left"/>
      <w:lvlText w:val="5"/>
      <w:numFmt w:val="bullet"/>
      <w:start w:val="1"/>
    </w:lvl>
  </w:abstractNum>
  <w:abstractNum w:abstractNumId="3">
    <w:nsid w:val="41B71EFB"/>
    <w:multiLevelType w:val="hybridMultilevel"/>
    <w:lvl w:ilvl="0">
      <w:lvlJc w:val="left"/>
      <w:lvlText w:val="(%1)"/>
      <w:numFmt w:val="lowerLetter"/>
      <w:start w:val="5"/>
    </w:lvl>
  </w:abstractNum>
  <w:abstractNum w:abstractNumId="4">
    <w:nsid w:val="79E2A9E3"/>
    <w:multiLevelType w:val="hybridMultilevel"/>
    <w:lvl w:ilvl="0">
      <w:lvlJc w:val="left"/>
      <w:lvlText w:val="(%1)"/>
      <w:numFmt w:val="lowerLetter"/>
      <w:start w:val="1"/>
    </w:lvl>
  </w:abstractNum>
  <w:abstractNum w:abstractNumId="5">
    <w:nsid w:val="7545E146"/>
    <w:multiLevelType w:val="hybridMultilevel"/>
    <w:lvl w:ilvl="0">
      <w:lvlJc w:val="left"/>
      <w:lvlText w:val="(%1)"/>
      <w:numFmt w:val="lowerLetter"/>
      <w:start w:val="9"/>
    </w:lvl>
  </w:abstractNum>
  <w:abstractNum w:abstractNumId="6">
    <w:nsid w:val="515F007C"/>
    <w:multiLevelType w:val="hybridMultilevel"/>
    <w:lvl w:ilvl="0">
      <w:lvlJc w:val="left"/>
      <w:lvlText w:val="(%1)"/>
      <w:numFmt w:val="lowerLetter"/>
      <w:start w:val="11"/>
    </w:lvl>
  </w:abstractNum>
  <w:abstractNum w:abstractNumId="7">
    <w:nsid w:val="5BD062C2"/>
    <w:multiLevelType w:val="hybridMultilevel"/>
    <w:lvl w:ilvl="0">
      <w:lvlJc w:val="left"/>
      <w:lvlText w:val="(%1)"/>
      <w:numFmt w:val="lowerLetter"/>
      <w:start w:val="1"/>
    </w:lvl>
  </w:abstractNum>
  <w:abstractNum w:abstractNumId="8">
    <w:nsid w:val="12200854"/>
    <w:multiLevelType w:val="hybridMultilevel"/>
    <w:lvl w:ilvl="0">
      <w:lvlJc w:val="left"/>
      <w:lvlText w:val="(%1)"/>
      <w:numFmt w:val="lowerLetter"/>
      <w:start w:val="3"/>
    </w:lvl>
  </w:abstractNum>
  <w:abstractNum w:abstractNumId="9">
    <w:nsid w:val="4DB127F8"/>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2026-05-14T09:21:18Z</dcterms:created>
  <dcterms:modified xsi:type="dcterms:W3CDTF">2026-05-14T09:21:18Z</dcterms:modified>
</cp:coreProperties>
</file>