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4"/>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3"/>
              </w:rPr>
              <w:t>UNITED STATES</w:t>
            </w:r>
          </w:p>
        </w:tc>
        <w:tc>
          <w:tcPr>
            <w:tcW w:w="1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80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5"/>
              </w:rPr>
              <w:t>SECURITIES AND EXCHANGE COMMISSION</w:t>
            </w:r>
          </w:p>
        </w:tc>
        <w:tc>
          <w:tcPr>
            <w:tcW w:w="184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80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440" w:type="dxa"/>
            <w:vAlign w:val="bottom"/>
            <w:gridSpan w:val="2"/>
            <w:vMerge w:val="restart"/>
          </w:tcPr>
          <w:p>
            <w:pPr>
              <w:jc w:val="center"/>
              <w:ind w:right="1020"/>
              <w:spacing w:after="0"/>
              <w:rPr>
                <w:sz w:val="20"/>
                <w:szCs w:val="20"/>
                <w:color w:val="auto"/>
              </w:rPr>
            </w:pPr>
            <w:r>
              <w:rPr>
                <w:rFonts w:ascii="Arial" w:cs="Arial" w:eastAsia="Arial" w:hAnsi="Arial"/>
                <w:sz w:val="22"/>
                <w:szCs w:val="22"/>
                <w:color w:val="auto"/>
                <w:w w:val="89"/>
              </w:rPr>
              <w:t>Washington, D.C. 20549</w:t>
            </w:r>
          </w:p>
        </w:tc>
        <w:tc>
          <w:tcPr>
            <w:tcW w:w="1840" w:type="dxa"/>
            <w:vAlign w:val="bottom"/>
          </w:tcPr>
          <w:p>
            <w:pPr>
              <w:ind w:left="60"/>
              <w:spacing w:after="0"/>
              <w:rPr>
                <w:sz w:val="20"/>
                <w:szCs w:val="20"/>
                <w:color w:val="auto"/>
              </w:rPr>
            </w:pPr>
            <w:r>
              <w:rPr>
                <w:rFonts w:ascii="Arial" w:cs="Arial" w:eastAsia="Arial" w:hAnsi="Arial"/>
                <w:sz w:val="22"/>
                <w:szCs w:val="22"/>
                <w:color w:val="auto"/>
              </w:rPr>
              <w:t>Expires:</w:t>
            </w:r>
          </w:p>
        </w:tc>
        <w:tc>
          <w:tcPr>
            <w:tcW w:w="1800" w:type="dxa"/>
            <w:vAlign w:val="bottom"/>
          </w:tcPr>
          <w:p>
            <w:pPr>
              <w:ind w:left="12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4"/>
              </w:rPr>
              <w:t>FORM 25</w:t>
            </w:r>
          </w:p>
        </w:tc>
        <w:tc>
          <w:tcPr>
            <w:tcW w:w="184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89"/>
              </w:rPr>
              <w:t>hours per response:</w:t>
            </w:r>
          </w:p>
        </w:tc>
        <w:tc>
          <w:tcPr>
            <w:tcW w:w="180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4578350</wp:posOffset>
            </wp:positionH>
            <wp:positionV relativeFrom="page">
              <wp:posOffset>170815</wp:posOffset>
            </wp:positionV>
            <wp:extent cx="2392045" cy="1089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2045" cy="1089025"/>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4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398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001-00812</w:t>
        </w:r>
      </w:hyperlink>
    </w:p>
    <w:p>
      <w:pPr>
        <w:spacing w:after="0" w:line="125" w:lineRule="exact"/>
        <w:rPr>
          <w:sz w:val="24"/>
          <w:szCs w:val="24"/>
          <w:color w:val="auto"/>
        </w:rPr>
      </w:pPr>
    </w:p>
    <w:p>
      <w:pPr>
        <w:jc w:val="center"/>
        <w:ind w:left="2640"/>
        <w:spacing w:after="0"/>
        <w:tabs>
          <w:tab w:leader="none" w:pos="38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UNITED TECHNOLOGIES CORP /DE/</w:t>
        </w:r>
      </w:hyperlink>
    </w:p>
    <w:p>
      <w:pPr>
        <w:spacing w:after="0" w:line="44" w:lineRule="exact"/>
        <w:rPr>
          <w:sz w:val="24"/>
          <w:szCs w:val="24"/>
          <w:color w:val="auto"/>
        </w:rPr>
      </w:pPr>
    </w:p>
    <w:p>
      <w:pPr>
        <w:ind w:left="2700"/>
        <w:spacing w:after="0"/>
        <w:rPr>
          <w:sz w:val="20"/>
          <w:szCs w:val="20"/>
          <w:color w:val="auto"/>
        </w:rPr>
      </w:pPr>
      <w:r>
        <w:rPr>
          <w:rFonts w:ascii="Arial" w:cs="Arial" w:eastAsia="Arial" w:hAnsi="Arial"/>
          <w:sz w:val="22"/>
          <w:szCs w:val="22"/>
          <w:color w:val="auto"/>
        </w:rPr>
        <w:t>Exchange: 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41910</wp:posOffset>
            </wp:positionV>
            <wp:extent cx="55397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Arial" w:cs="Arial" w:eastAsia="Arial" w:hAnsi="Arial"/>
          <w:sz w:val="21"/>
          <w:szCs w:val="21"/>
          <w:color w:val="auto"/>
        </w:rPr>
        <w:t>(Exact name of Issuer as specified in its charter, and name of Exchange where security is listed</w:t>
      </w:r>
    </w:p>
    <w:p>
      <w:pPr>
        <w:spacing w:after="0" w:line="20"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2560"/>
        <w:spacing w:after="0"/>
        <w:rPr>
          <w:sz w:val="20"/>
          <w:szCs w:val="20"/>
          <w:color w:val="auto"/>
        </w:rPr>
      </w:pPr>
      <w:r>
        <w:rPr>
          <w:rFonts w:ascii="Arial" w:cs="Arial" w:eastAsia="Arial" w:hAnsi="Arial"/>
          <w:sz w:val="22"/>
          <w:szCs w:val="22"/>
          <w:color w:val="auto"/>
        </w:rPr>
        <w:t>Address: 10 Farm Springs Rd One Financial Plaza</w:t>
      </w:r>
    </w:p>
    <w:p>
      <w:pPr>
        <w:spacing w:after="0" w:line="44" w:lineRule="exact"/>
        <w:rPr>
          <w:sz w:val="24"/>
          <w:szCs w:val="24"/>
          <w:color w:val="auto"/>
        </w:rPr>
      </w:pPr>
    </w:p>
    <w:tbl>
      <w:tblPr>
        <w:tblLayout w:type="fixed"/>
        <w:tblInd w:w="1660" w:type="dxa"/>
        <w:tblCellMar>
          <w:top w:w="0" w:type="dxa"/>
          <w:left w:w="0" w:type="dxa"/>
          <w:bottom w:w="0" w:type="dxa"/>
          <w:right w:w="0" w:type="dxa"/>
        </w:tblCellMar>
      </w:tblPr>
      <w:tr>
        <w:trPr>
          <w:trHeight w:val="275"/>
        </w:trPr>
        <w:tc>
          <w:tcPr>
            <w:tcW w:w="4540" w:type="dxa"/>
            <w:vAlign w:val="bottom"/>
          </w:tcPr>
          <w:p>
            <w:pPr>
              <w:ind w:left="1720"/>
              <w:spacing w:after="0"/>
              <w:rPr>
                <w:sz w:val="20"/>
                <w:szCs w:val="20"/>
                <w:color w:val="auto"/>
              </w:rPr>
            </w:pPr>
            <w:r>
              <w:rPr>
                <w:rFonts w:ascii="Arial" w:cs="Arial" w:eastAsia="Arial" w:hAnsi="Arial"/>
                <w:sz w:val="22"/>
                <w:szCs w:val="22"/>
                <w:color w:val="auto"/>
                <w:w w:val="98"/>
              </w:rPr>
              <w:t>Farmington  CONNECTICUT</w:t>
            </w:r>
          </w:p>
        </w:tc>
        <w:tc>
          <w:tcPr>
            <w:tcW w:w="2140" w:type="dxa"/>
            <w:vAlign w:val="bottom"/>
          </w:tcPr>
          <w:p>
            <w:pPr>
              <w:jc w:val="right"/>
              <w:ind w:right="1392"/>
              <w:spacing w:after="0"/>
              <w:rPr>
                <w:sz w:val="20"/>
                <w:szCs w:val="20"/>
                <w:color w:val="auto"/>
              </w:rPr>
            </w:pPr>
            <w:r>
              <w:rPr>
                <w:rFonts w:ascii="Arial" w:cs="Arial" w:eastAsia="Arial" w:hAnsi="Arial"/>
                <w:sz w:val="22"/>
                <w:szCs w:val="22"/>
                <w:color w:val="auto"/>
              </w:rPr>
              <w:t>06032</w:t>
            </w:r>
          </w:p>
        </w:tc>
      </w:tr>
      <w:tr>
        <w:trPr>
          <w:trHeight w:val="297"/>
        </w:trPr>
        <w:tc>
          <w:tcPr>
            <w:tcW w:w="4540" w:type="dxa"/>
            <w:vAlign w:val="bottom"/>
          </w:tcPr>
          <w:p>
            <w:pPr>
              <w:spacing w:after="0"/>
              <w:rPr>
                <w:sz w:val="20"/>
                <w:szCs w:val="20"/>
                <w:color w:val="auto"/>
              </w:rPr>
            </w:pPr>
            <w:r>
              <w:rPr>
                <w:rFonts w:ascii="Arial" w:cs="Arial" w:eastAsia="Arial" w:hAnsi="Arial"/>
                <w:sz w:val="22"/>
                <w:szCs w:val="22"/>
                <w:color w:val="auto"/>
              </w:rPr>
              <w:t>Telephone number:</w:t>
            </w:r>
          </w:p>
        </w:tc>
        <w:tc>
          <w:tcPr>
            <w:tcW w:w="2140" w:type="dxa"/>
            <w:vAlign w:val="bottom"/>
          </w:tcPr>
          <w:p>
            <w:pPr>
              <w:jc w:val="right"/>
              <w:spacing w:after="0"/>
              <w:rPr>
                <w:sz w:val="20"/>
                <w:szCs w:val="20"/>
                <w:color w:val="auto"/>
              </w:rPr>
            </w:pPr>
            <w:r>
              <w:rPr>
                <w:rFonts w:ascii="Arial" w:cs="Arial" w:eastAsia="Arial" w:hAnsi="Arial"/>
                <w:sz w:val="22"/>
                <w:szCs w:val="22"/>
                <w:color w:val="auto"/>
              </w:rPr>
              <w:t>(860) 728-7000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27940</wp:posOffset>
            </wp:positionV>
            <wp:extent cx="55397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70" w:lineRule="exact"/>
        <w:rPr>
          <w:sz w:val="24"/>
          <w:szCs w:val="24"/>
          <w:color w:val="auto"/>
        </w:rPr>
      </w:pPr>
    </w:p>
    <w:p>
      <w:pPr>
        <w:jc w:val="center"/>
        <w:ind w:right="20"/>
        <w:spacing w:after="0" w:line="251"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Floating Rate Notes due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15875</wp:posOffset>
            </wp:positionV>
            <wp:extent cx="55397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60"/>
        <w:spacing w:after="0" w:line="251"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7"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60" w:right="1200" w:firstLine="61"/>
        <w:spacing w:after="0" w:line="287" w:lineRule="auto"/>
        <w:rPr>
          <w:rFonts w:ascii="Arial" w:cs="Arial" w:eastAsia="Arial" w:hAnsi="Arial"/>
          <w:sz w:val="20"/>
          <w:szCs w:val="20"/>
          <w:color w:val="auto"/>
        </w:rPr>
      </w:pPr>
      <w:r>
        <w:rPr>
          <w:sz w:val="1"/>
          <w:szCs w:val="1"/>
          <w:color w:val="auto"/>
        </w:rPr>
        <w:drawing>
          <wp:inline distT="0" distB="0" distL="0" distR="0">
            <wp:extent cx="111760"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3"/>
            <w:szCs w:val="33"/>
            <w:u w:val="single" w:color="auto"/>
            <w:color w:val="0000EE"/>
            <w:vertAlign w:val="superscript"/>
          </w:rPr>
          <w:t>1</w:t>
        </w:r>
      </w:hyperlink>
    </w:p>
    <w:p>
      <w:pPr>
        <w:spacing w:after="0" w:line="1" w:lineRule="exact"/>
        <w:rPr>
          <w:sz w:val="24"/>
          <w:szCs w:val="24"/>
          <w:color w:val="auto"/>
        </w:rPr>
      </w:pPr>
    </w:p>
    <w:p>
      <w:pPr>
        <w:ind w:left="760" w:right="800" w:firstLine="61"/>
        <w:spacing w:after="0"/>
        <w:rPr>
          <w:sz w:val="20"/>
          <w:szCs w:val="20"/>
          <w:color w:val="auto"/>
        </w:rPr>
      </w:pPr>
      <w:r>
        <w:rPr>
          <w:sz w:val="1"/>
          <w:szCs w:val="1"/>
          <w:color w:val="auto"/>
        </w:rPr>
        <w:drawing>
          <wp:inline distT="0" distB="0" distL="0" distR="0">
            <wp:extent cx="111760" cy="1117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ind w:right="60"/>
        <w:spacing w:after="0" w:line="297" w:lineRule="auto"/>
        <w:rPr>
          <w:sz w:val="20"/>
          <w:szCs w:val="20"/>
          <w:color w:val="auto"/>
        </w:rPr>
      </w:pPr>
      <w:r>
        <w:rPr>
          <w:rFonts w:ascii="Arial" w:cs="Arial" w:eastAsia="Arial" w:hAnsi="Arial"/>
          <w:sz w:val="19"/>
          <w:szCs w:val="19"/>
          <w:color w:val="auto"/>
        </w:rPr>
        <w:t>Pursuant to the requirements fo the Securities Exchange Act of 1934, NEW YORK STOCK EXCHANGE LLC certifies that it has reasonable grounds to believe that it meets all of the requirements for filing the Form 25 and has caused this notification to be signed on its behalf by the undersigned duly authorized person.</w:t>
      </w:r>
    </w:p>
    <w:p>
      <w:pPr>
        <w:spacing w:after="0" w:line="13"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color w:val="auto"/>
              </w:rPr>
              <w:t>2019-11-13</w:t>
            </w:r>
          </w:p>
        </w:tc>
        <w:tc>
          <w:tcPr>
            <w:tcW w:w="920" w:type="dxa"/>
            <w:vAlign w:val="bottom"/>
          </w:tcPr>
          <w:p>
            <w:pPr>
              <w:ind w:left="640"/>
              <w:spacing w:after="0"/>
              <w:rPr>
                <w:sz w:val="20"/>
                <w:szCs w:val="20"/>
                <w:color w:val="auto"/>
              </w:rPr>
            </w:pPr>
            <w:r>
              <w:rPr>
                <w:rFonts w:ascii="Arial" w:cs="Arial" w:eastAsia="Arial" w:hAnsi="Arial"/>
                <w:sz w:val="22"/>
                <w:szCs w:val="22"/>
                <w:color w:val="auto"/>
              </w:rPr>
              <w:t>By</w:t>
            </w:r>
          </w:p>
        </w:tc>
        <w:tc>
          <w:tcPr>
            <w:tcW w:w="3420" w:type="dxa"/>
            <w:vAlign w:val="bottom"/>
            <w:tcBorders>
              <w:bottom w:val="single" w:sz="8" w:color="auto"/>
            </w:tcBorders>
          </w:tcPr>
          <w:p>
            <w:pPr>
              <w:ind w:left="1080"/>
              <w:spacing w:after="0"/>
              <w:rPr>
                <w:sz w:val="20"/>
                <w:szCs w:val="20"/>
                <w:color w:val="auto"/>
              </w:rPr>
            </w:pPr>
            <w:r>
              <w:rPr>
                <w:rFonts w:ascii="Arial" w:cs="Arial" w:eastAsia="Arial" w:hAnsi="Arial"/>
                <w:sz w:val="22"/>
                <w:szCs w:val="22"/>
                <w:color w:val="auto"/>
              </w:rPr>
              <w:t>Kristen Braley</w:t>
            </w:r>
          </w:p>
        </w:tc>
        <w:tc>
          <w:tcPr>
            <w:tcW w:w="26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1"/>
              </w:rPr>
              <w:t>Analyst, Regulation</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20" w:type="dxa"/>
            <w:vAlign w:val="bottom"/>
          </w:tcPr>
          <w:p>
            <w:pPr>
              <w:spacing w:after="0"/>
              <w:rPr>
                <w:sz w:val="24"/>
                <w:szCs w:val="24"/>
                <w:color w:val="auto"/>
              </w:rPr>
            </w:pPr>
          </w:p>
        </w:tc>
        <w:tc>
          <w:tcPr>
            <w:tcW w:w="342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40" w:right="900" w:hanging="588"/>
        <w:spacing w:after="0" w:line="251"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2" w:lineRule="exact"/>
        <w:rPr>
          <w:sz w:val="24"/>
          <w:szCs w:val="24"/>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40" w:top="309" w:right="939" w:bottom="1440" w:gutter="0" w:footer="0" w:header="0"/>
        </w:sectPr>
      </w:pPr>
    </w:p>
    <w:bookmarkStart w:id="1" w:name="page2"/>
    <w:bookmarkEnd w:id="1"/>
    <w:p>
      <w:pPr>
        <w:spacing w:after="0" w:line="248" w:lineRule="auto"/>
        <w:rPr>
          <w:sz w:val="20"/>
          <w:szCs w:val="20"/>
          <w:color w:val="auto"/>
        </w:rPr>
      </w:pPr>
      <w:r>
        <w:rPr>
          <w:rFonts w:ascii="Arial" w:cs="Arial" w:eastAsia="Arial" w:hAnsi="Arial"/>
          <w:sz w:val="21"/>
          <w:szCs w:val="21"/>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November 25, 2019, pursuant to the provisions of Rule 12d2-2 (a). [ X ] 17 CFR 240.12d2-2(a)(2) That the entire class of this security was redeemed or paid at maturity or retirement on November 13, 2019. The Exchange also notifies the Securities and Exchange Commission that as a result of the above indicated conditions this security was suspended from trading on November 13, 2019.</w:t>
      </w:r>
    </w:p>
    <w:sectPr>
      <w:pgSz w:w="11900" w:h="16838" w:orient="portrait"/>
      <w:cols w:equalWidth="0" w:num="1">
        <w:col w:w="11360"/>
      </w:cols>
      <w:pgMar w:left="240" w:top="11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00812" TargetMode="External"/><Relationship Id="rId10" Type="http://schemas.openxmlformats.org/officeDocument/2006/relationships/hyperlink" Target="http://www.sec.gov/cgi-bin/browse-edgar?action=getcompany&amp;CIK=00001018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2019-11-28T08:00:35Z</dcterms:created>
  <dcterms:modified xsi:type="dcterms:W3CDTF">2019-11-28T08:00:35Z</dcterms:modified>
</cp:coreProperties>
</file>