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011_8k.htm"/>
      <w:bookmarkStart w:id="1" w:name="ksef20082011_8k"/>
      <w:bookmarkStart w:id="2" w:name="ef20082011_8k.htm"/>
      <w:bookmarkStart w:id="3" w:name="ksef20082011_8k"/>
      <w:bookmarkEnd w:id="2"/>
      <w:bookmarkEnd w:id="3"/>
    </w:p>
    <w:p>
      <w:pPr>
        <w:pStyle w:val="TextBody"/>
        <w:bidi w:val="0"/>
        <w:spacing w:before="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sz w:val="28"/>
        </w:rPr>
      </w:pPr>
      <w:r>
        <w:rPr>
          <w:rFonts w:ascii="Times New Roman" w:hAnsi="Times New Roman"/>
          <w:b/>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36"/>
        </w:rPr>
      </w:pPr>
      <w:r>
        <w:rPr>
          <w:rFonts w:ascii="Times New Roman" w:hAnsi="Times New Roman"/>
          <w:b/>
          <w:sz w:val="36"/>
        </w:rPr>
        <w:t xml:space="preserve">FORM 8-K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4"/>
        </w:rPr>
      </w:pPr>
      <w:r>
        <w:rPr>
          <w:rFonts w:ascii="Times New Roman" w:hAnsi="Times New Roman"/>
          <w:b/>
          <w:sz w:val="20"/>
        </w:rPr>
        <w:t>CURRENT REPORT</w:t>
      </w:r>
      <w:r>
        <w:rPr>
          <w:rFonts w:ascii="Times New Roman" w:hAnsi="Times New Roman"/>
          <w:b/>
          <w:sz w:val="24"/>
        </w:rPr>
        <w:t xml:space="preserve"> </w:t>
      </w:r>
    </w:p>
    <w:p>
      <w:pPr>
        <w:pStyle w:val="TextBody"/>
        <w:bidi w:val="0"/>
        <w:spacing w:before="0" w:after="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jc w:val="center"/>
        <w:rPr>
          <w:rFonts w:ascii="Times New Roman" w:hAnsi="Times New Roman"/>
          <w:sz w:val="20"/>
        </w:rPr>
      </w:pPr>
      <w:r>
        <w:rPr>
          <w:rFonts w:ascii="Times New Roman" w:hAnsi="Times New Roman"/>
          <w:b/>
          <w:sz w:val="20"/>
        </w:rPr>
        <w:t xml:space="preserve">Date of Report (Date of earliest event reported): </w:t>
      </w:r>
      <w:r>
        <w:rPr>
          <w:rFonts w:ascii="Times New Roman" w:hAnsi="Times New Roman"/>
          <w:sz w:val="20"/>
        </w:rPr>
        <w:t xml:space="preserve">September 15, 2026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48"/>
        </w:rPr>
      </w:pPr>
      <w:r>
        <w:rPr>
          <w:rFonts w:ascii="Times New Roman" w:hAnsi="Times New Roman"/>
          <w:b/>
          <w:sz w:val="48"/>
        </w:rPr>
        <w:t xml:space="preserve">RTX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HorizontalLine"/>
        <w:pBdr>
          <w:bottom w:val="double" w:sz="2" w:space="0" w:color="808080"/>
        </w:pBdr>
        <w:bidi w:val="0"/>
        <w:spacing w:before="0" w:after="283"/>
        <w:jc w:val="left"/>
        <w:rPr/>
      </w:pPr>
      <w:r>
        <w:rPr/>
      </w:r>
    </w:p>
    <w:tbl>
      <w:tblPr>
        <w:tblW w:w="9558" w:type="dxa"/>
        <w:jc w:val="left"/>
        <w:tblInd w:w="0" w:type="dxa"/>
        <w:tblLayout w:type="fixed"/>
        <w:tblCellMar>
          <w:top w:w="28" w:type="dxa"/>
          <w:left w:w="28" w:type="dxa"/>
          <w:bottom w:w="28" w:type="dxa"/>
          <w:right w:w="28" w:type="dxa"/>
        </w:tblCellMar>
      </w:tblPr>
      <w:tblGrid>
        <w:gridCol w:w="3916"/>
        <w:gridCol w:w="2446"/>
        <w:gridCol w:w="3196"/>
      </w:tblGrid>
      <w:tr>
        <w:trPr/>
        <w:tc>
          <w:tcPr>
            <w:tcW w:w="391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0"/>
              <w:jc w:val="center"/>
              <w:rPr/>
            </w:pPr>
            <w:r>
              <w:rPr>
                <w:b/>
                <w:sz w:val="20"/>
              </w:rPr>
              <w:t>Delaware</w:t>
            </w:r>
            <w:r>
              <w:rPr/>
              <w:t xml:space="preserve"> </w:t>
            </w:r>
          </w:p>
        </w:tc>
        <w:tc>
          <w:tcPr>
            <w:tcW w:w="2446" w:type="dxa"/>
            <w:tcBorders/>
            <w:tcMar>
              <w:top w:w="0" w:type="dxa"/>
              <w:left w:w="0" w:type="dxa"/>
              <w:bottom w:w="0" w:type="dxa"/>
              <w:right w:w="0" w:type="dxa"/>
            </w:tcMar>
            <w:vAlign w:val="center"/>
          </w:tcPr>
          <w:p>
            <w:pPr>
              <w:pStyle w:val="TableContents"/>
              <w:bidi w:val="0"/>
              <w:spacing w:before="0" w:after="0"/>
              <w:jc w:val="center"/>
              <w:rPr/>
            </w:pPr>
            <w:r>
              <w:rPr>
                <w:b/>
                <w:sz w:val="20"/>
              </w:rPr>
              <w:t>001-00812</w:t>
            </w: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center"/>
              <w:rPr/>
            </w:pPr>
            <w:r>
              <w:rPr>
                <w:b/>
                <w:sz w:val="20"/>
              </w:rPr>
              <w:t>06-0570975</w:t>
            </w:r>
            <w:r>
              <w:rPr/>
              <w:t xml:space="preserve"> </w:t>
            </w:r>
          </w:p>
        </w:tc>
      </w:tr>
      <w:tr>
        <w:trPr/>
        <w:tc>
          <w:tcPr>
            <w:tcW w:w="3916" w:type="dxa"/>
            <w:tcBorders/>
            <w:tcMar>
              <w:top w:w="0" w:type="dxa"/>
              <w:left w:w="0" w:type="dxa"/>
              <w:bottom w:w="0" w:type="dxa"/>
              <w:right w:w="0" w:type="dxa"/>
            </w:tcMar>
            <w:vAlign w:val="center"/>
          </w:tcPr>
          <w:p>
            <w:pPr>
              <w:pStyle w:val="TableContents"/>
              <w:bidi w:val="0"/>
              <w:spacing w:before="0" w:after="0"/>
              <w:jc w:val="center"/>
              <w:rPr/>
            </w:pPr>
            <w:r>
              <w:rPr>
                <w:b/>
                <w:sz w:val="20"/>
              </w:rPr>
              <w:t>(State or other jurisdiction of incorporation)</w:t>
            </w:r>
            <w:r>
              <w:rPr/>
              <w:t xml:space="preserve"> </w:t>
            </w:r>
          </w:p>
        </w:tc>
        <w:tc>
          <w:tcPr>
            <w:tcW w:w="2446" w:type="dxa"/>
            <w:tcBorders/>
            <w:tcMar>
              <w:top w:w="0" w:type="dxa"/>
              <w:left w:w="0" w:type="dxa"/>
              <w:bottom w:w="0" w:type="dxa"/>
              <w:right w:w="0" w:type="dxa"/>
            </w:tcMar>
            <w:vAlign w:val="center"/>
          </w:tcPr>
          <w:p>
            <w:pPr>
              <w:pStyle w:val="TableContents"/>
              <w:bidi w:val="0"/>
              <w:spacing w:before="0" w:after="0"/>
              <w:jc w:val="center"/>
              <w:rPr/>
            </w:pPr>
            <w:r>
              <w:rPr>
                <w:b/>
                <w:sz w:val="20"/>
              </w:rPr>
              <w:t>(Commission File Number)</w:t>
            </w: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center"/>
              <w:rPr/>
            </w:pPr>
            <w:r>
              <w:rPr>
                <w:b/>
                <w:sz w:val="20"/>
              </w:rPr>
              <w:t>(I.R.S. Employer Identification No.)</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b/>
          <w:sz w:val="17"/>
        </w:rPr>
      </w:pPr>
      <w:r>
        <w:rPr>
          <w:rFonts w:ascii="Times New Roman" w:hAnsi="Times New Roman"/>
          <w:b/>
          <w:sz w:val="20"/>
        </w:rPr>
        <w:t>1000 Wilson Boulevard, Arlington, Virginia 22209</w:t>
      </w:r>
      <w:r>
        <w:rPr>
          <w:rFonts w:ascii="Times New Roman" w:hAnsi="Times New Roman"/>
          <w:b/>
          <w:sz w:val="17"/>
        </w:rPr>
        <w:t xml:space="preserve"> </w:t>
      </w:r>
    </w:p>
    <w:p>
      <w:pPr>
        <w:pStyle w:val="TextBody"/>
        <w:bidi w:val="0"/>
        <w:spacing w:before="0" w:after="0"/>
        <w:jc w:val="center"/>
        <w:rPr>
          <w:rFonts w:ascii="Times New Roman" w:hAnsi="Times New Roman"/>
          <w:sz w:val="20"/>
        </w:rPr>
      </w:pPr>
      <w:r>
        <w:rPr>
          <w:rFonts w:ascii="Times New Roman" w:hAnsi="Times New Roman"/>
          <w:b/>
          <w:sz w:val="20"/>
        </w:rPr>
        <w:t>(Address of principal executive offices, including zip code)</w:t>
      </w:r>
      <w:r>
        <w:rPr>
          <w:rFonts w:ascii="Times New Roman" w:hAnsi="Times New Roman"/>
          <w:sz w:val="20"/>
        </w:rPr>
        <w:t xml:space="preserve"> </w:t>
      </w:r>
    </w:p>
    <w:p>
      <w:pPr>
        <w:pStyle w:val="TextBody"/>
        <w:bidi w:val="0"/>
        <w:spacing w:before="0" w:after="0"/>
        <w:jc w:val="center"/>
        <w:rPr>
          <w:rFonts w:ascii="Times New Roman" w:hAnsi="Times New Roman"/>
          <w:b/>
          <w:sz w:val="17"/>
        </w:rPr>
      </w:pPr>
      <w:r>
        <w:rPr>
          <w:rFonts w:ascii="Times New Roman" w:hAnsi="Times New Roman"/>
          <w:b/>
          <w:sz w:val="20"/>
        </w:rPr>
        <w:t>(781) 522-3000</w:t>
      </w:r>
      <w:r>
        <w:rPr>
          <w:rFonts w:ascii="Times New Roman" w:hAnsi="Times New Roman"/>
          <w:b/>
          <w:sz w:val="17"/>
        </w:rPr>
        <w:t xml:space="preserve"> </w:t>
      </w:r>
    </w:p>
    <w:p>
      <w:pPr>
        <w:pStyle w:val="TextBody"/>
        <w:bidi w:val="0"/>
        <w:spacing w:before="0" w:after="0"/>
        <w:jc w:val="center"/>
        <w:rPr>
          <w:rFonts w:ascii="Times New Roman" w:hAnsi="Times New Roman"/>
          <w:sz w:val="20"/>
        </w:rPr>
      </w:pPr>
      <w:r>
        <w:rPr>
          <w:rFonts w:ascii="Times New Roman" w:hAnsi="Times New Roman"/>
          <w:b/>
          <w:sz w:val="20"/>
        </w:rPr>
        <w:t>(Registrant's telephone number, including area code)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(Former name or former address, if changed since last report.)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42" w:right="0" w:hanging="0"/>
        <w:jc w:val="left"/>
        <w:rPr>
          <w:rFonts w:ascii="Times New Roman" w:hAnsi="Times New Roman"/>
          <w:sz w:val="17"/>
        </w:rPr>
      </w:pPr>
      <w:r>
        <w:rPr>
          <w:rFonts w:ascii="Times New Roman" w:hAnsi="Times New Roman"/>
          <w:sz w:val="20"/>
        </w:rPr>
        <w:t>Check the appropriate box below if the Form 8-K filing is intended to simultaneously satisfy the filing obligation of the registrant under any of the following provisions:</w:t>
      </w:r>
      <w:r>
        <w:rPr>
          <w:rFonts w:ascii="Times New Roman" w:hAnsi="Times New Roman"/>
          <w:sz w:val="17"/>
        </w:rPr>
        <w:t xml:space="preserve"> </w:t>
      </w:r>
    </w:p>
    <w:p>
      <w:pPr>
        <w:pStyle w:val="TextBody"/>
        <w:bidi w:val="0"/>
        <w:spacing w:before="0" w:after="0"/>
        <w:ind w:left="42" w:right="0" w:hanging="0"/>
        <w:jc w:val="left"/>
        <w:rPr/>
      </w:pPr>
      <w:r>
        <w:rPr/>
        <w:t xml:space="preserve">  </w:t>
      </w:r>
    </w:p>
    <w:p>
      <w:pPr>
        <w:pStyle w:val="TextBody"/>
        <w:bidi w:val="0"/>
        <w:spacing w:before="0" w:after="0"/>
        <w:ind w:left="0" w:right="0" w:hanging="719"/>
        <w:jc w:val="left"/>
        <w:rPr>
          <w:rFonts w:ascii="Times New Roman" w:hAnsi="Times New Roman"/>
          <w:sz w:val="20"/>
        </w:rPr>
      </w:pPr>
      <w:r>
        <w:rPr>
          <w:rFonts w:ascii="Times New Roman" w:hAnsi="Times New Roman"/>
          <w:sz w:val="20"/>
        </w:rPr>
        <w:t xml:space="preserve">Written communications pursuant to Rule 425 under the Securities Act (17 CFR 230.425)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6565"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19" w:right="0" w:hanging="0"/>
        <w:jc w:val="left"/>
        <w:rPr/>
      </w:pPr>
      <w:r>
        <w:rPr/>
        <w:t xml:space="preserve">  </w:t>
      </w:r>
    </w:p>
    <w:p>
      <w:pPr>
        <w:pStyle w:val="TextBody"/>
        <w:bidi w:val="0"/>
        <w:spacing w:before="0" w:after="0"/>
        <w:ind w:left="0" w:right="0" w:hanging="719"/>
        <w:jc w:val="left"/>
        <w:rPr>
          <w:rFonts w:ascii="Times New Roman" w:hAnsi="Times New Roman"/>
          <w:sz w:val="20"/>
        </w:rPr>
      </w:pPr>
      <w:r>
        <w:rPr>
          <w:rFonts w:ascii="Times New Roman" w:hAnsi="Times New Roman"/>
          <w:sz w:val="20"/>
        </w:rPr>
        <w:t xml:space="preserve">Soliciting material pursuant to Rule 14a-12 under the Exchange Act (17 CFR 240.14a-12)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6565"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19" w:right="0" w:hanging="0"/>
        <w:jc w:val="left"/>
        <w:rPr/>
      </w:pPr>
      <w:r>
        <w:rPr/>
        <w:t xml:space="preserve">  </w:t>
      </w:r>
    </w:p>
    <w:p>
      <w:pPr>
        <w:pStyle w:val="TextBody"/>
        <w:bidi w:val="0"/>
        <w:spacing w:before="0" w:after="0"/>
        <w:ind w:left="0" w:right="0" w:hanging="719"/>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6565"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19" w:right="0" w:hanging="0"/>
        <w:jc w:val="left"/>
        <w:rPr/>
      </w:pPr>
      <w:r>
        <w:rPr/>
        <w:t xml:space="preserve">  </w:t>
      </w:r>
    </w:p>
    <w:p>
      <w:pPr>
        <w:pStyle w:val="TextBody"/>
        <w:bidi w:val="0"/>
        <w:spacing w:before="0" w:after="0"/>
        <w:ind w:left="0" w:right="0" w:hanging="719"/>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6565"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b/>
          <w:sz w:val="17"/>
        </w:rPr>
      </w:pPr>
      <w:r>
        <w:rPr>
          <w:rFonts w:ascii="Times New Roman" w:hAnsi="Times New Roman"/>
          <w:b/>
          <w:sz w:val="20"/>
        </w:rPr>
        <w:t>Securities registered pursuant to Section 12(b) of the Act:</w:t>
      </w:r>
      <w:r>
        <w:rPr>
          <w:rFonts w:ascii="Times New Roman" w:hAnsi="Times New Roman"/>
          <w:b/>
          <w:sz w:val="17"/>
        </w:rPr>
        <w:t xml:space="preserve"> </w:t>
      </w:r>
    </w:p>
    <w:tbl>
      <w:tblPr>
        <w:tblW w:w="10205" w:type="dxa"/>
        <w:jc w:val="left"/>
        <w:tblInd w:w="0" w:type="dxa"/>
        <w:tblLayout w:type="fixed"/>
        <w:tblCellMar>
          <w:top w:w="28" w:type="dxa"/>
          <w:left w:w="28" w:type="dxa"/>
          <w:bottom w:w="28" w:type="dxa"/>
          <w:right w:w="28" w:type="dxa"/>
        </w:tblCellMar>
      </w:tblPr>
      <w:tblGrid>
        <w:gridCol w:w="4322"/>
        <w:gridCol w:w="1873"/>
        <w:gridCol w:w="4010"/>
      </w:tblGrid>
      <w:tr>
        <w:trPr/>
        <w:tc>
          <w:tcPr>
            <w:tcW w:w="4322"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4322" w:type="dxa"/>
            <w:tcBorders/>
            <w:vAlign w:val="center"/>
          </w:tcPr>
          <w:p>
            <w:pPr>
              <w:pStyle w:val="TableContents"/>
              <w:bidi w:val="0"/>
              <w:spacing w:before="0" w:after="283"/>
              <w:jc w:val="left"/>
              <w:rPr>
                <w:spacing w:val="0"/>
                <w:u w:val="single"/>
              </w:rPr>
            </w:pPr>
            <w:r>
              <w:rPr>
                <w:spacing w:val="0"/>
                <w:u w:val="single"/>
              </w:rPr>
              <w:t>Title of each class</w:t>
            </w:r>
          </w:p>
        </w:tc>
        <w:tc>
          <w:tcPr>
            <w:tcW w:w="1873" w:type="dxa"/>
            <w:tcBorders/>
            <w:vAlign w:val="center"/>
          </w:tcPr>
          <w:p>
            <w:pPr>
              <w:pStyle w:val="TableContents"/>
              <w:bidi w:val="0"/>
              <w:spacing w:before="0" w:after="283"/>
              <w:jc w:val="left"/>
              <w:rPr>
                <w:spacing w:val="0"/>
                <w:u w:val="single"/>
              </w:rPr>
            </w:pPr>
            <w:r>
              <w:rPr>
                <w:spacing w:val="0"/>
                <w:u w:val="single"/>
              </w:rPr>
              <w:t>Trading Symbol(s)</w:t>
            </w:r>
          </w:p>
        </w:tc>
        <w:tc>
          <w:tcPr>
            <w:tcW w:w="4010" w:type="dxa"/>
            <w:tcBorders/>
            <w:vAlign w:val="center"/>
          </w:tcPr>
          <w:p>
            <w:pPr>
              <w:pStyle w:val="TableContents"/>
              <w:bidi w:val="0"/>
              <w:spacing w:before="0" w:after="283"/>
              <w:jc w:val="left"/>
              <w:rPr>
                <w:spacing w:val="0"/>
                <w:u w:val="single"/>
              </w:rPr>
            </w:pPr>
            <w:r>
              <w:rPr>
                <w:spacing w:val="0"/>
                <w:u w:val="single"/>
              </w:rPr>
              <w:t>Name of each exchange on which registered</w:t>
            </w:r>
          </w:p>
        </w:tc>
      </w:tr>
      <w:tr>
        <w:trPr/>
        <w:tc>
          <w:tcPr>
            <w:tcW w:w="4322" w:type="dxa"/>
            <w:tcBorders/>
            <w:vAlign w:val="center"/>
          </w:tcPr>
          <w:p>
            <w:pPr>
              <w:pStyle w:val="TableContents"/>
              <w:bidi w:val="0"/>
              <w:spacing w:before="0" w:after="283"/>
              <w:jc w:val="left"/>
              <w:rPr/>
            </w:pPr>
            <w:r>
              <w:rPr/>
              <w:t xml:space="preserve">Common Stock ($1 par value) </w:t>
            </w:r>
          </w:p>
        </w:tc>
        <w:tc>
          <w:tcPr>
            <w:tcW w:w="1873" w:type="dxa"/>
            <w:tcBorders/>
            <w:vAlign w:val="center"/>
          </w:tcPr>
          <w:p>
            <w:pPr>
              <w:pStyle w:val="TableContents"/>
              <w:bidi w:val="0"/>
              <w:spacing w:before="0" w:after="0"/>
              <w:jc w:val="left"/>
              <w:rPr/>
            </w:pPr>
            <w:r>
              <w:rPr/>
              <w:t xml:space="preserve">RTX </w:t>
            </w:r>
          </w:p>
        </w:tc>
        <w:tc>
          <w:tcPr>
            <w:tcW w:w="4010" w:type="dxa"/>
            <w:tcBorders/>
            <w:vAlign w:val="center"/>
          </w:tcPr>
          <w:p>
            <w:pPr>
              <w:pStyle w:val="TableContents"/>
              <w:bidi w:val="0"/>
              <w:spacing w:before="0" w:after="0"/>
              <w:jc w:val="left"/>
              <w:rPr/>
            </w:pPr>
            <w:r>
              <w:rPr/>
              <w:t xml:space="preserve">New York Stock Exchange </w:t>
            </w:r>
          </w:p>
        </w:tc>
      </w:tr>
      <w:tr>
        <w:trPr/>
        <w:tc>
          <w:tcPr>
            <w:tcW w:w="4322" w:type="dxa"/>
            <w:tcBorders/>
            <w:vAlign w:val="center"/>
          </w:tcPr>
          <w:p>
            <w:pPr>
              <w:pStyle w:val="TableContents"/>
              <w:bidi w:val="0"/>
              <w:spacing w:before="0" w:after="0"/>
              <w:jc w:val="left"/>
              <w:rPr/>
            </w:pPr>
            <w:r>
              <w:rPr/>
              <w:t xml:space="preserve">(CUSIP 75513E 101) </w:t>
            </w:r>
          </w:p>
        </w:tc>
        <w:tc>
          <w:tcPr>
            <w:tcW w:w="1873"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4322" w:type="dxa"/>
            <w:tcBorders/>
            <w:vAlign w:val="center"/>
          </w:tcPr>
          <w:p>
            <w:pPr>
              <w:pStyle w:val="TableContents"/>
              <w:bidi w:val="0"/>
              <w:spacing w:before="0" w:after="283"/>
              <w:jc w:val="left"/>
              <w:rPr/>
            </w:pPr>
            <w:r>
              <w:rPr/>
              <w:t xml:space="preserve">2.150% Notes due 2030 (CUSIP 75513E AB7) </w:t>
            </w:r>
          </w:p>
        </w:tc>
        <w:tc>
          <w:tcPr>
            <w:tcW w:w="1873" w:type="dxa"/>
            <w:tcBorders/>
            <w:vAlign w:val="center"/>
          </w:tcPr>
          <w:p>
            <w:pPr>
              <w:pStyle w:val="TableContents"/>
              <w:bidi w:val="0"/>
              <w:spacing w:before="0" w:after="0"/>
              <w:jc w:val="left"/>
              <w:rPr/>
            </w:pPr>
            <w:r>
              <w:rPr/>
              <w:t xml:space="preserve">RTX 30 </w:t>
            </w:r>
          </w:p>
        </w:tc>
        <w:tc>
          <w:tcPr>
            <w:tcW w:w="4010" w:type="dxa"/>
            <w:tcBorders/>
            <w:vAlign w:val="center"/>
          </w:tcPr>
          <w:p>
            <w:pPr>
              <w:pStyle w:val="TableContents"/>
              <w:bidi w:val="0"/>
              <w:spacing w:before="0" w:after="0"/>
              <w:jc w:val="left"/>
              <w:rPr/>
            </w:pPr>
            <w:r>
              <w:rPr/>
              <w:t xml:space="preserve">New York Stock Exchange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42" w:right="0" w:firstLine="353"/>
        <w:jc w:val="left"/>
        <w:rPr>
          <w:rFonts w:ascii="Times New Roman" w:hAnsi="Times New Roman"/>
          <w:sz w:val="17"/>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sz w:val="17"/>
        </w:rPr>
        <w:t xml:space="preserve"> </w:t>
      </w:r>
    </w:p>
    <w:p>
      <w:pPr>
        <w:pStyle w:val="TextBody"/>
        <w:bidi w:val="0"/>
        <w:spacing w:before="0" w:after="0"/>
        <w:ind w:left="438" w:right="0" w:hanging="0"/>
        <w:jc w:val="left"/>
        <w:rPr>
          <w:rFonts w:ascii="Times New Roman" w:hAnsi="Times New Roman"/>
          <w:sz w:val="17"/>
        </w:rPr>
      </w:pPr>
      <w:r>
        <w:rPr>
          <w:rFonts w:ascii="Times New Roman" w:hAnsi="Times New Roman"/>
          <w:sz w:val="20"/>
        </w:rPr>
        <w:t xml:space="preserve">Emerging growth company </w:t>
      </w:r>
      <w:r>
        <w:rPr>
          <w:rFonts w:ascii="Times New Roman" w:hAnsi="Times New Roman"/>
          <w:sz w:val="17"/>
        </w:rPr>
        <w:t>☐</w:t>
      </w:r>
    </w:p>
    <w:p>
      <w:pPr>
        <w:pStyle w:val="TextBody"/>
        <w:bidi w:val="0"/>
        <w:spacing w:before="0" w:after="0"/>
        <w:ind w:left="438" w:right="0" w:hanging="0"/>
        <w:jc w:val="left"/>
        <w:rPr/>
      </w:pPr>
      <w:r>
        <w:rPr/>
        <w:t> </w:t>
      </w:r>
    </w:p>
    <w:p>
      <w:pPr>
        <w:pStyle w:val="TextBody"/>
        <w:bidi w:val="0"/>
        <w:spacing w:before="0" w:after="0"/>
        <w:ind w:left="438" w:right="0" w:firstLine="345"/>
        <w:jc w:val="left"/>
        <w:rPr>
          <w:rFonts w:ascii="Times New Roman" w:hAnsi="Times New Roman"/>
          <w:spacing w:val="0"/>
          <w:sz w:val="20"/>
        </w:rPr>
      </w:pPr>
      <w:r>
        <w:rPr>
          <w:rFonts w:ascii="Times New Roman" w:hAnsi="Times New Roman"/>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ind w:left="42" w:right="0" w:hanging="0"/>
        <w:jc w:val="left"/>
        <w:rPr>
          <w:rFonts w:ascii="Times New Roman" w:hAnsi="Times New Roman"/>
          <w:b/>
          <w:sz w:val="17"/>
        </w:rPr>
      </w:pPr>
      <w:r>
        <w:rPr>
          <w:rFonts w:ascii="Times New Roman" w:hAnsi="Times New Roman"/>
          <w:b/>
          <w:sz w:val="20"/>
        </w:rPr>
        <w:t>Item 5.02. Departure of Directors or Certain Officers; Election of Directors; Appointment of Certain Officers; Compensatory Arrangements of Certain Officers.</w:t>
      </w:r>
      <w:r>
        <w:rPr>
          <w:rFonts w:ascii="Times New Roman" w:hAnsi="Times New Roman"/>
          <w:b/>
          <w:sz w:val="17"/>
        </w:rPr>
        <w:t xml:space="preserve"> </w:t>
      </w:r>
    </w:p>
    <w:p>
      <w:pPr>
        <w:pStyle w:val="TextBody"/>
        <w:bidi w:val="0"/>
        <w:spacing w:before="0" w:after="0"/>
        <w:ind w:left="42" w:right="0" w:hanging="0"/>
        <w:jc w:val="left"/>
        <w:rPr/>
      </w:pPr>
      <w:r>
        <w:rPr/>
        <w:t xml:space="preserve">  </w:t>
      </w:r>
    </w:p>
    <w:p>
      <w:pPr>
        <w:pStyle w:val="TextBody"/>
        <w:bidi w:val="0"/>
        <w:spacing w:before="0" w:after="0"/>
        <w:ind w:left="42" w:right="0" w:hanging="0"/>
        <w:jc w:val="left"/>
        <w:rPr>
          <w:rFonts w:ascii="Times New Roman" w:hAnsi="Times New Roman"/>
          <w:sz w:val="17"/>
        </w:rPr>
      </w:pPr>
      <w:r>
        <w:rPr>
          <w:rFonts w:ascii="Times New Roman" w:hAnsi="Times New Roman"/>
          <w:sz w:val="20"/>
        </w:rPr>
        <w:t>(b) Retirement of Named Executive Officer</w:t>
      </w:r>
      <w:r>
        <w:rPr>
          <w:rFonts w:ascii="Times New Roman" w:hAnsi="Times New Roman"/>
          <w:sz w:val="17"/>
        </w:rPr>
        <w:t xml:space="preserve"> </w:t>
      </w:r>
    </w:p>
    <w:p>
      <w:pPr>
        <w:pStyle w:val="TextBody"/>
        <w:bidi w:val="0"/>
        <w:spacing w:before="0" w:after="0"/>
        <w:ind w:left="42" w:right="0" w:hanging="0"/>
        <w:jc w:val="left"/>
        <w:rPr/>
      </w:pPr>
      <w:r>
        <w:rPr/>
        <w:t xml:space="preserve">  </w:t>
      </w:r>
    </w:p>
    <w:p>
      <w:pPr>
        <w:pStyle w:val="TextBody"/>
        <w:bidi w:val="0"/>
        <w:spacing w:before="0" w:after="0"/>
        <w:ind w:left="42" w:right="0" w:firstLine="393"/>
        <w:jc w:val="left"/>
        <w:rPr>
          <w:rFonts w:ascii="Times New Roman" w:hAnsi="Times New Roman"/>
          <w:sz w:val="17"/>
        </w:rPr>
      </w:pPr>
      <w:r>
        <w:rPr>
          <w:rFonts w:ascii="Times New Roman" w:hAnsi="Times New Roman"/>
          <w:sz w:val="20"/>
        </w:rPr>
        <w:t>On September 15, 2026, RTX Corporation (the “Company”) announced that Shane Eddy will be stepping down as president of Pratt &amp; Whitney, effective January 1, 2027, and retiring from the Company at the end of the first quarter of 2027. Jill Albertelli, currently president of Pratt &amp; Whitney’s Military Engines business, has been named to succeed Mr. Eddy as president of Pratt &amp; Whitney effective January 1, 2027.</w:t>
      </w:r>
      <w:r>
        <w:rPr>
          <w:rFonts w:ascii="Times New Roman" w:hAnsi="Times New Roman"/>
          <w:sz w:val="17"/>
        </w:rPr>
        <w:t xml:space="preserve"> </w:t>
      </w:r>
    </w:p>
    <w:p>
      <w:pPr>
        <w:pStyle w:val="TextBody"/>
        <w:bidi w:val="0"/>
        <w:spacing w:before="0" w:after="0"/>
        <w:ind w:left="42" w:right="0" w:hanging="0"/>
        <w:jc w:val="left"/>
        <w:rPr/>
      </w:pPr>
      <w:r>
        <w:rPr/>
        <w:t xml:space="preserve">  </w:t>
      </w:r>
    </w:p>
    <w:p>
      <w:pPr>
        <w:pStyle w:val="TextBody"/>
        <w:bidi w:val="0"/>
        <w:spacing w:before="0" w:after="0"/>
        <w:ind w:left="42" w:right="0" w:hanging="0"/>
        <w:jc w:val="left"/>
        <w:rPr>
          <w:rFonts w:ascii="Times New Roman" w:hAnsi="Times New Roman"/>
          <w:sz w:val="17"/>
        </w:rPr>
      </w:pPr>
      <w:r>
        <w:rPr>
          <w:rFonts w:ascii="Times New Roman" w:hAnsi="Times New Roman"/>
          <w:sz w:val="20"/>
        </w:rPr>
        <w:t>A copy of the related press release is filed as Exhibit 99.1 to this Form 8-K and is hereby incorporated herein by reference.</w:t>
      </w:r>
      <w:r>
        <w:rPr>
          <w:rFonts w:ascii="Times New Roman" w:hAnsi="Times New Roman"/>
          <w:sz w:val="17"/>
        </w:rPr>
        <w:t xml:space="preserve"> </w:t>
      </w:r>
    </w:p>
    <w:p>
      <w:pPr>
        <w:pStyle w:val="TextBody"/>
        <w:bidi w:val="0"/>
        <w:spacing w:before="0" w:after="0"/>
        <w:jc w:val="left"/>
        <w:rPr/>
      </w:pPr>
      <w:r>
        <w:rPr/>
        <w:t xml:space="preserve">  </w:t>
      </w:r>
    </w:p>
    <w:p>
      <w:pPr>
        <w:pStyle w:val="TextBody"/>
        <w:bidi w:val="0"/>
        <w:spacing w:before="0" w:after="0"/>
        <w:ind w:left="42" w:right="0" w:hanging="0"/>
        <w:jc w:val="left"/>
        <w:rPr>
          <w:rFonts w:ascii="Times New Roman" w:hAnsi="Times New Roman"/>
          <w:b/>
          <w:sz w:val="17"/>
        </w:rPr>
      </w:pPr>
      <w:r>
        <w:rPr>
          <w:rFonts w:ascii="Times New Roman" w:hAnsi="Times New Roman"/>
          <w:b/>
          <w:sz w:val="20"/>
        </w:rPr>
        <w:t>Item 9.01. Financial Statements and Exhibits.</w:t>
      </w:r>
      <w:r>
        <w:rPr>
          <w:rFonts w:ascii="Times New Roman" w:hAnsi="Times New Roman"/>
          <w:b/>
          <w:sz w:val="17"/>
        </w:rPr>
        <w:t xml:space="preserve"> </w:t>
      </w:r>
    </w:p>
    <w:p>
      <w:pPr>
        <w:pStyle w:val="TextBody"/>
        <w:bidi w:val="0"/>
        <w:spacing w:before="0" w:after="0"/>
        <w:ind w:left="42" w:right="0" w:hanging="0"/>
        <w:jc w:val="left"/>
        <w:rPr/>
      </w:pPr>
      <w:r>
        <w:rPr/>
        <w:t xml:space="preserve">  </w:t>
      </w:r>
    </w:p>
    <w:p>
      <w:pPr>
        <w:pStyle w:val="TextBody"/>
        <w:bidi w:val="0"/>
        <w:spacing w:before="0" w:after="0"/>
        <w:ind w:left="42" w:right="0" w:hanging="0"/>
        <w:jc w:val="left"/>
        <w:rPr>
          <w:rFonts w:ascii="Times New Roman" w:hAnsi="Times New Roman"/>
          <w:sz w:val="17"/>
        </w:rPr>
      </w:pPr>
      <w:r>
        <w:rPr>
          <w:rFonts w:ascii="Times New Roman" w:hAnsi="Times New Roman"/>
          <w:sz w:val="20"/>
        </w:rPr>
        <w:t>(d) Exhibits.</w:t>
      </w:r>
      <w:r>
        <w:rPr>
          <w:rFonts w:ascii="Times New Roman" w:hAnsi="Times New Roman"/>
          <w:sz w:val="17"/>
        </w:rPr>
        <w:t xml:space="preserve"> </w:t>
      </w:r>
    </w:p>
    <w:p>
      <w:pPr>
        <w:pStyle w:val="TextBody"/>
        <w:bidi w:val="0"/>
        <w:spacing w:before="0" w:after="0"/>
        <w:ind w:left="42" w:right="0" w:hanging="0"/>
        <w:jc w:val="left"/>
        <w:rPr/>
      </w:pPr>
      <w:r>
        <w:rPr/>
        <w:t xml:space="preserve">  </w:t>
      </w:r>
    </w:p>
    <w:p>
      <w:pPr>
        <w:pStyle w:val="TextBody"/>
        <w:bidi w:val="0"/>
        <w:spacing w:before="0" w:after="0"/>
        <w:ind w:left="42" w:right="0" w:hanging="0"/>
        <w:jc w:val="left"/>
        <w:rPr>
          <w:rFonts w:ascii="Times New Roman" w:hAnsi="Times New Roman"/>
          <w:sz w:val="17"/>
        </w:rPr>
      </w:pPr>
      <w:r>
        <w:rPr>
          <w:rFonts w:ascii="Times New Roman" w:hAnsi="Times New Roman"/>
          <w:sz w:val="20"/>
        </w:rPr>
        <w:t>The following exhibits are furnished herewith:</w:t>
      </w:r>
      <w:r>
        <w:rPr>
          <w:rFonts w:ascii="Times New Roman" w:hAnsi="Times New Roman"/>
          <w:sz w:val="17"/>
        </w:rPr>
        <w:t xml:space="preserve"> </w:t>
      </w:r>
    </w:p>
    <w:p>
      <w:pPr>
        <w:pStyle w:val="TextBody"/>
        <w:bidi w:val="0"/>
        <w:spacing w:before="0" w:after="0"/>
        <w:ind w:left="42" w:right="0" w:hanging="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023"/>
        <w:gridCol w:w="8844"/>
        <w:gridCol w:w="146"/>
        <w:gridCol w:w="192"/>
      </w:tblGrid>
      <w:tr>
        <w:trPr/>
        <w:tc>
          <w:tcPr>
            <w:tcW w:w="1023"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1023" w:type="dxa"/>
            <w:vMerge w:val="restart"/>
            <w:tcBorders/>
            <w:tcMar>
              <w:top w:w="0" w:type="dxa"/>
              <w:left w:w="0" w:type="dxa"/>
              <w:bottom w:w="0" w:type="dxa"/>
              <w:right w:w="0" w:type="dxa"/>
            </w:tcMar>
            <w:vAlign w:val="center"/>
          </w:tcPr>
          <w:p>
            <w:pPr>
              <w:pStyle w:val="TableContents"/>
              <w:bidi w:val="0"/>
              <w:spacing w:before="0" w:after="0"/>
              <w:jc w:val="left"/>
              <w:rPr/>
            </w:pPr>
            <w:r>
              <w:rPr>
                <w:b/>
              </w:rPr>
              <w:t>Exhibit</w:t>
            </w:r>
            <w:r>
              <w:rPr/>
              <w:t xml:space="preserve"> </w:t>
            </w:r>
          </w:p>
          <w:p>
            <w:pPr>
              <w:pStyle w:val="TableContents"/>
              <w:bidi w:val="0"/>
              <w:spacing w:before="0" w:after="0"/>
              <w:jc w:val="left"/>
              <w:rPr/>
            </w:pPr>
            <w:r>
              <w:rPr>
                <w:b/>
                <w:u w:val="single"/>
              </w:rPr>
              <w:t>Number</w:t>
            </w:r>
            <w:r>
              <w:rPr/>
              <w:t xml:space="preserve"> </w:t>
            </w:r>
          </w:p>
        </w:tc>
        <w:tc>
          <w:tcPr>
            <w:tcW w:w="8844" w:type="dxa"/>
            <w:vMerge w:val="restart"/>
            <w:tcBorders/>
            <w:tcMar>
              <w:top w:w="0" w:type="dxa"/>
              <w:left w:w="0" w:type="dxa"/>
              <w:bottom w:w="0" w:type="dxa"/>
              <w:right w:w="0" w:type="dxa"/>
            </w:tcMar>
            <w:vAlign w:val="center"/>
          </w:tcPr>
          <w:p>
            <w:pPr>
              <w:pStyle w:val="TableContents"/>
              <w:bidi w:val="0"/>
              <w:spacing w:before="0" w:after="0"/>
              <w:jc w:val="left"/>
              <w:rPr/>
            </w:pPr>
            <w:r>
              <w:rPr>
                <w:b/>
                <w:u w:val="single"/>
              </w:rPr>
              <w:t>Exhibit Description</w:t>
            </w:r>
            <w:r>
              <w:rPr/>
              <w:t xml:space="preserve">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1023" w:type="dxa"/>
            <w:vMerge w:val="continue"/>
            <w:tcBorders/>
            <w:tcMar>
              <w:top w:w="0" w:type="dxa"/>
              <w:left w:w="0" w:type="dxa"/>
              <w:bottom w:w="0" w:type="dxa"/>
              <w:right w:w="0" w:type="dxa"/>
            </w:tcMar>
            <w:vAlign w:val="center"/>
          </w:tcPr>
          <w:p>
            <w:pPr>
              <w:pStyle w:val="Normal"/>
              <w:bidi w:val="0"/>
              <w:jc w:val="left"/>
              <w:rPr/>
            </w:pPr>
            <w:r>
              <w:rPr/>
            </w:r>
          </w:p>
        </w:tc>
        <w:tc>
          <w:tcPr>
            <w:tcW w:w="884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3" w:type="dxa"/>
            <w:tcBorders/>
            <w:tcMar>
              <w:top w:w="0" w:type="dxa"/>
              <w:left w:w="0" w:type="dxa"/>
              <w:bottom w:w="0" w:type="dxa"/>
              <w:right w:w="0" w:type="dxa"/>
            </w:tcMar>
            <w:vAlign w:val="center"/>
          </w:tcPr>
          <w:p>
            <w:pPr>
              <w:pStyle w:val="TableContents"/>
              <w:bidi w:val="0"/>
              <w:spacing w:before="0" w:after="0"/>
              <w:jc w:val="left"/>
              <w:rPr/>
            </w:pPr>
            <w:hyperlink w:anchor="ef20082011_ex99-1.htm">
              <w:r>
                <w:rPr>
                  <w:rStyle w:val="InternetLink"/>
                </w:rPr>
                <w:t>99.1</w:t>
              </w:r>
            </w:hyperlink>
            <w:r>
              <w:rPr/>
              <w:t xml:space="preserve"> </w:t>
            </w:r>
          </w:p>
        </w:tc>
        <w:tc>
          <w:tcPr>
            <w:tcW w:w="8844" w:type="dxa"/>
            <w:tcBorders/>
            <w:tcMar>
              <w:top w:w="0" w:type="dxa"/>
              <w:left w:w="0" w:type="dxa"/>
              <w:bottom w:w="0" w:type="dxa"/>
              <w:right w:w="0" w:type="dxa"/>
            </w:tcMar>
            <w:vAlign w:val="center"/>
          </w:tcPr>
          <w:p>
            <w:pPr>
              <w:pStyle w:val="TableContents"/>
              <w:bidi w:val="0"/>
              <w:spacing w:before="0" w:after="0"/>
              <w:jc w:val="left"/>
              <w:rPr/>
            </w:pPr>
            <w:r>
              <w:rPr/>
              <w:t xml:space="preserve">Press release, dated September 15, 2026, issued by RTX Corporation. </w:t>
            </w:r>
          </w:p>
        </w:tc>
        <w:tc>
          <w:tcPr>
            <w:tcW w:w="338" w:type="dxa"/>
            <w:gridSpan w:val="2"/>
            <w:tcBorders/>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38" w:type="dxa"/>
            <w:gridSpan w:val="2"/>
            <w:tcBorders/>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0"/>
              <w:jc w:val="left"/>
              <w:rPr/>
            </w:pPr>
            <w:r>
              <w:rPr/>
              <w:t xml:space="preserve">104 </w:t>
            </w:r>
          </w:p>
        </w:tc>
        <w:tc>
          <w:tcPr>
            <w:tcW w:w="8844" w:type="dxa"/>
            <w:tcBorders/>
            <w:tcMar>
              <w:top w:w="0" w:type="dxa"/>
              <w:left w:w="0" w:type="dxa"/>
              <w:bottom w:w="0" w:type="dxa"/>
              <w:right w:w="0" w:type="dxa"/>
            </w:tcMar>
            <w:vAlign w:val="center"/>
          </w:tcPr>
          <w:p>
            <w:pPr>
              <w:pStyle w:val="TableContents"/>
              <w:bidi w:val="0"/>
              <w:spacing w:before="0" w:after="0"/>
              <w:jc w:val="left"/>
              <w:rPr/>
            </w:pPr>
            <w:r>
              <w:rPr/>
              <w:t xml:space="preserve">Cover Page Interactive Data File - the cover page XBRL tags are embedded within the Inline XBRL document. </w:t>
            </w:r>
          </w:p>
        </w:tc>
        <w:tc>
          <w:tcPr>
            <w:tcW w:w="338"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0" w:after="0"/>
        <w:jc w:val="center"/>
        <w:rPr>
          <w:rFonts w:ascii="Times New Roman" w:hAnsi="Times New Roman"/>
          <w:b/>
          <w:sz w:val="17"/>
        </w:rPr>
      </w:pPr>
      <w:r>
        <w:rPr>
          <w:rFonts w:ascii="Times New Roman" w:hAnsi="Times New Roman"/>
          <w:b/>
          <w:sz w:val="20"/>
        </w:rPr>
        <w:t>SIGNATURES</w:t>
      </w:r>
      <w:r>
        <w:rPr>
          <w:rFonts w:ascii="Times New Roman" w:hAnsi="Times New Roman"/>
          <w:b/>
          <w:sz w:val="17"/>
        </w:rPr>
        <w:t xml:space="preserve"> </w:t>
      </w:r>
    </w:p>
    <w:p>
      <w:pPr>
        <w:pStyle w:val="TextBody"/>
        <w:bidi w:val="0"/>
        <w:spacing w:before="0" w:after="0"/>
        <w:jc w:val="center"/>
        <w:rPr/>
      </w:pPr>
      <w:r>
        <w:rPr/>
        <w:t xml:space="preserve">  </w:t>
      </w:r>
    </w:p>
    <w:p>
      <w:pPr>
        <w:pStyle w:val="TextBody"/>
        <w:bidi w:val="0"/>
        <w:spacing w:before="0" w:after="0"/>
        <w:ind w:left="42" w:right="0" w:firstLine="393"/>
        <w:jc w:val="left"/>
        <w:rPr>
          <w:rFonts w:ascii="Times New Roman" w:hAnsi="Times New Roman"/>
          <w:sz w:val="17"/>
        </w:rPr>
      </w:pPr>
      <w:r>
        <w:rPr>
          <w:rFonts w:ascii="Times New Roman" w:hAnsi="Times New Roman"/>
          <w:sz w:val="20"/>
        </w:rPr>
        <w:t>Pursuant to the requirements of the Securities Exchange Act of 1934, the Registrant has duly caused this report to be signed on its behalf by the undersigned hereunto duly authorized.</w:t>
      </w:r>
      <w:r>
        <w:rPr>
          <w:rFonts w:ascii="Times New Roman" w:hAnsi="Times New Roman"/>
          <w:sz w:val="17"/>
        </w:rPr>
        <w:t xml:space="preserve"> </w:t>
      </w:r>
    </w:p>
    <w:p>
      <w:pPr>
        <w:pStyle w:val="TextBody"/>
        <w:bidi w:val="0"/>
        <w:spacing w:before="0" w:after="0"/>
        <w:ind w:left="42" w:right="0" w:hanging="0"/>
        <w:jc w:val="left"/>
        <w:rPr/>
      </w:pPr>
      <w:r>
        <w:rPr/>
        <w:t xml:space="preserve">  </w:t>
      </w:r>
    </w:p>
    <w:tbl>
      <w:tblPr>
        <w:tblW w:w="5658" w:type="dxa"/>
        <w:jc w:val="left"/>
        <w:tblInd w:w="0" w:type="dxa"/>
        <w:tblLayout w:type="fixed"/>
        <w:tblCellMar>
          <w:top w:w="28" w:type="dxa"/>
          <w:left w:w="28" w:type="dxa"/>
          <w:bottom w:w="28" w:type="dxa"/>
          <w:right w:w="28" w:type="dxa"/>
        </w:tblCellMar>
      </w:tblPr>
      <w:tblGrid>
        <w:gridCol w:w="2266"/>
        <w:gridCol w:w="451"/>
        <w:gridCol w:w="2941"/>
      </w:tblGrid>
      <w:tr>
        <w:trPr/>
        <w:tc>
          <w:tcPr>
            <w:tcW w:w="226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pPr>
            <w:r>
              <w:rPr/>
              <w:t> </w:t>
            </w:r>
          </w:p>
        </w:tc>
      </w:tr>
      <w:tr>
        <w:trPr/>
        <w:tc>
          <w:tcPr>
            <w:tcW w:w="22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392" w:type="dxa"/>
            <w:gridSpan w:val="2"/>
            <w:tcBorders/>
            <w:vAlign w:val="center"/>
          </w:tcPr>
          <w:p>
            <w:pPr>
              <w:pStyle w:val="TableContents"/>
              <w:bidi w:val="0"/>
              <w:spacing w:before="0" w:after="0"/>
              <w:jc w:val="left"/>
              <w:rPr/>
            </w:pPr>
            <w:r>
              <w:rPr>
                <w:b/>
                <w:sz w:val="20"/>
              </w:rPr>
              <w:t>RTX CORPORATION</w:t>
            </w:r>
            <w:r>
              <w:rPr/>
              <w:t xml:space="preserve"> </w:t>
            </w:r>
          </w:p>
        </w:tc>
      </w:tr>
      <w:tr>
        <w:trPr/>
        <w:tc>
          <w:tcPr>
            <w:tcW w:w="22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392" w:type="dxa"/>
            <w:gridSpan w:val="2"/>
            <w:tcBorders/>
            <w:vAlign w:val="center"/>
          </w:tcPr>
          <w:p>
            <w:pPr>
              <w:pStyle w:val="TableContents"/>
              <w:bidi w:val="0"/>
              <w:spacing w:before="0" w:after="0"/>
              <w:jc w:val="left"/>
              <w:rPr>
                <w:sz w:val="17"/>
              </w:rPr>
            </w:pPr>
            <w:r>
              <w:rPr>
                <w:b/>
                <w:sz w:val="20"/>
              </w:rPr>
              <w:t>(Registrant)</w:t>
            </w:r>
            <w:r>
              <w:rPr>
                <w:sz w:val="17"/>
              </w:rPr>
              <w:t xml:space="preserve"> </w:t>
            </w:r>
          </w:p>
        </w:tc>
      </w:tr>
      <w:tr>
        <w:trPr/>
        <w:tc>
          <w:tcPr>
            <w:tcW w:w="22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4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sz w:val="17"/>
              </w:rPr>
            </w:pPr>
            <w:r>
              <w:rPr>
                <w:sz w:val="20"/>
              </w:rPr>
              <w:t>By:</w:t>
            </w:r>
            <w:r>
              <w:rPr>
                <w:sz w:val="17"/>
              </w:rPr>
              <w:t xml:space="preserve"> </w:t>
            </w:r>
          </w:p>
        </w:tc>
        <w:tc>
          <w:tcPr>
            <w:tcW w:w="2941" w:type="dxa"/>
            <w:tcBorders>
              <w:bottom w:val="single" w:sz="12" w:space="0" w:color="000000"/>
            </w:tcBorders>
            <w:tcMar>
              <w:top w:w="0" w:type="dxa"/>
              <w:left w:w="0" w:type="dxa"/>
              <w:right w:w="0" w:type="dxa"/>
            </w:tcMar>
            <w:vAlign w:val="center"/>
          </w:tcPr>
          <w:p>
            <w:pPr>
              <w:pStyle w:val="TableContents"/>
              <w:bidi w:val="0"/>
              <w:spacing w:before="0" w:after="0"/>
              <w:jc w:val="left"/>
              <w:rPr>
                <w:sz w:val="17"/>
              </w:rPr>
            </w:pPr>
            <w:r>
              <w:rPr>
                <w:sz w:val="20"/>
              </w:rPr>
              <w:t>/s/ EDWARD G. PERRAULT</w:t>
            </w:r>
            <w:r>
              <w:rPr>
                <w:sz w:val="17"/>
              </w:rPr>
              <w:t xml:space="preserve"> </w:t>
            </w:r>
          </w:p>
        </w:tc>
      </w:tr>
      <w:tr>
        <w:trPr/>
        <w:tc>
          <w:tcPr>
            <w:tcW w:w="2266" w:type="dxa"/>
            <w:tcBorders/>
            <w:tcMar>
              <w:top w:w="0" w:type="dxa"/>
              <w:left w:w="0" w:type="dxa"/>
              <w:bottom w:w="0" w:type="dxa"/>
              <w:right w:w="0" w:type="dxa"/>
            </w:tcMar>
            <w:vAlign w:val="center"/>
          </w:tcPr>
          <w:p>
            <w:pPr>
              <w:pStyle w:val="TableContents"/>
              <w:bidi w:val="0"/>
              <w:spacing w:before="0" w:after="0"/>
              <w:jc w:val="left"/>
              <w:rPr>
                <w:sz w:val="17"/>
              </w:rPr>
            </w:pPr>
            <w:r>
              <w:rPr>
                <w:sz w:val="20"/>
              </w:rPr>
              <w:t>Date: September 15, 2026</w:t>
            </w:r>
            <w:r>
              <w:rPr>
                <w:sz w:val="17"/>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41" w:type="dxa"/>
            <w:tcBorders/>
            <w:tcMar>
              <w:top w:w="0" w:type="dxa"/>
              <w:left w:w="0" w:type="dxa"/>
              <w:bottom w:w="0" w:type="dxa"/>
              <w:right w:w="0" w:type="dxa"/>
            </w:tcMar>
            <w:vAlign w:val="center"/>
          </w:tcPr>
          <w:p>
            <w:pPr>
              <w:pStyle w:val="TableContents"/>
              <w:bidi w:val="0"/>
              <w:spacing w:before="0" w:after="0"/>
              <w:jc w:val="left"/>
              <w:rPr/>
            </w:pPr>
            <w:r>
              <w:rPr>
                <w:sz w:val="20"/>
              </w:rPr>
              <w:t>Edward G. Perrault</w:t>
            </w:r>
            <w:r>
              <w:rPr/>
              <w:t xml:space="preserve"> </w:t>
            </w:r>
          </w:p>
        </w:tc>
      </w:tr>
      <w:tr>
        <w:trPr/>
        <w:tc>
          <w:tcPr>
            <w:tcW w:w="22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41" w:type="dxa"/>
            <w:tcBorders/>
            <w:tcMar>
              <w:top w:w="0" w:type="dxa"/>
              <w:left w:w="0" w:type="dxa"/>
              <w:bottom w:w="0" w:type="dxa"/>
              <w:right w:w="0" w:type="dxa"/>
            </w:tcMar>
            <w:vAlign w:val="center"/>
          </w:tcPr>
          <w:p>
            <w:pPr>
              <w:pStyle w:val="TableContents"/>
              <w:bidi w:val="0"/>
              <w:spacing w:before="0" w:after="0"/>
              <w:jc w:val="left"/>
              <w:rPr/>
            </w:pPr>
            <w:r>
              <w:rPr>
                <w:sz w:val="20"/>
              </w:rPr>
              <w:t>Senior Vice President &amp; Secretary</w:t>
            </w:r>
            <w:r>
              <w:rPr/>
              <w:t xml:space="preserve"> </w:t>
            </w:r>
          </w:p>
        </w:tc>
      </w:tr>
    </w:tbl>
    <w:p>
      <w:pPr>
        <w:pStyle w:val="TextBody"/>
        <w:bidi w:val="0"/>
        <w:spacing w:before="0" w:after="0"/>
        <w:ind w:left="5744" w:right="0" w:hanging="0"/>
        <w:jc w:val="lef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82011_ex99-1.htm"/>
      <w:bookmarkStart w:id="5" w:name="ksef20082011_ex991"/>
      <w:bookmarkStart w:id="6" w:name="ef20082011_ex99-1.htm"/>
      <w:bookmarkStart w:id="7" w:name="ksef20082011_ex991"/>
      <w:bookmarkEnd w:id="6"/>
      <w:bookmarkEnd w:id="7"/>
      <w:r>
        <w:br w:type="page"/>
      </w:r>
    </w:p>
    <w:p>
      <w:pPr>
        <w:pStyle w:val="TextBody"/>
        <w:bidi w:val="0"/>
        <w:spacing w:before="0" w:after="0"/>
        <w:jc w:val="right"/>
        <w:rPr>
          <w:b/>
        </w:rPr>
      </w:pPr>
      <w:r>
        <w:rPr>
          <w:b/>
        </w:rPr>
        <w:t>Exhibit 99.1</w:t>
      </w:r>
    </w:p>
    <w:p>
      <w:pPr>
        <w:pStyle w:val="TextBody"/>
        <w:bidi w:val="0"/>
        <w:spacing w:before="0" w:after="0"/>
        <w:jc w:val="center"/>
        <w:rPr/>
      </w:pPr>
      <w:r>
        <w:rPr/>
        <w:t> </w:t>
      </w:r>
    </w:p>
    <w:p>
      <w:pPr>
        <w:pStyle w:val="TextBody"/>
        <w:bidi w:val="0"/>
        <w:spacing w:before="0" w:after="0"/>
        <w:jc w:val="center"/>
        <w:rPr/>
      </w:pPr>
      <w:r>
        <w:rPr>
          <w:b/>
          <w:sz w:val="20"/>
        </w:rPr>
        <w:t>RTX names Jill Albertelli as President, Pratt &amp; Whitney</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ARLINGTON, Virginia, (September 15, 2026) – RTX (NYSE: RTX) today announced Jill Albertelli has been appointed president of Pratt &amp; Whitney, effective Jan. 1, 2027, and will report to RTX chairman and chief executive officer Chris Calio. Albertelli succeeds Shane Eddy who has decided to retire.</w:t>
      </w:r>
      <w:r>
        <w:rPr/>
        <w:t xml:space="preserve"> </w:t>
      </w:r>
    </w:p>
    <w:p>
      <w:pPr>
        <w:pStyle w:val="TextBody"/>
        <w:bidi w:val="0"/>
        <w:spacing w:before="0" w:after="0"/>
        <w:jc w:val="left"/>
        <w:rPr/>
      </w:pPr>
      <w:r>
        <w:rPr/>
        <w:t xml:space="preserve">  </w:t>
      </w:r>
    </w:p>
    <w:p>
      <w:pPr>
        <w:pStyle w:val="TextBody"/>
        <w:bidi w:val="0"/>
        <w:spacing w:before="0" w:after="0"/>
        <w:jc w:val="left"/>
        <w:rPr/>
      </w:pPr>
      <w:r>
        <w:rPr/>
        <w:t>“</w:t>
      </w:r>
      <w:r>
        <w:rPr>
          <w:sz w:val="20"/>
        </w:rPr>
        <w:t>Jill is a seasoned and highly respected leader with over three decades of experience across nearly every corner of Pratt &amp; Whitney,” said Calio. “Her proven track record and deep understanding of the business and our customer base make her the right person to lead Pratt &amp; Whitney into the future.”</w:t>
      </w:r>
      <w:r>
        <w:rPr>
          <w:sz w:val="22"/>
        </w:rPr>
        <w:t xml:space="preserve"> </w:t>
      </w:r>
    </w:p>
    <w:p>
      <w:pPr>
        <w:pStyle w:val="TextBody"/>
        <w:bidi w:val="0"/>
        <w:spacing w:before="0" w:after="0"/>
        <w:jc w:val="left"/>
        <w:rPr/>
      </w:pPr>
      <w:r>
        <w:rPr/>
        <w:t xml:space="preserve">  </w:t>
      </w:r>
    </w:p>
    <w:p>
      <w:pPr>
        <w:pStyle w:val="TextBody"/>
        <w:bidi w:val="0"/>
        <w:spacing w:before="0" w:after="0"/>
        <w:jc w:val="left"/>
        <w:rPr>
          <w:sz w:val="20"/>
        </w:rPr>
      </w:pPr>
      <w:r>
        <w:rPr>
          <w:sz w:val="20"/>
        </w:rPr>
        <w:t>Albertelli’s breadth of experience spans engineering, manufacturing operations, quality, supply chain management, commercial programs, sales, maintenance repair operations, as well as transformation and strategy. She most recently served as president of Pratt &amp; Whitney’s Military Engines, where she secured the company’s sole source propulsion position on the F-35 fighter aircraft, improved F135 engine delivery and quality performance and expanded sustainment capability and capacity to ensure mission readiness for military customers. Albertelli earned her Bachelor of Science degree in Engineering from Boston University and Master of Business Administration degree from Rensselaer Polytechnic Institute.</w:t>
      </w:r>
    </w:p>
    <w:p>
      <w:pPr>
        <w:pStyle w:val="TextBody"/>
        <w:bidi w:val="0"/>
        <w:spacing w:before="0" w:after="0"/>
        <w:jc w:val="left"/>
        <w:rPr/>
      </w:pPr>
      <w:r>
        <w:rPr/>
        <w:t xml:space="preserve">  </w:t>
      </w:r>
    </w:p>
    <w:p>
      <w:pPr>
        <w:pStyle w:val="TextBody"/>
        <w:bidi w:val="0"/>
        <w:spacing w:before="0" w:after="0"/>
        <w:jc w:val="left"/>
        <w:rPr/>
      </w:pPr>
      <w:r>
        <w:rPr>
          <w:sz w:val="20"/>
        </w:rPr>
        <w:t>Eddy will remain with the company through March 2027 as a special advisor to support the transition. Eddy’s more than 40-year career has taken him from flight line mechanic to president of Pratt &amp; Whitney, a position he assumed in 2022. He has guided Pratt &amp; Whitney through a multi-year transformation effort, as well as the as the production and sustainment ramp for two critically important programs for RTX – the Geared Turbo Fan™ and F135 engines.</w:t>
      </w:r>
      <w:r>
        <w:rPr/>
        <w:t xml:space="preserve"> </w:t>
      </w:r>
    </w:p>
    <w:p>
      <w:pPr>
        <w:pStyle w:val="TextBody"/>
        <w:bidi w:val="0"/>
        <w:spacing w:before="0" w:after="0"/>
        <w:jc w:val="left"/>
        <w:rPr/>
      </w:pPr>
      <w:r>
        <w:rPr/>
        <w:t xml:space="preserve">  </w:t>
      </w:r>
    </w:p>
    <w:p>
      <w:pPr>
        <w:pStyle w:val="TextBody"/>
        <w:bidi w:val="0"/>
        <w:spacing w:before="0" w:after="0"/>
        <w:jc w:val="left"/>
        <w:rPr/>
      </w:pPr>
      <w:r>
        <w:rPr/>
        <w:t>“</w:t>
      </w:r>
      <w:r>
        <w:rPr>
          <w:sz w:val="20"/>
        </w:rPr>
        <w:t>Shane’s steadfast leadership – paired with his relentless focus on our CORE operating system, our people and our customers – helped Pratt &amp; Whitney achieve record sales growth and positioned the business for continued success,” said Calio.</w:t>
      </w:r>
      <w:r>
        <w:rPr/>
        <w:t xml:space="preserve"> </w:t>
      </w:r>
    </w:p>
    <w:p>
      <w:pPr>
        <w:pStyle w:val="TextBody"/>
        <w:bidi w:val="0"/>
        <w:spacing w:before="0" w:after="0"/>
        <w:jc w:val="left"/>
        <w:rPr/>
      </w:pPr>
      <w:r>
        <w:rPr/>
        <w:t xml:space="preserve">  </w:t>
      </w:r>
    </w:p>
    <w:p>
      <w:pPr>
        <w:pStyle w:val="TextBody"/>
        <w:bidi w:val="0"/>
        <w:spacing w:before="0" w:after="0"/>
        <w:jc w:val="left"/>
        <w:rPr/>
      </w:pPr>
      <w:r>
        <w:rPr>
          <w:b/>
          <w:sz w:val="20"/>
        </w:rPr>
        <w:t>About RTX</w:t>
      </w:r>
      <w:r>
        <w:rPr/>
        <w:t xml:space="preserve"> </w:t>
      </w:r>
    </w:p>
    <w:p>
      <w:pPr>
        <w:pStyle w:val="TextBody"/>
        <w:bidi w:val="0"/>
        <w:spacing w:before="0" w:after="0"/>
        <w:jc w:val="left"/>
        <w:rPr/>
      </w:pPr>
      <w:r>
        <w:rPr>
          <w:sz w:val="20"/>
        </w:rPr>
        <w:t>With more than 180,000 global employees, we push the limits of technology and science to redefine how we connect and protect our world. With industry-leading capabilities, we advance aviation, engineer integrated defense systems for operational success, and develop next-generation technology solutions and manufacturing to help global customers address their most critical challenges. The company, with 2025 sales of more than $88 billion, is headquartered in Arlington, Virginia.</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910</Words>
  <Characters>5095</Characters>
  <CharactersWithSpaces>6089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