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580" w:right="340" w:hanging="572"/>
        <w:spacing w:after="0" w:line="256" w:lineRule="auto"/>
        <w:tabs>
          <w:tab w:leader="none" w:pos="5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June 30, 2009</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580" w:right="340" w:hanging="572"/>
        <w:spacing w:after="0" w:line="256" w:lineRule="auto"/>
        <w:tabs>
          <w:tab w:leader="none" w:pos="5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580"/>
        <w:spacing w:after="0"/>
        <w:tabs>
          <w:tab w:leader="none" w:pos="34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1836420</wp:posOffset>
            </wp:positionH>
            <wp:positionV relativeFrom="paragraph">
              <wp:posOffset>-10160</wp:posOffset>
            </wp:positionV>
            <wp:extent cx="8172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17245" cy="8890"/>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1-812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UNITED TECHNOLOGIES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219710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tbl>
      <w:tblPr>
        <w:tblLayout w:type="fixed"/>
        <w:tblInd w:w="2360" w:type="dxa"/>
        <w:tblCellMar>
          <w:top w:w="0" w:type="dxa"/>
          <w:left w:w="0" w:type="dxa"/>
          <w:bottom w:w="0" w:type="dxa"/>
          <w:right w:w="0" w:type="dxa"/>
        </w:tblCellMar>
      </w:tblPr>
      <w:tr>
        <w:trPr>
          <w:trHeight w:val="228"/>
        </w:trPr>
        <w:tc>
          <w:tcPr>
            <w:tcW w:w="3460" w:type="dxa"/>
            <w:vAlign w:val="bottom"/>
          </w:tcPr>
          <w:p>
            <w:pPr>
              <w:spacing w:after="0"/>
              <w:rPr>
                <w:sz w:val="20"/>
                <w:szCs w:val="20"/>
                <w:color w:val="auto"/>
              </w:rPr>
            </w:pPr>
            <w:r>
              <w:rPr>
                <w:rFonts w:ascii="Arial" w:cs="Arial" w:eastAsia="Arial" w:hAnsi="Arial"/>
                <w:sz w:val="18"/>
                <w:szCs w:val="18"/>
                <w:b w:val="1"/>
                <w:bCs w:val="1"/>
                <w:color w:val="auto"/>
              </w:rPr>
              <w:t>DELAWARE</w:t>
            </w:r>
          </w:p>
        </w:tc>
        <w:tc>
          <w:tcPr>
            <w:tcW w:w="3280" w:type="dxa"/>
            <w:vAlign w:val="bottom"/>
          </w:tcPr>
          <w:p>
            <w:pPr>
              <w:jc w:val="right"/>
              <w:spacing w:after="0"/>
              <w:rPr>
                <w:sz w:val="20"/>
                <w:szCs w:val="20"/>
                <w:color w:val="auto"/>
              </w:rPr>
            </w:pPr>
            <w:r>
              <w:rPr>
                <w:rFonts w:ascii="Arial" w:cs="Arial" w:eastAsia="Arial" w:hAnsi="Arial"/>
                <w:sz w:val="18"/>
                <w:szCs w:val="18"/>
                <w:b w:val="1"/>
                <w:bCs w:val="1"/>
                <w:color w:val="auto"/>
              </w:rPr>
              <w:t>06-0570975</w:t>
            </w:r>
          </w:p>
        </w:tc>
      </w:tr>
    </w:tbl>
    <w:p>
      <w:pPr>
        <w:spacing w:after="0" w:line="1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One Financial Plaza, Hartford, Connecticut 06103</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(860) 728-7000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187325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8"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8" w:lineRule="exact"/>
        <w:rPr>
          <w:sz w:val="24"/>
          <w:szCs w:val="24"/>
          <w:color w:val="auto"/>
        </w:rPr>
      </w:pPr>
    </w:p>
    <w:p>
      <w:pPr>
        <w:ind w:right="4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698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2240" w:type="dxa"/>
            <w:vAlign w:val="bottom"/>
          </w:tcPr>
          <w:p>
            <w:pPr>
              <w:ind w:left="8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5"/>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6980" w:type="dxa"/>
            <w:vAlign w:val="bottom"/>
          </w:tcPr>
          <w:p>
            <w:pPr>
              <w:ind w:left="2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240" w:type="dxa"/>
            <w:vAlign w:val="bottom"/>
          </w:tcPr>
          <w:p>
            <w:pPr>
              <w:ind w:left="8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780" w:type="dxa"/>
            <w:vAlign w:val="bottom"/>
            <w:gridSpan w:val="2"/>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w w:val="90"/>
              </w:rPr>
              <w:t>☐</w:t>
            </w:r>
            <w:r>
              <w:rPr>
                <w:rFonts w:ascii="Arial" w:cs="Arial" w:eastAsia="Arial" w:hAnsi="Arial"/>
                <w:sz w:val="18"/>
                <w:szCs w:val="18"/>
                <w:color w:val="auto"/>
                <w:w w:val="90"/>
              </w:rPr>
              <w:t>.</w:t>
            </w:r>
          </w:p>
        </w:tc>
        <w:tc>
          <w:tcPr>
            <w:tcW w:w="224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tc>
        <w:tc>
          <w:tcPr>
            <w:tcW w:w="400" w:type="dxa"/>
            <w:vAlign w:val="bottom"/>
          </w:tcPr>
          <w:p>
            <w:pPr>
              <w:spacing w:after="0"/>
              <w:rPr>
                <w:sz w:val="24"/>
                <w:szCs w:val="24"/>
                <w:color w:val="auto"/>
              </w:rPr>
            </w:pPr>
          </w:p>
        </w:tc>
      </w:tr>
      <w:tr>
        <w:trPr>
          <w:trHeight w:val="358"/>
        </w:trPr>
        <w:tc>
          <w:tcPr>
            <w:tcW w:w="8780" w:type="dxa"/>
            <w:vAlign w:val="bottom"/>
            <w:gridSpan w:val="2"/>
          </w:tcPr>
          <w:p>
            <w:pPr>
              <w:spacing w:after="0"/>
              <w:rPr>
                <w:sz w:val="20"/>
                <w:szCs w:val="20"/>
                <w:color w:val="auto"/>
              </w:rPr>
            </w:pPr>
            <w:r>
              <w:rPr>
                <w:rFonts w:ascii="Arial" w:cs="Arial" w:eastAsia="Arial" w:hAnsi="Arial"/>
                <w:sz w:val="18"/>
                <w:szCs w:val="18"/>
                <w:color w:val="auto"/>
              </w:rPr>
              <w:t>At June 30, 2009 there were 941,273,401 shares of Common Stock outstanding.</w:t>
            </w:r>
          </w:p>
        </w:tc>
        <w:tc>
          <w:tcPr>
            <w:tcW w:w="22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24"/>
        </w:trPr>
        <w:tc>
          <w:tcPr>
            <w:tcW w:w="1800" w:type="dxa"/>
            <w:vAlign w:val="bottom"/>
            <w:tcBorders>
              <w:bottom w:val="single" w:sz="8" w:color="auto"/>
            </w:tcBorders>
          </w:tcPr>
          <w:p>
            <w:pPr>
              <w:spacing w:after="0"/>
              <w:rPr>
                <w:sz w:val="10"/>
                <w:szCs w:val="10"/>
                <w:color w:val="auto"/>
              </w:rPr>
            </w:pPr>
          </w:p>
        </w:tc>
        <w:tc>
          <w:tcPr>
            <w:tcW w:w="6980" w:type="dxa"/>
            <w:vAlign w:val="bottom"/>
            <w:tcBorders>
              <w:bottom w:val="single" w:sz="8" w:color="auto"/>
            </w:tcBorders>
          </w:tcPr>
          <w:p>
            <w:pPr>
              <w:spacing w:after="0"/>
              <w:rPr>
                <w:sz w:val="10"/>
                <w:szCs w:val="10"/>
                <w:color w:val="auto"/>
              </w:rPr>
            </w:pPr>
          </w:p>
        </w:tc>
        <w:tc>
          <w:tcPr>
            <w:tcW w:w="22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r>
      <w:tr>
        <w:trPr>
          <w:trHeight w:val="21"/>
        </w:trPr>
        <w:tc>
          <w:tcPr>
            <w:tcW w:w="1800" w:type="dxa"/>
            <w:vAlign w:val="bottom"/>
            <w:tcBorders>
              <w:bottom w:val="single" w:sz="8" w:color="auto"/>
            </w:tcBorders>
          </w:tcPr>
          <w:p>
            <w:pPr>
              <w:spacing w:after="0" w:line="20" w:lineRule="exact"/>
              <w:rPr>
                <w:sz w:val="1"/>
                <w:szCs w:val="1"/>
                <w:color w:val="auto"/>
              </w:rPr>
            </w:pPr>
          </w:p>
        </w:tc>
        <w:tc>
          <w:tcPr>
            <w:tcW w:w="698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CONTENTS OF QUARTERLY REPORT ON FORM 10-Q</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June 30, 2009</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140" w:type="dxa"/>
            <w:vAlign w:val="bottom"/>
            <w:gridSpan w:val="22"/>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 FINANCIAL INFORMATION</w:t>
              </w:r>
            </w:hyperlink>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11140" w:type="dxa"/>
            <w:vAlign w:val="bottom"/>
            <w:gridSpan w:val="22"/>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440" w:type="dxa"/>
            <w:vAlign w:val="bottom"/>
            <w:tcBorders>
              <w:top w:val="single" w:sz="8" w:color="0000EE"/>
            </w:tcBorders>
          </w:tcPr>
          <w:p>
            <w:pPr>
              <w:spacing w:after="0"/>
              <w:rPr>
                <w:sz w:val="24"/>
                <w:szCs w:val="24"/>
                <w:color w:val="auto"/>
              </w:rPr>
            </w:pPr>
          </w:p>
        </w:tc>
        <w:tc>
          <w:tcPr>
            <w:tcW w:w="2460" w:type="dxa"/>
            <w:vAlign w:val="bottom"/>
            <w:tcBorders>
              <w:top w:val="single" w:sz="8" w:color="0000EE"/>
            </w:tcBorders>
            <w:gridSpan w:val="1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8240" w:type="dxa"/>
            <w:vAlign w:val="bottom"/>
            <w:gridSpan w:val="11"/>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6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 of Operations for the quarters ended June 30, 2009 and 2008</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6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 of Operations for the six months ended June 30, 2009 and 2008</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980" w:type="dxa"/>
            <w:vAlign w:val="bottom"/>
            <w:tcBorders>
              <w:top w:val="single" w:sz="8" w:color="0000EE"/>
            </w:tcBorders>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 at June 30, 2009 and December 31, 2008</w:t>
              </w:r>
            </w:hyperlink>
          </w:p>
        </w:tc>
        <w:tc>
          <w:tcPr>
            <w:tcW w:w="3280" w:type="dxa"/>
            <w:vAlign w:val="bottom"/>
            <w:gridSpan w:val="2"/>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60" w:type="dxa"/>
            <w:vAlign w:val="bottom"/>
            <w:gridSpan w:val="1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 of Cash Flows for the six months ended June 30, 2009 and 2008</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40" w:type="dxa"/>
            <w:vAlign w:val="bottom"/>
            <w:tcBorders>
              <w:top w:val="single" w:sz="8" w:color="0000EE"/>
            </w:tcBorders>
            <w:gridSpan w:val="1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322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86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60" w:type="dxa"/>
            <w:vAlign w:val="bottom"/>
            <w:gridSpan w:val="19"/>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Report of Independent Registered Public Accounting Firm</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86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700" w:type="dxa"/>
            <w:vAlign w:val="bottom"/>
            <w:gridSpan w:val="21"/>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2. Management’s Discussion and Analysis of Financial Condition and Results of Operations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80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Item 3. Quantitative and Qualitative Disclosures About Market Risk</w:t>
              </w:r>
            </w:hyperlink>
          </w:p>
        </w:tc>
        <w:tc>
          <w:tcPr>
            <w:tcW w:w="2040" w:type="dxa"/>
            <w:vAlign w:val="bottom"/>
            <w:tcBorders>
              <w:top w:val="single" w:sz="8" w:color="0000EE"/>
            </w:tcBorders>
            <w:gridSpan w:val="2"/>
          </w:tcPr>
          <w:p>
            <w:pPr>
              <w:spacing w:after="0"/>
              <w:rPr>
                <w:sz w:val="24"/>
                <w:szCs w:val="24"/>
                <w:color w:val="auto"/>
              </w:rPr>
            </w:pPr>
          </w:p>
        </w:tc>
        <w:tc>
          <w:tcPr>
            <w:tcW w:w="3860" w:type="dxa"/>
            <w:vAlign w:val="bottom"/>
            <w:gridSpan w:val="4"/>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520" w:type="dxa"/>
            <w:vAlign w:val="bottom"/>
            <w:gridSpan w:val="3"/>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Item 4.</w:t>
              </w:r>
            </w:hyperlink>
          </w:p>
        </w:tc>
        <w:tc>
          <w:tcPr>
            <w:tcW w:w="10180" w:type="dxa"/>
            <w:vAlign w:val="bottom"/>
            <w:gridSpan w:val="18"/>
          </w:tcPr>
          <w:p>
            <w:pPr>
              <w:ind w:left="20"/>
              <w:spacing w:after="0"/>
              <w:rPr>
                <w:rFonts w:ascii="Arial" w:cs="Arial" w:eastAsia="Arial" w:hAnsi="Arial"/>
                <w:sz w:val="18"/>
                <w:szCs w:val="18"/>
                <w:color w:val="0000EE"/>
              </w:rPr>
            </w:pPr>
            <w:hyperlink w:anchor="page38">
              <w:r>
                <w:rPr>
                  <w:rFonts w:ascii="Arial" w:cs="Arial" w:eastAsia="Arial" w:hAnsi="Arial"/>
                  <w:sz w:val="18"/>
                  <w:szCs w:val="18"/>
                  <w:color w:val="0000EE"/>
                </w:rPr>
                <w:t>Controls and Procedures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5920" w:type="dxa"/>
            <w:vAlign w:val="bottom"/>
            <w:gridSpan w:val="7"/>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140" w:type="dxa"/>
            <w:vAlign w:val="bottom"/>
            <w:gridSpan w:val="22"/>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PART II – OTHER INFORMATION</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04"/>
        </w:trPr>
        <w:tc>
          <w:tcPr>
            <w:tcW w:w="440" w:type="dxa"/>
            <w:vAlign w:val="bottom"/>
            <w:tcBorders>
              <w:top w:val="single" w:sz="8" w:color="0000EE"/>
            </w:tcBorders>
          </w:tcPr>
          <w:p>
            <w:pPr>
              <w:spacing w:after="0"/>
              <w:rPr>
                <w:sz w:val="24"/>
                <w:szCs w:val="24"/>
                <w:color w:val="auto"/>
              </w:rPr>
            </w:pPr>
          </w:p>
        </w:tc>
        <w:tc>
          <w:tcPr>
            <w:tcW w:w="15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Item 1A. Risk Factors</w:t>
              </w:r>
            </w:hyperlink>
          </w:p>
        </w:tc>
        <w:tc>
          <w:tcPr>
            <w:tcW w:w="600" w:type="dxa"/>
            <w:vAlign w:val="bottom"/>
            <w:tcBorders>
              <w:top w:val="single" w:sz="8" w:color="0000EE"/>
            </w:tcBorders>
            <w:gridSpan w:val="2"/>
          </w:tcPr>
          <w:p>
            <w:pPr>
              <w:spacing w:after="0"/>
              <w:rPr>
                <w:sz w:val="24"/>
                <w:szCs w:val="24"/>
                <w:color w:val="auto"/>
              </w:rPr>
            </w:pPr>
          </w:p>
        </w:tc>
        <w:tc>
          <w:tcPr>
            <w:tcW w:w="8540" w:type="dxa"/>
            <w:vAlign w:val="bottom"/>
            <w:gridSpan w:val="13"/>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520" w:type="dxa"/>
            <w:vAlign w:val="bottom"/>
            <w:gridSpan w:val="3"/>
          </w:tcPr>
          <w:p>
            <w:pPr>
              <w:spacing w:after="0"/>
              <w:rPr>
                <w:rFonts w:ascii="Arial" w:cs="Arial" w:eastAsia="Arial" w:hAnsi="Arial"/>
                <w:sz w:val="18"/>
                <w:szCs w:val="18"/>
                <w:color w:val="0000EE"/>
                <w:w w:val="90"/>
              </w:rPr>
            </w:pPr>
            <w:hyperlink w:anchor="page42">
              <w:r>
                <w:rPr>
                  <w:rFonts w:ascii="Arial" w:cs="Arial" w:eastAsia="Arial" w:hAnsi="Arial"/>
                  <w:sz w:val="18"/>
                  <w:szCs w:val="18"/>
                  <w:color w:val="0000EE"/>
                  <w:w w:val="90"/>
                </w:rPr>
                <w:t>Item 2.</w:t>
              </w:r>
            </w:hyperlink>
          </w:p>
        </w:tc>
        <w:tc>
          <w:tcPr>
            <w:tcW w:w="10180" w:type="dxa"/>
            <w:vAlign w:val="bottom"/>
            <w:gridSpan w:val="18"/>
          </w:tcPr>
          <w:p>
            <w:pPr>
              <w:ind w:left="20"/>
              <w:spacing w:after="0"/>
              <w:rPr>
                <w:rFonts w:ascii="Arial" w:cs="Arial" w:eastAsia="Arial" w:hAnsi="Arial"/>
                <w:sz w:val="18"/>
                <w:szCs w:val="18"/>
                <w:color w:val="0000EE"/>
              </w:rPr>
            </w:pPr>
            <w:hyperlink w:anchor="page42">
              <w:r>
                <w:rPr>
                  <w:rFonts w:ascii="Arial" w:cs="Arial" w:eastAsia="Arial" w:hAnsi="Arial"/>
                  <w:sz w:val="18"/>
                  <w:szCs w:val="18"/>
                  <w:color w:val="0000EE"/>
                </w:rPr>
                <w:t>Unregistered Sales of Equity Securities and Use of Proceeds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5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0"/>
              </w:rPr>
            </w:pPr>
            <w:hyperlink w:anchor="page42">
              <w:r>
                <w:rPr>
                  <w:rFonts w:ascii="Arial" w:cs="Arial" w:eastAsia="Arial" w:hAnsi="Arial"/>
                  <w:sz w:val="18"/>
                  <w:szCs w:val="18"/>
                  <w:color w:val="0000EE"/>
                  <w:w w:val="90"/>
                </w:rPr>
                <w:t>Item 4.</w:t>
              </w:r>
            </w:hyperlink>
          </w:p>
        </w:tc>
        <w:tc>
          <w:tcPr>
            <w:tcW w:w="3700" w:type="dxa"/>
            <w:vAlign w:val="bottom"/>
            <w:tcBorders>
              <w:top w:val="single" w:sz="8" w:color="0000EE"/>
              <w:bottom w:val="single" w:sz="8" w:color="0000EE"/>
            </w:tcBorders>
            <w:gridSpan w:val="8"/>
          </w:tcPr>
          <w:p>
            <w:pPr>
              <w:ind w:left="20"/>
              <w:spacing w:after="0"/>
              <w:rPr>
                <w:rFonts w:ascii="Arial" w:cs="Arial" w:eastAsia="Arial" w:hAnsi="Arial"/>
                <w:sz w:val="18"/>
                <w:szCs w:val="18"/>
                <w:color w:val="0000EE"/>
                <w:w w:val="88"/>
              </w:rPr>
            </w:pPr>
            <w:hyperlink w:anchor="page42">
              <w:r>
                <w:rPr>
                  <w:rFonts w:ascii="Arial" w:cs="Arial" w:eastAsia="Arial" w:hAnsi="Arial"/>
                  <w:sz w:val="18"/>
                  <w:szCs w:val="18"/>
                  <w:color w:val="0000EE"/>
                  <w:w w:val="88"/>
                </w:rPr>
                <w:t>Submission of Matters to a Vote of Security Holders</w:t>
              </w:r>
            </w:hyperlink>
          </w:p>
        </w:tc>
        <w:tc>
          <w:tcPr>
            <w:tcW w:w="560" w:type="dxa"/>
            <w:vAlign w:val="bottom"/>
            <w:tcBorders>
              <w:top w:val="single" w:sz="8" w:color="0000EE"/>
            </w:tcBorders>
            <w:gridSpan w:val="3"/>
          </w:tcPr>
          <w:p>
            <w:pPr>
              <w:spacing w:after="0"/>
              <w:rPr>
                <w:sz w:val="24"/>
                <w:szCs w:val="24"/>
                <w:color w:val="auto"/>
              </w:rPr>
            </w:pPr>
          </w:p>
        </w:tc>
        <w:tc>
          <w:tcPr>
            <w:tcW w:w="5920" w:type="dxa"/>
            <w:vAlign w:val="bottom"/>
            <w:gridSpan w:val="7"/>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520" w:type="dxa"/>
            <w:vAlign w:val="bottom"/>
            <w:gridSpan w:val="3"/>
          </w:tcPr>
          <w:p>
            <w:pPr>
              <w:spacing w:after="0"/>
              <w:rPr>
                <w:rFonts w:ascii="Arial" w:cs="Arial" w:eastAsia="Arial" w:hAnsi="Arial"/>
                <w:sz w:val="18"/>
                <w:szCs w:val="18"/>
                <w:color w:val="0000EE"/>
                <w:w w:val="90"/>
              </w:rPr>
            </w:pPr>
            <w:hyperlink w:anchor="page43">
              <w:r>
                <w:rPr>
                  <w:rFonts w:ascii="Arial" w:cs="Arial" w:eastAsia="Arial" w:hAnsi="Arial"/>
                  <w:sz w:val="18"/>
                  <w:szCs w:val="18"/>
                  <w:color w:val="0000EE"/>
                  <w:w w:val="90"/>
                </w:rPr>
                <w:t>Item 6.</w:t>
              </w:r>
            </w:hyperlink>
          </w:p>
        </w:tc>
        <w:tc>
          <w:tcPr>
            <w:tcW w:w="10180" w:type="dxa"/>
            <w:vAlign w:val="bottom"/>
            <w:gridSpan w:val="18"/>
          </w:tcPr>
          <w:p>
            <w:pPr>
              <w:ind w:left="20"/>
              <w:spacing w:after="0"/>
              <w:rPr>
                <w:rFonts w:ascii="Arial" w:cs="Arial" w:eastAsia="Arial" w:hAnsi="Arial"/>
                <w:sz w:val="18"/>
                <w:szCs w:val="18"/>
                <w:color w:val="0000EE"/>
              </w:rPr>
            </w:pPr>
            <w:hyperlink w:anchor="page43">
              <w:r>
                <w:rPr>
                  <w:rFonts w:ascii="Arial" w:cs="Arial" w:eastAsia="Arial" w:hAnsi="Arial"/>
                  <w:sz w:val="18"/>
                  <w:szCs w:val="18"/>
                  <w:color w:val="0000EE"/>
                </w:rPr>
                <w:t>Exhibits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9580" w:type="dxa"/>
            <w:vAlign w:val="bottom"/>
            <w:gridSpan w:val="16"/>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140" w:type="dxa"/>
            <w:vAlign w:val="bottom"/>
            <w:gridSpan w:val="22"/>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SIGNATURES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04"/>
        </w:trPr>
        <w:tc>
          <w:tcPr>
            <w:tcW w:w="1080" w:type="dxa"/>
            <w:vAlign w:val="bottom"/>
            <w:tcBorders>
              <w:top w:val="single" w:sz="8" w:color="0000EE"/>
            </w:tcBorders>
            <w:gridSpan w:val="5"/>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Exhibit Index</w:t>
              </w:r>
            </w:hyperlink>
          </w:p>
        </w:tc>
        <w:tc>
          <w:tcPr>
            <w:tcW w:w="10060" w:type="dxa"/>
            <w:vAlign w:val="bottom"/>
            <w:gridSpan w:val="17"/>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United Technologies Corporation and its subsidiaries’ names, abbreviations thereof, logos, and product and service designators are all either the registered or unregistered trademarks or tradenames of United Technologies Corporation and its subsidiaries. As used herein, the terms “we,” “us,” “our” or “UTC,” unless the context otherwise requires, mean United Technologies Corporation and its subsidiaries.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00" w:type="dxa"/>
            <w:vAlign w:val="bottom"/>
            <w:gridSpan w:val="5"/>
          </w:tcPr>
          <w:p>
            <w:pPr>
              <w:spacing w:after="0"/>
              <w:rPr>
                <w:sz w:val="20"/>
                <w:szCs w:val="20"/>
                <w:color w:val="auto"/>
              </w:rPr>
            </w:pPr>
            <w:r>
              <w:rPr>
                <w:rFonts w:ascii="Arial" w:cs="Arial" w:eastAsia="Arial" w:hAnsi="Arial"/>
                <w:sz w:val="18"/>
                <w:szCs w:val="18"/>
                <w:b w:val="1"/>
                <w:bCs w:val="1"/>
                <w:color w:val="auto"/>
              </w:rPr>
              <w:t>PART I – FINANCIAL INFORMATION</w:t>
            </w: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300" w:type="dxa"/>
            <w:vAlign w:val="bottom"/>
            <w:gridSpan w:val="3"/>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60" w:type="dxa"/>
            <w:vAlign w:val="bottom"/>
          </w:tcPr>
          <w:p>
            <w:pPr>
              <w:jc w:val="center"/>
              <w:spacing w:after="0"/>
              <w:rPr>
                <w:sz w:val="20"/>
                <w:szCs w:val="20"/>
                <w:color w:val="auto"/>
              </w:rPr>
            </w:pPr>
            <w:r>
              <w:rPr>
                <w:rFonts w:ascii="Arial" w:cs="Arial" w:eastAsia="Arial" w:hAnsi="Arial"/>
                <w:sz w:val="18"/>
                <w:szCs w:val="18"/>
                <w:b w:val="1"/>
                <w:bCs w:val="1"/>
                <w:color w:val="auto"/>
                <w:w w:val="99"/>
              </w:rPr>
              <w:t>UNITED TECHNOLOGIES CORPORATION</w:t>
            </w: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160" w:type="dxa"/>
            <w:vAlign w:val="bottom"/>
          </w:tcPr>
          <w:p>
            <w:pPr>
              <w:jc w:val="center"/>
              <w:spacing w:after="0"/>
              <w:rPr>
                <w:sz w:val="20"/>
                <w:szCs w:val="20"/>
                <w:color w:val="auto"/>
              </w:rPr>
            </w:pPr>
            <w:r>
              <w:rPr>
                <w:rFonts w:ascii="Arial" w:cs="Arial" w:eastAsia="Arial" w:hAnsi="Arial"/>
                <w:sz w:val="18"/>
                <w:szCs w:val="18"/>
                <w:b w:val="1"/>
                <w:bCs w:val="1"/>
                <w:color w:val="auto"/>
                <w:w w:val="96"/>
              </w:rPr>
              <w:t>AND SUBSIDIARIES</w:t>
            </w: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CONDENSED CONSOLIDATED STATEMENT OF OPERATIONS</w:t>
            </w: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60" w:type="dxa"/>
            <w:vAlign w:val="bottom"/>
          </w:tcPr>
          <w:p>
            <w:pPr>
              <w:jc w:val="center"/>
              <w:spacing w:after="0"/>
              <w:rPr>
                <w:sz w:val="20"/>
                <w:szCs w:val="20"/>
                <w:color w:val="auto"/>
              </w:rPr>
            </w:pPr>
            <w:r>
              <w:rPr>
                <w:rFonts w:ascii="Arial" w:cs="Arial" w:eastAsia="Arial" w:hAnsi="Arial"/>
                <w:sz w:val="18"/>
                <w:szCs w:val="18"/>
                <w:b w:val="1"/>
                <w:bCs w:val="1"/>
                <w:color w:val="auto"/>
                <w:w w:val="89"/>
              </w:rPr>
              <w:t>(Unaudited)</w:t>
            </w:r>
          </w:p>
        </w:tc>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830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(in millions of dollars, except per share amounts)</w:t>
            </w:r>
          </w:p>
        </w:tc>
        <w:tc>
          <w:tcPr>
            <w:tcW w:w="1560" w:type="dxa"/>
            <w:vAlign w:val="bottom"/>
          </w:tcPr>
          <w:p>
            <w:pPr>
              <w:spacing w:after="0"/>
              <w:rPr>
                <w:sz w:val="24"/>
                <w:szCs w:val="24"/>
                <w:color w:val="auto"/>
              </w:rPr>
            </w:pPr>
          </w:p>
        </w:tc>
        <w:tc>
          <w:tcPr>
            <w:tcW w:w="1580" w:type="dxa"/>
            <w:vAlign w:val="bottom"/>
            <w:gridSpan w:val="6"/>
          </w:tcPr>
          <w:p>
            <w:pPr>
              <w:ind w:left="80"/>
              <w:spacing w:after="0"/>
              <w:rPr>
                <w:sz w:val="20"/>
                <w:szCs w:val="20"/>
                <w:color w:val="auto"/>
              </w:rPr>
            </w:pPr>
            <w:r>
              <w:rPr>
                <w:rFonts w:ascii="Arial" w:cs="Arial" w:eastAsia="Arial" w:hAnsi="Arial"/>
                <w:sz w:val="14"/>
                <w:szCs w:val="14"/>
                <w:b w:val="1"/>
                <w:bCs w:val="1"/>
                <w:color w:val="auto"/>
                <w:w w:val="94"/>
              </w:rPr>
              <w:t>Quarter Ended June 30,</w:t>
            </w:r>
          </w:p>
        </w:tc>
        <w:tc>
          <w:tcPr>
            <w:tcW w:w="0" w:type="dxa"/>
            <w:vAlign w:val="bottom"/>
          </w:tcPr>
          <w:p>
            <w:pPr>
              <w:spacing w:after="0"/>
              <w:rPr>
                <w:sz w:val="1"/>
                <w:szCs w:val="1"/>
                <w:color w:val="auto"/>
              </w:rPr>
            </w:pPr>
          </w:p>
        </w:tc>
      </w:tr>
      <w:tr>
        <w:trPr>
          <w:trHeight w:val="142"/>
        </w:trPr>
        <w:tc>
          <w:tcPr>
            <w:tcW w:w="8300" w:type="dxa"/>
            <w:vAlign w:val="bottom"/>
            <w:gridSpan w:val="5"/>
            <w:vMerge w:val="continue"/>
          </w:tcPr>
          <w:p>
            <w:pPr>
              <w:spacing w:after="0"/>
              <w:rPr>
                <w:sz w:val="12"/>
                <w:szCs w:val="12"/>
                <w:color w:val="auto"/>
              </w:rPr>
            </w:pPr>
          </w:p>
        </w:tc>
        <w:tc>
          <w:tcPr>
            <w:tcW w:w="15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tcPr>
          <w:p>
            <w:pPr>
              <w:ind w:left="420"/>
              <w:spacing w:after="0"/>
              <w:rPr>
                <w:sz w:val="20"/>
                <w:szCs w:val="20"/>
                <w:color w:val="auto"/>
              </w:rPr>
            </w:pPr>
            <w:r>
              <w:rPr>
                <w:rFonts w:ascii="Arial" w:cs="Arial" w:eastAsia="Arial" w:hAnsi="Arial"/>
                <w:sz w:val="18"/>
                <w:szCs w:val="18"/>
                <w:color w:val="auto"/>
              </w:rPr>
              <w:t>Product sales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9,327</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11,657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Service sales</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80" w:type="dxa"/>
            <w:vAlign w:val="bottom"/>
            <w:gridSpan w:val="4"/>
          </w:tcPr>
          <w:p>
            <w:pPr>
              <w:ind w:left="420"/>
              <w:spacing w:after="0"/>
              <w:rPr>
                <w:sz w:val="20"/>
                <w:szCs w:val="20"/>
                <w:color w:val="auto"/>
              </w:rPr>
            </w:pPr>
            <w:r>
              <w:rPr>
                <w:rFonts w:ascii="Arial" w:cs="Arial" w:eastAsia="Arial" w:hAnsi="Arial"/>
                <w:sz w:val="18"/>
                <w:szCs w:val="18"/>
                <w:color w:val="auto"/>
              </w:rPr>
              <w:t>Other income, net</w:t>
            </w:r>
          </w:p>
        </w:tc>
        <w:tc>
          <w:tcPr>
            <w:tcW w:w="1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13,196</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15,944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8300" w:type="dxa"/>
            <w:vAlign w:val="bottom"/>
            <w:gridSpan w:val="5"/>
          </w:tcPr>
          <w:p>
            <w:pPr>
              <w:spacing w:after="0"/>
              <w:rPr>
                <w:sz w:val="20"/>
                <w:szCs w:val="20"/>
                <w:color w:val="auto"/>
              </w:rPr>
            </w:pPr>
            <w:r>
              <w:rPr>
                <w:rFonts w:ascii="Arial" w:cs="Arial" w:eastAsia="Arial" w:hAnsi="Arial"/>
                <w:sz w:val="18"/>
                <w:szCs w:val="18"/>
                <w:color w:val="auto"/>
              </w:rPr>
              <w:t>Costs and Expenses:</w:t>
            </w: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Cost of products sold</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tcPr>
          <w:p>
            <w:pPr>
              <w:ind w:left="420"/>
              <w:spacing w:after="0"/>
              <w:rPr>
                <w:sz w:val="20"/>
                <w:szCs w:val="20"/>
                <w:color w:val="auto"/>
              </w:rPr>
            </w:pPr>
            <w:r>
              <w:rPr>
                <w:rFonts w:ascii="Arial" w:cs="Arial" w:eastAsia="Arial" w:hAnsi="Arial"/>
                <w:sz w:val="18"/>
                <w:szCs w:val="18"/>
                <w:color w:val="auto"/>
              </w:rPr>
              <w:t>Cost of services sold</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2,490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80" w:type="dxa"/>
            <w:vAlign w:val="bottom"/>
            <w:gridSpan w:val="4"/>
          </w:tcPr>
          <w:p>
            <w:pPr>
              <w:ind w:left="420"/>
              <w:spacing w:after="0"/>
              <w:rPr>
                <w:sz w:val="20"/>
                <w:szCs w:val="20"/>
                <w:color w:val="auto"/>
              </w:rPr>
            </w:pPr>
            <w:r>
              <w:rPr>
                <w:rFonts w:ascii="Arial" w:cs="Arial" w:eastAsia="Arial" w:hAnsi="Arial"/>
                <w:sz w:val="18"/>
                <w:szCs w:val="18"/>
                <w:color w:val="auto"/>
              </w:rPr>
              <w:t>Selling, general and administrative</w:t>
            </w:r>
          </w:p>
        </w:tc>
        <w:tc>
          <w:tcPr>
            <w:tcW w:w="1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1,574</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0" w:type="dxa"/>
            <w:vAlign w:val="bottom"/>
          </w:tcPr>
          <w:p>
            <w:pPr>
              <w:ind w:left="420"/>
              <w:spacing w:after="0"/>
              <w:rPr>
                <w:sz w:val="20"/>
                <w:szCs w:val="20"/>
                <w:color w:val="auto"/>
              </w:rPr>
            </w:pPr>
            <w:r>
              <w:rPr>
                <w:rFonts w:ascii="Arial" w:cs="Arial" w:eastAsia="Arial" w:hAnsi="Arial"/>
                <w:sz w:val="18"/>
                <w:szCs w:val="18"/>
                <w:color w:val="auto"/>
                <w:w w:val="89"/>
              </w:rPr>
              <w:t>Interest</w:t>
            </w:r>
          </w:p>
        </w:tc>
        <w:tc>
          <w:tcPr>
            <w:tcW w:w="2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80" w:type="dxa"/>
            <w:vAlign w:val="bottom"/>
            <w:gridSpan w:val="4"/>
          </w:tcPr>
          <w:p>
            <w:pPr>
              <w:ind w:left="420"/>
              <w:spacing w:after="0"/>
              <w:rPr>
                <w:sz w:val="20"/>
                <w:szCs w:val="20"/>
                <w:color w:val="auto"/>
              </w:rPr>
            </w:pPr>
            <w:r>
              <w:rPr>
                <w:rFonts w:ascii="Arial" w:cs="Arial" w:eastAsia="Arial" w:hAnsi="Arial"/>
                <w:sz w:val="18"/>
                <w:szCs w:val="18"/>
                <w:color w:val="auto"/>
              </w:rPr>
              <w:t>Income tax expense</w:t>
            </w:r>
          </w:p>
        </w:tc>
        <w:tc>
          <w:tcPr>
            <w:tcW w:w="1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80" w:type="dxa"/>
            <w:vAlign w:val="bottom"/>
            <w:gridSpan w:val="4"/>
          </w:tcPr>
          <w:p>
            <w:pPr>
              <w:ind w:left="420"/>
              <w:spacing w:after="0"/>
              <w:rPr>
                <w:sz w:val="20"/>
                <w:szCs w:val="20"/>
                <w:color w:val="auto"/>
              </w:rPr>
            </w:pPr>
            <w:r>
              <w:rPr>
                <w:rFonts w:ascii="Arial" w:cs="Arial" w:eastAsia="Arial" w:hAnsi="Arial"/>
                <w:sz w:val="18"/>
                <w:szCs w:val="18"/>
                <w:color w:val="auto"/>
              </w:rPr>
              <w:t>Less: Noncontrolling interest in subsidiaries’ earnings</w:t>
            </w:r>
          </w:p>
        </w:tc>
        <w:tc>
          <w:tcPr>
            <w:tcW w:w="1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 attributable to common shareowners</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00" w:type="dxa"/>
            <w:vAlign w:val="bottom"/>
            <w:gridSpan w:val="5"/>
            <w:vMerge w:val="restart"/>
          </w:tcPr>
          <w:p>
            <w:pPr>
              <w:spacing w:after="0"/>
              <w:rPr>
                <w:sz w:val="20"/>
                <w:szCs w:val="20"/>
                <w:color w:val="auto"/>
              </w:rPr>
            </w:pPr>
            <w:r>
              <w:rPr>
                <w:rFonts w:ascii="Arial" w:cs="Arial" w:eastAsia="Arial" w:hAnsi="Arial"/>
                <w:sz w:val="18"/>
                <w:szCs w:val="18"/>
                <w:color w:val="auto"/>
              </w:rPr>
              <w:t>Earnings Per Share of Common Stock:</w:t>
            </w:r>
          </w:p>
        </w:tc>
        <w:tc>
          <w:tcPr>
            <w:tcW w:w="1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8300" w:type="dxa"/>
            <w:vAlign w:val="bottom"/>
            <w:gridSpan w:val="5"/>
            <w:vMerge w:val="continue"/>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80" w:type="dxa"/>
            <w:vAlign w:val="bottom"/>
          </w:tcPr>
          <w:p>
            <w:pPr>
              <w:ind w:left="420"/>
              <w:spacing w:after="0"/>
              <w:rPr>
                <w:sz w:val="20"/>
                <w:szCs w:val="20"/>
                <w:color w:val="auto"/>
              </w:rPr>
            </w:pPr>
            <w:r>
              <w:rPr>
                <w:rFonts w:ascii="Arial" w:cs="Arial" w:eastAsia="Arial" w:hAnsi="Arial"/>
                <w:sz w:val="18"/>
                <w:szCs w:val="18"/>
                <w:color w:val="auto"/>
                <w:w w:val="96"/>
              </w:rPr>
              <w:t>Diluted</w:t>
            </w:r>
          </w:p>
        </w:tc>
        <w:tc>
          <w:tcPr>
            <w:tcW w:w="2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1.05</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80" w:type="dxa"/>
            <w:vAlign w:val="bottom"/>
            <w:gridSpan w:val="2"/>
          </w:tcPr>
          <w:p>
            <w:pPr>
              <w:spacing w:after="0"/>
              <w:rPr>
                <w:sz w:val="8"/>
                <w:szCs w:val="8"/>
                <w:color w:val="auto"/>
              </w:rPr>
            </w:pPr>
          </w:p>
        </w:tc>
        <w:tc>
          <w:tcPr>
            <w:tcW w:w="140" w:type="dxa"/>
            <w:vAlign w:val="bottom"/>
          </w:tcPr>
          <w:p>
            <w:pPr>
              <w:spacing w:after="0"/>
              <w:rPr>
                <w:sz w:val="8"/>
                <w:szCs w:val="8"/>
                <w:color w:val="auto"/>
              </w:rPr>
            </w:pPr>
          </w:p>
        </w:tc>
        <w:tc>
          <w:tcPr>
            <w:tcW w:w="51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Dividends per share of Common Stock</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300" w:type="dxa"/>
            <w:vAlign w:val="bottom"/>
            <w:gridSpan w:val="5"/>
          </w:tcPr>
          <w:p>
            <w:pPr>
              <w:spacing w:after="0"/>
              <w:rPr>
                <w:sz w:val="20"/>
                <w:szCs w:val="20"/>
                <w:color w:val="auto"/>
              </w:rPr>
            </w:pPr>
            <w:r>
              <w:rPr>
                <w:rFonts w:ascii="Arial" w:cs="Arial" w:eastAsia="Arial" w:hAnsi="Arial"/>
                <w:sz w:val="18"/>
                <w:szCs w:val="18"/>
                <w:color w:val="auto"/>
              </w:rPr>
              <w:t>Average number of shares outstanding:</w:t>
            </w: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80" w:type="dxa"/>
            <w:vAlign w:val="bottom"/>
          </w:tcPr>
          <w:p>
            <w:pPr>
              <w:ind w:left="420"/>
              <w:spacing w:after="0"/>
              <w:rPr>
                <w:sz w:val="20"/>
                <w:szCs w:val="20"/>
                <w:color w:val="auto"/>
              </w:rPr>
            </w:pPr>
            <w:r>
              <w:rPr>
                <w:rFonts w:ascii="Arial" w:cs="Arial" w:eastAsia="Arial" w:hAnsi="Arial"/>
                <w:sz w:val="18"/>
                <w:szCs w:val="18"/>
                <w:color w:val="auto"/>
                <w:w w:val="96"/>
              </w:rPr>
              <w:t>Diluted</w:t>
            </w:r>
          </w:p>
        </w:tc>
        <w:tc>
          <w:tcPr>
            <w:tcW w:w="2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929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 except per share amounts)</w:t>
            </w:r>
          </w:p>
        </w:tc>
        <w:tc>
          <w:tcPr>
            <w:tcW w:w="1740" w:type="dxa"/>
            <w:vAlign w:val="bottom"/>
            <w:gridSpan w:val="7"/>
          </w:tcPr>
          <w:p>
            <w:pPr>
              <w:ind w:left="80"/>
              <w:spacing w:after="0"/>
              <w:rPr>
                <w:sz w:val="20"/>
                <w:szCs w:val="20"/>
                <w:color w:val="auto"/>
              </w:rPr>
            </w:pPr>
            <w:r>
              <w:rPr>
                <w:rFonts w:ascii="Arial" w:cs="Arial" w:eastAsia="Arial" w:hAnsi="Arial"/>
                <w:sz w:val="14"/>
                <w:szCs w:val="14"/>
                <w:b w:val="1"/>
                <w:bCs w:val="1"/>
                <w:color w:val="auto"/>
                <w:w w:val="90"/>
              </w:rPr>
              <w:t>Six Months Ended June 30,</w:t>
            </w:r>
          </w:p>
        </w:tc>
        <w:tc>
          <w:tcPr>
            <w:tcW w:w="0" w:type="dxa"/>
            <w:vAlign w:val="bottom"/>
          </w:tcPr>
          <w:p>
            <w:pPr>
              <w:spacing w:after="0"/>
              <w:rPr>
                <w:sz w:val="1"/>
                <w:szCs w:val="1"/>
                <w:color w:val="auto"/>
              </w:rPr>
            </w:pPr>
          </w:p>
        </w:tc>
      </w:tr>
      <w:tr>
        <w:trPr>
          <w:trHeight w:val="142"/>
        </w:trPr>
        <w:tc>
          <w:tcPr>
            <w:tcW w:w="9700" w:type="dxa"/>
            <w:vAlign w:val="bottom"/>
            <w:gridSpan w:val="3"/>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67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tcPr>
          <w:p>
            <w:pPr>
              <w:ind w:left="420"/>
              <w:spacing w:after="0"/>
              <w:rPr>
                <w:sz w:val="20"/>
                <w:szCs w:val="20"/>
                <w:color w:val="auto"/>
              </w:rPr>
            </w:pPr>
            <w:r>
              <w:rPr>
                <w:rFonts w:ascii="Arial" w:cs="Arial" w:eastAsia="Arial" w:hAnsi="Arial"/>
                <w:sz w:val="18"/>
                <w:szCs w:val="18"/>
                <w:color w:val="auto"/>
              </w:rPr>
              <w:t>Product sales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17,989</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21,602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Service sales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7,270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tcPr>
          <w:p>
            <w:pPr>
              <w:ind w:left="420"/>
              <w:spacing w:after="0"/>
              <w:rPr>
                <w:sz w:val="20"/>
                <w:szCs w:val="20"/>
                <w:color w:val="auto"/>
              </w:rPr>
            </w:pPr>
            <w:r>
              <w:rPr>
                <w:rFonts w:ascii="Arial" w:cs="Arial" w:eastAsia="Arial" w:hAnsi="Arial"/>
                <w:sz w:val="18"/>
                <w:szCs w:val="18"/>
                <w:color w:val="auto"/>
              </w:rPr>
              <w:t>Other income, net</w:t>
            </w:r>
          </w:p>
        </w:tc>
        <w:tc>
          <w:tcPr>
            <w:tcW w:w="1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25,445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9700" w:type="dxa"/>
            <w:vAlign w:val="bottom"/>
            <w:gridSpan w:val="3"/>
          </w:tcPr>
          <w:p>
            <w:pPr>
              <w:spacing w:after="0"/>
              <w:rPr>
                <w:sz w:val="20"/>
                <w:szCs w:val="20"/>
                <w:color w:val="auto"/>
              </w:rPr>
            </w:pPr>
            <w:r>
              <w:rPr>
                <w:rFonts w:ascii="Arial" w:cs="Arial" w:eastAsia="Arial" w:hAnsi="Arial"/>
                <w:sz w:val="18"/>
                <w:szCs w:val="18"/>
                <w:color w:val="auto"/>
              </w:rPr>
              <w:t>Costs and Expenses:</w:t>
            </w:r>
          </w:p>
        </w:tc>
        <w:tc>
          <w:tcPr>
            <w:tcW w:w="1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Cost of products sold</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13,867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tcPr>
          <w:p>
            <w:pPr>
              <w:ind w:left="420"/>
              <w:spacing w:after="0"/>
              <w:rPr>
                <w:sz w:val="20"/>
                <w:szCs w:val="20"/>
                <w:color w:val="auto"/>
              </w:rPr>
            </w:pPr>
            <w:r>
              <w:rPr>
                <w:rFonts w:ascii="Arial" w:cs="Arial" w:eastAsia="Arial" w:hAnsi="Arial"/>
                <w:sz w:val="18"/>
                <w:szCs w:val="18"/>
                <w:color w:val="auto"/>
              </w:rPr>
              <w:t>Cost of services sold</w:t>
            </w:r>
          </w:p>
        </w:tc>
        <w:tc>
          <w:tcPr>
            <w:tcW w:w="1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4,841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tcPr>
          <w:p>
            <w:pPr>
              <w:ind w:left="42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3,057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8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2,887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tcPr>
          <w:p>
            <w:pPr>
              <w:ind w:left="420"/>
              <w:spacing w:after="0"/>
              <w:rPr>
                <w:sz w:val="20"/>
                <w:szCs w:val="20"/>
                <w:color w:val="auto"/>
              </w:rPr>
            </w:pPr>
            <w:r>
              <w:rPr>
                <w:rFonts w:ascii="Arial" w:cs="Arial" w:eastAsia="Arial" w:hAnsi="Arial"/>
                <w:sz w:val="18"/>
                <w:szCs w:val="18"/>
                <w:color w:val="auto"/>
              </w:rPr>
              <w:t>Interest</w:t>
            </w:r>
          </w:p>
        </w:tc>
        <w:tc>
          <w:tcPr>
            <w:tcW w:w="1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8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2,535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tcPr>
          <w:p>
            <w:pPr>
              <w:ind w:left="42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8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tcPr>
          <w:p>
            <w:pPr>
              <w:ind w:left="420"/>
              <w:spacing w:after="0"/>
              <w:rPr>
                <w:sz w:val="20"/>
                <w:szCs w:val="20"/>
                <w:color w:val="auto"/>
              </w:rPr>
            </w:pPr>
            <w:r>
              <w:rPr>
                <w:rFonts w:ascii="Arial" w:cs="Arial" w:eastAsia="Arial" w:hAnsi="Arial"/>
                <w:sz w:val="18"/>
                <w:szCs w:val="18"/>
                <w:color w:val="auto"/>
              </w:rPr>
              <w:t>Less: Noncontrolling interest in subsidiaries’ earnings</w:t>
            </w:r>
          </w:p>
        </w:tc>
        <w:tc>
          <w:tcPr>
            <w:tcW w:w="1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8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common shareowners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700" w:type="dxa"/>
            <w:vAlign w:val="bottom"/>
            <w:gridSpan w:val="3"/>
            <w:vMerge w:val="restart"/>
          </w:tcPr>
          <w:p>
            <w:pPr>
              <w:spacing w:after="0"/>
              <w:rPr>
                <w:sz w:val="20"/>
                <w:szCs w:val="20"/>
                <w:color w:val="auto"/>
              </w:rPr>
            </w:pPr>
            <w:r>
              <w:rPr>
                <w:rFonts w:ascii="Arial" w:cs="Arial" w:eastAsia="Arial" w:hAnsi="Arial"/>
                <w:sz w:val="18"/>
                <w:szCs w:val="18"/>
                <w:color w:val="auto"/>
              </w:rPr>
              <w:t>Earnings Per Share of Common Stock:</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970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80" w:type="dxa"/>
            <w:vAlign w:val="bottom"/>
            <w:gridSpan w:val="2"/>
          </w:tcPr>
          <w:p>
            <w:pPr>
              <w:ind w:left="420"/>
              <w:spacing w:after="0"/>
              <w:rPr>
                <w:sz w:val="20"/>
                <w:szCs w:val="20"/>
                <w:color w:val="auto"/>
              </w:rPr>
            </w:pPr>
            <w:r>
              <w:rPr>
                <w:rFonts w:ascii="Arial" w:cs="Arial" w:eastAsia="Arial" w:hAnsi="Arial"/>
                <w:sz w:val="18"/>
                <w:szCs w:val="18"/>
                <w:color w:val="auto"/>
              </w:rPr>
              <w:t>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1.83</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80" w:type="dxa"/>
            <w:vAlign w:val="bottom"/>
          </w:tcPr>
          <w:p>
            <w:pPr>
              <w:spacing w:after="0"/>
              <w:rPr>
                <w:sz w:val="8"/>
                <w:szCs w:val="8"/>
                <w:color w:val="auto"/>
              </w:rPr>
            </w:pPr>
          </w:p>
        </w:tc>
        <w:tc>
          <w:tcPr>
            <w:tcW w:w="6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per share of Common Stock</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700" w:type="dxa"/>
            <w:vAlign w:val="bottom"/>
            <w:gridSpan w:val="3"/>
          </w:tcPr>
          <w:p>
            <w:pPr>
              <w:spacing w:after="0"/>
              <w:rPr>
                <w:sz w:val="20"/>
                <w:szCs w:val="20"/>
                <w:color w:val="auto"/>
              </w:rPr>
            </w:pPr>
            <w:r>
              <w:rPr>
                <w:rFonts w:ascii="Arial" w:cs="Arial" w:eastAsia="Arial" w:hAnsi="Arial"/>
                <w:sz w:val="18"/>
                <w:szCs w:val="18"/>
                <w:color w:val="auto"/>
              </w:rPr>
              <w:t>Average number of shares outstanding:</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80" w:type="dxa"/>
            <w:vAlign w:val="bottom"/>
            <w:gridSpan w:val="2"/>
          </w:tcPr>
          <w:p>
            <w:pPr>
              <w:ind w:left="42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08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6"/>
              </w:rPr>
              <w:t>June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9440" w:type="dxa"/>
            <w:vAlign w:val="bottom"/>
            <w:gridSpan w:val="7"/>
          </w:tcPr>
          <w:p>
            <w:pPr>
              <w:spacing w:after="0"/>
              <w:rPr>
                <w:sz w:val="20"/>
                <w:szCs w:val="20"/>
                <w:color w:val="auto"/>
              </w:rPr>
            </w:pPr>
            <w:r>
              <w:rPr>
                <w:rFonts w:ascii="Arial" w:cs="Arial" w:eastAsia="Arial" w:hAnsi="Arial"/>
                <w:sz w:val="14"/>
                <w:szCs w:val="14"/>
                <w:b w:val="1"/>
                <w:bCs w:val="1"/>
                <w:color w:val="auto"/>
              </w:rPr>
              <w:t>(in millions of dollars)</w:t>
            </w:r>
          </w:p>
        </w:tc>
        <w:tc>
          <w:tcPr>
            <w:tcW w:w="100" w:type="dxa"/>
            <w:vAlign w:val="bottom"/>
          </w:tcPr>
          <w:p>
            <w:pPr>
              <w:spacing w:after="0"/>
              <w:rPr>
                <w:sz w:val="14"/>
                <w:szCs w:val="14"/>
                <w:color w:val="auto"/>
              </w:rPr>
            </w:pPr>
          </w:p>
        </w:tc>
        <w:tc>
          <w:tcPr>
            <w:tcW w:w="540" w:type="dxa"/>
            <w:vAlign w:val="bottom"/>
          </w:tcPr>
          <w:p>
            <w:pPr>
              <w:jc w:val="right"/>
              <w:ind w:right="93"/>
              <w:spacing w:after="0"/>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93"/>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190"/>
        </w:trPr>
        <w:tc>
          <w:tcPr>
            <w:tcW w:w="20" w:type="dxa"/>
            <w:vAlign w:val="bottom"/>
          </w:tcPr>
          <w:p>
            <w:pPr>
              <w:spacing w:after="0"/>
              <w:rPr>
                <w:sz w:val="16"/>
                <w:szCs w:val="16"/>
                <w:color w:val="auto"/>
              </w:rPr>
            </w:pPr>
          </w:p>
        </w:tc>
        <w:tc>
          <w:tcPr>
            <w:tcW w:w="1340" w:type="dxa"/>
            <w:vAlign w:val="bottom"/>
            <w:tcBorders>
              <w:top w:val="single" w:sz="8" w:color="auto"/>
              <w:bottom w:val="single" w:sz="8" w:color="CCEEFF"/>
            </w:tcBorders>
            <w:shd w:val="clear" w:color="auto" w:fill="CCEEFF"/>
          </w:tcPr>
          <w:p>
            <w:pPr>
              <w:spacing w:after="0"/>
              <w:rPr>
                <w:sz w:val="16"/>
                <w:szCs w:val="16"/>
                <w:color w:val="auto"/>
              </w:rPr>
            </w:pPr>
          </w:p>
        </w:tc>
        <w:tc>
          <w:tcPr>
            <w:tcW w:w="23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b w:val="1"/>
                <w:bCs w:val="1"/>
                <w:color w:val="auto"/>
                <w:w w:val="81"/>
              </w:rPr>
              <w:t>Assets</w:t>
            </w:r>
          </w:p>
        </w:tc>
        <w:tc>
          <w:tcPr>
            <w:tcW w:w="4640" w:type="dxa"/>
            <w:vAlign w:val="bottom"/>
            <w:tcBorders>
              <w:bottom w:val="single" w:sz="8" w:color="CCEEFF"/>
            </w:tcBorders>
            <w:gridSpan w:val="2"/>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9420" w:type="dxa"/>
            <w:vAlign w:val="bottom"/>
            <w:gridSpan w:val="6"/>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4,016</w:t>
            </w:r>
          </w:p>
        </w:tc>
        <w:tc>
          <w:tcPr>
            <w:tcW w:w="4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4,327</w:t>
            </w:r>
          </w:p>
        </w:tc>
      </w:tr>
      <w:tr>
        <w:trPr>
          <w:trHeight w:val="216"/>
        </w:trPr>
        <w:tc>
          <w:tcPr>
            <w:tcW w:w="20" w:type="dxa"/>
            <w:vAlign w:val="bottom"/>
          </w:tcPr>
          <w:p>
            <w:pPr>
              <w:spacing w:after="0"/>
              <w:rPr>
                <w:sz w:val="18"/>
                <w:szCs w:val="18"/>
                <w:color w:val="auto"/>
              </w:rPr>
            </w:pPr>
          </w:p>
        </w:tc>
        <w:tc>
          <w:tcPr>
            <w:tcW w:w="94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8,522</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9,480</w:t>
            </w:r>
          </w:p>
        </w:tc>
      </w:tr>
      <w:tr>
        <w:trPr>
          <w:trHeight w:val="216"/>
        </w:trPr>
        <w:tc>
          <w:tcPr>
            <w:tcW w:w="20" w:type="dxa"/>
            <w:vAlign w:val="bottom"/>
          </w:tcPr>
          <w:p>
            <w:pPr>
              <w:spacing w:after="0"/>
              <w:rPr>
                <w:sz w:val="18"/>
                <w:szCs w:val="18"/>
                <w:color w:val="auto"/>
              </w:rPr>
            </w:pPr>
          </w:p>
        </w:tc>
        <w:tc>
          <w:tcPr>
            <w:tcW w:w="9420" w:type="dxa"/>
            <w:vAlign w:val="bottom"/>
            <w:gridSpan w:val="6"/>
          </w:tcPr>
          <w:p>
            <w:pPr>
              <w:spacing w:after="0"/>
              <w:rPr>
                <w:sz w:val="20"/>
                <w:szCs w:val="20"/>
                <w:color w:val="auto"/>
              </w:rPr>
            </w:pPr>
            <w:r>
              <w:rPr>
                <w:rFonts w:ascii="Arial" w:cs="Arial" w:eastAsia="Arial" w:hAnsi="Arial"/>
                <w:sz w:val="18"/>
                <w:szCs w:val="18"/>
                <w:color w:val="auto"/>
              </w:rPr>
              <w:t>Inventories and contracts in progress, net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8,539</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8,340</w:t>
            </w:r>
          </w:p>
        </w:tc>
      </w:tr>
      <w:tr>
        <w:trPr>
          <w:trHeight w:val="216"/>
        </w:trPr>
        <w:tc>
          <w:tcPr>
            <w:tcW w:w="20" w:type="dxa"/>
            <w:vAlign w:val="bottom"/>
          </w:tcPr>
          <w:p>
            <w:pPr>
              <w:spacing w:after="0"/>
              <w:rPr>
                <w:sz w:val="18"/>
                <w:szCs w:val="18"/>
                <w:color w:val="auto"/>
              </w:rPr>
            </w:pPr>
          </w:p>
        </w:tc>
        <w:tc>
          <w:tcPr>
            <w:tcW w:w="94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Future income tax benefits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1,551</w:t>
            </w:r>
          </w:p>
        </w:tc>
      </w:tr>
      <w:tr>
        <w:trPr>
          <w:trHeight w:val="223"/>
        </w:trPr>
        <w:tc>
          <w:tcPr>
            <w:tcW w:w="20" w:type="dxa"/>
            <w:vAlign w:val="bottom"/>
          </w:tcPr>
          <w:p>
            <w:pPr>
              <w:spacing w:after="0"/>
              <w:rPr>
                <w:sz w:val="19"/>
                <w:szCs w:val="19"/>
                <w:color w:val="auto"/>
              </w:rPr>
            </w:pPr>
          </w:p>
        </w:tc>
        <w:tc>
          <w:tcPr>
            <w:tcW w:w="9420" w:type="dxa"/>
            <w:vAlign w:val="bottom"/>
            <w:gridSpan w:val="6"/>
          </w:tcPr>
          <w:p>
            <w:pPr>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420" w:type="dxa"/>
            <w:vAlign w:val="bottom"/>
            <w:gridSpan w:val="6"/>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23,636</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24,467</w:t>
            </w:r>
          </w:p>
        </w:tc>
        <w:tc>
          <w:tcPr>
            <w:tcW w:w="100" w:type="dxa"/>
            <w:vAlign w:val="bottom"/>
            <w:shd w:val="clear" w:color="auto" w:fill="CCEEFF"/>
          </w:tcPr>
          <w:p>
            <w:pPr>
              <w:spacing w:after="0"/>
              <w:rPr>
                <w:sz w:val="18"/>
                <w:szCs w:val="18"/>
                <w:color w:val="auto"/>
              </w:rPr>
            </w:pPr>
          </w:p>
        </w:tc>
      </w:tr>
      <w:tr>
        <w:trPr>
          <w:trHeight w:val="221"/>
        </w:trPr>
        <w:tc>
          <w:tcPr>
            <w:tcW w:w="9440" w:type="dxa"/>
            <w:vAlign w:val="bottom"/>
            <w:gridSpan w:val="7"/>
          </w:tcPr>
          <w:p>
            <w:pPr>
              <w:spacing w:after="0"/>
              <w:rPr>
                <w:sz w:val="20"/>
                <w:szCs w:val="20"/>
                <w:color w:val="auto"/>
              </w:rPr>
            </w:pPr>
            <w:r>
              <w:rPr>
                <w:rFonts w:ascii="Arial" w:cs="Arial" w:eastAsia="Arial" w:hAnsi="Arial"/>
                <w:sz w:val="18"/>
                <w:szCs w:val="18"/>
                <w:color w:val="auto"/>
              </w:rPr>
              <w:t>Customer financing assets</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1,029</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1,002</w:t>
            </w:r>
          </w:p>
        </w:tc>
      </w:tr>
      <w:tr>
        <w:trPr>
          <w:trHeight w:val="218"/>
        </w:trPr>
        <w:tc>
          <w:tcPr>
            <w:tcW w:w="20" w:type="dxa"/>
            <w:vAlign w:val="bottom"/>
          </w:tcPr>
          <w:p>
            <w:pPr>
              <w:spacing w:after="0"/>
              <w:rPr>
                <w:sz w:val="18"/>
                <w:szCs w:val="18"/>
                <w:color w:val="auto"/>
              </w:rPr>
            </w:pPr>
          </w:p>
        </w:tc>
        <w:tc>
          <w:tcPr>
            <w:tcW w:w="94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Future income tax benefits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3,451</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3,633</w:t>
            </w:r>
          </w:p>
        </w:tc>
      </w:tr>
      <w:tr>
        <w:trPr>
          <w:trHeight w:val="216"/>
        </w:trPr>
        <w:tc>
          <w:tcPr>
            <w:tcW w:w="20" w:type="dxa"/>
            <w:vAlign w:val="bottom"/>
          </w:tcPr>
          <w:p>
            <w:pPr>
              <w:spacing w:after="0"/>
              <w:rPr>
                <w:sz w:val="18"/>
                <w:szCs w:val="18"/>
                <w:color w:val="auto"/>
              </w:rPr>
            </w:pPr>
          </w:p>
        </w:tc>
        <w:tc>
          <w:tcPr>
            <w:tcW w:w="9420" w:type="dxa"/>
            <w:vAlign w:val="bottom"/>
            <w:gridSpan w:val="6"/>
          </w:tcPr>
          <w:p>
            <w:pPr>
              <w:spacing w:after="0"/>
              <w:rPr>
                <w:sz w:val="20"/>
                <w:szCs w:val="20"/>
                <w:color w:val="auto"/>
              </w:rPr>
            </w:pPr>
            <w:r>
              <w:rPr>
                <w:rFonts w:ascii="Arial" w:cs="Arial" w:eastAsia="Arial" w:hAnsi="Arial"/>
                <w:sz w:val="18"/>
                <w:szCs w:val="18"/>
                <w:color w:val="auto"/>
              </w:rPr>
              <w:t>Fixed assets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15,077</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15,106</w:t>
            </w:r>
          </w:p>
        </w:tc>
      </w:tr>
      <w:tr>
        <w:trPr>
          <w:trHeight w:val="216"/>
        </w:trPr>
        <w:tc>
          <w:tcPr>
            <w:tcW w:w="20" w:type="dxa"/>
            <w:vAlign w:val="bottom"/>
          </w:tcPr>
          <w:p>
            <w:pPr>
              <w:spacing w:after="0"/>
              <w:rPr>
                <w:sz w:val="18"/>
                <w:szCs w:val="18"/>
                <w:color w:val="auto"/>
              </w:rPr>
            </w:pPr>
          </w:p>
        </w:tc>
        <w:tc>
          <w:tcPr>
            <w:tcW w:w="942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Less: Accumulated depreciation</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(8,898)</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(8,758)</w:t>
            </w:r>
          </w:p>
        </w:tc>
      </w:tr>
      <w:tr>
        <w:trPr>
          <w:trHeight w:val="230"/>
        </w:trPr>
        <w:tc>
          <w:tcPr>
            <w:tcW w:w="20" w:type="dxa"/>
            <w:vAlign w:val="bottom"/>
          </w:tcPr>
          <w:p>
            <w:pPr>
              <w:spacing w:after="0"/>
              <w:rPr>
                <w:sz w:val="20"/>
                <w:szCs w:val="20"/>
                <w:color w:val="auto"/>
              </w:rPr>
            </w:pPr>
          </w:p>
        </w:tc>
        <w:tc>
          <w:tcPr>
            <w:tcW w:w="9420" w:type="dxa"/>
            <w:vAlign w:val="bottom"/>
            <w:gridSpan w:val="6"/>
          </w:tcPr>
          <w:p>
            <w:pPr>
              <w:ind w:left="420"/>
              <w:spacing w:after="0"/>
              <w:rPr>
                <w:sz w:val="20"/>
                <w:szCs w:val="20"/>
                <w:color w:val="auto"/>
              </w:rPr>
            </w:pPr>
            <w:r>
              <w:rPr>
                <w:rFonts w:ascii="Arial" w:cs="Arial" w:eastAsia="Arial" w:hAnsi="Arial"/>
                <w:sz w:val="18"/>
                <w:szCs w:val="18"/>
                <w:color w:val="auto"/>
              </w:rPr>
              <w:t>Net Fixed Assets</w:t>
            </w: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6,179</w:t>
            </w:r>
          </w:p>
        </w:tc>
        <w:tc>
          <w:tcPr>
            <w:tcW w:w="4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6,348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4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15,754</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15,363</w:t>
            </w:r>
          </w:p>
        </w:tc>
      </w:tr>
      <w:tr>
        <w:trPr>
          <w:trHeight w:val="216"/>
        </w:trPr>
        <w:tc>
          <w:tcPr>
            <w:tcW w:w="20" w:type="dxa"/>
            <w:vAlign w:val="bottom"/>
          </w:tcPr>
          <w:p>
            <w:pPr>
              <w:spacing w:after="0"/>
              <w:rPr>
                <w:sz w:val="18"/>
                <w:szCs w:val="18"/>
                <w:color w:val="auto"/>
              </w:rPr>
            </w:pPr>
          </w:p>
        </w:tc>
        <w:tc>
          <w:tcPr>
            <w:tcW w:w="9420" w:type="dxa"/>
            <w:vAlign w:val="bottom"/>
            <w:gridSpan w:val="6"/>
          </w:tcPr>
          <w:p>
            <w:pPr>
              <w:spacing w:after="0"/>
              <w:rPr>
                <w:sz w:val="20"/>
                <w:szCs w:val="20"/>
                <w:color w:val="auto"/>
              </w:rPr>
            </w:pPr>
            <w:r>
              <w:rPr>
                <w:rFonts w:ascii="Arial" w:cs="Arial" w:eastAsia="Arial" w:hAnsi="Arial"/>
                <w:sz w:val="18"/>
                <w:szCs w:val="18"/>
                <w:color w:val="auto"/>
              </w:rPr>
              <w:t>Intangible assets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3,456</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3,443</w:t>
            </w:r>
          </w:p>
        </w:tc>
      </w:tr>
      <w:tr>
        <w:trPr>
          <w:trHeight w:val="216"/>
        </w:trPr>
        <w:tc>
          <w:tcPr>
            <w:tcW w:w="20" w:type="dxa"/>
            <w:vAlign w:val="bottom"/>
          </w:tcPr>
          <w:p>
            <w:pPr>
              <w:spacing w:after="0"/>
              <w:rPr>
                <w:sz w:val="18"/>
                <w:szCs w:val="18"/>
                <w:color w:val="auto"/>
              </w:rPr>
            </w:pPr>
          </w:p>
        </w:tc>
        <w:tc>
          <w:tcPr>
            <w:tcW w:w="94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3,040</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2,581</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420" w:type="dxa"/>
            <w:vAlign w:val="bottom"/>
            <w:gridSpan w:val="6"/>
          </w:tcPr>
          <w:p>
            <w:pPr>
              <w:ind w:left="42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56,545</w:t>
            </w:r>
          </w:p>
        </w:tc>
        <w:tc>
          <w:tcPr>
            <w:tcW w:w="4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56,837</w:t>
            </w: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96"/>
        </w:trPr>
        <w:tc>
          <w:tcPr>
            <w:tcW w:w="20" w:type="dxa"/>
            <w:vAlign w:val="bottom"/>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238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auto"/>
            </w:tcBorders>
            <w:gridSpan w:val="3"/>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91"/>
              </w:rPr>
              <w:t>Liabilities and Equity</w:t>
            </w:r>
          </w:p>
        </w:tc>
        <w:tc>
          <w:tcPr>
            <w:tcW w:w="40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420" w:type="dxa"/>
            <w:vAlign w:val="bottom"/>
            <w:gridSpan w:val="6"/>
          </w:tcPr>
          <w:p>
            <w:pPr>
              <w:spacing w:after="0"/>
              <w:rPr>
                <w:sz w:val="20"/>
                <w:szCs w:val="20"/>
                <w:color w:val="auto"/>
              </w:rPr>
            </w:pPr>
            <w:r>
              <w:rPr>
                <w:rFonts w:ascii="Arial" w:cs="Arial" w:eastAsia="Arial" w:hAnsi="Arial"/>
                <w:sz w:val="18"/>
                <w:szCs w:val="18"/>
                <w:color w:val="auto"/>
              </w:rPr>
              <w:t>Short-term borrowings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1,242</w:t>
            </w:r>
          </w:p>
        </w:tc>
        <w:tc>
          <w:tcPr>
            <w:tcW w:w="4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1,023</w:t>
            </w:r>
          </w:p>
        </w:tc>
      </w:tr>
      <w:tr>
        <w:trPr>
          <w:trHeight w:val="216"/>
        </w:trPr>
        <w:tc>
          <w:tcPr>
            <w:tcW w:w="20" w:type="dxa"/>
            <w:vAlign w:val="bottom"/>
          </w:tcPr>
          <w:p>
            <w:pPr>
              <w:spacing w:after="0"/>
              <w:rPr>
                <w:sz w:val="18"/>
                <w:szCs w:val="18"/>
                <w:color w:val="auto"/>
              </w:rPr>
            </w:pPr>
          </w:p>
        </w:tc>
        <w:tc>
          <w:tcPr>
            <w:tcW w:w="94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4,599</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5,594</w:t>
            </w:r>
          </w:p>
        </w:tc>
      </w:tr>
      <w:tr>
        <w:trPr>
          <w:trHeight w:val="216"/>
        </w:trPr>
        <w:tc>
          <w:tcPr>
            <w:tcW w:w="20" w:type="dxa"/>
            <w:vAlign w:val="bottom"/>
          </w:tcPr>
          <w:p>
            <w:pPr>
              <w:spacing w:after="0"/>
              <w:rPr>
                <w:sz w:val="18"/>
                <w:szCs w:val="18"/>
                <w:color w:val="auto"/>
              </w:rPr>
            </w:pPr>
          </w:p>
        </w:tc>
        <w:tc>
          <w:tcPr>
            <w:tcW w:w="9420" w:type="dxa"/>
            <w:vAlign w:val="bottom"/>
            <w:gridSpan w:val="6"/>
          </w:tcPr>
          <w:p>
            <w:pPr>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11,877</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12,069</w:t>
            </w:r>
          </w:p>
        </w:tc>
      </w:tr>
      <w:tr>
        <w:trPr>
          <w:trHeight w:val="216"/>
        </w:trPr>
        <w:tc>
          <w:tcPr>
            <w:tcW w:w="20" w:type="dxa"/>
            <w:vAlign w:val="bottom"/>
          </w:tcPr>
          <w:p>
            <w:pPr>
              <w:spacing w:after="0"/>
              <w:rPr>
                <w:sz w:val="18"/>
                <w:szCs w:val="18"/>
                <w:color w:val="auto"/>
              </w:rPr>
            </w:pPr>
          </w:p>
        </w:tc>
        <w:tc>
          <w:tcPr>
            <w:tcW w:w="94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Long-term debt currently due</w:t>
            </w: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420" w:type="dxa"/>
            <w:vAlign w:val="bottom"/>
            <w:gridSpan w:val="6"/>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18,571</w:t>
            </w:r>
          </w:p>
        </w:tc>
        <w:tc>
          <w:tcPr>
            <w:tcW w:w="4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19,802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4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8,721</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9,337</w:t>
            </w:r>
          </w:p>
        </w:tc>
      </w:tr>
      <w:tr>
        <w:trPr>
          <w:trHeight w:val="216"/>
        </w:trPr>
        <w:tc>
          <w:tcPr>
            <w:tcW w:w="20" w:type="dxa"/>
            <w:vAlign w:val="bottom"/>
          </w:tcPr>
          <w:p>
            <w:pPr>
              <w:spacing w:after="0"/>
              <w:rPr>
                <w:sz w:val="18"/>
                <w:szCs w:val="18"/>
                <w:color w:val="auto"/>
              </w:rPr>
            </w:pPr>
          </w:p>
        </w:tc>
        <w:tc>
          <w:tcPr>
            <w:tcW w:w="9420" w:type="dxa"/>
            <w:vAlign w:val="bottom"/>
            <w:gridSpan w:val="6"/>
          </w:tcPr>
          <w:p>
            <w:pPr>
              <w:spacing w:after="0"/>
              <w:rPr>
                <w:sz w:val="20"/>
                <w:szCs w:val="20"/>
                <w:color w:val="auto"/>
              </w:rPr>
            </w:pPr>
            <w:r>
              <w:rPr>
                <w:rFonts w:ascii="Arial" w:cs="Arial" w:eastAsia="Arial" w:hAnsi="Arial"/>
                <w:sz w:val="18"/>
                <w:szCs w:val="18"/>
                <w:color w:val="auto"/>
              </w:rPr>
              <w:t>Future pension and postretirement benefit obligations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6,589</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6,574</w:t>
            </w:r>
          </w:p>
        </w:tc>
      </w:tr>
      <w:tr>
        <w:trPr>
          <w:trHeight w:val="216"/>
        </w:trPr>
        <w:tc>
          <w:tcPr>
            <w:tcW w:w="20" w:type="dxa"/>
            <w:vAlign w:val="bottom"/>
          </w:tcPr>
          <w:p>
            <w:pPr>
              <w:spacing w:after="0"/>
              <w:rPr>
                <w:sz w:val="18"/>
                <w:szCs w:val="18"/>
                <w:color w:val="auto"/>
              </w:rPr>
            </w:pPr>
          </w:p>
        </w:tc>
        <w:tc>
          <w:tcPr>
            <w:tcW w:w="94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4,258</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4,198</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420" w:type="dxa"/>
            <w:vAlign w:val="bottom"/>
            <w:gridSpan w:val="6"/>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38,139</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39,911</w:t>
            </w:r>
          </w:p>
        </w:tc>
      </w:tr>
      <w:tr>
        <w:trPr>
          <w:trHeight w:val="216"/>
        </w:trPr>
        <w:tc>
          <w:tcPr>
            <w:tcW w:w="20" w:type="dxa"/>
            <w:vAlign w:val="bottom"/>
          </w:tcPr>
          <w:p>
            <w:pPr>
              <w:spacing w:after="0"/>
              <w:rPr>
                <w:sz w:val="18"/>
                <w:szCs w:val="18"/>
                <w:color w:val="auto"/>
              </w:rPr>
            </w:pPr>
          </w:p>
        </w:tc>
        <w:tc>
          <w:tcPr>
            <w:tcW w:w="94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Shareowners’ Equity:</w:t>
            </w: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20" w:type="dxa"/>
            <w:vAlign w:val="bottom"/>
            <w:gridSpan w:val="6"/>
          </w:tcPr>
          <w:p>
            <w:pPr>
              <w:ind w:left="86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11,369</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11,179</w:t>
            </w:r>
          </w:p>
        </w:tc>
      </w:tr>
      <w:tr>
        <w:trPr>
          <w:trHeight w:val="216"/>
        </w:trPr>
        <w:tc>
          <w:tcPr>
            <w:tcW w:w="20" w:type="dxa"/>
            <w:vAlign w:val="bottom"/>
          </w:tcPr>
          <w:p>
            <w:pPr>
              <w:spacing w:after="0"/>
              <w:rPr>
                <w:sz w:val="18"/>
                <w:szCs w:val="18"/>
                <w:color w:val="auto"/>
              </w:rPr>
            </w:pPr>
          </w:p>
        </w:tc>
        <w:tc>
          <w:tcPr>
            <w:tcW w:w="9420" w:type="dxa"/>
            <w:vAlign w:val="bottom"/>
            <w:gridSpan w:val="6"/>
            <w:shd w:val="clear" w:color="auto" w:fill="CCEEFF"/>
          </w:tcPr>
          <w:p>
            <w:pPr>
              <w:ind w:left="860"/>
              <w:spacing w:after="0"/>
              <w:rPr>
                <w:sz w:val="20"/>
                <w:szCs w:val="20"/>
                <w:color w:val="auto"/>
              </w:rPr>
            </w:pPr>
            <w:r>
              <w:rPr>
                <w:rFonts w:ascii="Arial" w:cs="Arial" w:eastAsia="Arial" w:hAnsi="Arial"/>
                <w:sz w:val="18"/>
                <w:szCs w:val="18"/>
                <w:color w:val="auto"/>
              </w:rPr>
              <w:t>Treasury Stock</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(14,661)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(14,316)</w:t>
            </w:r>
          </w:p>
        </w:tc>
      </w:tr>
      <w:tr>
        <w:trPr>
          <w:trHeight w:val="216"/>
        </w:trPr>
        <w:tc>
          <w:tcPr>
            <w:tcW w:w="20" w:type="dxa"/>
            <w:vAlign w:val="bottom"/>
          </w:tcPr>
          <w:p>
            <w:pPr>
              <w:spacing w:after="0"/>
              <w:rPr>
                <w:sz w:val="18"/>
                <w:szCs w:val="18"/>
                <w:color w:val="auto"/>
              </w:rPr>
            </w:pPr>
          </w:p>
        </w:tc>
        <w:tc>
          <w:tcPr>
            <w:tcW w:w="9420" w:type="dxa"/>
            <w:vAlign w:val="bottom"/>
            <w:gridSpan w:val="6"/>
          </w:tcPr>
          <w:p>
            <w:pPr>
              <w:ind w:left="86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26,133</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25,159</w:t>
            </w:r>
          </w:p>
        </w:tc>
      </w:tr>
      <w:tr>
        <w:trPr>
          <w:trHeight w:val="216"/>
        </w:trPr>
        <w:tc>
          <w:tcPr>
            <w:tcW w:w="20" w:type="dxa"/>
            <w:vAlign w:val="bottom"/>
          </w:tcPr>
          <w:p>
            <w:pPr>
              <w:spacing w:after="0"/>
              <w:rPr>
                <w:sz w:val="18"/>
                <w:szCs w:val="18"/>
                <w:color w:val="auto"/>
              </w:rPr>
            </w:pPr>
          </w:p>
        </w:tc>
        <w:tc>
          <w:tcPr>
            <w:tcW w:w="9420" w:type="dxa"/>
            <w:vAlign w:val="bottom"/>
            <w:gridSpan w:val="6"/>
            <w:shd w:val="clear" w:color="auto" w:fill="CCEEFF"/>
          </w:tcPr>
          <w:p>
            <w:pPr>
              <w:ind w:left="860"/>
              <w:spacing w:after="0"/>
              <w:rPr>
                <w:sz w:val="20"/>
                <w:szCs w:val="20"/>
                <w:color w:val="auto"/>
              </w:rPr>
            </w:pPr>
            <w:r>
              <w:rPr>
                <w:rFonts w:ascii="Arial" w:cs="Arial" w:eastAsia="Arial" w:hAnsi="Arial"/>
                <w:sz w:val="18"/>
                <w:szCs w:val="18"/>
                <w:color w:val="auto"/>
              </w:rPr>
              <w:t>Unearned ESOP shares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w:t>
            </w:r>
          </w:p>
        </w:tc>
      </w:tr>
      <w:tr>
        <w:trPr>
          <w:trHeight w:val="223"/>
        </w:trPr>
        <w:tc>
          <w:tcPr>
            <w:tcW w:w="20" w:type="dxa"/>
            <w:vAlign w:val="bottom"/>
          </w:tcPr>
          <w:p>
            <w:pPr>
              <w:spacing w:after="0"/>
              <w:rPr>
                <w:sz w:val="19"/>
                <w:szCs w:val="19"/>
                <w:color w:val="auto"/>
              </w:rPr>
            </w:pPr>
          </w:p>
        </w:tc>
        <w:tc>
          <w:tcPr>
            <w:tcW w:w="9420" w:type="dxa"/>
            <w:vAlign w:val="bottom"/>
            <w:gridSpan w:val="6"/>
          </w:tcPr>
          <w:p>
            <w:pPr>
              <w:ind w:left="860"/>
              <w:spacing w:after="0"/>
              <w:rPr>
                <w:sz w:val="20"/>
                <w:szCs w:val="20"/>
                <w:color w:val="auto"/>
              </w:rPr>
            </w:pPr>
            <w:r>
              <w:rPr>
                <w:rFonts w:ascii="Arial" w:cs="Arial" w:eastAsia="Arial" w:hAnsi="Arial"/>
                <w:sz w:val="18"/>
                <w:szCs w:val="18"/>
                <w:color w:val="auto"/>
              </w:rPr>
              <w:t>Accumulated other non-shareowners’ changes in equity</w:t>
            </w:r>
          </w:p>
        </w:tc>
        <w:tc>
          <w:tcPr>
            <w:tcW w:w="100" w:type="dxa"/>
            <w:vAlign w:val="bottom"/>
          </w:tcPr>
          <w:p>
            <w:pPr>
              <w:spacing w:after="0"/>
              <w:rPr>
                <w:sz w:val="19"/>
                <w:szCs w:val="19"/>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(5,275)</w:t>
            </w: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(5,905)</w:t>
            </w:r>
          </w:p>
        </w:tc>
      </w:tr>
      <w:tr>
        <w:trPr>
          <w:trHeight w:val="216"/>
        </w:trPr>
        <w:tc>
          <w:tcPr>
            <w:tcW w:w="20" w:type="dxa"/>
            <w:vAlign w:val="bottom"/>
          </w:tcPr>
          <w:p>
            <w:pPr>
              <w:spacing w:after="0"/>
              <w:rPr>
                <w:sz w:val="18"/>
                <w:szCs w:val="18"/>
                <w:color w:val="auto"/>
              </w:rPr>
            </w:pPr>
          </w:p>
        </w:tc>
        <w:tc>
          <w:tcPr>
            <w:tcW w:w="9420" w:type="dxa"/>
            <w:vAlign w:val="bottom"/>
            <w:gridSpan w:val="6"/>
            <w:shd w:val="clear" w:color="auto" w:fill="CCEEFF"/>
          </w:tcPr>
          <w:p>
            <w:pPr>
              <w:ind w:left="1280"/>
              <w:spacing w:after="0"/>
              <w:rPr>
                <w:sz w:val="20"/>
                <w:szCs w:val="20"/>
                <w:color w:val="auto"/>
              </w:rPr>
            </w:pPr>
            <w:r>
              <w:rPr>
                <w:rFonts w:ascii="Arial" w:cs="Arial" w:eastAsia="Arial" w:hAnsi="Arial"/>
                <w:sz w:val="18"/>
                <w:szCs w:val="18"/>
                <w:color w:val="auto"/>
              </w:rPr>
              <w:t>Total Shareowners’ Equity</w:t>
            </w: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17,379</w:t>
            </w:r>
          </w:p>
        </w:tc>
        <w:tc>
          <w:tcPr>
            <w:tcW w:w="4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420" w:type="dxa"/>
            <w:vAlign w:val="bottom"/>
            <w:gridSpan w:val="6"/>
          </w:tcPr>
          <w:p>
            <w:pPr>
              <w:spacing w:after="0"/>
              <w:rPr>
                <w:sz w:val="20"/>
                <w:szCs w:val="20"/>
                <w:color w:val="auto"/>
              </w:rPr>
            </w:pPr>
            <w:r>
              <w:rPr>
                <w:rFonts w:ascii="Arial" w:cs="Arial" w:eastAsia="Arial" w:hAnsi="Arial"/>
                <w:sz w:val="18"/>
                <w:szCs w:val="18"/>
                <w:color w:val="auto"/>
              </w:rPr>
              <w:t>Noncontrolling interest</w:t>
            </w: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420" w:type="dxa"/>
            <w:vAlign w:val="bottom"/>
            <w:gridSpan w:val="6"/>
            <w:shd w:val="clear" w:color="auto" w:fill="CCEEFF"/>
          </w:tcPr>
          <w:p>
            <w:pPr>
              <w:ind w:left="860"/>
              <w:spacing w:after="0"/>
              <w:rPr>
                <w:sz w:val="20"/>
                <w:szCs w:val="20"/>
                <w:color w:val="auto"/>
              </w:rPr>
            </w:pPr>
            <w:r>
              <w:rPr>
                <w:rFonts w:ascii="Arial" w:cs="Arial" w:eastAsia="Arial" w:hAnsi="Arial"/>
                <w:sz w:val="18"/>
                <w:szCs w:val="18"/>
                <w:color w:val="auto"/>
              </w:rPr>
              <w:t>Total Equity</w:t>
            </w: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18,406</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16,926</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420" w:type="dxa"/>
            <w:vAlign w:val="bottom"/>
            <w:gridSpan w:val="6"/>
          </w:tcPr>
          <w:p>
            <w:pPr>
              <w:ind w:left="420"/>
              <w:spacing w:after="0"/>
              <w:rPr>
                <w:sz w:val="20"/>
                <w:szCs w:val="20"/>
                <w:color w:val="auto"/>
              </w:rPr>
            </w:pPr>
            <w:r>
              <w:rPr>
                <w:rFonts w:ascii="Arial" w:cs="Arial" w:eastAsia="Arial" w:hAnsi="Arial"/>
                <w:sz w:val="18"/>
                <w:szCs w:val="18"/>
                <w:color w:val="auto"/>
              </w:rPr>
              <w:t>Total Liabilities and Equity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56,545</w:t>
            </w:r>
          </w:p>
        </w:tc>
        <w:tc>
          <w:tcPr>
            <w:tcW w:w="4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56,837</w:t>
            </w: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TECHNOLOGIES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87"/>
              </w:rPr>
              <w:t>Six Months Ended June 30,</w:t>
            </w:r>
          </w:p>
        </w:tc>
        <w:tc>
          <w:tcPr>
            <w:tcW w:w="0" w:type="dxa"/>
            <w:vAlign w:val="bottom"/>
          </w:tcPr>
          <w:p>
            <w:pPr>
              <w:spacing w:after="0"/>
              <w:rPr>
                <w:sz w:val="1"/>
                <w:szCs w:val="1"/>
                <w:color w:val="auto"/>
              </w:rPr>
            </w:pPr>
          </w:p>
        </w:tc>
      </w:tr>
      <w:tr>
        <w:trPr>
          <w:trHeight w:val="142"/>
        </w:trPr>
        <w:tc>
          <w:tcPr>
            <w:tcW w:w="7980" w:type="dxa"/>
            <w:vAlign w:val="bottom"/>
            <w:gridSpan w:val="3"/>
            <w:vMerge w:val="continue"/>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w w:val="96"/>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ind w:left="420"/>
              <w:spacing w:after="0"/>
              <w:rPr>
                <w:sz w:val="20"/>
                <w:szCs w:val="20"/>
                <w:color w:val="auto"/>
              </w:rPr>
            </w:pPr>
            <w:r>
              <w:rPr>
                <w:rFonts w:ascii="Arial" w:cs="Arial" w:eastAsia="Arial" w:hAnsi="Arial"/>
                <w:sz w:val="18"/>
                <w:szCs w:val="18"/>
                <w:color w:val="auto"/>
              </w:rPr>
              <w:t>Net income attributable to common shareowners</w:t>
            </w: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1,698</w:t>
            </w:r>
          </w:p>
        </w:tc>
        <w:tc>
          <w:tcPr>
            <w:tcW w:w="44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Noncontrolling interest in subsidiaries’ earnings</w:t>
            </w:r>
          </w:p>
        </w:tc>
        <w:tc>
          <w:tcPr>
            <w:tcW w:w="1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60" w:type="dxa"/>
            <w:vAlign w:val="bottom"/>
            <w:gridSpan w:val="2"/>
          </w:tcPr>
          <w:p>
            <w:pPr>
              <w:ind w:left="420"/>
              <w:spacing w:after="0"/>
              <w:rPr>
                <w:sz w:val="20"/>
                <w:szCs w:val="20"/>
                <w:color w:val="auto"/>
              </w:rPr>
            </w:pPr>
            <w:r>
              <w:rPr>
                <w:rFonts w:ascii="Arial" w:cs="Arial" w:eastAsia="Arial" w:hAnsi="Arial"/>
                <w:sz w:val="18"/>
                <w:szCs w:val="18"/>
                <w:color w:val="auto"/>
              </w:rPr>
              <w:t>Net Income</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1,865</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2,454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flows provided by operating activities</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ind w:left="1280"/>
              <w:spacing w:after="0"/>
              <w:rPr>
                <w:sz w:val="20"/>
                <w:szCs w:val="20"/>
                <w:color w:val="auto"/>
              </w:rPr>
            </w:pPr>
            <w:r>
              <w:rPr>
                <w:rFonts w:ascii="Arial" w:cs="Arial" w:eastAsia="Arial" w:hAnsi="Arial"/>
                <w:sz w:val="18"/>
                <w:szCs w:val="18"/>
                <w:color w:val="auto"/>
              </w:rPr>
              <w:t>Depreciation and amortization</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609</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Deferred income tax provision (benefit)</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ind w:left="1280"/>
              <w:spacing w:after="0"/>
              <w:rPr>
                <w:sz w:val="20"/>
                <w:szCs w:val="20"/>
                <w:color w:val="auto"/>
              </w:rPr>
            </w:pPr>
            <w:r>
              <w:rPr>
                <w:rFonts w:ascii="Arial" w:cs="Arial" w:eastAsia="Arial" w:hAnsi="Arial"/>
                <w:sz w:val="18"/>
                <w:szCs w:val="18"/>
                <w:color w:val="auto"/>
              </w:rPr>
              <w:t>Stock compensation cost</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Change in:</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ind w:left="1280"/>
              <w:spacing w:after="0"/>
              <w:rPr>
                <w:sz w:val="20"/>
                <w:szCs w:val="20"/>
                <w:color w:val="auto"/>
              </w:rPr>
            </w:pPr>
            <w:r>
              <w:rPr>
                <w:rFonts w:ascii="Arial" w:cs="Arial" w:eastAsia="Arial" w:hAnsi="Arial"/>
                <w:sz w:val="18"/>
                <w:szCs w:val="18"/>
                <w:color w:val="auto"/>
              </w:rPr>
              <w:t>Accounts receivable</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821</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Inventories and contracts in progress</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(320)</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ind w:left="1280"/>
              <w:spacing w:after="0"/>
              <w:rPr>
                <w:sz w:val="20"/>
                <w:szCs w:val="20"/>
                <w:color w:val="auto"/>
              </w:rPr>
            </w:pPr>
            <w:r>
              <w:rPr>
                <w:rFonts w:ascii="Arial" w:cs="Arial" w:eastAsia="Arial" w:hAnsi="Arial"/>
                <w:sz w:val="18"/>
                <w:szCs w:val="18"/>
                <w:color w:val="auto"/>
              </w:rPr>
              <w:t>Other current assets</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Accounts payable and accrued liabilities</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(622)</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ind w:left="420"/>
              <w:spacing w:after="0"/>
              <w:rPr>
                <w:sz w:val="20"/>
                <w:szCs w:val="20"/>
                <w:color w:val="auto"/>
              </w:rPr>
            </w:pPr>
            <w:r>
              <w:rPr>
                <w:rFonts w:ascii="Arial" w:cs="Arial" w:eastAsia="Arial" w:hAnsi="Arial"/>
                <w:sz w:val="18"/>
                <w:szCs w:val="18"/>
                <w:color w:val="auto"/>
              </w:rPr>
              <w:t>Domestic pension contributions</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(401)</w:t>
            </w:r>
          </w:p>
        </w:tc>
        <w:tc>
          <w:tcPr>
            <w:tcW w:w="16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60" w:type="dxa"/>
            <w:vAlign w:val="bottom"/>
            <w:gridSpan w:val="2"/>
          </w:tcPr>
          <w:p>
            <w:pPr>
              <w:ind w:left="1280"/>
              <w:spacing w:after="0"/>
              <w:rPr>
                <w:sz w:val="20"/>
                <w:szCs w:val="20"/>
                <w:color w:val="auto"/>
              </w:rPr>
            </w:pPr>
            <w:r>
              <w:rPr>
                <w:rFonts w:ascii="Arial" w:cs="Arial" w:eastAsia="Arial" w:hAnsi="Arial"/>
                <w:sz w:val="18"/>
                <w:szCs w:val="18"/>
                <w:color w:val="auto"/>
              </w:rPr>
              <w:t>Net cash flows provided by operating activities</w:t>
            </w:r>
          </w:p>
        </w:tc>
        <w:tc>
          <w:tcPr>
            <w:tcW w:w="14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2,025</w:t>
            </w: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340" w:type="dxa"/>
            <w:vAlign w:val="bottom"/>
          </w:tcPr>
          <w:p>
            <w:pPr>
              <w:spacing w:after="0"/>
              <w:rPr>
                <w:sz w:val="10"/>
                <w:szCs w:val="10"/>
                <w:color w:val="auto"/>
              </w:rPr>
            </w:pPr>
          </w:p>
        </w:tc>
        <w:tc>
          <w:tcPr>
            <w:tcW w:w="66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ind w:left="420"/>
              <w:spacing w:after="0"/>
              <w:rPr>
                <w:sz w:val="20"/>
                <w:szCs w:val="20"/>
                <w:color w:val="auto"/>
              </w:rPr>
            </w:pPr>
            <w:r>
              <w:rPr>
                <w:rFonts w:ascii="Arial" w:cs="Arial" w:eastAsia="Arial" w:hAnsi="Arial"/>
                <w:sz w:val="18"/>
                <w:szCs w:val="18"/>
                <w:color w:val="auto"/>
              </w:rPr>
              <w:t>Capital expenditures</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(340)</w:t>
            </w: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Investments in businesses</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(197)</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ind w:left="420"/>
              <w:spacing w:after="0"/>
              <w:rPr>
                <w:sz w:val="20"/>
                <w:szCs w:val="20"/>
                <w:color w:val="auto"/>
              </w:rPr>
            </w:pPr>
            <w:r>
              <w:rPr>
                <w:rFonts w:ascii="Arial" w:cs="Arial" w:eastAsia="Arial" w:hAnsi="Arial"/>
                <w:sz w:val="18"/>
                <w:szCs w:val="18"/>
                <w:color w:val="auto"/>
              </w:rPr>
              <w:t>Dispositions of businesses</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Increase in customer financing assets, net</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ind w:left="420"/>
              <w:spacing w:after="0"/>
              <w:rPr>
                <w:sz w:val="20"/>
                <w:szCs w:val="20"/>
                <w:color w:val="auto"/>
              </w:rPr>
            </w:pPr>
            <w:r>
              <w:rPr>
                <w:rFonts w:ascii="Arial" w:cs="Arial" w:eastAsia="Arial" w:hAnsi="Arial"/>
                <w:sz w:val="18"/>
                <w:szCs w:val="18"/>
                <w:color w:val="auto"/>
              </w:rPr>
              <w:t>Other, net</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Net cash flows used in investing activities</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(527)</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330"/>
        </w:trPr>
        <w:tc>
          <w:tcPr>
            <w:tcW w:w="7980" w:type="dxa"/>
            <w:vAlign w:val="bottom"/>
            <w:gridSpan w:val="3"/>
          </w:tcPr>
          <w:p>
            <w:pPr>
              <w:spacing w:after="0"/>
              <w:rPr>
                <w:sz w:val="20"/>
                <w:szCs w:val="20"/>
                <w:color w:val="auto"/>
              </w:rPr>
            </w:pPr>
            <w:r>
              <w:rPr>
                <w:rFonts w:ascii="Arial" w:cs="Arial" w:eastAsia="Arial" w:hAnsi="Arial"/>
                <w:sz w:val="18"/>
                <w:szCs w:val="18"/>
                <w:color w:val="auto"/>
              </w:rPr>
              <w:t>Financing Activities:</w:t>
            </w:r>
          </w:p>
        </w:tc>
        <w:tc>
          <w:tcPr>
            <w:tcW w:w="14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(Repayment) issuance of long-term debt, net</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(876)</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ind w:left="420"/>
              <w:spacing w:after="0"/>
              <w:rPr>
                <w:sz w:val="20"/>
                <w:szCs w:val="20"/>
                <w:color w:val="auto"/>
              </w:rPr>
            </w:pPr>
            <w:r>
              <w:rPr>
                <w:rFonts w:ascii="Arial" w:cs="Arial" w:eastAsia="Arial" w:hAnsi="Arial"/>
                <w:sz w:val="18"/>
                <w:szCs w:val="18"/>
                <w:color w:val="auto"/>
              </w:rPr>
              <w:t>Increase in short-term borrowings, net</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248</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Common Stock issued under employee stock plans</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ind w:left="420"/>
              <w:spacing w:after="0"/>
              <w:rPr>
                <w:sz w:val="20"/>
                <w:szCs w:val="20"/>
                <w:color w:val="auto"/>
              </w:rPr>
            </w:pPr>
            <w:r>
              <w:rPr>
                <w:rFonts w:ascii="Arial" w:cs="Arial" w:eastAsia="Arial" w:hAnsi="Arial"/>
                <w:sz w:val="18"/>
                <w:szCs w:val="18"/>
                <w:color w:val="auto"/>
              </w:rPr>
              <w:t>Dividends paid on Common Stock</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(679)</w:t>
            </w: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Repurchase of Common Stock</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(350)</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ind w:left="420"/>
              <w:spacing w:after="0"/>
              <w:rPr>
                <w:sz w:val="20"/>
                <w:szCs w:val="20"/>
                <w:color w:val="auto"/>
              </w:rPr>
            </w:pPr>
            <w:r>
              <w:rPr>
                <w:rFonts w:ascii="Arial" w:cs="Arial" w:eastAsia="Arial" w:hAnsi="Arial"/>
                <w:sz w:val="18"/>
                <w:szCs w:val="18"/>
                <w:color w:val="auto"/>
              </w:rPr>
              <w:t>Other, net</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(229)</w:t>
            </w: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Net cash flows used in financing activities</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(1,785)</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0"/>
        </w:trPr>
        <w:tc>
          <w:tcPr>
            <w:tcW w:w="798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7980" w:type="dxa"/>
            <w:vAlign w:val="bottom"/>
            <w:gridSpan w:val="3"/>
          </w:tcPr>
          <w:p>
            <w:pPr>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(decrease) increase in cash and cash equivalents</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(311)</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331"/>
        </w:trPr>
        <w:tc>
          <w:tcPr>
            <w:tcW w:w="7980" w:type="dxa"/>
            <w:vAlign w:val="bottom"/>
            <w:gridSpan w:val="3"/>
          </w:tcPr>
          <w:p>
            <w:pPr>
              <w:spacing w:after="0"/>
              <w:rPr>
                <w:sz w:val="20"/>
                <w:szCs w:val="20"/>
                <w:color w:val="auto"/>
              </w:rPr>
            </w:pPr>
            <w:r>
              <w:rPr>
                <w:rFonts w:ascii="Arial" w:cs="Arial" w:eastAsia="Arial" w:hAnsi="Arial"/>
                <w:sz w:val="18"/>
                <w:szCs w:val="18"/>
                <w:color w:val="auto"/>
              </w:rPr>
              <w:t>Cash and cash equivalents, beginning of year</w:t>
            </w:r>
          </w:p>
        </w:tc>
        <w:tc>
          <w:tcPr>
            <w:tcW w:w="14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4,327</w:t>
            </w:r>
          </w:p>
        </w:tc>
        <w:tc>
          <w:tcPr>
            <w:tcW w:w="4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4,016</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TECHNOLOGIES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65"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Condensed Consolidated Financial Statements at June 30, 2009 and for the quarters and six months ended June 30, 2009 and 2008 are unaudited, but in the opinion of management include all adjustments (consisting only of normal recurring adjustments) necessary for a fair presentation of the results for the interim periods. We have adopted Statement of Financial Accounting Standards (SFAS) No. 165, “Subsequent Events” (SFAS 165) effective beginning the quarter ended June 30, 2009 and have evaluated for disclosure subsequent events that have occurred up to July 24, 2009, the date of issuance of our financial statements. The results reported in these Condensed Consolidated Financial Statements should not necessarily be taken as indicative of results that may be expected for the entire year. The financial information included herein should be read in conjunction with the financial statements and notes in our Annual Report to Shareowners (2008 Annual Report) incorporated by reference to our Annual Report on Form 10-K for calendar year 2008 (2008 Form 10-K). Certain reclassifications have been made herein to 2008 amounts to conform to the current year presentation. These include the adoption of SFAS No. 160, “Noncontrolling Interests in Consolidated Financial Statements” (SFAS 160) and Emerging Issues Task Force (EITF) Issue No. 07-1, “Accounting for Collaborative Arrangements” (EITF 07-1). See discussion in Notes 9 and 11, respectively, to the Condensed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Acquisitions, Dispositions, Goodwill and Other Intangible Assets</w:t>
      </w:r>
    </w:p>
    <w:p>
      <w:pPr>
        <w:spacing w:after="0" w:line="90" w:lineRule="exact"/>
        <w:rPr>
          <w:sz w:val="20"/>
          <w:szCs w:val="20"/>
          <w:color w:val="auto"/>
        </w:rPr>
      </w:pPr>
    </w:p>
    <w:p>
      <w:pPr>
        <w:spacing w:after="0" w:line="309" w:lineRule="auto"/>
        <w:rPr>
          <w:sz w:val="20"/>
          <w:szCs w:val="20"/>
          <w:color w:val="auto"/>
        </w:rPr>
      </w:pPr>
      <w:r>
        <w:rPr>
          <w:rFonts w:ascii="Arial" w:cs="Arial" w:eastAsia="Arial" w:hAnsi="Arial"/>
          <w:sz w:val="15"/>
          <w:szCs w:val="15"/>
          <w:b w:val="1"/>
          <w:bCs w:val="1"/>
          <w:color w:val="auto"/>
        </w:rPr>
        <w:t>Business Acquisitions</w:t>
      </w:r>
      <w:r>
        <w:rPr>
          <w:rFonts w:ascii="Arial" w:cs="Arial" w:eastAsia="Arial" w:hAnsi="Arial"/>
          <w:sz w:val="15"/>
          <w:szCs w:val="15"/>
          <w:color w:val="auto"/>
        </w:rPr>
        <w:t>. Effective January 1, 2009, we adopted the provisions of SFAS 141(R), “Business Combinations (revised 2007)” (SFAS 141(R)). SFAS</w:t>
      </w:r>
      <w:r>
        <w:rPr>
          <w:rFonts w:ascii="Arial" w:cs="Arial" w:eastAsia="Arial" w:hAnsi="Arial"/>
          <w:sz w:val="15"/>
          <w:szCs w:val="15"/>
          <w:b w:val="1"/>
          <w:bCs w:val="1"/>
          <w:color w:val="auto"/>
        </w:rPr>
        <w:t xml:space="preserve"> </w:t>
      </w:r>
      <w:r>
        <w:rPr>
          <w:rFonts w:ascii="Arial" w:cs="Arial" w:eastAsia="Arial" w:hAnsi="Arial"/>
          <w:sz w:val="15"/>
          <w:szCs w:val="15"/>
          <w:color w:val="auto"/>
        </w:rPr>
        <w:t>141(R) retains the underlying concepts of SFAS 141, “Business Combinations” (SFAS 141) in that all business combinations are still required to be accounted for at fair value under the acquisition method of accounting, but changes the method of applying the acquisition method in a number of significant aspects. Acquisition costs will generally be expensed as incurred; noncontrolling interests will be valued at fair value at the acquisition date; in-process research and development will be recorded at fair value as an indefinite-lived intangible asset at the acquisition date; restructuring costs associated with a business combination will generally be expensed subsequent to the acquisition date; and changes in deferred tax asset valuation allowances and income tax uncertainties after the acquisition date generally will affect income tax expense. SFAS 141(R) is effective on a prospective basis for all of our business combinations for which the acquisition date is on or after January 1, 2009, with the exception of the accounting for valuation allowances on deferred taxes and acquired tax contingencies. SFAS 141(R) amends SFAS No. 109, “Accounting for Income Taxes” (SFAS 109) such that adjustments made to valuation allowances on deferred taxes and acquired tax contingencies associated with acquisitions that closed prior to the effective date of SFAS 141(R) would also apply the provisions of SFAS 141(R).</w:t>
      </w:r>
    </w:p>
    <w:p>
      <w:pPr>
        <w:spacing w:after="0" w:line="108"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During the first six months of 2009, our investment in businesses was approximately $197 million, and consisted primarily of a number of small acquisitions in both our commercial and aerospace businesses. The assets and liabilities of acquired businesses are recorded at fair value at the date of acquisition under the acquisition method. The final purchase price allocation of all acquired businesses is subject to the completion of the valuation of certain assets and liabilities, as well as plans for consolidation of facilities, relocation or reduction of employees and other restructuring activities. For acquisitions subject to SFAS 141(R), during the measurement period, we will recognize additional assets or liabilities if new information is obtained about facts and circumstances that existed as of the acquisition date that, if known, would have resulted in the recognition of those assets and liabilities as of that date. The measurement period shall not exceed one year from the acquisition date. Further, any associated restructuring activities will be expensed in future periods and not recorded through purchase accounting as previously done under SFAS 141. There was no significant impact from the effects of the SFAS 141(R) changes on our acquisition activity in the first six months of 2009.</w:t>
      </w:r>
    </w:p>
    <w:p>
      <w:pPr>
        <w:spacing w:after="0" w:line="12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During the second quarter of 2009, Otis recorded a $52 million non-cash, non-taxable gain recognized on the remeasurement to fair value of a previously held equity interest in a joint venture as a result of the purchase of a controlling interest.</w:t>
      </w:r>
    </w:p>
    <w:p>
      <w:pPr>
        <w:spacing w:after="0" w:line="132"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In July 2009, Carrier and Watsco, Inc (Watsco) formed Carrier Enterprise, LLC, a venture to distribute Carrier, Bryant, Payne and Totaline residential and light commercial heating, ventilating and air-conditioning products in the U.S. Sunbelt region and selected territories in the Caribbean and Latin America. As part of the transaction, Carrier contributed its distribution businesses located in these regions into the new venture. In consideration of its contribution, Carrier received approximately 3 million shares of common stock of Watsco and a 40 percent non-controlling interest in the new venture, which included a business contributed by Watsco. Watsco will own a 60 percent interest in the venture with options to purchase an additional 20 percent interest from Carrier in future years.</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Goodwill. </w:t>
      </w:r>
      <w:r>
        <w:rPr>
          <w:rFonts w:ascii="Arial" w:cs="Arial" w:eastAsia="Arial" w:hAnsi="Arial"/>
          <w:sz w:val="18"/>
          <w:szCs w:val="18"/>
          <w:color w:val="auto"/>
        </w:rPr>
        <w:t>Changes in our goodwill balances for the first six months of 2009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1"/>
              </w:rPr>
              <w:t>Balance as of</w:t>
            </w:r>
          </w:p>
        </w:tc>
        <w:tc>
          <w:tcPr>
            <w:tcW w:w="400" w:type="dxa"/>
            <w:vAlign w:val="bottom"/>
          </w:tcPr>
          <w:p>
            <w:pPr>
              <w:spacing w:after="0"/>
              <w:rPr>
                <w:sz w:val="14"/>
                <w:szCs w:val="14"/>
                <w:color w:val="auto"/>
              </w:rPr>
            </w:pPr>
          </w:p>
        </w:tc>
        <w:tc>
          <w:tcPr>
            <w:tcW w:w="1540" w:type="dxa"/>
            <w:vAlign w:val="bottom"/>
            <w:gridSpan w:val="4"/>
          </w:tcPr>
          <w:p>
            <w:pPr>
              <w:spacing w:after="0"/>
              <w:rPr>
                <w:sz w:val="20"/>
                <w:szCs w:val="20"/>
                <w:color w:val="auto"/>
              </w:rPr>
            </w:pPr>
            <w:r>
              <w:rPr>
                <w:rFonts w:ascii="Arial" w:cs="Arial" w:eastAsia="Arial" w:hAnsi="Arial"/>
                <w:sz w:val="14"/>
                <w:szCs w:val="14"/>
                <w:b w:val="1"/>
                <w:bCs w:val="1"/>
                <w:color w:val="auto"/>
                <w:w w:val="96"/>
              </w:rPr>
              <w:t>Goodwill resulting from</w:t>
            </w:r>
          </w:p>
        </w:tc>
        <w:tc>
          <w:tcPr>
            <w:tcW w:w="560" w:type="dxa"/>
            <w:vAlign w:val="bottom"/>
          </w:tcPr>
          <w:p>
            <w:pPr>
              <w:spacing w:after="0"/>
              <w:rPr>
                <w:sz w:val="14"/>
                <w:szCs w:val="14"/>
                <w:color w:val="auto"/>
              </w:rPr>
            </w:pPr>
          </w:p>
        </w:tc>
        <w:tc>
          <w:tcPr>
            <w:tcW w:w="1640" w:type="dxa"/>
            <w:vAlign w:val="bottom"/>
            <w:gridSpan w:val="5"/>
          </w:tcPr>
          <w:p>
            <w:pPr>
              <w:ind w:left="60"/>
              <w:spacing w:after="0"/>
              <w:rPr>
                <w:sz w:val="20"/>
                <w:szCs w:val="20"/>
                <w:color w:val="auto"/>
              </w:rPr>
            </w:pPr>
            <w:r>
              <w:rPr>
                <w:rFonts w:ascii="Arial" w:cs="Arial" w:eastAsia="Arial" w:hAnsi="Arial"/>
                <w:sz w:val="14"/>
                <w:szCs w:val="14"/>
                <w:b w:val="1"/>
                <w:bCs w:val="1"/>
                <w:color w:val="auto"/>
              </w:rPr>
              <w:t>Foreign currency</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4"/>
          </w:tcPr>
          <w:p>
            <w:pPr>
              <w:ind w:left="20"/>
              <w:spacing w:after="0"/>
              <w:rPr>
                <w:sz w:val="20"/>
                <w:szCs w:val="20"/>
                <w:color w:val="auto"/>
              </w:rPr>
            </w:pPr>
            <w:r>
              <w:rPr>
                <w:rFonts w:ascii="Arial" w:cs="Arial" w:eastAsia="Arial" w:hAnsi="Arial"/>
                <w:sz w:val="14"/>
                <w:szCs w:val="14"/>
                <w:b w:val="1"/>
                <w:bCs w:val="1"/>
                <w:color w:val="auto"/>
                <w:w w:val="86"/>
              </w:rPr>
              <w:t>Balance as of</w:t>
            </w:r>
          </w:p>
        </w:tc>
        <w:tc>
          <w:tcPr>
            <w:tcW w:w="0" w:type="dxa"/>
            <w:vAlign w:val="bottom"/>
          </w:tcPr>
          <w:p>
            <w:pPr>
              <w:spacing w:after="0"/>
              <w:rPr>
                <w:sz w:val="1"/>
                <w:szCs w:val="1"/>
                <w:color w:val="auto"/>
              </w:rPr>
            </w:pPr>
          </w:p>
        </w:tc>
      </w:tr>
      <w:tr>
        <w:trPr>
          <w:trHeight w:val="161"/>
        </w:trPr>
        <w:tc>
          <w:tcPr>
            <w:tcW w:w="486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January 1, 2009</w:t>
            </w:r>
          </w:p>
        </w:tc>
        <w:tc>
          <w:tcPr>
            <w:tcW w:w="400" w:type="dxa"/>
            <w:vAlign w:val="bottom"/>
          </w:tcPr>
          <w:p>
            <w:pPr>
              <w:spacing w:after="0"/>
              <w:rPr>
                <w:sz w:val="14"/>
                <w:szCs w:val="14"/>
                <w:color w:val="auto"/>
              </w:rPr>
            </w:pPr>
          </w:p>
        </w:tc>
        <w:tc>
          <w:tcPr>
            <w:tcW w:w="1540" w:type="dxa"/>
            <w:vAlign w:val="bottom"/>
            <w:gridSpan w:val="4"/>
          </w:tcPr>
          <w:p>
            <w:pPr>
              <w:spacing w:after="0"/>
              <w:rPr>
                <w:sz w:val="20"/>
                <w:szCs w:val="20"/>
                <w:color w:val="auto"/>
              </w:rPr>
            </w:pPr>
            <w:r>
              <w:rPr>
                <w:rFonts w:ascii="Arial" w:cs="Arial" w:eastAsia="Arial" w:hAnsi="Arial"/>
                <w:sz w:val="14"/>
                <w:szCs w:val="14"/>
                <w:b w:val="1"/>
                <w:bCs w:val="1"/>
                <w:color w:val="auto"/>
                <w:w w:val="97"/>
              </w:rPr>
              <w:t>business combinations</w:t>
            </w:r>
          </w:p>
        </w:tc>
        <w:tc>
          <w:tcPr>
            <w:tcW w:w="560" w:type="dxa"/>
            <w:vAlign w:val="bottom"/>
          </w:tcPr>
          <w:p>
            <w:pPr>
              <w:spacing w:after="0"/>
              <w:rPr>
                <w:sz w:val="14"/>
                <w:szCs w:val="14"/>
                <w:color w:val="auto"/>
              </w:rPr>
            </w:pPr>
          </w:p>
        </w:tc>
        <w:tc>
          <w:tcPr>
            <w:tcW w:w="1640" w:type="dxa"/>
            <w:vAlign w:val="bottom"/>
            <w:gridSpan w:val="5"/>
          </w:tcPr>
          <w:p>
            <w:pPr>
              <w:spacing w:after="0"/>
              <w:rPr>
                <w:sz w:val="20"/>
                <w:szCs w:val="20"/>
                <w:color w:val="auto"/>
              </w:rPr>
            </w:pPr>
            <w:r>
              <w:rPr>
                <w:rFonts w:ascii="Arial" w:cs="Arial" w:eastAsia="Arial" w:hAnsi="Arial"/>
                <w:sz w:val="14"/>
                <w:szCs w:val="14"/>
                <w:b w:val="1"/>
                <w:bCs w:val="1"/>
                <w:color w:val="auto"/>
              </w:rPr>
              <w:t>translation and other</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4"/>
          </w:tcPr>
          <w:p>
            <w:pPr>
              <w:spacing w:after="0"/>
              <w:rPr>
                <w:sz w:val="20"/>
                <w:szCs w:val="20"/>
                <w:color w:val="auto"/>
              </w:rPr>
            </w:pPr>
            <w:r>
              <w:rPr>
                <w:rFonts w:ascii="Arial" w:cs="Arial" w:eastAsia="Arial" w:hAnsi="Arial"/>
                <w:sz w:val="14"/>
                <w:szCs w:val="14"/>
                <w:b w:val="1"/>
                <w:bCs w:val="1"/>
                <w:color w:val="auto"/>
                <w:w w:val="87"/>
              </w:rPr>
              <w:t>June 30, 2009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56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Otis</w:t>
            </w:r>
          </w:p>
        </w:tc>
        <w:tc>
          <w:tcPr>
            <w:tcW w:w="350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1,193</w:t>
            </w:r>
          </w:p>
        </w:tc>
        <w:tc>
          <w:tcPr>
            <w:tcW w:w="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112</w:t>
            </w:r>
          </w:p>
        </w:tc>
        <w:tc>
          <w:tcPr>
            <w:tcW w:w="560" w:type="dxa"/>
            <w:vAlign w:val="bottom"/>
            <w:tcBorders>
              <w:right w:val="single" w:sz="8" w:color="CCEEFF"/>
            </w:tcBorders>
            <w:shd w:val="clear" w:color="auto" w:fill="CCEEFF"/>
          </w:tcPr>
          <w:p>
            <w:pPr>
              <w:ind w:left="500"/>
              <w:spacing w:after="0"/>
              <w:rPr>
                <w:sz w:val="20"/>
                <w:szCs w:val="20"/>
                <w:color w:val="auto"/>
              </w:rPr>
            </w:pPr>
            <w:r>
              <w:rPr>
                <w:rFonts w:ascii="Arial" w:cs="Arial" w:eastAsia="Arial" w:hAnsi="Arial"/>
                <w:sz w:val="5"/>
                <w:szCs w:val="5"/>
                <w:color w:val="auto"/>
                <w:w w:val="70"/>
              </w:rPr>
              <w:t>$</w:t>
            </w:r>
          </w:p>
        </w:tc>
        <w:tc>
          <w:tcPr>
            <w:tcW w:w="56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1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3,270</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3,258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5,074</w:t>
            </w:r>
          </w:p>
        </w:tc>
        <w:tc>
          <w:tcPr>
            <w:tcW w:w="4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56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1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1,037</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4,423</w:t>
            </w:r>
          </w:p>
        </w:tc>
        <w:tc>
          <w:tcPr>
            <w:tcW w:w="4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56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Sikorsky</w:t>
            </w:r>
          </w:p>
        </w:tc>
        <w:tc>
          <w:tcPr>
            <w:tcW w:w="1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249</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34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Segments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15,246</w:t>
            </w:r>
          </w:p>
        </w:tc>
        <w:tc>
          <w:tcPr>
            <w:tcW w:w="4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0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56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299</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15,703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Eliminations &amp; Other</w:t>
            </w:r>
          </w:p>
        </w:tc>
        <w:tc>
          <w:tcPr>
            <w:tcW w:w="1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117</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(66)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15,363</w:t>
            </w:r>
          </w:p>
        </w:tc>
        <w:tc>
          <w:tcPr>
            <w:tcW w:w="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0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ind w:left="500"/>
              <w:spacing w:after="0"/>
              <w:rPr>
                <w:sz w:val="20"/>
                <w:szCs w:val="20"/>
                <w:color w:val="auto"/>
              </w:rPr>
            </w:pPr>
            <w:r>
              <w:rPr>
                <w:rFonts w:ascii="Arial" w:cs="Arial" w:eastAsia="Arial" w:hAnsi="Arial"/>
                <w:sz w:val="5"/>
                <w:szCs w:val="5"/>
                <w:color w:val="auto"/>
                <w:w w:val="70"/>
              </w:rPr>
              <w:t>$</w:t>
            </w:r>
          </w:p>
        </w:tc>
        <w:tc>
          <w:tcPr>
            <w:tcW w:w="56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233</w:t>
            </w:r>
          </w:p>
        </w:tc>
        <w:tc>
          <w:tcPr>
            <w:tcW w:w="2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gridSpan w:val="3"/>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6160" w:type="dxa"/>
            <w:vAlign w:val="bottom"/>
            <w:gridSpan w:val="6"/>
          </w:tcPr>
          <w:p>
            <w:pPr>
              <w:spacing w:after="0"/>
              <w:rPr>
                <w:sz w:val="20"/>
                <w:szCs w:val="20"/>
                <w:color w:val="auto"/>
              </w:rPr>
            </w:pPr>
            <w:r>
              <w:rPr>
                <w:rFonts w:ascii="Arial" w:cs="Arial" w:eastAsia="Arial" w:hAnsi="Arial"/>
                <w:sz w:val="18"/>
                <w:szCs w:val="18"/>
                <w:b w:val="1"/>
                <w:bCs w:val="1"/>
                <w:color w:val="auto"/>
                <w:w w:val="96"/>
              </w:rPr>
              <w:t xml:space="preserve">Intangible Assets. </w:t>
            </w:r>
            <w:r>
              <w:rPr>
                <w:rFonts w:ascii="Arial" w:cs="Arial" w:eastAsia="Arial" w:hAnsi="Arial"/>
                <w:sz w:val="18"/>
                <w:szCs w:val="18"/>
                <w:color w:val="auto"/>
                <w:w w:val="96"/>
              </w:rPr>
              <w:t>Identifiable intangible assets are comprised of the following:</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w w:val="94"/>
              </w:rPr>
              <w:t>June 30, 2009</w:t>
            </w:r>
          </w:p>
        </w:tc>
        <w:tc>
          <w:tcPr>
            <w:tcW w:w="56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6"/>
          </w:tcPr>
          <w:p>
            <w:pPr>
              <w:ind w:left="280"/>
              <w:spacing w:after="0"/>
              <w:rPr>
                <w:sz w:val="20"/>
                <w:szCs w:val="20"/>
                <w:color w:val="auto"/>
              </w:rPr>
            </w:pPr>
            <w:r>
              <w:rPr>
                <w:rFonts w:ascii="Arial" w:cs="Arial" w:eastAsia="Arial" w:hAnsi="Arial"/>
                <w:sz w:val="14"/>
                <w:szCs w:val="14"/>
                <w:b w:val="1"/>
                <w:bCs w:val="1"/>
                <w:color w:val="auto"/>
                <w:w w:val="87"/>
              </w:rPr>
              <w:t>December 31, 2008</w:t>
            </w: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1"/>
              </w:rPr>
              <w:t>Accumulated</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w w:val="86"/>
              </w:rPr>
              <w:t>Accumulated</w:t>
            </w:r>
          </w:p>
        </w:tc>
        <w:tc>
          <w:tcPr>
            <w:tcW w:w="12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86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4"/>
              </w:rPr>
              <w:t>Gross Amount</w:t>
            </w:r>
          </w:p>
        </w:tc>
        <w:tc>
          <w:tcPr>
            <w:tcW w:w="50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w w:val="84"/>
              </w:rPr>
              <w:t>Amortization</w:t>
            </w:r>
          </w:p>
        </w:tc>
        <w:tc>
          <w:tcPr>
            <w:tcW w:w="560" w:type="dxa"/>
            <w:vAlign w:val="bottom"/>
          </w:tcPr>
          <w:p>
            <w:pPr>
              <w:spacing w:after="0"/>
              <w:rPr>
                <w:sz w:val="14"/>
                <w:szCs w:val="14"/>
                <w:color w:val="auto"/>
              </w:rPr>
            </w:pPr>
          </w:p>
        </w:tc>
        <w:tc>
          <w:tcPr>
            <w:tcW w:w="1080" w:type="dxa"/>
            <w:vAlign w:val="bottom"/>
            <w:gridSpan w:val="4"/>
          </w:tcPr>
          <w:p>
            <w:pPr>
              <w:spacing w:after="0"/>
              <w:rPr>
                <w:sz w:val="20"/>
                <w:szCs w:val="20"/>
                <w:color w:val="auto"/>
              </w:rPr>
            </w:pPr>
            <w:r>
              <w:rPr>
                <w:rFonts w:ascii="Arial" w:cs="Arial" w:eastAsia="Arial" w:hAnsi="Arial"/>
                <w:sz w:val="14"/>
                <w:szCs w:val="14"/>
                <w:b w:val="1"/>
                <w:bCs w:val="1"/>
                <w:color w:val="auto"/>
              </w:rPr>
              <w:t>Gross Amount</w:t>
            </w:r>
          </w:p>
        </w:tc>
        <w:tc>
          <w:tcPr>
            <w:tcW w:w="220" w:type="dxa"/>
            <w:vAlign w:val="bottom"/>
          </w:tcPr>
          <w:p>
            <w:pPr>
              <w:spacing w:after="0"/>
              <w:rPr>
                <w:sz w:val="14"/>
                <w:szCs w:val="14"/>
                <w:color w:val="auto"/>
              </w:rPr>
            </w:pPr>
          </w:p>
        </w:tc>
        <w:tc>
          <w:tcPr>
            <w:tcW w:w="920" w:type="dxa"/>
            <w:vAlign w:val="bottom"/>
            <w:gridSpan w:val="5"/>
          </w:tcPr>
          <w:p>
            <w:pPr>
              <w:ind w:left="2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Amortized:</w:t>
            </w:r>
          </w:p>
        </w:tc>
        <w:tc>
          <w:tcPr>
            <w:tcW w:w="3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right w:val="single" w:sz="8" w:color="CCEEFF"/>
            </w:tcBorders>
            <w:shd w:val="clear" w:color="auto" w:fill="CCEEFF"/>
          </w:tcPr>
          <w:p>
            <w:pPr>
              <w:spacing w:after="0"/>
              <w:rPr>
                <w:sz w:val="18"/>
                <w:szCs w:val="18"/>
                <w:color w:val="auto"/>
              </w:rPr>
            </w:pPr>
          </w:p>
        </w:tc>
        <w:tc>
          <w:tcPr>
            <w:tcW w:w="560" w:type="dxa"/>
            <w:vAlign w:val="bottom"/>
            <w:tcBorders>
              <w:lef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ind w:left="420"/>
              <w:spacing w:after="0"/>
              <w:rPr>
                <w:sz w:val="20"/>
                <w:szCs w:val="20"/>
                <w:color w:val="auto"/>
              </w:rPr>
            </w:pPr>
            <w:r>
              <w:rPr>
                <w:rFonts w:ascii="Arial" w:cs="Arial" w:eastAsia="Arial" w:hAnsi="Arial"/>
                <w:sz w:val="18"/>
                <w:szCs w:val="18"/>
                <w:color w:val="auto"/>
              </w:rPr>
              <w:t>Service portfolios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1,656</w:t>
            </w:r>
          </w:p>
        </w:tc>
        <w:tc>
          <w:tcPr>
            <w:tcW w:w="7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(745)</w:t>
            </w:r>
          </w:p>
        </w:tc>
        <w:tc>
          <w:tcPr>
            <w:tcW w:w="7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240"/>
              <w:spacing w:after="0"/>
              <w:rPr>
                <w:sz w:val="20"/>
                <w:szCs w:val="20"/>
                <w:color w:val="auto"/>
              </w:rPr>
            </w:pPr>
            <w:r>
              <w:rPr>
                <w:rFonts w:ascii="Arial" w:cs="Arial" w:eastAsia="Arial" w:hAnsi="Arial"/>
                <w:sz w:val="18"/>
                <w:szCs w:val="18"/>
                <w:color w:val="auto"/>
              </w:rPr>
              <w:t>1,625</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(700)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Patents and trademarks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5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56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333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ind w:left="420"/>
              <w:spacing w:after="0"/>
              <w:rPr>
                <w:sz w:val="20"/>
                <w:szCs w:val="20"/>
                <w:color w:val="auto"/>
              </w:rPr>
            </w:pPr>
            <w:r>
              <w:rPr>
                <w:rFonts w:ascii="Arial" w:cs="Arial" w:eastAsia="Arial" w:hAnsi="Arial"/>
                <w:sz w:val="18"/>
                <w:szCs w:val="18"/>
                <w:color w:val="auto"/>
              </w:rPr>
              <w:t>Other, principally customer relationships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2,558</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(955)</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8"/>
                <w:szCs w:val="18"/>
                <w:color w:val="auto"/>
              </w:rPr>
              <w:t>2,460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(825)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4,571</w:t>
            </w:r>
          </w:p>
        </w:tc>
        <w:tc>
          <w:tcPr>
            <w:tcW w:w="5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(1,816)</w:t>
            </w:r>
          </w:p>
        </w:tc>
        <w:tc>
          <w:tcPr>
            <w:tcW w:w="56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4,418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(1,628)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4860" w:type="dxa"/>
            <w:vAlign w:val="bottom"/>
            <w:gridSpan w:val="3"/>
          </w:tcPr>
          <w:p>
            <w:pPr>
              <w:spacing w:after="0"/>
              <w:rPr>
                <w:sz w:val="20"/>
                <w:szCs w:val="20"/>
                <w:color w:val="auto"/>
              </w:rPr>
            </w:pPr>
            <w:r>
              <w:rPr>
                <w:rFonts w:ascii="Arial" w:cs="Arial" w:eastAsia="Arial" w:hAnsi="Arial"/>
                <w:sz w:val="18"/>
                <w:szCs w:val="18"/>
                <w:color w:val="auto"/>
              </w:rPr>
              <w:t>Unamortized:</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Trademarks and other</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50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right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60" w:type="dxa"/>
            <w:vAlign w:val="bottom"/>
            <w:tcBorders>
              <w:left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4840" w:type="dxa"/>
            <w:vAlign w:val="bottom"/>
            <w:gridSpan w:val="2"/>
          </w:tcPr>
          <w:p>
            <w:pPr>
              <w:ind w:left="86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5,272</w:t>
            </w:r>
          </w:p>
        </w:tc>
        <w:tc>
          <w:tcPr>
            <w:tcW w:w="7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(1,816)</w:t>
            </w:r>
          </w:p>
        </w:tc>
        <w:tc>
          <w:tcPr>
            <w:tcW w:w="7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240"/>
              <w:spacing w:after="0"/>
              <w:rPr>
                <w:sz w:val="20"/>
                <w:szCs w:val="20"/>
                <w:color w:val="auto"/>
              </w:rPr>
            </w:pPr>
            <w:r>
              <w:rPr>
                <w:rFonts w:ascii="Arial" w:cs="Arial" w:eastAsia="Arial" w:hAnsi="Arial"/>
                <w:sz w:val="18"/>
                <w:szCs w:val="18"/>
                <w:color w:val="auto"/>
              </w:rPr>
              <w:t>5,071</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24"/>
                <w:szCs w:val="2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(1,628)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Amortization of intangible assets for the quarter and six months ended June 30, 2009 was $85 million and $171 million, respectively, compared with $95 million and $187 million for the same periods of 2008. Amortization of these intangible assets for 2009 through 2013 is expected to approximate $275 million per year.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Earnings Per Share</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 except per share amounts)</w:t>
            </w:r>
          </w:p>
        </w:tc>
        <w:tc>
          <w:tcPr>
            <w:tcW w:w="100" w:type="dxa"/>
            <w:vAlign w:val="bottom"/>
          </w:tcPr>
          <w:p>
            <w:pPr>
              <w:spacing w:after="0"/>
              <w:rPr>
                <w:sz w:val="14"/>
                <w:szCs w:val="14"/>
                <w:color w:val="auto"/>
              </w:rPr>
            </w:pPr>
          </w:p>
        </w:tc>
        <w:tc>
          <w:tcPr>
            <w:tcW w:w="1500" w:type="dxa"/>
            <w:vAlign w:val="bottom"/>
            <w:gridSpan w:val="4"/>
          </w:tcPr>
          <w:p>
            <w:pPr>
              <w:jc w:val="right"/>
              <w:ind w:right="15"/>
              <w:spacing w:after="0"/>
              <w:rPr>
                <w:sz w:val="20"/>
                <w:szCs w:val="20"/>
                <w:color w:val="auto"/>
              </w:rPr>
            </w:pPr>
            <w:r>
              <w:rPr>
                <w:rFonts w:ascii="Arial" w:cs="Arial" w:eastAsia="Arial" w:hAnsi="Arial"/>
                <w:sz w:val="14"/>
                <w:szCs w:val="14"/>
                <w:b w:val="1"/>
                <w:bCs w:val="1"/>
                <w:color w:val="auto"/>
                <w:w w:val="87"/>
              </w:rPr>
              <w:t>Quarter Ended June 30,</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5"/>
          </w:tcPr>
          <w:p>
            <w:pPr>
              <w:ind w:left="20"/>
              <w:spacing w:after="0"/>
              <w:rPr>
                <w:sz w:val="20"/>
                <w:szCs w:val="20"/>
                <w:color w:val="auto"/>
              </w:rPr>
            </w:pPr>
            <w:r>
              <w:rPr>
                <w:rFonts w:ascii="Arial" w:cs="Arial" w:eastAsia="Arial" w:hAnsi="Arial"/>
                <w:sz w:val="14"/>
                <w:szCs w:val="14"/>
                <w:b w:val="1"/>
                <w:bCs w:val="1"/>
                <w:color w:val="auto"/>
                <w:w w:val="92"/>
              </w:rPr>
              <w:t>Six Months Ended June 30,</w:t>
            </w:r>
          </w:p>
        </w:tc>
        <w:tc>
          <w:tcPr>
            <w:tcW w:w="0" w:type="dxa"/>
            <w:vAlign w:val="bottom"/>
          </w:tcPr>
          <w:p>
            <w:pPr>
              <w:spacing w:after="0"/>
              <w:rPr>
                <w:sz w:val="1"/>
                <w:szCs w:val="1"/>
                <w:color w:val="auto"/>
              </w:rPr>
            </w:pPr>
          </w:p>
        </w:tc>
      </w:tr>
      <w:tr>
        <w:trPr>
          <w:trHeight w:val="142"/>
        </w:trPr>
        <w:tc>
          <w:tcPr>
            <w:tcW w:w="7720" w:type="dxa"/>
            <w:vAlign w:val="bottom"/>
            <w:gridSpan w:val="3"/>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2009</w:t>
            </w:r>
          </w:p>
        </w:tc>
        <w:tc>
          <w:tcPr>
            <w:tcW w:w="3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80" w:type="dxa"/>
            <w:vAlign w:val="bottom"/>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common shareowners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gridSpan w:val="3"/>
            <w:vMerge w:val="restart"/>
          </w:tcPr>
          <w:p>
            <w:pPr>
              <w:spacing w:after="0"/>
              <w:rPr>
                <w:sz w:val="20"/>
                <w:szCs w:val="20"/>
                <w:color w:val="auto"/>
              </w:rPr>
            </w:pPr>
            <w:r>
              <w:rPr>
                <w:rFonts w:ascii="Arial" w:cs="Arial" w:eastAsia="Arial" w:hAnsi="Arial"/>
                <w:sz w:val="18"/>
                <w:szCs w:val="18"/>
                <w:color w:val="auto"/>
              </w:rPr>
              <w:t>Average shares: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772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gridSpan w:val="2"/>
          </w:tcPr>
          <w:p>
            <w:pPr>
              <w:ind w:left="420"/>
              <w:spacing w:after="0"/>
              <w:rPr>
                <w:sz w:val="20"/>
                <w:szCs w:val="20"/>
                <w:color w:val="auto"/>
              </w:rPr>
            </w:pPr>
            <w:r>
              <w:rPr>
                <w:rFonts w:ascii="Arial" w:cs="Arial" w:eastAsia="Arial" w:hAnsi="Arial"/>
                <w:sz w:val="18"/>
                <w:szCs w:val="18"/>
                <w:color w:val="auto"/>
              </w:rPr>
              <w:t>Stock awards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gridSpan w:val="3"/>
            <w:vMerge w:val="restart"/>
          </w:tcPr>
          <w:p>
            <w:pPr>
              <w:spacing w:after="0"/>
              <w:rPr>
                <w:sz w:val="20"/>
                <w:szCs w:val="20"/>
                <w:color w:val="auto"/>
              </w:rPr>
            </w:pPr>
            <w:r>
              <w:rPr>
                <w:rFonts w:ascii="Arial" w:cs="Arial" w:eastAsia="Arial" w:hAnsi="Arial"/>
                <w:sz w:val="18"/>
                <w:szCs w:val="18"/>
                <w:color w:val="auto"/>
              </w:rPr>
              <w:t>Earnings per share of Common Stock:</w:t>
            </w: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772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00" w:type="dxa"/>
            <w:vAlign w:val="bottom"/>
            <w:gridSpan w:val="2"/>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1.05</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1.83</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computation of diluted earnings per share excludes the effect of the potential exercise of stock awards, including stock appreciation rights (SARs) and stock options when the average market price of the common stock is lower than the exercise price of the related SARs and options during the period. These outstanding stock awards are not included in the computation of diluted earnings per share because the effect would have been antidilutive. For the quarter and six months ended June 30, 2009, the number of stock awards excluded from the computation was 37.5 million and 38.8 million, respectively. For the quarter and six months ended June 30, 2008, the number of stock awards excluded from the computation was 8.7 million and 6.0 million, respectively.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Inventories and Contracts in Progress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12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92"/>
              </w:rPr>
              <w:t>June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706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54"/>
              <w:spacing w:after="0"/>
              <w:rPr>
                <w:sz w:val="20"/>
                <w:szCs w:val="20"/>
                <w:color w:val="auto"/>
              </w:rPr>
            </w:pPr>
            <w:r>
              <w:rPr>
                <w:rFonts w:ascii="Arial" w:cs="Arial" w:eastAsia="Arial" w:hAnsi="Arial"/>
                <w:sz w:val="14"/>
                <w:szCs w:val="14"/>
                <w:b w:val="1"/>
                <w:bCs w:val="1"/>
                <w:color w:val="auto"/>
              </w:rPr>
              <w:t>2009</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57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5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Work-in-process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3,548</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3,295</w:t>
            </w: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3,591</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3,634</w:t>
            </w:r>
          </w:p>
        </w:tc>
      </w:tr>
      <w:tr>
        <w:trPr>
          <w:trHeight w:val="223"/>
        </w:trPr>
        <w:tc>
          <w:tcPr>
            <w:tcW w:w="20" w:type="dxa"/>
            <w:vAlign w:val="bottom"/>
          </w:tcPr>
          <w:p>
            <w:pPr>
              <w:spacing w:after="0"/>
              <w:rPr>
                <w:sz w:val="19"/>
                <w:szCs w:val="19"/>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Contracts in progress</w:t>
            </w:r>
          </w:p>
        </w:tc>
        <w:tc>
          <w:tcPr>
            <w:tcW w:w="2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6,480</w:t>
            </w: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14,863</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14,313</w:t>
            </w:r>
          </w:p>
        </w:tc>
      </w:tr>
      <w:tr>
        <w:trPr>
          <w:trHeight w:val="322"/>
        </w:trPr>
        <w:tc>
          <w:tcPr>
            <w:tcW w:w="7060" w:type="dxa"/>
            <w:vAlign w:val="bottom"/>
            <w:gridSpan w:val="3"/>
          </w:tcPr>
          <w:p>
            <w:pPr>
              <w:spacing w:after="0"/>
              <w:rPr>
                <w:sz w:val="20"/>
                <w:szCs w:val="20"/>
                <w:color w:val="auto"/>
              </w:rPr>
            </w:pPr>
            <w:r>
              <w:rPr>
                <w:rFonts w:ascii="Arial" w:cs="Arial" w:eastAsia="Arial" w:hAnsi="Arial"/>
                <w:sz w:val="18"/>
                <w:szCs w:val="18"/>
                <w:color w:val="auto"/>
              </w:rPr>
              <w:t>Less:</w:t>
            </w:r>
          </w:p>
        </w:tc>
        <w:tc>
          <w:tcPr>
            <w:tcW w:w="2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Progress payments, secured by lien, on U.S. Government contracts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(381)</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(476)</w:t>
            </w:r>
          </w:p>
        </w:tc>
      </w:tr>
      <w:tr>
        <w:trPr>
          <w:trHeight w:val="223"/>
        </w:trPr>
        <w:tc>
          <w:tcPr>
            <w:tcW w:w="20" w:type="dxa"/>
            <w:vAlign w:val="bottom"/>
          </w:tcPr>
          <w:p>
            <w:pPr>
              <w:spacing w:after="0"/>
              <w:rPr>
                <w:sz w:val="19"/>
                <w:szCs w:val="19"/>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Billings on contracts in progress</w:t>
            </w:r>
          </w:p>
        </w:tc>
        <w:tc>
          <w:tcPr>
            <w:tcW w:w="2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w w:val="91"/>
              </w:rPr>
              <w:t>(5,943)</w:t>
            </w:r>
          </w:p>
        </w:tc>
        <w:tc>
          <w:tcPr>
            <w:tcW w:w="18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(5,497)</w:t>
            </w: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8,539</w:t>
            </w:r>
          </w:p>
        </w:tc>
        <w:tc>
          <w:tcPr>
            <w:tcW w:w="54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As of June 30, 2009 and December 31, 2008, inventory also includes capitalized research and development costs of $887 million and $833 million, respectively, related to certain aerospace programs. These capitalized costs will be liquidated as production units are delivered to the customer. The capitalized contract research and development costs within inventory principally relate to capitalized costs on Sikorsky’s CH-148 contract with the Canadian government. The CH-148 is a derivative of the H-92, a military variant of the S-92.</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Certain reclassifications have been made to the 2008 inventory components presented above in order to conform to the current year presentation.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Borrowings and Lines of Credit</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At June 30, 2009, we had committed credit agreements from banks permitting aggregate borrowings of up to $2.5 billion under a $1.5 billion revolving credit agreement and a $1.0 billion multicurrency revolving credit agreement, both of which are available for general funding purposes, including acquisitions. As of June 30, 2009, there were no borrowings under either of these revolving credit agreements, which expire in October 2011 and November 2011, respectively. The undrawn portions under both of these agreements are also available to serve as backup facilities for the issuance of commercial paper. We generally use our commercial paper borrowings for general corporate purposes, including the funding of potential acquisitions and repurchases of our common stock. We had $856 million of commercial paper outstanding at June 30, 2009, all of which was scheduled to mature in less than one month.</w:t>
      </w:r>
    </w:p>
    <w:p>
      <w:pPr>
        <w:spacing w:after="0" w:line="120" w:lineRule="exact"/>
        <w:rPr>
          <w:sz w:val="20"/>
          <w:szCs w:val="20"/>
          <w:color w:val="auto"/>
        </w:rPr>
      </w:pPr>
    </w:p>
    <w:p>
      <w:pPr>
        <w:jc w:val="both"/>
        <w:ind w:right="100" w:firstLine="456"/>
        <w:spacing w:after="0" w:line="235" w:lineRule="auto"/>
        <w:rPr>
          <w:sz w:val="20"/>
          <w:szCs w:val="20"/>
          <w:color w:val="auto"/>
        </w:rPr>
      </w:pPr>
      <w:r>
        <w:rPr>
          <w:rFonts w:ascii="Arial" w:cs="Arial" w:eastAsia="Arial" w:hAnsi="Arial"/>
          <w:sz w:val="18"/>
          <w:szCs w:val="18"/>
          <w:color w:val="auto"/>
        </w:rPr>
        <w:t xml:space="preserve">In February 2009, we redeemed the entire $500 million outstanding principal amount of our Floating Rate Notes Due 2009 that were due June 1, 2009 at a redemption price in U.S. dollars equal to 100% of the principal amount, plus interest accrued. On June 1, 2009, we repaid our $400 million of 6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 Notes Due 2009 which matured on the same date.</w:t>
      </w:r>
    </w:p>
    <w:p>
      <w:pPr>
        <w:spacing w:after="0" w:line="198"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We have an existing universal shelf registration statement filed with the Securities and Exchange Commission (SEC) for an indeterminate amount of securities for future issuance, subject to our internal limitations on the amount of debt to be issued under this shelf registration statement.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Income Taxes</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conduct business globally and, as a result, UTC or one or more of our subsidiaries files income tax returns in the U.S. federal jurisdiction and various state and foreign jurisdictions. In the normal course of business we are subject to examination by taxing authorities throughout the world, including such major jurisdictions as Australia, Canada, China, France, Germany, Hong Kong, Italy, Japan, South Korea, Singapore, Spain, the United Kingdom and the United States. With few exceptions, we are no longer subject to U.S. federal, state and local, or non-U.S. income tax examinations for years before 1998.</w:t>
      </w:r>
    </w:p>
    <w:p>
      <w:pPr>
        <w:spacing w:after="0" w:line="11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assess uncertain tax positions in accordance with Financial Accounting Standards Board Interpretation No. 48 “Accounting for Uncertainty in Income Taxes – an interpretation of FASB Statement No. 109”. We recognize interest accrued related to unrecognized tax benefits in interest expense. Penalties, if incurred, would be recognized as a component of income tax expense. There were no material changes to unrecognized tax benefits or to related accrued interest in the quarter. It is reasonably possible that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over the next twelve months the amount of unrecognized tax benefits may change within a range of a net decrease of $125 million to a net increase of $50 million resulting from additional worldwide uncertain tax positions, from the reevaluation of current uncertain tax positions arising from developments in examinations, in appeals, or in the courts, or from the closure of tax statutes. Not included in the range is €182 million (approximately $255 million) of tax benefits that we have claimed related to a 1998 German reorganization. These tax benefits are currently being reviewed by the German Tax Office in the course of an audit of tax years 1999 to 2000. In 2008 the German Federal Tax Court denied benefits to another taxpayer in a case involving a German tax law relevant to our reorganization. The determination of the German Federal Tax Court on this other matter has been appealed to the European Court of Justice (ECJ) to determine if the underlying German tax law is violative of European Union (EU) principles. It is our position that it is more likely than not that the relevant German tax law is violative of EU principles and we have not accrued tax expense for this matter. As developments in the pending ECJ case warrant, it may become necessary for us to accrue for this matter, and related interest.</w:t>
      </w:r>
    </w:p>
    <w:p>
      <w:pPr>
        <w:spacing w:after="0" w:line="12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2009, we expect to complete the examination phase of the Internal Revenue Service (IRS) review of tax years 2004 and 2005 and that the IRS review of tax years 2006 and 2007 will commence.</w:t>
      </w:r>
    </w:p>
    <w:p>
      <w:pPr>
        <w:spacing w:after="0" w:line="132" w:lineRule="exact"/>
        <w:rPr>
          <w:sz w:val="20"/>
          <w:szCs w:val="20"/>
          <w:color w:val="auto"/>
        </w:rPr>
      </w:pPr>
    </w:p>
    <w:p>
      <w:pPr>
        <w:jc w:val="both"/>
        <w:ind w:right="40" w:firstLine="456"/>
        <w:spacing w:after="0" w:line="318" w:lineRule="auto"/>
        <w:rPr>
          <w:sz w:val="20"/>
          <w:szCs w:val="20"/>
          <w:color w:val="auto"/>
        </w:rPr>
      </w:pPr>
      <w:r>
        <w:rPr>
          <w:rFonts w:ascii="Arial" w:cs="Arial" w:eastAsia="Arial" w:hAnsi="Arial"/>
          <w:sz w:val="15"/>
          <w:szCs w:val="15"/>
          <w:color w:val="auto"/>
        </w:rPr>
        <w:t>The effective tax rate for the quarter ended June 30, 2009 has decreased as compared to the same period of 2008 as a result of the non-taxability of a gain recognized in the quarter ended June 30, 2009 on the remeasurement to fair value of a previously held equity interest in an Otis joint venture due to the purchase of a controlling interest in the venture. The effective tax rate for the six months ended June 30, 2009 decreased as compared to the same period of 2008 as a result of the favorable tax impact of approximately $25 million in the first quarter of 2009 related to the formation of a commercial venture and the non-taxability of the second quarter 2009 Otis gain. The effective tax rate for the balance of the year is expected to be approximately 28% before the impacts of any discrete events.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Employee Benefit Plans</w:t>
      </w:r>
    </w:p>
    <w:p>
      <w:pPr>
        <w:spacing w:after="0" w:line="90"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b w:val="1"/>
          <w:bCs w:val="1"/>
          <w:color w:val="auto"/>
        </w:rPr>
        <w:t xml:space="preserve">Pension and Postretirement Plans. </w:t>
      </w:r>
      <w:r>
        <w:rPr>
          <w:rFonts w:ascii="Arial" w:cs="Arial" w:eastAsia="Arial" w:hAnsi="Arial"/>
          <w:sz w:val="18"/>
          <w:szCs w:val="18"/>
          <w:color w:val="auto"/>
        </w:rPr>
        <w:t>We sponsor both funded and unfunded domestic and foreign defined pension and postretirement plans. Contributions</w:t>
      </w:r>
      <w:r>
        <w:rPr>
          <w:rFonts w:ascii="Arial" w:cs="Arial" w:eastAsia="Arial" w:hAnsi="Arial"/>
          <w:sz w:val="18"/>
          <w:szCs w:val="18"/>
          <w:b w:val="1"/>
          <w:bCs w:val="1"/>
          <w:color w:val="auto"/>
        </w:rPr>
        <w:t xml:space="preserve"> </w:t>
      </w:r>
      <w:r>
        <w:rPr>
          <w:rFonts w:ascii="Arial" w:cs="Arial" w:eastAsia="Arial" w:hAnsi="Arial"/>
          <w:sz w:val="18"/>
          <w:szCs w:val="18"/>
          <w:color w:val="auto"/>
        </w:rPr>
        <w:t>to these plans during the quarters and six months ended June 30, 2009 and 2008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4"/>
          </w:tcPr>
          <w:p>
            <w:pPr>
              <w:jc w:val="right"/>
              <w:ind w:right="32"/>
              <w:spacing w:after="0"/>
              <w:rPr>
                <w:sz w:val="20"/>
                <w:szCs w:val="20"/>
                <w:color w:val="auto"/>
              </w:rPr>
            </w:pPr>
            <w:r>
              <w:rPr>
                <w:rFonts w:ascii="Arial" w:cs="Arial" w:eastAsia="Arial" w:hAnsi="Arial"/>
                <w:sz w:val="14"/>
                <w:szCs w:val="14"/>
                <w:b w:val="1"/>
                <w:bCs w:val="1"/>
                <w:color w:val="auto"/>
                <w:w w:val="92"/>
              </w:rPr>
              <w:t>Quarter Ended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8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2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7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ind w:right="24"/>
              <w:spacing w:after="0" w:line="142" w:lineRule="exact"/>
              <w:rPr>
                <w:sz w:val="20"/>
                <w:szCs w:val="20"/>
                <w:color w:val="auto"/>
              </w:rPr>
            </w:pPr>
            <w:r>
              <w:rPr>
                <w:rFonts w:ascii="Arial" w:cs="Arial" w:eastAsia="Arial" w:hAnsi="Arial"/>
                <w:sz w:val="14"/>
                <w:szCs w:val="14"/>
                <w:b w:val="1"/>
                <w:bCs w:val="1"/>
                <w:color w:val="auto"/>
                <w:w w:val="76"/>
              </w:rPr>
              <w:t>2009</w:t>
            </w:r>
          </w:p>
        </w:tc>
        <w:tc>
          <w:tcPr>
            <w:tcW w:w="300" w:type="dxa"/>
            <w:vAlign w:val="bottom"/>
          </w:tcPr>
          <w:p>
            <w:pPr>
              <w:spacing w:after="0"/>
              <w:rPr>
                <w:sz w:val="12"/>
                <w:szCs w:val="12"/>
                <w:color w:val="auto"/>
              </w:rPr>
            </w:pPr>
          </w:p>
        </w:tc>
        <w:tc>
          <w:tcPr>
            <w:tcW w:w="3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2008</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ind w:right="24"/>
              <w:spacing w:after="0" w:line="142" w:lineRule="exact"/>
              <w:rPr>
                <w:sz w:val="20"/>
                <w:szCs w:val="20"/>
                <w:color w:val="auto"/>
              </w:rPr>
            </w:pPr>
            <w:r>
              <w:rPr>
                <w:rFonts w:ascii="Arial" w:cs="Arial" w:eastAsia="Arial" w:hAnsi="Arial"/>
                <w:sz w:val="14"/>
                <w:szCs w:val="14"/>
                <w:b w:val="1"/>
                <w:bCs w:val="1"/>
                <w:color w:val="auto"/>
                <w:w w:val="83"/>
              </w:rPr>
              <w:t>2009</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ind w:right="39"/>
              <w:spacing w:after="0" w:line="142" w:lineRule="exact"/>
              <w:rPr>
                <w:sz w:val="20"/>
                <w:szCs w:val="20"/>
                <w:color w:val="auto"/>
              </w:rPr>
            </w:pPr>
            <w:r>
              <w:rPr>
                <w:rFonts w:ascii="Arial" w:cs="Arial" w:eastAsia="Arial" w:hAnsi="Arial"/>
                <w:sz w:val="14"/>
                <w:szCs w:val="14"/>
                <w:b w:val="1"/>
                <w:bCs w:val="1"/>
                <w:color w:val="auto"/>
                <w:w w:val="83"/>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Defined Benefit Plans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00" w:type="dxa"/>
            <w:vAlign w:val="bottom"/>
            <w:gridSpan w:val="3"/>
            <w:vMerge w:val="restart"/>
          </w:tcPr>
          <w:p>
            <w:pPr>
              <w:spacing w:after="0"/>
              <w:rPr>
                <w:sz w:val="20"/>
                <w:szCs w:val="20"/>
                <w:color w:val="auto"/>
              </w:rPr>
            </w:pPr>
            <w:r>
              <w:rPr>
                <w:rFonts w:ascii="Arial" w:cs="Arial" w:eastAsia="Arial" w:hAnsi="Arial"/>
                <w:sz w:val="18"/>
                <w:szCs w:val="18"/>
                <w:color w:val="auto"/>
              </w:rPr>
              <w:t>Defined Contribution Plans</w:t>
            </w: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700" w:type="dxa"/>
            <w:vAlign w:val="bottom"/>
            <w:gridSpan w:val="3"/>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48</w:t>
            </w: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63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101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In the first six months of 2009, we contributed $401 million in cash to our domestic defined benefit pension plans, all of which was contributed in the second quarter of 2009. There were no contributions to our domestic defined benefit pension plans in the first six months of 2008.</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illustrates the components of net periodic benefit cost for our pension and other postretirement benefits: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82"/>
              </w:rPr>
              <w:t>Pension Benefits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87"/>
              </w:rPr>
              <w:t>Other Postretirement Benefits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6"/>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Quarter Ended</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4"/>
          </w:tcPr>
          <w:p>
            <w:pPr>
              <w:jc w:val="center"/>
              <w:ind w:left="338"/>
              <w:spacing w:after="0" w:line="149" w:lineRule="exact"/>
              <w:rPr>
                <w:sz w:val="20"/>
                <w:szCs w:val="20"/>
                <w:color w:val="auto"/>
              </w:rPr>
            </w:pPr>
            <w:r>
              <w:rPr>
                <w:rFonts w:ascii="Arial" w:cs="Arial" w:eastAsia="Arial" w:hAnsi="Arial"/>
                <w:sz w:val="14"/>
                <w:szCs w:val="14"/>
                <w:b w:val="1"/>
                <w:bCs w:val="1"/>
                <w:color w:val="auto"/>
                <w:w w:val="90"/>
              </w:rPr>
              <w:t>Quarter Ended</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3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5"/>
              </w:rPr>
              <w:t>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80" w:type="dxa"/>
            <w:vAlign w:val="bottom"/>
            <w:gridSpan w:val="3"/>
            <w:vMerge w:val="continue"/>
          </w:tcPr>
          <w:p>
            <w:pPr>
              <w:spacing w:after="0"/>
              <w:rPr>
                <w:sz w:val="12"/>
                <w:szCs w:val="12"/>
                <w:color w:val="auto"/>
              </w:rPr>
            </w:pPr>
          </w:p>
        </w:tc>
        <w:tc>
          <w:tcPr>
            <w:tcW w:w="3120" w:type="dxa"/>
            <w:vAlign w:val="bottom"/>
          </w:tcPr>
          <w:p>
            <w:pPr>
              <w:spacing w:after="0"/>
              <w:rPr>
                <w:sz w:val="12"/>
                <w:szCs w:val="12"/>
                <w:color w:val="auto"/>
              </w:rPr>
            </w:pPr>
          </w:p>
        </w:tc>
        <w:tc>
          <w:tcPr>
            <w:tcW w:w="4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560" w:type="dxa"/>
            <w:vAlign w:val="bottom"/>
          </w:tcPr>
          <w:p>
            <w:pPr>
              <w:spacing w:after="0"/>
              <w:rPr>
                <w:sz w:val="12"/>
                <w:szCs w:val="12"/>
                <w:color w:val="auto"/>
              </w:rPr>
            </w:pPr>
          </w:p>
        </w:tc>
        <w:tc>
          <w:tcPr>
            <w:tcW w:w="4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138"/>
              <w:spacing w:after="0" w:line="142" w:lineRule="exact"/>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72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w w:val="99"/>
              </w:rPr>
              <w:t>108</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92"/>
              <w:spacing w:after="0"/>
              <w:rPr>
                <w:sz w:val="20"/>
                <w:szCs w:val="20"/>
                <w:color w:val="auto"/>
              </w:rPr>
            </w:pPr>
            <w:r>
              <w:rPr>
                <w:rFonts w:ascii="Arial" w:cs="Arial" w:eastAsia="Arial" w:hAnsi="Arial"/>
                <w:sz w:val="18"/>
                <w:szCs w:val="18"/>
                <w:color w:val="auto"/>
                <w:w w:val="99"/>
              </w:rPr>
              <w:t>319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320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w w:val="85"/>
              </w:rPr>
              <w:t>(403)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5"/>
              </w:rPr>
              <w:t>(421)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Amortization</w:t>
            </w: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92"/>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Recognized actuarial net loss (gain)</w:t>
            </w: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56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492"/>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56</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settlement and curtailment loss</w:t>
            </w:r>
          </w:p>
        </w:tc>
        <w:tc>
          <w:tcPr>
            <w:tcW w:w="3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80" w:type="dxa"/>
            <w:vAlign w:val="bottom"/>
            <w:gridSpan w:val="3"/>
            <w:vMerge w:val="restart"/>
          </w:tcPr>
          <w:p>
            <w:pPr>
              <w:spacing w:after="0"/>
              <w:rPr>
                <w:sz w:val="20"/>
                <w:szCs w:val="20"/>
                <w:color w:val="auto"/>
              </w:rPr>
            </w:pPr>
            <w:r>
              <w:rPr>
                <w:rFonts w:ascii="Arial" w:cs="Arial" w:eastAsia="Arial" w:hAnsi="Arial"/>
                <w:sz w:val="18"/>
                <w:szCs w:val="18"/>
                <w:color w:val="auto"/>
              </w:rPr>
              <w:t>Total net periodic benefit cost</w:t>
            </w:r>
          </w:p>
        </w:tc>
        <w:tc>
          <w:tcPr>
            <w:tcW w:w="3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080" w:type="dxa"/>
            <w:vAlign w:val="bottom"/>
            <w:gridSpan w:val="3"/>
            <w:vMerge w:val="continue"/>
          </w:tcPr>
          <w:p>
            <w:pPr>
              <w:spacing w:after="0"/>
              <w:rPr>
                <w:sz w:val="19"/>
                <w:szCs w:val="19"/>
                <w:color w:val="auto"/>
              </w:rPr>
            </w:pPr>
          </w:p>
        </w:tc>
        <w:tc>
          <w:tcPr>
            <w:tcW w:w="3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92"/>
              <w:spacing w:after="0"/>
              <w:rPr>
                <w:sz w:val="20"/>
                <w:szCs w:val="20"/>
                <w:color w:val="auto"/>
              </w:rPr>
            </w:pPr>
            <w:r>
              <w:rPr>
                <w:rFonts w:ascii="Arial" w:cs="Arial" w:eastAsia="Arial" w:hAnsi="Arial"/>
                <w:sz w:val="18"/>
                <w:szCs w:val="18"/>
                <w:color w:val="auto"/>
              </w:rPr>
              <w:t>98</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56</w:t>
            </w:r>
          </w:p>
        </w:tc>
        <w:tc>
          <w:tcPr>
            <w:tcW w:w="300" w:type="dxa"/>
            <w:vAlign w:val="bottom"/>
          </w:tcPr>
          <w:p>
            <w:pPr>
              <w:spacing w:after="0"/>
              <w:rPr>
                <w:sz w:val="19"/>
                <w:szCs w:val="19"/>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120" w:type="dxa"/>
            <w:vAlign w:val="bottom"/>
            <w:vMerge w:val="restart"/>
          </w:tcPr>
          <w:p>
            <w:pPr>
              <w:jc w:val="right"/>
              <w:ind w:right="1312"/>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82"/>
              </w:rPr>
              <w:t>Pension Benefits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87"/>
              </w:rPr>
              <w:t>Other Postretirement Benefits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6"/>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Six Months Ended</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4"/>
          </w:tcPr>
          <w:p>
            <w:pPr>
              <w:jc w:val="center"/>
              <w:ind w:left="298"/>
              <w:spacing w:after="0" w:line="149" w:lineRule="exact"/>
              <w:rPr>
                <w:sz w:val="20"/>
                <w:szCs w:val="20"/>
                <w:color w:val="auto"/>
              </w:rPr>
            </w:pPr>
            <w:r>
              <w:rPr>
                <w:rFonts w:ascii="Arial" w:cs="Arial" w:eastAsia="Arial" w:hAnsi="Arial"/>
                <w:sz w:val="14"/>
                <w:szCs w:val="14"/>
                <w:b w:val="1"/>
                <w:bCs w:val="1"/>
                <w:color w:val="auto"/>
                <w:w w:val="87"/>
              </w:rPr>
              <w:t>Six Months Ended</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85"/>
              </w:rPr>
              <w:t>June 30,</w:t>
            </w:r>
          </w:p>
        </w:tc>
        <w:tc>
          <w:tcPr>
            <w:tcW w:w="3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5"/>
              </w:rPr>
              <w:t>June 30,</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ind w:right="18"/>
              <w:spacing w:after="0" w:line="142" w:lineRule="exact"/>
              <w:rPr>
                <w:sz w:val="20"/>
                <w:szCs w:val="20"/>
                <w:color w:val="auto"/>
              </w:rPr>
            </w:pPr>
            <w:r>
              <w:rPr>
                <w:rFonts w:ascii="Arial" w:cs="Arial" w:eastAsia="Arial" w:hAnsi="Arial"/>
                <w:sz w:val="14"/>
                <w:szCs w:val="14"/>
                <w:b w:val="1"/>
                <w:bCs w:val="1"/>
                <w:color w:val="auto"/>
                <w:w w:val="76"/>
              </w:rPr>
              <w:t>2009</w:t>
            </w: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ind w:right="34"/>
              <w:spacing w:after="0" w:line="142" w:lineRule="exact"/>
              <w:rPr>
                <w:sz w:val="20"/>
                <w:szCs w:val="20"/>
                <w:color w:val="auto"/>
              </w:rPr>
            </w:pPr>
            <w:r>
              <w:rPr>
                <w:rFonts w:ascii="Arial" w:cs="Arial" w:eastAsia="Arial" w:hAnsi="Arial"/>
                <w:sz w:val="14"/>
                <w:szCs w:val="14"/>
                <w:b w:val="1"/>
                <w:bCs w:val="1"/>
                <w:color w:val="auto"/>
                <w:w w:val="76"/>
              </w:rPr>
              <w:t>2008</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138"/>
              <w:spacing w:after="0" w:line="142" w:lineRule="exact"/>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w w:val="83"/>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57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635</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640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(802)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(841)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Amortization</w:t>
            </w: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Recognized actuarial net loss (gain)</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settlement and curtailment loss (gain)</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120" w:type="dxa"/>
            <w:vAlign w:val="bottom"/>
            <w:gridSpan w:val="3"/>
            <w:vMerge w:val="restart"/>
          </w:tcPr>
          <w:p>
            <w:pPr>
              <w:spacing w:after="0"/>
              <w:rPr>
                <w:sz w:val="20"/>
                <w:szCs w:val="20"/>
                <w:color w:val="auto"/>
              </w:rPr>
            </w:pPr>
            <w:r>
              <w:rPr>
                <w:rFonts w:ascii="Arial" w:cs="Arial" w:eastAsia="Arial" w:hAnsi="Arial"/>
                <w:sz w:val="18"/>
                <w:szCs w:val="18"/>
                <w:color w:val="auto"/>
              </w:rPr>
              <w:t>Total net periodic benefit cost</w:t>
            </w: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20" w:type="dxa"/>
            <w:vAlign w:val="bottom"/>
            <w:gridSpan w:val="3"/>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204</w:t>
            </w:r>
          </w:p>
        </w:tc>
        <w:tc>
          <w:tcPr>
            <w:tcW w:w="4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110</w:t>
            </w:r>
          </w:p>
        </w:tc>
        <w:tc>
          <w:tcPr>
            <w:tcW w:w="300" w:type="dxa"/>
            <w:vAlign w:val="bottom"/>
          </w:tcPr>
          <w:p>
            <w:pPr>
              <w:spacing w:after="0"/>
              <w:rPr>
                <w:sz w:val="19"/>
                <w:szCs w:val="19"/>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Restructuring and Related Costs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During the first six months of 2009, we recorded net pre-tax restructuring and related charges in our business segments totaling $464 million for new and ongoing restructuring actions as follows:</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66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2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Otis</w:t>
            </w:r>
          </w:p>
        </w:tc>
        <w:tc>
          <w:tcPr>
            <w:tcW w:w="3300" w:type="dxa"/>
            <w:vAlign w:val="bottom"/>
            <w:shd w:val="clear" w:color="auto" w:fill="CCEEFF"/>
          </w:tcPr>
          <w:p>
            <w:pPr>
              <w:spacing w:after="0"/>
              <w:rPr>
                <w:sz w:val="18"/>
                <w:szCs w:val="18"/>
                <w:color w:val="auto"/>
              </w:rPr>
            </w:pP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Sikorsky</w:t>
            </w: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Eliminations &amp; Other</w:t>
            </w: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General corporate expenses</w:t>
            </w:r>
          </w:p>
        </w:tc>
        <w:tc>
          <w:tcPr>
            <w:tcW w:w="27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34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net charges included $192 million in cost of sales, $254 million in selling, general and administrative expenses and $18 million in other income and, as described below, primarily relate to actions initiated during 2009 and 2008.</w:t>
      </w:r>
    </w:p>
    <w:p>
      <w:pPr>
        <w:spacing w:after="0" w:line="126"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b w:val="1"/>
          <w:bCs w:val="1"/>
          <w:color w:val="auto"/>
        </w:rPr>
        <w:t xml:space="preserve">2009 Actions. </w:t>
      </w:r>
      <w:r>
        <w:rPr>
          <w:rFonts w:ascii="Arial" w:cs="Arial" w:eastAsia="Arial" w:hAnsi="Arial"/>
          <w:sz w:val="18"/>
          <w:szCs w:val="18"/>
          <w:color w:val="auto"/>
        </w:rPr>
        <w:t>During the first six months of 2009, we initiated restructuring actions relating to ongoing cost reduction efforts, including workforce</w:t>
      </w:r>
      <w:r>
        <w:rPr>
          <w:rFonts w:ascii="Arial" w:cs="Arial" w:eastAsia="Arial" w:hAnsi="Arial"/>
          <w:sz w:val="18"/>
          <w:szCs w:val="18"/>
          <w:b w:val="1"/>
          <w:bCs w:val="1"/>
          <w:color w:val="auto"/>
        </w:rPr>
        <w:t xml:space="preserve"> </w:t>
      </w:r>
      <w:r>
        <w:rPr>
          <w:rFonts w:ascii="Arial" w:cs="Arial" w:eastAsia="Arial" w:hAnsi="Arial"/>
          <w:sz w:val="18"/>
          <w:szCs w:val="18"/>
          <w:color w:val="auto"/>
        </w:rPr>
        <w:t>reductions and the consolidation of administrative offices. We recorded net pre-tax restructuring and related charges totaling $434 million, including $167 million in cost of sales, $249 million in selling, general and administrative expenses and $18 million in other income.</w:t>
      </w:r>
    </w:p>
    <w:p>
      <w:pPr>
        <w:spacing w:after="0" w:line="13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expect the 2009 actions that were initiated in the first six months to result in net workforce reductions of approximately 10,600 hourly and salaried employees, the exiting of approximately 2 million net square feet of facilities and the disposal of assets associated with the exited facilities. As of June 30, 2009, net workforce reductions of approximately 7,000 employees have been completed. The majority of the remaining workforce and all facility related cost reduction actions are targeted for completion during 2009 and 2010. No specific plans for significant other actions have been finalized at this time.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accrual balances and utilization by cost type for the 2009 restructuring actions: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20" w:type="dxa"/>
            <w:vAlign w:val="bottom"/>
            <w:gridSpan w:val="3"/>
          </w:tcPr>
          <w:p>
            <w:pPr>
              <w:ind w:left="60"/>
              <w:spacing w:after="0"/>
              <w:rPr>
                <w:sz w:val="20"/>
                <w:szCs w:val="20"/>
                <w:color w:val="auto"/>
              </w:rPr>
            </w:pPr>
            <w:r>
              <w:rPr>
                <w:rFonts w:ascii="Arial" w:cs="Arial" w:eastAsia="Arial" w:hAnsi="Arial"/>
                <w:sz w:val="14"/>
                <w:szCs w:val="14"/>
                <w:b w:val="1"/>
                <w:bCs w:val="1"/>
                <w:color w:val="auto"/>
              </w:rPr>
              <w:t>Facility Exit and</w:t>
            </w: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860"/>
              <w:spacing w:after="0" w:line="149" w:lineRule="exact"/>
              <w:rPr>
                <w:sz w:val="20"/>
                <w:szCs w:val="20"/>
                <w:color w:val="auto"/>
              </w:rPr>
            </w:pPr>
            <w:r>
              <w:rPr>
                <w:rFonts w:ascii="Arial" w:cs="Arial" w:eastAsia="Arial" w:hAnsi="Arial"/>
                <w:sz w:val="14"/>
                <w:szCs w:val="14"/>
                <w:b w:val="1"/>
                <w:bCs w:val="1"/>
                <w:color w:val="auto"/>
                <w:w w:val="89"/>
              </w:rPr>
              <w:t>Asset</w:t>
            </w:r>
          </w:p>
        </w:tc>
        <w:tc>
          <w:tcPr>
            <w:tcW w:w="1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Lease Termination</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28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232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Severance</w:t>
            </w:r>
          </w:p>
        </w:tc>
        <w:tc>
          <w:tcPr>
            <w:tcW w:w="28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Write-downs</w:t>
            </w:r>
          </w:p>
        </w:tc>
        <w:tc>
          <w:tcPr>
            <w:tcW w:w="220" w:type="dxa"/>
            <w:vAlign w:val="bottom"/>
          </w:tcPr>
          <w:p>
            <w:pPr>
              <w:spacing w:after="0"/>
              <w:rPr>
                <w:sz w:val="14"/>
                <w:szCs w:val="14"/>
                <w:color w:val="auto"/>
              </w:rPr>
            </w:pPr>
          </w:p>
        </w:tc>
        <w:tc>
          <w:tcPr>
            <w:tcW w:w="12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Costs</w:t>
            </w:r>
          </w:p>
        </w:tc>
        <w:tc>
          <w:tcPr>
            <w:tcW w:w="28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 accruals at March 31, 2009</w:t>
            </w:r>
          </w:p>
        </w:tc>
        <w:tc>
          <w:tcPr>
            <w:tcW w:w="2500" w:type="dxa"/>
            <w:vAlign w:val="bottom"/>
            <w:gridSpan w:val="2"/>
            <w:shd w:val="clear" w:color="auto" w:fill="CCEEFF"/>
          </w:tcPr>
          <w:p>
            <w:pPr>
              <w:ind w:left="23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Net pre-tax restructuring charges</w:t>
            </w:r>
          </w:p>
        </w:tc>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255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Utilization</w:t>
            </w:r>
          </w:p>
        </w:tc>
        <w:tc>
          <w:tcPr>
            <w:tcW w:w="2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4280" w:type="dxa"/>
            <w:vAlign w:val="bottom"/>
            <w:gridSpan w:val="3"/>
            <w:vMerge w:val="restart"/>
          </w:tcPr>
          <w:p>
            <w:pPr>
              <w:spacing w:after="0"/>
              <w:rPr>
                <w:sz w:val="20"/>
                <w:szCs w:val="20"/>
                <w:color w:val="auto"/>
              </w:rPr>
            </w:pPr>
            <w:r>
              <w:rPr>
                <w:rFonts w:ascii="Arial" w:cs="Arial" w:eastAsia="Arial" w:hAnsi="Arial"/>
                <w:sz w:val="18"/>
                <w:szCs w:val="18"/>
                <w:color w:val="auto"/>
              </w:rPr>
              <w:t>Balance at June 30, 2009</w:t>
            </w:r>
          </w:p>
        </w:tc>
        <w:tc>
          <w:tcPr>
            <w:tcW w:w="2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280" w:type="dxa"/>
            <w:vAlign w:val="bottom"/>
            <w:gridSpan w:val="3"/>
            <w:vMerge w:val="continue"/>
          </w:tcPr>
          <w:p>
            <w:pPr>
              <w:spacing w:after="0"/>
              <w:rPr>
                <w:sz w:val="19"/>
                <w:szCs w:val="19"/>
                <w:color w:val="auto"/>
              </w:rPr>
            </w:pPr>
          </w:p>
        </w:tc>
        <w:tc>
          <w:tcPr>
            <w:tcW w:w="2500" w:type="dxa"/>
            <w:vAlign w:val="bottom"/>
            <w:gridSpan w:val="2"/>
          </w:tcPr>
          <w:p>
            <w:pPr>
              <w:ind w:left="23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250</w:t>
            </w:r>
          </w:p>
        </w:tc>
        <w:tc>
          <w:tcPr>
            <w:tcW w:w="340" w:type="dxa"/>
            <w:vAlign w:val="bottom"/>
          </w:tcPr>
          <w:p>
            <w:pPr>
              <w:spacing w:after="0"/>
              <w:rPr>
                <w:sz w:val="19"/>
                <w:szCs w:val="19"/>
                <w:color w:val="auto"/>
              </w:rPr>
            </w:pP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19"/>
                <w:szCs w:val="19"/>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$ 257</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320" w:type="dxa"/>
            <w:vAlign w:val="bottom"/>
          </w:tcPr>
          <w:p>
            <w:pPr>
              <w:jc w:val="right"/>
              <w:ind w:right="712"/>
              <w:spacing w:after="0"/>
              <w:rPr>
                <w:sz w:val="20"/>
                <w:szCs w:val="20"/>
                <w:color w:val="auto"/>
              </w:rPr>
            </w:pPr>
            <w:r>
              <w:rPr>
                <w:rFonts w:ascii="Arial" w:cs="Arial" w:eastAsia="Arial" w:hAnsi="Arial"/>
                <w:sz w:val="18"/>
                <w:szCs w:val="18"/>
                <w:color w:val="auto"/>
              </w:rPr>
              <w:t>11</w:t>
            </w:r>
          </w:p>
        </w:tc>
        <w:tc>
          <w:tcPr>
            <w:tcW w:w="1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expected, incurred and remaining costs for the 2009 restructuring actions by type: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3"/>
              </w:rPr>
              <w:t>Facility Exit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4"/>
          </w:tcPr>
          <w:p>
            <w:pPr>
              <w:jc w:val="right"/>
              <w:ind w:right="440"/>
              <w:spacing w:after="0" w:line="149" w:lineRule="exact"/>
              <w:rPr>
                <w:sz w:val="20"/>
                <w:szCs w:val="20"/>
                <w:color w:val="auto"/>
              </w:rPr>
            </w:pPr>
            <w:r>
              <w:rPr>
                <w:rFonts w:ascii="Arial" w:cs="Arial" w:eastAsia="Arial" w:hAnsi="Arial"/>
                <w:sz w:val="14"/>
                <w:szCs w:val="14"/>
                <w:b w:val="1"/>
                <w:bCs w:val="1"/>
                <w:color w:val="auto"/>
              </w:rPr>
              <w:t>Asset</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Lease Termination</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48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gridSpan w:val="4"/>
          </w:tcPr>
          <w:p>
            <w:pPr>
              <w:spacing w:after="0"/>
              <w:rPr>
                <w:sz w:val="20"/>
                <w:szCs w:val="20"/>
                <w:color w:val="auto"/>
              </w:rPr>
            </w:pPr>
            <w:r>
              <w:rPr>
                <w:rFonts w:ascii="Arial" w:cs="Arial" w:eastAsia="Arial" w:hAnsi="Arial"/>
                <w:sz w:val="14"/>
                <w:szCs w:val="14"/>
                <w:b w:val="1"/>
                <w:bCs w:val="1"/>
                <w:color w:val="auto"/>
              </w:rPr>
              <w:t>Severance</w:t>
            </w:r>
          </w:p>
        </w:tc>
        <w:tc>
          <w:tcPr>
            <w:tcW w:w="240" w:type="dxa"/>
            <w:vAlign w:val="bottom"/>
          </w:tcPr>
          <w:p>
            <w:pPr>
              <w:spacing w:after="0"/>
              <w:rPr>
                <w:sz w:val="14"/>
                <w:szCs w:val="14"/>
                <w:color w:val="auto"/>
              </w:rPr>
            </w:pPr>
          </w:p>
        </w:tc>
        <w:tc>
          <w:tcPr>
            <w:tcW w:w="1000" w:type="dxa"/>
            <w:vAlign w:val="bottom"/>
            <w:gridSpan w:val="4"/>
          </w:tcPr>
          <w:p>
            <w:pPr>
              <w:ind w:left="20"/>
              <w:spacing w:after="0"/>
              <w:rPr>
                <w:sz w:val="20"/>
                <w:szCs w:val="20"/>
                <w:color w:val="auto"/>
              </w:rPr>
            </w:pPr>
            <w:r>
              <w:rPr>
                <w:rFonts w:ascii="Arial" w:cs="Arial" w:eastAsia="Arial" w:hAnsi="Arial"/>
                <w:sz w:val="14"/>
                <w:szCs w:val="14"/>
                <w:b w:val="1"/>
                <w:bCs w:val="1"/>
                <w:color w:val="auto"/>
              </w:rPr>
              <w:t>Write-Downs</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Costs</w:t>
            </w:r>
          </w:p>
        </w:tc>
        <w:tc>
          <w:tcPr>
            <w:tcW w:w="280" w:type="dxa"/>
            <w:vAlign w:val="bottom"/>
          </w:tcPr>
          <w:p>
            <w:pPr>
              <w:spacing w:after="0"/>
              <w:rPr>
                <w:sz w:val="14"/>
                <w:szCs w:val="14"/>
                <w:color w:val="auto"/>
              </w:rPr>
            </w:pPr>
          </w:p>
        </w:tc>
        <w:tc>
          <w:tcPr>
            <w:tcW w:w="54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Expected costs</w:t>
            </w:r>
          </w:p>
        </w:tc>
        <w:tc>
          <w:tcPr>
            <w:tcW w:w="3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6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3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$ 498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Costs incurred - quarter ended March 31, 2009</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3"/>
          </w:tcPr>
          <w:p>
            <w:pPr>
              <w:jc w:val="right"/>
              <w:ind w:right="252"/>
              <w:spacing w:after="0"/>
              <w:rPr>
                <w:sz w:val="20"/>
                <w:szCs w:val="20"/>
                <w:color w:val="auto"/>
              </w:rPr>
            </w:pPr>
            <w:r>
              <w:rPr>
                <w:rFonts w:ascii="Arial" w:cs="Arial" w:eastAsia="Arial" w:hAnsi="Arial"/>
                <w:sz w:val="18"/>
                <w:szCs w:val="18"/>
                <w:color w:val="auto"/>
              </w:rPr>
              <w:t>(140)</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Costs incurred - quarter ended June 30, 2009</w:t>
            </w: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color w:val="auto"/>
              </w:rPr>
              <w:t>(255)</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gridSpan w:val="3"/>
            <w:vMerge w:val="restart"/>
          </w:tcPr>
          <w:p>
            <w:pPr>
              <w:spacing w:after="0"/>
              <w:rPr>
                <w:sz w:val="20"/>
                <w:szCs w:val="20"/>
                <w:color w:val="auto"/>
              </w:rPr>
            </w:pPr>
            <w:r>
              <w:rPr>
                <w:rFonts w:ascii="Arial" w:cs="Arial" w:eastAsia="Arial" w:hAnsi="Arial"/>
                <w:sz w:val="18"/>
                <w:szCs w:val="18"/>
                <w:color w:val="auto"/>
              </w:rPr>
              <w:t>Remaining costs at June 30, 2009</w:t>
            </w: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80" w:type="dxa"/>
            <w:vAlign w:val="bottom"/>
            <w:gridSpan w:val="3"/>
            <w:vMerge w:val="continue"/>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34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80" w:type="dxa"/>
            <w:vAlign w:val="bottom"/>
            <w:gridSpan w:val="4"/>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8780" w:type="dxa"/>
            <w:vAlign w:val="bottom"/>
            <w:gridSpan w:val="15"/>
          </w:tcPr>
          <w:p>
            <w:pPr>
              <w:spacing w:after="0"/>
              <w:rPr>
                <w:sz w:val="20"/>
                <w:szCs w:val="20"/>
                <w:color w:val="auto"/>
              </w:rPr>
            </w:pPr>
            <w:r>
              <w:rPr>
                <w:rFonts w:ascii="Arial" w:cs="Arial" w:eastAsia="Arial" w:hAnsi="Arial"/>
                <w:sz w:val="18"/>
                <w:szCs w:val="18"/>
                <w:color w:val="auto"/>
                <w:w w:val="92"/>
              </w:rPr>
              <w:t>The following table summarizes expected, incurred and remaining costs for the 2009 restructuring actions by segment:</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85"/>
              </w:rPr>
              <w:t>Costs Incurred -</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gridSpan w:val="5"/>
          </w:tcPr>
          <w:p>
            <w:pPr>
              <w:spacing w:after="0"/>
              <w:rPr>
                <w:sz w:val="20"/>
                <w:szCs w:val="20"/>
                <w:color w:val="auto"/>
              </w:rPr>
            </w:pPr>
            <w:r>
              <w:rPr>
                <w:rFonts w:ascii="Arial" w:cs="Arial" w:eastAsia="Arial" w:hAnsi="Arial"/>
                <w:sz w:val="14"/>
                <w:szCs w:val="14"/>
                <w:b w:val="1"/>
                <w:bCs w:val="1"/>
                <w:color w:val="auto"/>
              </w:rPr>
              <w:t>Costs Incurred -</w:t>
            </w:r>
          </w:p>
        </w:tc>
        <w:tc>
          <w:tcPr>
            <w:tcW w:w="820" w:type="dxa"/>
            <w:vAlign w:val="bottom"/>
            <w:gridSpan w:val="5"/>
          </w:tcPr>
          <w:p>
            <w:pPr>
              <w:jc w:val="right"/>
              <w:ind w:right="100"/>
              <w:spacing w:after="0"/>
              <w:rPr>
                <w:sz w:val="20"/>
                <w:szCs w:val="20"/>
                <w:color w:val="auto"/>
              </w:rPr>
            </w:pPr>
            <w:r>
              <w:rPr>
                <w:rFonts w:ascii="Arial" w:cs="Arial" w:eastAsia="Arial" w:hAnsi="Arial"/>
                <w:sz w:val="14"/>
                <w:szCs w:val="14"/>
                <w:b w:val="1"/>
                <w:bCs w:val="1"/>
                <w:color w:val="auto"/>
                <w:w w:val="97"/>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4"/>
          </w:tcPr>
          <w:p>
            <w:pPr>
              <w:jc w:val="right"/>
              <w:ind w:right="120"/>
              <w:spacing w:after="0" w:line="149" w:lineRule="exact"/>
              <w:rPr>
                <w:sz w:val="20"/>
                <w:szCs w:val="20"/>
                <w:color w:val="auto"/>
              </w:rPr>
            </w:pPr>
            <w:r>
              <w:rPr>
                <w:rFonts w:ascii="Arial" w:cs="Arial" w:eastAsia="Arial" w:hAnsi="Arial"/>
                <w:sz w:val="14"/>
                <w:szCs w:val="14"/>
                <w:b w:val="1"/>
                <w:bCs w:val="1"/>
                <w:color w:val="auto"/>
                <w:w w:val="92"/>
              </w:rPr>
              <w:t>Quarter Ended</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5"/>
          </w:tcPr>
          <w:p>
            <w:pPr>
              <w:jc w:val="right"/>
              <w:ind w:right="780"/>
              <w:spacing w:after="0" w:line="149" w:lineRule="exact"/>
              <w:rPr>
                <w:sz w:val="20"/>
                <w:szCs w:val="20"/>
                <w:color w:val="auto"/>
              </w:rPr>
            </w:pPr>
            <w:r>
              <w:rPr>
                <w:rFonts w:ascii="Arial" w:cs="Arial" w:eastAsia="Arial" w:hAnsi="Arial"/>
                <w:sz w:val="14"/>
                <w:szCs w:val="14"/>
                <w:b w:val="1"/>
                <w:bCs w:val="1"/>
                <w:color w:val="auto"/>
                <w:w w:val="92"/>
              </w:rPr>
              <w:t>Quarter Ended</w:t>
            </w:r>
          </w:p>
        </w:tc>
        <w:tc>
          <w:tcPr>
            <w:tcW w:w="820" w:type="dxa"/>
            <w:vAlign w:val="bottom"/>
            <w:gridSpan w:val="5"/>
          </w:tcPr>
          <w:p>
            <w:pPr>
              <w:jc w:val="right"/>
              <w:ind w:right="180"/>
              <w:spacing w:after="0" w:line="149" w:lineRule="exact"/>
              <w:rPr>
                <w:sz w:val="20"/>
                <w:szCs w:val="20"/>
                <w:color w:val="auto"/>
              </w:rPr>
            </w:pPr>
            <w:r>
              <w:rPr>
                <w:rFonts w:ascii="Arial" w:cs="Arial" w:eastAsia="Arial" w:hAnsi="Arial"/>
                <w:sz w:val="14"/>
                <w:szCs w:val="14"/>
                <w:b w:val="1"/>
                <w:bCs w:val="1"/>
                <w:color w:val="auto"/>
              </w:rPr>
              <w:t>Costs at</w:t>
            </w:r>
          </w:p>
        </w:tc>
        <w:tc>
          <w:tcPr>
            <w:tcW w:w="0" w:type="dxa"/>
            <w:vAlign w:val="bottom"/>
          </w:tcPr>
          <w:p>
            <w:pPr>
              <w:spacing w:after="0"/>
              <w:rPr>
                <w:sz w:val="1"/>
                <w:szCs w:val="1"/>
                <w:color w:val="auto"/>
              </w:rPr>
            </w:pPr>
          </w:p>
        </w:tc>
      </w:tr>
      <w:tr>
        <w:trPr>
          <w:trHeight w:val="161"/>
        </w:trPr>
        <w:tc>
          <w:tcPr>
            <w:tcW w:w="448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120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Expected Costs</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0"/>
              </w:rPr>
              <w:t>March 31, 2009</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w w:val="92"/>
              </w:rPr>
              <w:t>June 30, 2009</w:t>
            </w:r>
          </w:p>
        </w:tc>
        <w:tc>
          <w:tcPr>
            <w:tcW w:w="820" w:type="dxa"/>
            <w:vAlign w:val="bottom"/>
            <w:gridSpan w:val="5"/>
          </w:tcPr>
          <w:p>
            <w:pPr>
              <w:spacing w:after="0"/>
              <w:rPr>
                <w:sz w:val="20"/>
                <w:szCs w:val="20"/>
                <w:color w:val="auto"/>
              </w:rPr>
            </w:pPr>
            <w:r>
              <w:rPr>
                <w:rFonts w:ascii="Arial" w:cs="Arial" w:eastAsia="Arial" w:hAnsi="Arial"/>
                <w:sz w:val="14"/>
                <w:szCs w:val="14"/>
                <w:b w:val="1"/>
                <w:bCs w:val="1"/>
                <w:color w:val="auto"/>
                <w:w w:val="87"/>
              </w:rPr>
              <w:t>June 30, 2009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Otis</w:t>
            </w:r>
          </w:p>
        </w:tc>
        <w:tc>
          <w:tcPr>
            <w:tcW w:w="3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gridSpan w:val="2"/>
          </w:tcPr>
          <w:p>
            <w:pPr>
              <w:jc w:val="right"/>
              <w:ind w:right="112"/>
              <w:spacing w:after="0"/>
              <w:rPr>
                <w:sz w:val="20"/>
                <w:szCs w:val="20"/>
                <w:color w:val="auto"/>
              </w:rPr>
            </w:pPr>
            <w:r>
              <w:rPr>
                <w:rFonts w:ascii="Arial" w:cs="Arial" w:eastAsia="Arial" w:hAnsi="Arial"/>
                <w:sz w:val="18"/>
                <w:szCs w:val="18"/>
                <w:color w:val="auto"/>
              </w:rPr>
              <w:t>113</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(35)</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(53)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108</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gridSpan w:val="2"/>
          </w:tcPr>
          <w:p>
            <w:pPr>
              <w:jc w:val="right"/>
              <w:ind w:right="112"/>
              <w:spacing w:after="0"/>
              <w:rPr>
                <w:sz w:val="20"/>
                <w:szCs w:val="20"/>
                <w:color w:val="auto"/>
              </w:rPr>
            </w:pPr>
            <w:r>
              <w:rPr>
                <w:rFonts w:ascii="Arial" w:cs="Arial" w:eastAsia="Arial" w:hAnsi="Arial"/>
                <w:sz w:val="18"/>
                <w:szCs w:val="18"/>
                <w:color w:val="auto"/>
              </w:rPr>
              <w:t>112</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(59)</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61</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Sikorsky</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gridSpan w:val="2"/>
          </w:tcPr>
          <w:p>
            <w:pPr>
              <w:jc w:val="right"/>
              <w:ind w:right="112"/>
              <w:spacing w:after="0"/>
              <w:rPr>
                <w:sz w:val="20"/>
                <w:szCs w:val="20"/>
                <w:color w:val="auto"/>
              </w:rPr>
            </w:pPr>
            <w:r>
              <w:rPr>
                <w:rFonts w:ascii="Arial" w:cs="Arial" w:eastAsia="Arial" w:hAnsi="Arial"/>
                <w:sz w:val="18"/>
                <w:szCs w:val="18"/>
                <w:color w:val="auto"/>
              </w:rPr>
              <w:t>7</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Eliminations &amp; Other</w:t>
            </w: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4</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General corporate expenses</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(151)</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2008 Actions. </w:t>
      </w:r>
      <w:r>
        <w:rPr>
          <w:rFonts w:ascii="Arial" w:cs="Arial" w:eastAsia="Arial" w:hAnsi="Arial"/>
          <w:sz w:val="18"/>
          <w:szCs w:val="18"/>
          <w:color w:val="auto"/>
        </w:rPr>
        <w:t>During the first six months of 2009, we recorded net pre-tax restructuring and related charges and reversals totaling $28 million for</w:t>
      </w:r>
      <w:r>
        <w:rPr>
          <w:rFonts w:ascii="Arial" w:cs="Arial" w:eastAsia="Arial" w:hAnsi="Arial"/>
          <w:sz w:val="18"/>
          <w:szCs w:val="18"/>
          <w:b w:val="1"/>
          <w:bCs w:val="1"/>
          <w:color w:val="auto"/>
        </w:rPr>
        <w:t xml:space="preserve"> </w:t>
      </w:r>
      <w:r>
        <w:rPr>
          <w:rFonts w:ascii="Arial" w:cs="Arial" w:eastAsia="Arial" w:hAnsi="Arial"/>
          <w:sz w:val="18"/>
          <w:szCs w:val="18"/>
          <w:color w:val="auto"/>
        </w:rPr>
        <w:t>restructuring actions initiated in 2008, including $23 million in cost of sales and $5 million in selling, general and administrative expenses. The 2008 actions relate to ongoing cost reduction efforts, including selling, general and administrative reductions, principally at Carrier, Pratt &amp; Whitney, and UTC Fire &amp; Security, and the consolidation of manufacturing facilities.</w:t>
      </w:r>
    </w:p>
    <w:p>
      <w:pPr>
        <w:spacing w:after="0" w:line="14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As of June 30, 2009, net workforce reductions of approximately 5,500 employees of an expected 6,300 employees have been completed, and 200,000 net square feet of facilities of an expected 1.2 million net square feet have been exited. The majority of the remaining workforce and facility related cost reduction actions are targeted for completion during 2009 and 2010.</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accrual balances and utilization by cost type for the 2008 restructuring actions: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20" w:type="dxa"/>
            <w:vAlign w:val="bottom"/>
            <w:gridSpan w:val="3"/>
          </w:tcPr>
          <w:p>
            <w:pPr>
              <w:ind w:left="60"/>
              <w:spacing w:after="0"/>
              <w:rPr>
                <w:sz w:val="20"/>
                <w:szCs w:val="20"/>
                <w:color w:val="auto"/>
              </w:rPr>
            </w:pPr>
            <w:r>
              <w:rPr>
                <w:rFonts w:ascii="Arial" w:cs="Arial" w:eastAsia="Arial" w:hAnsi="Arial"/>
                <w:sz w:val="14"/>
                <w:szCs w:val="14"/>
                <w:b w:val="1"/>
                <w:bCs w:val="1"/>
                <w:color w:val="auto"/>
              </w:rPr>
              <w:t>Facility Exit and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Asset</w:t>
            </w:r>
          </w:p>
        </w:tc>
        <w:tc>
          <w:tcPr>
            <w:tcW w:w="540" w:type="dxa"/>
            <w:vAlign w:val="bottom"/>
          </w:tcPr>
          <w:p>
            <w:pPr>
              <w:spacing w:after="0"/>
              <w:rPr>
                <w:sz w:val="12"/>
                <w:szCs w:val="12"/>
                <w:color w:val="auto"/>
              </w:rPr>
            </w:pPr>
          </w:p>
        </w:tc>
        <w:tc>
          <w:tcPr>
            <w:tcW w:w="1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Lease Termination</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70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Severance</w:t>
            </w:r>
          </w:p>
        </w:tc>
        <w:tc>
          <w:tcPr>
            <w:tcW w:w="30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w w:val="88"/>
              </w:rPr>
              <w:t>Write-downs</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Costs</w:t>
            </w:r>
          </w:p>
        </w:tc>
        <w:tc>
          <w:tcPr>
            <w:tcW w:w="280" w:type="dxa"/>
            <w:vAlign w:val="bottom"/>
          </w:tcPr>
          <w:p>
            <w:pPr>
              <w:spacing w:after="0"/>
              <w:rPr>
                <w:sz w:val="14"/>
                <w:szCs w:val="14"/>
                <w:color w:val="auto"/>
              </w:rPr>
            </w:pPr>
          </w:p>
        </w:tc>
        <w:tc>
          <w:tcPr>
            <w:tcW w:w="4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 accruals at March 31, 2009</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Net pre-tax restructuring charges</w:t>
            </w:r>
          </w:p>
        </w:tc>
        <w:tc>
          <w:tcPr>
            <w:tcW w:w="2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Utilization</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(44)</w:t>
            </w:r>
          </w:p>
        </w:tc>
        <w:tc>
          <w:tcPr>
            <w:tcW w:w="0" w:type="dxa"/>
            <w:vAlign w:val="bottom"/>
          </w:tcPr>
          <w:p>
            <w:pPr>
              <w:spacing w:after="0"/>
              <w:rPr>
                <w:sz w:val="1"/>
                <w:szCs w:val="1"/>
                <w:color w:val="auto"/>
              </w:rPr>
            </w:pPr>
          </w:p>
        </w:tc>
      </w:tr>
      <w:tr>
        <w:trPr>
          <w:trHeight w:val="20"/>
        </w:trPr>
        <w:tc>
          <w:tcPr>
            <w:tcW w:w="6700" w:type="dxa"/>
            <w:vAlign w:val="bottom"/>
            <w:gridSpan w:val="3"/>
            <w:vMerge w:val="restart"/>
          </w:tcPr>
          <w:p>
            <w:pPr>
              <w:spacing w:after="0"/>
              <w:rPr>
                <w:sz w:val="20"/>
                <w:szCs w:val="20"/>
                <w:color w:val="auto"/>
              </w:rPr>
            </w:pPr>
            <w:r>
              <w:rPr>
                <w:rFonts w:ascii="Arial" w:cs="Arial" w:eastAsia="Arial" w:hAnsi="Arial"/>
                <w:sz w:val="18"/>
                <w:szCs w:val="18"/>
                <w:color w:val="auto"/>
              </w:rPr>
              <w:t>Balance at June 30, 2009</w:t>
            </w: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00" w:type="dxa"/>
            <w:vAlign w:val="bottom"/>
            <w:gridSpan w:val="3"/>
            <w:vMerge w:val="continue"/>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69</w:t>
            </w:r>
          </w:p>
        </w:tc>
        <w:tc>
          <w:tcPr>
            <w:tcW w:w="340" w:type="dxa"/>
            <w:vAlign w:val="bottom"/>
          </w:tcPr>
          <w:p>
            <w:pPr>
              <w:spacing w:after="0"/>
              <w:rPr>
                <w:sz w:val="19"/>
                <w:szCs w:val="19"/>
                <w:color w:val="auto"/>
              </w:rPr>
            </w:pP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expected, incurred and remaining costs for the 2008 restructuring actions by type: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20" w:type="dxa"/>
            <w:vAlign w:val="bottom"/>
            <w:gridSpan w:val="3"/>
          </w:tcPr>
          <w:p>
            <w:pPr>
              <w:ind w:left="60"/>
              <w:spacing w:after="0"/>
              <w:rPr>
                <w:sz w:val="20"/>
                <w:szCs w:val="20"/>
                <w:color w:val="auto"/>
              </w:rPr>
            </w:pPr>
            <w:r>
              <w:rPr>
                <w:rFonts w:ascii="Arial" w:cs="Arial" w:eastAsia="Arial" w:hAnsi="Arial"/>
                <w:sz w:val="14"/>
                <w:szCs w:val="14"/>
                <w:b w:val="1"/>
                <w:bCs w:val="1"/>
                <w:color w:val="auto"/>
              </w:rPr>
              <w:t>Facility Exit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right"/>
              <w:ind w:right="860"/>
              <w:spacing w:after="0" w:line="149" w:lineRule="exact"/>
              <w:rPr>
                <w:sz w:val="20"/>
                <w:szCs w:val="20"/>
                <w:color w:val="auto"/>
              </w:rPr>
            </w:pPr>
            <w:r>
              <w:rPr>
                <w:rFonts w:ascii="Arial" w:cs="Arial" w:eastAsia="Arial" w:hAnsi="Arial"/>
                <w:sz w:val="14"/>
                <w:szCs w:val="14"/>
                <w:b w:val="1"/>
                <w:bCs w:val="1"/>
                <w:color w:val="auto"/>
                <w:w w:val="99"/>
              </w:rPr>
              <w:t>Asset</w:t>
            </w:r>
          </w:p>
        </w:tc>
        <w:tc>
          <w:tcPr>
            <w:tcW w:w="1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Lease Termination</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46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21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Severance</w:t>
            </w:r>
          </w:p>
        </w:tc>
        <w:tc>
          <w:tcPr>
            <w:tcW w:w="280" w:type="dxa"/>
            <w:vAlign w:val="bottom"/>
          </w:tcPr>
          <w:p>
            <w:pPr>
              <w:spacing w:after="0"/>
              <w:rPr>
                <w:sz w:val="14"/>
                <w:szCs w:val="14"/>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Write-Downs</w:t>
            </w:r>
          </w:p>
        </w:tc>
        <w:tc>
          <w:tcPr>
            <w:tcW w:w="220" w:type="dxa"/>
            <w:vAlign w:val="bottom"/>
          </w:tcPr>
          <w:p>
            <w:pPr>
              <w:spacing w:after="0"/>
              <w:rPr>
                <w:sz w:val="14"/>
                <w:szCs w:val="14"/>
                <w:color w:val="auto"/>
              </w:rPr>
            </w:pPr>
          </w:p>
        </w:tc>
        <w:tc>
          <w:tcPr>
            <w:tcW w:w="12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Costs</w:t>
            </w:r>
          </w:p>
        </w:tc>
        <w:tc>
          <w:tcPr>
            <w:tcW w:w="280" w:type="dxa"/>
            <w:vAlign w:val="bottom"/>
          </w:tcPr>
          <w:p>
            <w:pPr>
              <w:spacing w:after="0"/>
              <w:rPr>
                <w:sz w:val="14"/>
                <w:szCs w:val="14"/>
                <w:color w:val="auto"/>
              </w:rPr>
            </w:pPr>
          </w:p>
        </w:tc>
        <w:tc>
          <w:tcPr>
            <w:tcW w:w="5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Expected costs</w:t>
            </w:r>
          </w:p>
        </w:tc>
        <w:tc>
          <w:tcPr>
            <w:tcW w:w="310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ind w:left="21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Costs incurred through December 31, 2008</w:t>
            </w: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(277)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Costs incurred - quarter ended March 31, 2009</w:t>
            </w:r>
          </w:p>
        </w:tc>
        <w:tc>
          <w:tcPr>
            <w:tcW w:w="2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Costs incurred - quarter ended June 30, 2009</w:t>
            </w: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Remaining costs at June 30, 2009</w:t>
            </w:r>
          </w:p>
        </w:tc>
        <w:tc>
          <w:tcPr>
            <w:tcW w:w="2300" w:type="dxa"/>
            <w:vAlign w:val="bottom"/>
            <w:gridSpan w:val="2"/>
            <w:shd w:val="clear" w:color="auto" w:fill="CCEEFF"/>
          </w:tcPr>
          <w:p>
            <w:pPr>
              <w:ind w:left="21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120" w:type="dxa"/>
            <w:vAlign w:val="bottom"/>
            <w:vMerge w:val="restart"/>
          </w:tcPr>
          <w:p>
            <w:pPr>
              <w:jc w:val="right"/>
              <w:ind w:right="692"/>
              <w:spacing w:after="0"/>
              <w:rPr>
                <w:sz w:val="20"/>
                <w:szCs w:val="20"/>
                <w:color w:val="auto"/>
              </w:rPr>
            </w:pPr>
            <w:r>
              <w:rPr>
                <w:rFonts w:ascii="Arial" w:cs="Arial" w:eastAsia="Arial" w:hAnsi="Arial"/>
                <w:sz w:val="18"/>
                <w:szCs w:val="18"/>
                <w:color w:val="auto"/>
              </w:rPr>
              <w:t>12</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expected, incurred and remaining costs for the 2008 restructuring actions by segment: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86"/>
              </w:rPr>
              <w:t>Costs Incurred</w:t>
            </w:r>
          </w:p>
        </w:tc>
        <w:tc>
          <w:tcPr>
            <w:tcW w:w="1620" w:type="dxa"/>
            <w:vAlign w:val="bottom"/>
            <w:gridSpan w:val="3"/>
          </w:tcPr>
          <w:p>
            <w:pPr>
              <w:ind w:left="20"/>
              <w:spacing w:after="0"/>
              <w:rPr>
                <w:sz w:val="20"/>
                <w:szCs w:val="20"/>
                <w:color w:val="auto"/>
              </w:rPr>
            </w:pPr>
            <w:r>
              <w:rPr>
                <w:rFonts w:ascii="Arial" w:cs="Arial" w:eastAsia="Arial" w:hAnsi="Arial"/>
                <w:sz w:val="14"/>
                <w:szCs w:val="14"/>
                <w:b w:val="1"/>
                <w:bCs w:val="1"/>
                <w:color w:val="auto"/>
              </w:rPr>
              <w:t>Costs Incurred</w:t>
            </w: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Costs Incurred -</w:t>
            </w:r>
          </w:p>
        </w:tc>
        <w:tc>
          <w:tcPr>
            <w:tcW w:w="8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7"/>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jc w:val="right"/>
              <w:ind w:right="1000"/>
              <w:spacing w:after="0" w:line="149" w:lineRule="exact"/>
              <w:rPr>
                <w:sz w:val="20"/>
                <w:szCs w:val="20"/>
                <w:color w:val="auto"/>
              </w:rPr>
            </w:pPr>
            <w:r>
              <w:rPr>
                <w:rFonts w:ascii="Arial" w:cs="Arial" w:eastAsia="Arial" w:hAnsi="Arial"/>
                <w:sz w:val="14"/>
                <w:szCs w:val="14"/>
                <w:b w:val="1"/>
                <w:bCs w:val="1"/>
                <w:color w:val="auto"/>
              </w:rPr>
              <w:t>through</w:t>
            </w:r>
          </w:p>
        </w:tc>
        <w:tc>
          <w:tcPr>
            <w:tcW w:w="160" w:type="dxa"/>
            <w:vAlign w:val="bottom"/>
          </w:tcPr>
          <w:p>
            <w:pPr>
              <w:spacing w:after="0"/>
              <w:rPr>
                <w:sz w:val="12"/>
                <w:szCs w:val="12"/>
                <w:color w:val="auto"/>
              </w:rPr>
            </w:pPr>
          </w:p>
        </w:tc>
        <w:tc>
          <w:tcPr>
            <w:tcW w:w="1460" w:type="dxa"/>
            <w:vAlign w:val="bottom"/>
            <w:gridSpan w:val="2"/>
          </w:tcPr>
          <w:p>
            <w:pPr>
              <w:jc w:val="right"/>
              <w:ind w:right="920"/>
              <w:spacing w:after="0" w:line="149" w:lineRule="exact"/>
              <w:rPr>
                <w:sz w:val="20"/>
                <w:szCs w:val="20"/>
                <w:color w:val="auto"/>
              </w:rPr>
            </w:pPr>
            <w:r>
              <w:rPr>
                <w:rFonts w:ascii="Arial" w:cs="Arial" w:eastAsia="Arial" w:hAnsi="Arial"/>
                <w:sz w:val="14"/>
                <w:szCs w:val="14"/>
                <w:b w:val="1"/>
                <w:bCs w:val="1"/>
                <w:color w:val="auto"/>
                <w:w w:val="98"/>
              </w:rPr>
              <w:t>through</w:t>
            </w:r>
          </w:p>
        </w:tc>
        <w:tc>
          <w:tcPr>
            <w:tcW w:w="1640" w:type="dxa"/>
            <w:vAlign w:val="bottom"/>
            <w:gridSpan w:val="3"/>
          </w:tcPr>
          <w:p>
            <w:pPr>
              <w:jc w:val="right"/>
              <w:ind w:right="740"/>
              <w:spacing w:after="0" w:line="149" w:lineRule="exact"/>
              <w:rPr>
                <w:sz w:val="20"/>
                <w:szCs w:val="20"/>
                <w:color w:val="auto"/>
              </w:rPr>
            </w:pPr>
            <w:r>
              <w:rPr>
                <w:rFonts w:ascii="Arial" w:cs="Arial" w:eastAsia="Arial" w:hAnsi="Arial"/>
                <w:sz w:val="14"/>
                <w:szCs w:val="14"/>
                <w:b w:val="1"/>
                <w:bCs w:val="1"/>
                <w:color w:val="auto"/>
                <w:w w:val="91"/>
              </w:rPr>
              <w:t>Quarter ended</w:t>
            </w:r>
          </w:p>
        </w:tc>
        <w:tc>
          <w:tcPr>
            <w:tcW w:w="140" w:type="dxa"/>
            <w:vAlign w:val="bottom"/>
          </w:tcPr>
          <w:p>
            <w:pPr>
              <w:spacing w:after="0"/>
              <w:rPr>
                <w:sz w:val="12"/>
                <w:szCs w:val="12"/>
                <w:color w:val="auto"/>
              </w:rPr>
            </w:pPr>
          </w:p>
        </w:tc>
        <w:tc>
          <w:tcPr>
            <w:tcW w:w="6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Costs at</w:t>
            </w:r>
          </w:p>
        </w:tc>
        <w:tc>
          <w:tcPr>
            <w:tcW w:w="0" w:type="dxa"/>
            <w:vAlign w:val="bottom"/>
          </w:tcPr>
          <w:p>
            <w:pPr>
              <w:spacing w:after="0"/>
              <w:rPr>
                <w:sz w:val="1"/>
                <w:szCs w:val="1"/>
                <w:color w:val="auto"/>
              </w:rPr>
            </w:pPr>
          </w:p>
        </w:tc>
      </w:tr>
      <w:tr>
        <w:trPr>
          <w:trHeight w:val="161"/>
        </w:trPr>
        <w:tc>
          <w:tcPr>
            <w:tcW w:w="408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81"/>
              </w:rPr>
              <w:t>Expected Costs</w:t>
            </w:r>
          </w:p>
        </w:tc>
        <w:tc>
          <w:tcPr>
            <w:tcW w:w="620" w:type="dxa"/>
            <w:vAlign w:val="bottom"/>
          </w:tcPr>
          <w:p>
            <w:pPr>
              <w:spacing w:after="0"/>
              <w:rPr>
                <w:sz w:val="14"/>
                <w:szCs w:val="14"/>
                <w:color w:val="auto"/>
              </w:rPr>
            </w:pPr>
          </w:p>
        </w:tc>
        <w:tc>
          <w:tcPr>
            <w:tcW w:w="1780" w:type="dxa"/>
            <w:vAlign w:val="bottom"/>
            <w:gridSpan w:val="3"/>
          </w:tcPr>
          <w:p>
            <w:pPr>
              <w:spacing w:after="0"/>
              <w:rPr>
                <w:sz w:val="20"/>
                <w:szCs w:val="20"/>
                <w:color w:val="auto"/>
              </w:rPr>
            </w:pPr>
            <w:r>
              <w:rPr>
                <w:rFonts w:ascii="Arial" w:cs="Arial" w:eastAsia="Arial" w:hAnsi="Arial"/>
                <w:sz w:val="14"/>
                <w:szCs w:val="14"/>
                <w:b w:val="1"/>
                <w:bCs w:val="1"/>
                <w:color w:val="auto"/>
              </w:rPr>
              <w:t>December 31, 2008</w:t>
            </w:r>
          </w:p>
        </w:tc>
        <w:tc>
          <w:tcPr>
            <w:tcW w:w="162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 2009</w:t>
            </w:r>
          </w:p>
        </w:tc>
        <w:tc>
          <w:tcPr>
            <w:tcW w:w="164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w w:val="92"/>
              </w:rPr>
              <w:t>June 30, 2009</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June 30, 2009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Otis</w:t>
            </w:r>
          </w:p>
        </w:tc>
        <w:tc>
          <w:tcPr>
            <w:tcW w:w="2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165</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640"/>
              <w:spacing w:after="0"/>
              <w:rPr>
                <w:sz w:val="20"/>
                <w:szCs w:val="20"/>
                <w:color w:val="auto"/>
              </w:rPr>
            </w:pPr>
            <w:r>
              <w:rPr>
                <w:rFonts w:ascii="Arial" w:cs="Arial" w:eastAsia="Arial" w:hAnsi="Arial"/>
                <w:sz w:val="18"/>
                <w:szCs w:val="18"/>
                <w:color w:val="auto"/>
              </w:rPr>
              <w:t>(141)</w:t>
            </w:r>
          </w:p>
        </w:tc>
        <w:tc>
          <w:tcPr>
            <w:tcW w:w="16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(6)</w:t>
            </w:r>
          </w:p>
        </w:tc>
        <w:tc>
          <w:tcPr>
            <w:tcW w:w="38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112</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640"/>
              <w:spacing w:after="0"/>
              <w:rPr>
                <w:sz w:val="20"/>
                <w:szCs w:val="20"/>
                <w:color w:val="auto"/>
              </w:rPr>
            </w:pPr>
            <w:r>
              <w:rPr>
                <w:rFonts w:ascii="Arial" w:cs="Arial" w:eastAsia="Arial" w:hAnsi="Arial"/>
                <w:sz w:val="18"/>
                <w:szCs w:val="18"/>
                <w:color w:val="auto"/>
              </w:rPr>
              <w:t>(93)</w:t>
            </w:r>
          </w:p>
        </w:tc>
        <w:tc>
          <w:tcPr>
            <w:tcW w:w="16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(5)</w:t>
            </w:r>
          </w:p>
        </w:tc>
        <w:tc>
          <w:tcPr>
            <w:tcW w:w="38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Eliminations &amp; Other</w:t>
            </w: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64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(327)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Financial Instruments</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 March of 2008, the FASB issued SFAS No. 161, “Disclosures about Derivative Instruments and Hedging Activities, an amendment of FASB Statement No. 133” (SFAS 161). SFAS 161 requires entities to provide enhanced disclosure about how and why the entity uses derivative instruments, how the instruments and related hedged items are accounted for under SFAS No. 133, “Accounting for Derivative Instruments and Hedging Activities,” (SFAS 133) and how the instruments and related hedged items affect the financial position, results of operations, and cash flows of the entity. We adopted SFAS 161 during the quarter ended March 31, 2009.</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enter into derivative instruments for risk management purposes only, including derivatives designated as hedging instruments under SFAS 133 and those utilized as economic hedges. We operate internationally and, in the normal course of business, are exposed to fluctuations in interest rates, foreign exchange rates and commodity prices. These fluctuations can increase the costs of financing, investing and operating the business. We have used derivative instruments, including swaps, forward contracts and options to manage certain foreign currency, interest rate and commodity price exposures.</w:t>
      </w:r>
    </w:p>
    <w:p>
      <w:pPr>
        <w:spacing w:after="0" w:line="11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By nature, all financial instruments involve market and credit risks. We enter into derivative and other financial instruments with major investment grade financial institutions and have policies to monitor the credit risk of those counterparties. We limit counterparty exposure and concentration of risk by diversifying counterparties. While there can be no assurance, we do not anticipate any material non-performance by any of these counterparties.</w:t>
      </w:r>
    </w:p>
    <w:p>
      <w:pPr>
        <w:spacing w:after="0" w:line="10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color w:val="auto"/>
        </w:rPr>
        <w:t xml:space="preserve">Foreign Currency Forward Contracts. </w:t>
      </w:r>
      <w:r>
        <w:rPr>
          <w:rFonts w:ascii="Arial" w:cs="Arial" w:eastAsia="Arial" w:hAnsi="Arial"/>
          <w:sz w:val="16"/>
          <w:szCs w:val="16"/>
          <w:color w:val="auto"/>
        </w:rPr>
        <w:t>We manage our foreign currency transaction risks to acceptable limits through the use of derivatives to hedge</w:t>
      </w:r>
      <w:r>
        <w:rPr>
          <w:rFonts w:ascii="Arial" w:cs="Arial" w:eastAsia="Arial" w:hAnsi="Arial"/>
          <w:sz w:val="16"/>
          <w:szCs w:val="16"/>
          <w:b w:val="1"/>
          <w:bCs w:val="1"/>
          <w:color w:val="auto"/>
        </w:rPr>
        <w:t xml:space="preserve"> </w:t>
      </w:r>
      <w:r>
        <w:rPr>
          <w:rFonts w:ascii="Arial" w:cs="Arial" w:eastAsia="Arial" w:hAnsi="Arial"/>
          <w:sz w:val="16"/>
          <w:szCs w:val="16"/>
          <w:color w:val="auto"/>
        </w:rPr>
        <w:t>forecasted cash flows associated with foreign currency transaction exposures which are accounted for as cash flow hedges, as deemed appropriate. To the extent these derivatives are effective in offsetting the variability of the hedged cash flows, and otherwise meet the hedge accounting criteria of SFAS 133, changes in the derivatives’ fair value are not included in current earnings but are included in Accumulated Other Non-Shareowners’ Changes in Equity. These changes in fair value will subsequently be reclassified into earnings as a component of product sales or expenses, as applicable, when the forecasted transaction occurs. To the extent that a previously designated hedging transaction is no longer an effective hedge, any ineffectiveness measured in the hedging relationship is recorded currently in earnings in the period it occurs.</w:t>
      </w:r>
    </w:p>
    <w:p>
      <w:pPr>
        <w:spacing w:after="0" w:line="119"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To the extent the hedge accounting criteria of SFAS 133 are not met, the foreign currency forward contracts are utilized as economic hedges and changes in the fair value of these contracts are recorded currently in earnings in the period in which they occur. These include hedges that are used to reduce exchange rate risks arising from the change in fair value of certain foreign currency denominated assets and liabilities (i.e. payables, receivables) and other economic hedges where the hedge accounting criteria of SFAS 133 were not met.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four quarter rolling average of the notional amount of foreign exchange contracts hedging foreign currency transactions was $9.4 billion and $11.2 billion at June 30, 2009 and December 31, 2008, respectively.</w:t>
      </w:r>
    </w:p>
    <w:p>
      <w:pPr>
        <w:spacing w:after="0" w:line="126"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color w:val="auto"/>
        </w:rPr>
        <w:t xml:space="preserve">Commodity Forward Contracts. </w:t>
      </w:r>
      <w:r>
        <w:rPr>
          <w:rFonts w:ascii="Arial" w:cs="Arial" w:eastAsia="Arial" w:hAnsi="Arial"/>
          <w:sz w:val="16"/>
          <w:szCs w:val="16"/>
          <w:color w:val="auto"/>
        </w:rPr>
        <w:t>We enter into commodity forward contracts to reduce the risk of fluctuations in the price we pay for certain commodities</w:t>
      </w:r>
      <w:r>
        <w:rPr>
          <w:rFonts w:ascii="Arial" w:cs="Arial" w:eastAsia="Arial" w:hAnsi="Arial"/>
          <w:sz w:val="16"/>
          <w:szCs w:val="16"/>
          <w:b w:val="1"/>
          <w:bCs w:val="1"/>
          <w:color w:val="auto"/>
        </w:rPr>
        <w:t xml:space="preserve"> </w:t>
      </w:r>
      <w:r>
        <w:rPr>
          <w:rFonts w:ascii="Arial" w:cs="Arial" w:eastAsia="Arial" w:hAnsi="Arial"/>
          <w:sz w:val="16"/>
          <w:szCs w:val="16"/>
          <w:color w:val="auto"/>
        </w:rPr>
        <w:t>(for example, nickel) which are used directly in the production of our products, or are components of the products we procure to use in the production of our products. These hedges are economic hedges and the changes in fair value of these contracts are recorded currently in earnings in the period in which they occur. The fair value of commodity contracts were insignificant for the period ended June 30, 2009.</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outstanding notional amount of contracts hedging commodity exposures was insignificant at June 30, 2009 and December 31, 2008, respectively.</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fair value of derivative instruments as of June 30, 2009:</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620" w:type="dxa"/>
            <w:vAlign w:val="bottom"/>
          </w:tcPr>
          <w:p>
            <w:pPr>
              <w:ind w:left="640"/>
              <w:spacing w:after="0"/>
              <w:rPr>
                <w:sz w:val="20"/>
                <w:szCs w:val="20"/>
                <w:color w:val="auto"/>
              </w:rPr>
            </w:pPr>
            <w:r>
              <w:rPr>
                <w:rFonts w:ascii="Arial" w:cs="Arial" w:eastAsia="Arial" w:hAnsi="Arial"/>
                <w:sz w:val="14"/>
                <w:szCs w:val="14"/>
                <w:b w:val="1"/>
                <w:bCs w:val="1"/>
                <w:color w:val="auto"/>
              </w:rPr>
              <w:t>Assets</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tcPr>
          <w:p>
            <w:pPr>
              <w:ind w:left="800"/>
              <w:spacing w:after="0"/>
              <w:rPr>
                <w:sz w:val="20"/>
                <w:szCs w:val="20"/>
                <w:color w:val="auto"/>
              </w:rPr>
            </w:pPr>
            <w:r>
              <w:rPr>
                <w:rFonts w:ascii="Arial" w:cs="Arial" w:eastAsia="Arial" w:hAnsi="Arial"/>
                <w:sz w:val="14"/>
                <w:szCs w:val="14"/>
                <w:b w:val="1"/>
                <w:bCs w:val="1"/>
                <w:color w:val="auto"/>
              </w:rPr>
              <w:t>Liabilities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26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1620" w:type="dxa"/>
            <w:vAlign w:val="bottom"/>
          </w:tcPr>
          <w:p>
            <w:pPr>
              <w:ind w:left="140"/>
              <w:spacing w:after="0"/>
              <w:rPr>
                <w:sz w:val="20"/>
                <w:szCs w:val="20"/>
                <w:color w:val="auto"/>
              </w:rPr>
            </w:pPr>
            <w:r>
              <w:rPr>
                <w:rFonts w:ascii="Arial" w:cs="Arial" w:eastAsia="Arial" w:hAnsi="Arial"/>
                <w:sz w:val="14"/>
                <w:szCs w:val="14"/>
                <w:b w:val="1"/>
                <w:bCs w:val="1"/>
                <w:color w:val="auto"/>
                <w:w w:val="92"/>
              </w:rPr>
              <w:t>Balance Sheet Location</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tcPr>
          <w:p>
            <w:pPr>
              <w:ind w:left="420"/>
              <w:spacing w:after="0"/>
              <w:rPr>
                <w:sz w:val="20"/>
                <w:szCs w:val="20"/>
                <w:color w:val="auto"/>
              </w:rPr>
            </w:pPr>
            <w:r>
              <w:rPr>
                <w:rFonts w:ascii="Arial" w:cs="Arial" w:eastAsia="Arial" w:hAnsi="Arial"/>
                <w:sz w:val="14"/>
                <w:szCs w:val="14"/>
                <w:b w:val="1"/>
                <w:bCs w:val="1"/>
                <w:color w:val="auto"/>
              </w:rPr>
              <w:t>Balance Sheet Location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Derivatives designated as hedging instruments:</w:t>
            </w: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420"/>
              <w:spacing w:after="0"/>
              <w:rPr>
                <w:sz w:val="20"/>
                <w:szCs w:val="20"/>
                <w:color w:val="auto"/>
              </w:rPr>
            </w:pPr>
            <w:r>
              <w:rPr>
                <w:rFonts w:ascii="Arial" w:cs="Arial" w:eastAsia="Arial" w:hAnsi="Arial"/>
                <w:sz w:val="18"/>
                <w:szCs w:val="18"/>
                <w:color w:val="auto"/>
              </w:rPr>
              <w:t>Foreign Exchange Contracts</w:t>
            </w:r>
          </w:p>
        </w:tc>
        <w:tc>
          <w:tcPr>
            <w:tcW w:w="1620" w:type="dxa"/>
            <w:vAlign w:val="bottom"/>
          </w:tcPr>
          <w:p>
            <w:pPr>
              <w:spacing w:after="0"/>
              <w:rPr>
                <w:sz w:val="20"/>
                <w:szCs w:val="20"/>
                <w:color w:val="auto"/>
              </w:rPr>
            </w:pPr>
            <w:r>
              <w:rPr>
                <w:rFonts w:ascii="Arial" w:cs="Arial" w:eastAsia="Arial" w:hAnsi="Arial"/>
                <w:sz w:val="18"/>
                <w:szCs w:val="18"/>
                <w:color w:val="auto"/>
                <w:w w:val="94"/>
              </w:rPr>
              <w:t>Other Current Assets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$ 12</w:t>
            </w:r>
          </w:p>
        </w:tc>
        <w:tc>
          <w:tcPr>
            <w:tcW w:w="2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Accrued Liabilities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165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Exchange Contracts</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$ 39</w:t>
            </w:r>
          </w:p>
        </w:tc>
        <w:tc>
          <w:tcPr>
            <w:tcW w:w="2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190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340" w:type="dxa"/>
            <w:vAlign w:val="bottom"/>
          </w:tcPr>
          <w:p>
            <w:pPr>
              <w:spacing w:after="0"/>
              <w:rPr>
                <w:sz w:val="9"/>
                <w:szCs w:val="9"/>
                <w:color w:val="auto"/>
              </w:rPr>
            </w:pPr>
          </w:p>
        </w:tc>
        <w:tc>
          <w:tcPr>
            <w:tcW w:w="49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Derivatives not designated as hedging instruments:</w:t>
            </w: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420"/>
              <w:spacing w:after="0"/>
              <w:rPr>
                <w:sz w:val="20"/>
                <w:szCs w:val="20"/>
                <w:color w:val="auto"/>
              </w:rPr>
            </w:pPr>
            <w:r>
              <w:rPr>
                <w:rFonts w:ascii="Arial" w:cs="Arial" w:eastAsia="Arial" w:hAnsi="Arial"/>
                <w:sz w:val="18"/>
                <w:szCs w:val="18"/>
                <w:color w:val="auto"/>
              </w:rPr>
              <w:t>Foreign Exchange Contracts</w:t>
            </w:r>
          </w:p>
        </w:tc>
        <w:tc>
          <w:tcPr>
            <w:tcW w:w="1620" w:type="dxa"/>
            <w:vAlign w:val="bottom"/>
          </w:tcPr>
          <w:p>
            <w:pPr>
              <w:spacing w:after="0"/>
              <w:rPr>
                <w:sz w:val="20"/>
                <w:szCs w:val="20"/>
                <w:color w:val="auto"/>
              </w:rPr>
            </w:pPr>
            <w:r>
              <w:rPr>
                <w:rFonts w:ascii="Arial" w:cs="Arial" w:eastAsia="Arial" w:hAnsi="Arial"/>
                <w:sz w:val="18"/>
                <w:szCs w:val="18"/>
                <w:color w:val="auto"/>
                <w:w w:val="94"/>
              </w:rPr>
              <w:t>Other Current Assets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$ 50</w:t>
            </w:r>
          </w:p>
        </w:tc>
        <w:tc>
          <w:tcPr>
            <w:tcW w:w="2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Accrued Liabilities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Exchange Contracts</w:t>
            </w: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53</w:t>
            </w:r>
          </w:p>
        </w:tc>
        <w:tc>
          <w:tcPr>
            <w:tcW w:w="2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Derivative Contracts</w:t>
            </w:r>
          </w:p>
        </w:tc>
        <w:tc>
          <w:tcPr>
            <w:tcW w:w="16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92</w:t>
            </w:r>
          </w:p>
        </w:tc>
        <w:tc>
          <w:tcPr>
            <w:tcW w:w="22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260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impact on Accumulated Other Non-Shareowners’ Changes in Equity from foreign exchange derivative instruments that qualified as cash flow hedges under SFAS 133 for the period was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w w:val="90"/>
              </w:rPr>
              <w:t>Quarter</w:t>
            </w:r>
          </w:p>
        </w:tc>
        <w:tc>
          <w:tcPr>
            <w:tcW w:w="9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88"/>
              </w:rPr>
              <w:t>Ended</w:t>
            </w:r>
          </w:p>
        </w:tc>
        <w:tc>
          <w:tcPr>
            <w:tcW w:w="14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61"/>
        </w:trPr>
        <w:tc>
          <w:tcPr>
            <w:tcW w:w="746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440" w:type="dxa"/>
            <w:vAlign w:val="bottom"/>
          </w:tcPr>
          <w:p>
            <w:pPr>
              <w:spacing w:after="0"/>
              <w:rPr>
                <w:sz w:val="14"/>
                <w:szCs w:val="14"/>
                <w:color w:val="auto"/>
              </w:rPr>
            </w:pPr>
          </w:p>
        </w:tc>
        <w:tc>
          <w:tcPr>
            <w:tcW w:w="1700" w:type="dxa"/>
            <w:vAlign w:val="bottom"/>
            <w:gridSpan w:val="3"/>
          </w:tcPr>
          <w:p>
            <w:pPr>
              <w:jc w:val="center"/>
              <w:ind w:right="920"/>
              <w:spacing w:after="0"/>
              <w:rPr>
                <w:sz w:val="20"/>
                <w:szCs w:val="20"/>
                <w:color w:val="auto"/>
              </w:rPr>
            </w:pPr>
            <w:r>
              <w:rPr>
                <w:rFonts w:ascii="Arial" w:cs="Arial" w:eastAsia="Arial" w:hAnsi="Arial"/>
                <w:sz w:val="14"/>
                <w:szCs w:val="14"/>
                <w:b w:val="1"/>
                <w:bCs w:val="1"/>
                <w:color w:val="auto"/>
                <w:w w:val="85"/>
              </w:rPr>
              <w:t>June 30, 2009</w:t>
            </w:r>
          </w:p>
        </w:tc>
        <w:tc>
          <w:tcPr>
            <w:tcW w:w="9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5"/>
              </w:rPr>
              <w:t>June 30, 2009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recorded in Accumulated Other Non-Shareowners’ Changes in Equity</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135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w w:val="94"/>
              </w:rPr>
              <w:t>Loss reclassified from Accumulated Other Non-Shareowners’ Changes in Equity into Product Sales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40" w:type="dxa"/>
            <w:vAlign w:val="bottom"/>
            <w:gridSpan w:val="2"/>
          </w:tcPr>
          <w:p>
            <w:pPr>
              <w:ind w:left="200"/>
              <w:spacing w:after="0"/>
              <w:rPr>
                <w:sz w:val="20"/>
                <w:szCs w:val="20"/>
                <w:color w:val="auto"/>
              </w:rPr>
            </w:pPr>
            <w:r>
              <w:rPr>
                <w:rFonts w:ascii="Arial" w:cs="Arial" w:eastAsia="Arial" w:hAnsi="Arial"/>
                <w:sz w:val="18"/>
                <w:szCs w:val="18"/>
                <w:color w:val="auto"/>
              </w:rPr>
              <w:t>(effective portion)</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840"/>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recognized in Other Income, net on derivative (ineffective portion)</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right="60" w:firstLine="456"/>
        <w:spacing w:after="0" w:line="294" w:lineRule="auto"/>
        <w:rPr>
          <w:sz w:val="20"/>
          <w:szCs w:val="20"/>
          <w:color w:val="auto"/>
        </w:rPr>
      </w:pPr>
      <w:r>
        <w:rPr>
          <w:rFonts w:ascii="Arial" w:cs="Arial" w:eastAsia="Arial" w:hAnsi="Arial"/>
          <w:sz w:val="16"/>
          <w:szCs w:val="16"/>
          <w:color w:val="auto"/>
        </w:rPr>
        <w:t>Assuming current market conditions continue, of the amount recorded in Accumulated Other Non-Shareowners’ Changes in Equity, a $142 million pre-tax loss is expected to be reclassified into product sales or cost of products sold to reflect the fixed prices obtained from foreign exchange hedging within the next 12 months. Gains and losses recognized in earnings related to the discontinuance or the ineffectiveness of cash flow hedges was $5 million for the six months ended June 30, 2009. The ineffectiveness recognized in earnings was the result of certain forecasted product sales transactions no longer occurring and was recorded in the first quarter of 2009. At June 30, 2009, all derivative contracts accounted for as cash flow hedges mature by December 2014.</w:t>
      </w:r>
    </w:p>
    <w:p>
      <w:pPr>
        <w:spacing w:after="0" w:line="11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effect on the Condensed Consolidated Statement of Operations from foreign exchange contracts not designated as hedging instruments under SFAS 133 was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center"/>
              <w:ind w:right="46"/>
              <w:spacing w:after="0"/>
              <w:rPr>
                <w:sz w:val="20"/>
                <w:szCs w:val="20"/>
                <w:color w:val="auto"/>
              </w:rPr>
            </w:pPr>
            <w:r>
              <w:rPr>
                <w:rFonts w:ascii="Arial" w:cs="Arial" w:eastAsia="Arial" w:hAnsi="Arial"/>
                <w:sz w:val="14"/>
                <w:szCs w:val="14"/>
                <w:b w:val="1"/>
                <w:bCs w:val="1"/>
                <w:color w:val="auto"/>
                <w:w w:val="90"/>
              </w:rPr>
              <w:t>Quarter</w:t>
            </w:r>
          </w:p>
        </w:tc>
        <w:tc>
          <w:tcPr>
            <w:tcW w:w="820" w:type="dxa"/>
            <w:vAlign w:val="bottom"/>
          </w:tcPr>
          <w:p>
            <w:pPr>
              <w:spacing w:after="0"/>
              <w:rPr>
                <w:sz w:val="14"/>
                <w:szCs w:val="14"/>
                <w:color w:val="auto"/>
              </w:rPr>
            </w:pPr>
          </w:p>
        </w:tc>
        <w:tc>
          <w:tcPr>
            <w:tcW w:w="9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88"/>
              </w:rPr>
              <w:t>Ended</w:t>
            </w: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61"/>
        </w:trPr>
        <w:tc>
          <w:tcPr>
            <w:tcW w:w="438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360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June 30, 2009</w:t>
            </w:r>
          </w:p>
        </w:tc>
        <w:tc>
          <w:tcPr>
            <w:tcW w:w="820" w:type="dxa"/>
            <w:vAlign w:val="bottom"/>
          </w:tcPr>
          <w:p>
            <w:pPr>
              <w:spacing w:after="0"/>
              <w:rPr>
                <w:sz w:val="14"/>
                <w:szCs w:val="14"/>
                <w:color w:val="auto"/>
              </w:rPr>
            </w:pPr>
          </w:p>
        </w:tc>
        <w:tc>
          <w:tcPr>
            <w:tcW w:w="9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5"/>
              </w:rPr>
              <w:t>June 30, 2009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(Loss) recognized in Other Income, net</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600" w:type="dxa"/>
            <w:vAlign w:val="bottom"/>
          </w:tcPr>
          <w:p>
            <w:pPr>
              <w:jc w:val="right"/>
              <w:ind w:right="2092"/>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b w:val="1"/>
          <w:bCs w:val="1"/>
          <w:color w:val="auto"/>
        </w:rPr>
        <w:t xml:space="preserve">Fair Value Disclosure. </w:t>
      </w:r>
      <w:r>
        <w:rPr>
          <w:rFonts w:ascii="Arial" w:cs="Arial" w:eastAsia="Arial" w:hAnsi="Arial"/>
          <w:sz w:val="18"/>
          <w:szCs w:val="18"/>
          <w:color w:val="auto"/>
        </w:rPr>
        <w:t>SFAS No. 157, “Fair Value Measurements” (SFAS 157), defines fair value, establishes a framework for measuring fair value and</w:t>
      </w:r>
      <w:r>
        <w:rPr>
          <w:rFonts w:ascii="Arial" w:cs="Arial" w:eastAsia="Arial" w:hAnsi="Arial"/>
          <w:sz w:val="18"/>
          <w:szCs w:val="18"/>
          <w:b w:val="1"/>
          <w:bCs w:val="1"/>
          <w:color w:val="auto"/>
        </w:rPr>
        <w:t xml:space="preserve"> </w:t>
      </w:r>
      <w:r>
        <w:rPr>
          <w:rFonts w:ascii="Arial" w:cs="Arial" w:eastAsia="Arial" w:hAnsi="Arial"/>
          <w:sz w:val="18"/>
          <w:szCs w:val="18"/>
          <w:color w:val="auto"/>
        </w:rPr>
        <w:t>expands the related disclosure requirements. This statement applies under other accounting pronouncements that require or permit fair value measurements. The statement indicates, among other things, that a fair value measurement assumes that the transaction to sell an asset or transfer a liability occurs in the principal market for the asset or liability or, in the absence of a principal market, the most advantageous market for the asset or liability. SFAS 157 defines fair value based upon an exit price model.</w:t>
      </w:r>
    </w:p>
    <w:p>
      <w:pPr>
        <w:spacing w:after="0" w:line="14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adopted SFAS 157 as of January 1, 2008, with the exception of the application of the statement to non-recurring nonfinancial assets and nonfinancial liabilities, which was delayed by FSP FAS 157-2, “Effective Date of FASB Statement No. 157,” to fiscal years beginning after November 15, 2008, which we therefore adopted as of January 1, 2009. As of June 30, 2009, we do not have any significant non-recurring measurements of nonfinancial assets and nonfinancial liabilities.</w:t>
      </w:r>
    </w:p>
    <w:p>
      <w:pPr>
        <w:spacing w:after="0" w:line="137"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b w:val="1"/>
          <w:bCs w:val="1"/>
          <w:color w:val="auto"/>
        </w:rPr>
        <w:t xml:space="preserve">Valuation Hierarchy. </w:t>
      </w:r>
      <w:r>
        <w:rPr>
          <w:rFonts w:ascii="Arial" w:cs="Arial" w:eastAsia="Arial" w:hAnsi="Arial"/>
          <w:sz w:val="18"/>
          <w:szCs w:val="18"/>
          <w:color w:val="auto"/>
        </w:rPr>
        <w:t>SFAS 157 establishes a valuation hierarchy for disclosure of the inputs to the valuations used to measure fair value. This hierarchy</w:t>
      </w:r>
      <w:r>
        <w:rPr>
          <w:rFonts w:ascii="Arial" w:cs="Arial" w:eastAsia="Arial" w:hAnsi="Arial"/>
          <w:sz w:val="18"/>
          <w:szCs w:val="18"/>
          <w:b w:val="1"/>
          <w:bCs w:val="1"/>
          <w:color w:val="auto"/>
        </w:rPr>
        <w:t xml:space="preserve"> </w:t>
      </w:r>
      <w:r>
        <w:rPr>
          <w:rFonts w:ascii="Arial" w:cs="Arial" w:eastAsia="Arial" w:hAnsi="Arial"/>
          <w:sz w:val="18"/>
          <w:szCs w:val="18"/>
          <w:color w:val="auto"/>
        </w:rPr>
        <w:t>prioritizes the inputs into three broad levels as follows. Level 1 inputs are quoted prices (unadjusted) in active markets for identical assets or liabilities. Level 2 inputs are quoted prices for similar assets and liabilities in active markets, quoted prices for identical or similar assets in markets that are not active, inputs other than quoted prices that are observable for the asset or liability, including interest rates, yield curves and credit risks, or inputs that are derived principally from or corroborated by observable market data through correlation. Level 3 inputs are unobservable inputs based on our own assumptions used to measure assets and liabilities at fair value. A financial asset or liability’s classification within the hierarchy is determined based on the lowest level input that is significant to the fair value measurement.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the assets and liabilities carried at fair value measured on a recurring basis as of June 30, 2009:</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Total Carrying</w:t>
            </w:r>
          </w:p>
        </w:tc>
        <w:tc>
          <w:tcPr>
            <w:tcW w:w="66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Quoted price in</w:t>
            </w:r>
          </w:p>
        </w:tc>
        <w:tc>
          <w:tcPr>
            <w:tcW w:w="660" w:type="dxa"/>
            <w:vAlign w:val="bottom"/>
          </w:tcPr>
          <w:p>
            <w:pPr>
              <w:spacing w:after="0"/>
              <w:rPr>
                <w:sz w:val="14"/>
                <w:szCs w:val="14"/>
                <w:color w:val="auto"/>
              </w:rPr>
            </w:pPr>
          </w:p>
        </w:tc>
        <w:tc>
          <w:tcPr>
            <w:tcW w:w="168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8"/>
              </w:rPr>
              <w:t>Significant other</w:t>
            </w: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9"/>
              </w:rPr>
              <w:t>Value at</w:t>
            </w:r>
          </w:p>
        </w:tc>
        <w:tc>
          <w:tcPr>
            <w:tcW w:w="66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active markets</w:t>
            </w:r>
          </w:p>
        </w:tc>
        <w:tc>
          <w:tcPr>
            <w:tcW w:w="660" w:type="dxa"/>
            <w:vAlign w:val="bottom"/>
          </w:tcPr>
          <w:p>
            <w:pPr>
              <w:spacing w:after="0"/>
              <w:rPr>
                <w:sz w:val="12"/>
                <w:szCs w:val="12"/>
                <w:color w:val="auto"/>
              </w:rPr>
            </w:pPr>
          </w:p>
        </w:tc>
        <w:tc>
          <w:tcPr>
            <w:tcW w:w="168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85"/>
              </w:rPr>
              <w:t>observable inputs</w:t>
            </w:r>
          </w:p>
        </w:tc>
        <w:tc>
          <w:tcPr>
            <w:tcW w:w="120" w:type="dxa"/>
            <w:vAlign w:val="bottom"/>
          </w:tcPr>
          <w:p>
            <w:pPr>
              <w:spacing w:after="0"/>
              <w:rPr>
                <w:sz w:val="12"/>
                <w:szCs w:val="12"/>
                <w:color w:val="auto"/>
              </w:rPr>
            </w:pPr>
          </w:p>
        </w:tc>
        <w:tc>
          <w:tcPr>
            <w:tcW w:w="68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61"/>
        </w:trPr>
        <w:tc>
          <w:tcPr>
            <w:tcW w:w="390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194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June 30, 2009</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center"/>
              <w:ind w:right="77"/>
              <w:spacing w:after="0"/>
              <w:rPr>
                <w:sz w:val="20"/>
                <w:szCs w:val="20"/>
                <w:color w:val="auto"/>
              </w:rPr>
            </w:pPr>
            <w:r>
              <w:rPr>
                <w:rFonts w:ascii="Arial" w:cs="Arial" w:eastAsia="Arial" w:hAnsi="Arial"/>
                <w:sz w:val="14"/>
                <w:szCs w:val="14"/>
                <w:b w:val="1"/>
                <w:bCs w:val="1"/>
                <w:color w:val="auto"/>
                <w:w w:val="91"/>
              </w:rPr>
              <w:t>(Level 1)</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7"/>
              </w:rPr>
              <w:t>(Level 2)</w:t>
            </w:r>
          </w:p>
        </w:tc>
        <w:tc>
          <w:tcPr>
            <w:tcW w:w="120" w:type="dxa"/>
            <w:vAlign w:val="bottom"/>
          </w:tcPr>
          <w:p>
            <w:pPr>
              <w:spacing w:after="0"/>
              <w:rPr>
                <w:sz w:val="14"/>
                <w:szCs w:val="14"/>
                <w:color w:val="auto"/>
              </w:rPr>
            </w:pPr>
          </w:p>
        </w:tc>
        <w:tc>
          <w:tcPr>
            <w:tcW w:w="680" w:type="dxa"/>
            <w:vAlign w:val="bottom"/>
          </w:tcPr>
          <w:p>
            <w:pPr>
              <w:jc w:val="center"/>
              <w:ind w:right="40"/>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480"/>
              <w:spacing w:after="0"/>
              <w:rPr>
                <w:sz w:val="20"/>
                <w:szCs w:val="20"/>
                <w:color w:val="auto"/>
              </w:rPr>
            </w:pPr>
            <w:r>
              <w:rPr>
                <w:rFonts w:ascii="Arial" w:cs="Arial" w:eastAsia="Arial" w:hAnsi="Arial"/>
                <w:sz w:val="18"/>
                <w:szCs w:val="18"/>
                <w:color w:val="auto"/>
                <w:w w:val="86"/>
              </w:rPr>
              <w:t>388</w:t>
            </w:r>
          </w:p>
        </w:tc>
        <w:tc>
          <w:tcPr>
            <w:tcW w:w="8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Derivative assets</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ind w:left="4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260</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160" w:firstLine="456"/>
        <w:spacing w:after="0" w:line="296" w:lineRule="auto"/>
        <w:rPr>
          <w:sz w:val="20"/>
          <w:szCs w:val="20"/>
          <w:color w:val="auto"/>
        </w:rPr>
      </w:pPr>
      <w:r>
        <w:rPr>
          <w:rFonts w:ascii="Arial" w:cs="Arial" w:eastAsia="Arial" w:hAnsi="Arial"/>
          <w:sz w:val="16"/>
          <w:szCs w:val="16"/>
          <w:b w:val="1"/>
          <w:bCs w:val="1"/>
          <w:color w:val="auto"/>
        </w:rPr>
        <w:t xml:space="preserve">Valuation Techniques. </w:t>
      </w:r>
      <w:r>
        <w:rPr>
          <w:rFonts w:ascii="Arial" w:cs="Arial" w:eastAsia="Arial" w:hAnsi="Arial"/>
          <w:sz w:val="16"/>
          <w:szCs w:val="16"/>
          <w:color w:val="auto"/>
        </w:rPr>
        <w:t>Our available for sale securities include equity investments that are traded in an active market. They are measured at fair value</w:t>
      </w:r>
      <w:r>
        <w:rPr>
          <w:rFonts w:ascii="Arial" w:cs="Arial" w:eastAsia="Arial" w:hAnsi="Arial"/>
          <w:sz w:val="16"/>
          <w:szCs w:val="16"/>
          <w:b w:val="1"/>
          <w:bCs w:val="1"/>
          <w:color w:val="auto"/>
        </w:rPr>
        <w:t xml:space="preserve"> </w:t>
      </w:r>
      <w:r>
        <w:rPr>
          <w:rFonts w:ascii="Arial" w:cs="Arial" w:eastAsia="Arial" w:hAnsi="Arial"/>
          <w:sz w:val="16"/>
          <w:szCs w:val="16"/>
          <w:color w:val="auto"/>
        </w:rPr>
        <w:t>using closing stock prices from active markets and are classified within Level 1 of the valuation hierarchy. Our derivative assets and liabilities include foreign exchange and commodity derivatives that are measured at fair value using observable market inputs such as forward rates, interest rates, our own credit risk and our counterparties’ credit risks. Based on these inputs, the derivative assets and liabilities are classified within Level 2 of the valuation hierarchy. Based on our continued ability to trade securities and enter into forward contracts, we consider the markets for our fair value instruments to be active.</w:t>
      </w:r>
    </w:p>
    <w:p>
      <w:pPr>
        <w:spacing w:after="0" w:line="114"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As of June 30, 2009, there has not been any significant impact to the fair value of our derivative liabilities due to our own credit risk. Similarly, there has not been any significant adverse impact to our derivative assets based on our evaluation of our counterparties’ credit risks.</w:t>
      </w:r>
    </w:p>
    <w:p>
      <w:pPr>
        <w:spacing w:after="0" w:line="85"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April 2009, the FASB issued FSP FAS 107-1 and APB 28-1, “Interim Disclosure about Fair Value of Financial Instruments” (FSP FAS 107-1 &amp; APB 28-1). FSP FAS 107-1 &amp; APB 28-1 require interim disclosures regarding the fair values of financial instruments that are within the scope of SFAS No. 107, “Disclosures about the Fair Value of Financial Instruments.” Additionally, FSP FAS 107-1 &amp; APB 28-1 require disclosure of the methods and significant assumptions used to estimate the fair value of financial instruments on an interim basis as well as changes in the methods and significant assumptions from prior periods. FSP FAS 107-1 &amp; APB 28-1 do not change the accounting treatment for these financial instruments. We adopted FSP FAS 107-1 &amp; APB 28-1 during the quarter ended June 30, 2009.</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carrying amounts and fair values of financial instruments at June 30, 2009 and December 31, 2008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 2009</w:t>
            </w: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5"/>
          </w:tcPr>
          <w:p>
            <w:pPr>
              <w:ind w:left="300"/>
              <w:spacing w:after="0"/>
              <w:rPr>
                <w:sz w:val="20"/>
                <w:szCs w:val="20"/>
                <w:color w:val="auto"/>
              </w:rPr>
            </w:pPr>
            <w:r>
              <w:rPr>
                <w:rFonts w:ascii="Arial" w:cs="Arial" w:eastAsia="Arial" w:hAnsi="Arial"/>
                <w:sz w:val="14"/>
                <w:szCs w:val="14"/>
                <w:b w:val="1"/>
                <w:bCs w:val="1"/>
                <w:color w:val="auto"/>
              </w:rPr>
              <w:t>December 31, 2008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5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0"/>
              </w:rPr>
              <w:t>Carrying</w:t>
            </w:r>
          </w:p>
        </w:tc>
        <w:tc>
          <w:tcPr>
            <w:tcW w:w="5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120"/>
              <w:spacing w:after="0" w:line="129" w:lineRule="exact"/>
              <w:rPr>
                <w:sz w:val="20"/>
                <w:szCs w:val="20"/>
                <w:color w:val="auto"/>
              </w:rPr>
            </w:pPr>
            <w:r>
              <w:rPr>
                <w:rFonts w:ascii="Arial" w:cs="Arial" w:eastAsia="Arial" w:hAnsi="Arial"/>
                <w:sz w:val="14"/>
                <w:szCs w:val="14"/>
                <w:b w:val="1"/>
                <w:bCs w:val="1"/>
                <w:color w:val="auto"/>
              </w:rPr>
              <w:t>Fair</w:t>
            </w:r>
          </w:p>
        </w:tc>
        <w:tc>
          <w:tcPr>
            <w:tcW w:w="560" w:type="dxa"/>
            <w:vAlign w:val="bottom"/>
          </w:tcPr>
          <w:p>
            <w:pPr>
              <w:spacing w:after="0"/>
              <w:rPr>
                <w:sz w:val="11"/>
                <w:szCs w:val="11"/>
                <w:color w:val="auto"/>
              </w:rPr>
            </w:pPr>
          </w:p>
        </w:tc>
        <w:tc>
          <w:tcPr>
            <w:tcW w:w="1220" w:type="dxa"/>
            <w:vAlign w:val="bottom"/>
            <w:tcBorders>
              <w:top w:val="single" w:sz="8" w:color="auto"/>
            </w:tcBorders>
            <w:gridSpan w:val="3"/>
          </w:tcPr>
          <w:p>
            <w:pPr>
              <w:ind w:left="60"/>
              <w:spacing w:after="0" w:line="129" w:lineRule="exact"/>
              <w:rPr>
                <w:sz w:val="20"/>
                <w:szCs w:val="20"/>
                <w:color w:val="auto"/>
              </w:rPr>
            </w:pPr>
            <w:r>
              <w:rPr>
                <w:rFonts w:ascii="Arial" w:cs="Arial" w:eastAsia="Arial" w:hAnsi="Arial"/>
                <w:sz w:val="14"/>
                <w:szCs w:val="14"/>
                <w:b w:val="1"/>
                <w:bCs w:val="1"/>
                <w:color w:val="auto"/>
              </w:rPr>
              <w:t>Carrying</w:t>
            </w: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center"/>
              <w:ind w:right="40"/>
              <w:spacing w:after="0" w:line="129" w:lineRule="exact"/>
              <w:rPr>
                <w:sz w:val="20"/>
                <w:szCs w:val="20"/>
                <w:color w:val="auto"/>
              </w:rPr>
            </w:pPr>
            <w:r>
              <w:rPr>
                <w:rFonts w:ascii="Arial" w:cs="Arial" w:eastAsia="Arial" w:hAnsi="Arial"/>
                <w:sz w:val="14"/>
                <w:szCs w:val="14"/>
                <w:b w:val="1"/>
                <w:bCs w:val="1"/>
                <w:color w:val="auto"/>
                <w:w w:val="93"/>
              </w:rPr>
              <w:t>Fair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06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20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4"/>
              </w:rPr>
              <w:t>Amount</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ind w:right="80"/>
              <w:spacing w:after="0"/>
              <w:rPr>
                <w:sz w:val="20"/>
                <w:szCs w:val="20"/>
                <w:color w:val="auto"/>
              </w:rPr>
            </w:pPr>
            <w:r>
              <w:rPr>
                <w:rFonts w:ascii="Arial" w:cs="Arial" w:eastAsia="Arial" w:hAnsi="Arial"/>
                <w:sz w:val="14"/>
                <w:szCs w:val="14"/>
                <w:b w:val="1"/>
                <w:bCs w:val="1"/>
                <w:color w:val="auto"/>
                <w:w w:val="85"/>
              </w:rPr>
              <w:t>Value</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Assets and Liabilities</w:t>
            </w:r>
          </w:p>
        </w:tc>
        <w:tc>
          <w:tcPr>
            <w:tcW w:w="20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ind w:left="420"/>
              <w:spacing w:after="0"/>
              <w:rPr>
                <w:sz w:val="20"/>
                <w:szCs w:val="20"/>
                <w:color w:val="auto"/>
              </w:rPr>
            </w:pPr>
            <w:r>
              <w:rPr>
                <w:rFonts w:ascii="Arial" w:cs="Arial" w:eastAsia="Arial" w:hAnsi="Arial"/>
                <w:sz w:val="18"/>
                <w:szCs w:val="18"/>
                <w:color w:val="auto"/>
              </w:rPr>
              <w:t>Marketable equity securities</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  388</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388</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300"/>
              <w:spacing w:after="0"/>
              <w:rPr>
                <w:sz w:val="20"/>
                <w:szCs w:val="20"/>
                <w:color w:val="auto"/>
              </w:rPr>
            </w:pPr>
            <w:r>
              <w:rPr>
                <w:rFonts w:ascii="Arial" w:cs="Arial" w:eastAsia="Arial" w:hAnsi="Arial"/>
                <w:sz w:val="18"/>
                <w:szCs w:val="18"/>
                <w:color w:val="auto"/>
              </w:rPr>
              <w:t>325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Long-term receivables</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343</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ind w:left="420"/>
              <w:spacing w:after="0"/>
              <w:rPr>
                <w:sz w:val="20"/>
                <w:szCs w:val="20"/>
                <w:color w:val="auto"/>
              </w:rPr>
            </w:pPr>
            <w:r>
              <w:rPr>
                <w:rFonts w:ascii="Arial" w:cs="Arial" w:eastAsia="Arial" w:hAnsi="Arial"/>
                <w:sz w:val="18"/>
                <w:szCs w:val="18"/>
                <w:color w:val="auto"/>
              </w:rPr>
              <w:t>Customer financing notes receivable</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335</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283</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ind w:left="300"/>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Short-term borrowings</w:t>
            </w:r>
          </w:p>
        </w:tc>
        <w:tc>
          <w:tcPr>
            <w:tcW w:w="42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(1,242)</w:t>
            </w:r>
          </w:p>
        </w:tc>
        <w:tc>
          <w:tcPr>
            <w:tcW w:w="12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(1,242)</w:t>
            </w:r>
          </w:p>
        </w:tc>
        <w:tc>
          <w:tcPr>
            <w:tcW w:w="12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(1,023)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w:t>
            </w:r>
          </w:p>
        </w:tc>
      </w:tr>
      <w:tr>
        <w:trPr>
          <w:trHeight w:val="222"/>
        </w:trPr>
        <w:tc>
          <w:tcPr>
            <w:tcW w:w="3840" w:type="dxa"/>
            <w:vAlign w:val="bottom"/>
          </w:tcPr>
          <w:p>
            <w:pPr>
              <w:ind w:left="440"/>
              <w:spacing w:after="0"/>
              <w:rPr>
                <w:sz w:val="20"/>
                <w:szCs w:val="20"/>
                <w:color w:val="auto"/>
              </w:rPr>
            </w:pPr>
            <w:r>
              <w:rPr>
                <w:rFonts w:ascii="Arial" w:cs="Arial" w:eastAsia="Arial" w:hAnsi="Arial"/>
                <w:sz w:val="18"/>
                <w:szCs w:val="18"/>
                <w:color w:val="auto"/>
              </w:rPr>
              <w:t>Long-term debt</w:t>
            </w:r>
          </w:p>
        </w:tc>
        <w:tc>
          <w:tcPr>
            <w:tcW w:w="4200" w:type="dxa"/>
            <w:vAlign w:val="bottom"/>
          </w:tcPr>
          <w:p>
            <w:pPr>
              <w:jc w:val="right"/>
              <w:ind w:right="212"/>
              <w:spacing w:after="0"/>
              <w:rPr>
                <w:sz w:val="20"/>
                <w:szCs w:val="20"/>
                <w:color w:val="auto"/>
              </w:rPr>
            </w:pPr>
            <w:r>
              <w:rPr>
                <w:rFonts w:ascii="Arial" w:cs="Arial" w:eastAsia="Arial" w:hAnsi="Arial"/>
                <w:sz w:val="18"/>
                <w:szCs w:val="18"/>
                <w:color w:val="auto"/>
              </w:rPr>
              <w:t>(9,533)</w:t>
            </w:r>
          </w:p>
        </w:tc>
        <w:tc>
          <w:tcPr>
            <w:tcW w:w="1220" w:type="dxa"/>
            <w:vAlign w:val="bottom"/>
          </w:tcPr>
          <w:p>
            <w:pPr>
              <w:jc w:val="right"/>
              <w:ind w:right="212"/>
              <w:spacing w:after="0"/>
              <w:rPr>
                <w:sz w:val="20"/>
                <w:szCs w:val="20"/>
                <w:color w:val="auto"/>
              </w:rPr>
            </w:pPr>
            <w:r>
              <w:rPr>
                <w:rFonts w:ascii="Arial" w:cs="Arial" w:eastAsia="Arial" w:hAnsi="Arial"/>
                <w:sz w:val="18"/>
                <w:szCs w:val="18"/>
                <w:color w:val="auto"/>
              </w:rPr>
              <w:t>(10,381)</w:t>
            </w:r>
          </w:p>
        </w:tc>
        <w:tc>
          <w:tcPr>
            <w:tcW w:w="1220" w:type="dxa"/>
            <w:vAlign w:val="bottom"/>
          </w:tcPr>
          <w:p>
            <w:pPr>
              <w:jc w:val="right"/>
              <w:ind w:right="232"/>
              <w:spacing w:after="0"/>
              <w:rPr>
                <w:sz w:val="20"/>
                <w:szCs w:val="20"/>
                <w:color w:val="auto"/>
              </w:rPr>
            </w:pPr>
            <w:r>
              <w:rPr>
                <w:rFonts w:ascii="Arial" w:cs="Arial" w:eastAsia="Arial" w:hAnsi="Arial"/>
                <w:sz w:val="18"/>
                <w:szCs w:val="18"/>
                <w:color w:val="auto"/>
              </w:rPr>
              <w:t>(10,408)</w:t>
            </w:r>
          </w:p>
        </w:tc>
        <w:tc>
          <w:tcPr>
            <w:tcW w:w="940" w:type="dxa"/>
            <w:vAlign w:val="bottom"/>
          </w:tcPr>
          <w:p>
            <w:pPr>
              <w:jc w:val="right"/>
              <w:spacing w:after="0"/>
              <w:rPr>
                <w:sz w:val="20"/>
                <w:szCs w:val="20"/>
                <w:color w:val="auto"/>
              </w:rPr>
            </w:pPr>
            <w:r>
              <w:rPr>
                <w:rFonts w:ascii="Arial" w:cs="Arial" w:eastAsia="Arial" w:hAnsi="Arial"/>
                <w:sz w:val="18"/>
                <w:szCs w:val="18"/>
                <w:color w:val="auto"/>
              </w:rPr>
              <w:t>(11,332)</w:t>
            </w:r>
          </w:p>
        </w:tc>
      </w:tr>
      <w:tr>
        <w:trPr>
          <w:trHeight w:val="356"/>
        </w:trPr>
        <w:tc>
          <w:tcPr>
            <w:tcW w:w="3840" w:type="dxa"/>
            <w:vAlign w:val="bottom"/>
          </w:tcPr>
          <w:p>
            <w:pPr>
              <w:spacing w:after="0"/>
              <w:rPr>
                <w:sz w:val="24"/>
                <w:szCs w:val="24"/>
                <w:color w:val="auto"/>
              </w:rPr>
            </w:pPr>
          </w:p>
        </w:tc>
        <w:tc>
          <w:tcPr>
            <w:tcW w:w="4200" w:type="dxa"/>
            <w:vAlign w:val="bottom"/>
          </w:tcPr>
          <w:p>
            <w:pPr>
              <w:jc w:val="right"/>
              <w:ind w:right="2152"/>
              <w:spacing w:after="0"/>
              <w:rPr>
                <w:sz w:val="20"/>
                <w:szCs w:val="20"/>
                <w:color w:val="auto"/>
              </w:rPr>
            </w:pPr>
            <w:r>
              <w:rPr>
                <w:rFonts w:ascii="Arial" w:cs="Arial" w:eastAsia="Arial" w:hAnsi="Arial"/>
                <w:sz w:val="18"/>
                <w:szCs w:val="18"/>
                <w:color w:val="auto"/>
              </w:rPr>
              <w:t>15</w:t>
            </w: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above fair values were computed based on comparable transactions, quoted market prices, discounted future cash flows or an estimate of the amount to be received or paid to terminate or settle the agreement, as applicable. Differences from carrying amounts are attributable to interest and or credit rate changes subsequent to when the transaction occurred. The values of marketable equity securities represent our investment in common stock that is classified as available for sale and is accounted for at fair value. The fair values of cash and cash equivalents, accounts receivable, net, short-term borrowings, and accounts payable approximate the carrying amounts due to the short-term maturities of these instruments.</w:t>
      </w:r>
    </w:p>
    <w:p>
      <w:pPr>
        <w:spacing w:after="0" w:line="1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have outstanding financing and rental commitments totaling $1,040 million at June 30, 2009. Risks associated with changes in interest rates on these commitments are mitigated by the fact that interest rates are variable during the commitment term and are set at the date of funding based on current market conditions, the fair value of the underlying collateral and the credit worthiness of the customers. As a result, the fair value of these financings is expected to equal the amounts funded. The fair value of the commitment itself is not readily determinable and is not considered significant.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Equity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changes in equity for the quarters and six months ended June 30, 2009 and 2008 is provided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6"/>
          </w:tcPr>
          <w:p>
            <w:pPr>
              <w:jc w:val="right"/>
              <w:ind w:right="500"/>
              <w:spacing w:after="0"/>
              <w:rPr>
                <w:sz w:val="20"/>
                <w:szCs w:val="20"/>
                <w:color w:val="auto"/>
              </w:rPr>
            </w:pPr>
            <w:r>
              <w:rPr>
                <w:rFonts w:ascii="Arial" w:cs="Arial" w:eastAsia="Arial" w:hAnsi="Arial"/>
                <w:sz w:val="14"/>
                <w:szCs w:val="14"/>
                <w:b w:val="1"/>
                <w:bCs w:val="1"/>
                <w:color w:val="auto"/>
                <w:w w:val="91"/>
              </w:rPr>
              <w:t>Quarter Ended June 30,</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3600" w:type="dxa"/>
            <w:vAlign w:val="bottom"/>
          </w:tcPr>
          <w:p>
            <w:pPr>
              <w:spacing w:after="0"/>
              <w:rPr>
                <w:sz w:val="11"/>
                <w:szCs w:val="11"/>
                <w:color w:val="auto"/>
              </w:rPr>
            </w:pPr>
          </w:p>
        </w:tc>
        <w:tc>
          <w:tcPr>
            <w:tcW w:w="10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Shareowners’</w:t>
            </w:r>
          </w:p>
        </w:tc>
        <w:tc>
          <w:tcPr>
            <w:tcW w:w="1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Noncontrolling</w:t>
            </w: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Total</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Shareowners’</w:t>
            </w:r>
          </w:p>
        </w:tc>
        <w:tc>
          <w:tcPr>
            <w:tcW w:w="1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Noncontrolling</w:t>
            </w:r>
          </w:p>
        </w:tc>
        <w:tc>
          <w:tcPr>
            <w:tcW w:w="5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3"/>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8"/>
              </w:rPr>
              <w:t>Equity</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Interest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Equity</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Equity</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Interest</w:t>
            </w:r>
          </w:p>
        </w:tc>
        <w:tc>
          <w:tcPr>
            <w:tcW w:w="38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beginning of period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15,813</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$16,786</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21,586</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$22,570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ind w:left="420"/>
              <w:spacing w:after="0"/>
              <w:rPr>
                <w:sz w:val="20"/>
                <w:szCs w:val="20"/>
                <w:color w:val="auto"/>
              </w:rPr>
            </w:pPr>
            <w:r>
              <w:rPr>
                <w:rFonts w:ascii="Arial" w:cs="Arial" w:eastAsia="Arial" w:hAnsi="Arial"/>
                <w:sz w:val="18"/>
                <w:szCs w:val="18"/>
                <w:color w:val="auto"/>
              </w:rPr>
              <w:t>Common Stock issued under employee plans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149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Common Stock repurchased</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ind w:left="420"/>
              <w:spacing w:after="0"/>
              <w:rPr>
                <w:sz w:val="20"/>
                <w:szCs w:val="20"/>
                <w:color w:val="auto"/>
              </w:rPr>
            </w:pPr>
            <w:r>
              <w:rPr>
                <w:rFonts w:ascii="Arial" w:cs="Arial" w:eastAsia="Arial" w:hAnsi="Arial"/>
                <w:sz w:val="18"/>
                <w:szCs w:val="18"/>
                <w:color w:val="auto"/>
              </w:rPr>
              <w:t>Dividends paid on Common Stock</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(340)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(340)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(290)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Dividends paid on ESOP Common Stock</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ind w:left="420"/>
              <w:spacing w:after="0"/>
              <w:rPr>
                <w:sz w:val="20"/>
                <w:szCs w:val="20"/>
                <w:color w:val="auto"/>
              </w:rPr>
            </w:pPr>
            <w:r>
              <w:rPr>
                <w:rFonts w:ascii="Arial" w:cs="Arial" w:eastAsia="Arial" w:hAnsi="Arial"/>
                <w:sz w:val="18"/>
                <w:szCs w:val="18"/>
                <w:color w:val="auto"/>
              </w:rPr>
              <w:t>Dividends attributable to noncontrolling interest</w:t>
            </w:r>
          </w:p>
        </w:tc>
        <w:tc>
          <w:tcPr>
            <w:tcW w:w="14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(108)</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(87)</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7"/>
              </w:rPr>
              <w:t>Purchase of subsidiary shares from noncontrolling interest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ind w:left="420"/>
              <w:spacing w:after="0"/>
              <w:rPr>
                <w:sz w:val="20"/>
                <w:szCs w:val="20"/>
                <w:color w:val="auto"/>
              </w:rPr>
            </w:pPr>
            <w:r>
              <w:rPr>
                <w:rFonts w:ascii="Arial" w:cs="Arial" w:eastAsia="Arial" w:hAnsi="Arial"/>
                <w:sz w:val="18"/>
                <w:szCs w:val="18"/>
                <w:color w:val="auto"/>
              </w:rPr>
              <w:t>Acquired noncontrolling interest</w:t>
            </w:r>
          </w:p>
        </w:tc>
        <w:tc>
          <w:tcPr>
            <w:tcW w:w="14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w:t>
            </w:r>
          </w:p>
        </w:tc>
        <w:tc>
          <w:tcPr>
            <w:tcW w:w="3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Non-shareowners’ Changes in Equity:</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ind w:left="86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976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1,066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1,275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Foreign currency translation, net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40" w:type="dxa"/>
            <w:vAlign w:val="bottom"/>
            <w:gridSpan w:val="2"/>
          </w:tcPr>
          <w:p>
            <w:pPr>
              <w:ind w:left="860"/>
              <w:spacing w:after="0"/>
              <w:rPr>
                <w:sz w:val="20"/>
                <w:szCs w:val="20"/>
                <w:color w:val="auto"/>
              </w:rPr>
            </w:pPr>
            <w:r>
              <w:rPr>
                <w:rFonts w:ascii="Arial" w:cs="Arial" w:eastAsia="Arial" w:hAnsi="Arial"/>
                <w:sz w:val="18"/>
                <w:szCs w:val="18"/>
                <w:color w:val="auto"/>
              </w:rPr>
              <w:t>Increases (decreases) in unrealized gains from</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gridSpan w:val="2"/>
          </w:tcPr>
          <w:p>
            <w:pPr>
              <w:ind w:left="1060"/>
              <w:spacing w:after="0"/>
              <w:rPr>
                <w:sz w:val="20"/>
                <w:szCs w:val="20"/>
                <w:color w:val="auto"/>
              </w:rPr>
            </w:pPr>
            <w:r>
              <w:rPr>
                <w:rFonts w:ascii="Arial" w:cs="Arial" w:eastAsia="Arial" w:hAnsi="Arial"/>
                <w:sz w:val="18"/>
                <w:szCs w:val="18"/>
                <w:color w:val="auto"/>
              </w:rPr>
              <w:t>available-for-sale investments, net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Cash flow hedging gains (losses)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40" w:type="dxa"/>
            <w:vAlign w:val="bottom"/>
            <w:gridSpan w:val="2"/>
          </w:tcPr>
          <w:p>
            <w:pPr>
              <w:ind w:left="860"/>
              <w:spacing w:after="0"/>
              <w:rPr>
                <w:sz w:val="20"/>
                <w:szCs w:val="20"/>
                <w:color w:val="auto"/>
              </w:rPr>
            </w:pPr>
            <w:r>
              <w:rPr>
                <w:rFonts w:ascii="Arial" w:cs="Arial" w:eastAsia="Arial" w:hAnsi="Arial"/>
                <w:sz w:val="18"/>
                <w:szCs w:val="18"/>
                <w:color w:val="auto"/>
                <w:w w:val="95"/>
              </w:rPr>
              <w:t>Change in pension and post-retirement benefit plans,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940" w:type="dxa"/>
            <w:vAlign w:val="bottom"/>
            <w:gridSpan w:val="2"/>
          </w:tcPr>
          <w:p>
            <w:pPr>
              <w:ind w:left="1060"/>
              <w:spacing w:after="0"/>
              <w:rPr>
                <w:sz w:val="20"/>
                <w:szCs w:val="20"/>
                <w:color w:val="auto"/>
              </w:rPr>
            </w:pPr>
            <w:r>
              <w:rPr>
                <w:rFonts w:ascii="Arial" w:cs="Arial" w:eastAsia="Arial" w:hAnsi="Arial"/>
                <w:sz w:val="18"/>
                <w:szCs w:val="18"/>
                <w:color w:val="auto"/>
              </w:rPr>
              <w:t>net</w:t>
            </w: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end of period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17,379</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18,406</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21,912</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22,869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7"/>
          </w:tcPr>
          <w:p>
            <w:pPr>
              <w:jc w:val="right"/>
              <w:ind w:right="400"/>
              <w:spacing w:after="0"/>
              <w:rPr>
                <w:sz w:val="20"/>
                <w:szCs w:val="20"/>
                <w:color w:val="auto"/>
              </w:rPr>
            </w:pPr>
            <w:r>
              <w:rPr>
                <w:rFonts w:ascii="Arial" w:cs="Arial" w:eastAsia="Arial" w:hAnsi="Arial"/>
                <w:sz w:val="14"/>
                <w:szCs w:val="14"/>
                <w:b w:val="1"/>
                <w:bCs w:val="1"/>
                <w:color w:val="auto"/>
                <w:w w:val="93"/>
              </w:rPr>
              <w:t>Six Months Ended June 30,</w:t>
            </w: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9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3600" w:type="dxa"/>
            <w:vAlign w:val="bottom"/>
          </w:tcPr>
          <w:p>
            <w:pPr>
              <w:spacing w:after="0"/>
              <w:rPr>
                <w:sz w:val="11"/>
                <w:szCs w:val="11"/>
                <w:color w:val="auto"/>
              </w:rPr>
            </w:pPr>
          </w:p>
        </w:tc>
        <w:tc>
          <w:tcPr>
            <w:tcW w:w="10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Shareowners’</w:t>
            </w:r>
          </w:p>
        </w:tc>
        <w:tc>
          <w:tcPr>
            <w:tcW w:w="1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Noncontrolling</w:t>
            </w: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Total</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Shareowners’</w:t>
            </w:r>
          </w:p>
        </w:tc>
        <w:tc>
          <w:tcPr>
            <w:tcW w:w="1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Noncontrolling</w:t>
            </w:r>
          </w:p>
        </w:tc>
        <w:tc>
          <w:tcPr>
            <w:tcW w:w="5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3"/>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8"/>
              </w:rPr>
              <w:t>Equity</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Interest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Equity</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Equity</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Interest</w:t>
            </w:r>
          </w:p>
        </w:tc>
        <w:tc>
          <w:tcPr>
            <w:tcW w:w="38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beginning of period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15,917</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$16,926</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21,355</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$22,267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ind w:left="420"/>
              <w:spacing w:after="0"/>
              <w:rPr>
                <w:sz w:val="20"/>
                <w:szCs w:val="20"/>
                <w:color w:val="auto"/>
              </w:rPr>
            </w:pPr>
            <w:r>
              <w:rPr>
                <w:rFonts w:ascii="Arial" w:cs="Arial" w:eastAsia="Arial" w:hAnsi="Arial"/>
                <w:sz w:val="18"/>
                <w:szCs w:val="18"/>
                <w:color w:val="auto"/>
              </w:rPr>
              <w:t>Common Stock issued under employee plans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220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Common Stock repurchased</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(350)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ind w:left="420"/>
              <w:spacing w:after="0"/>
              <w:rPr>
                <w:sz w:val="20"/>
                <w:szCs w:val="20"/>
                <w:color w:val="auto"/>
              </w:rPr>
            </w:pPr>
            <w:r>
              <w:rPr>
                <w:rFonts w:ascii="Arial" w:cs="Arial" w:eastAsia="Arial" w:hAnsi="Arial"/>
                <w:sz w:val="18"/>
                <w:szCs w:val="18"/>
                <w:color w:val="auto"/>
              </w:rPr>
              <w:t>Dividends paid on Common Stock</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(679)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(679)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(583)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Dividends paid on ESOP Common Stock</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ind w:left="420"/>
              <w:spacing w:after="0"/>
              <w:rPr>
                <w:sz w:val="20"/>
                <w:szCs w:val="20"/>
                <w:color w:val="auto"/>
              </w:rPr>
            </w:pPr>
            <w:r>
              <w:rPr>
                <w:rFonts w:ascii="Arial" w:cs="Arial" w:eastAsia="Arial" w:hAnsi="Arial"/>
                <w:sz w:val="18"/>
                <w:szCs w:val="18"/>
                <w:color w:val="auto"/>
              </w:rPr>
              <w:t>Dividends attributable to noncontrolling interest</w:t>
            </w:r>
          </w:p>
        </w:tc>
        <w:tc>
          <w:tcPr>
            <w:tcW w:w="14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(200)</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(189)</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7"/>
              </w:rPr>
              <w:t>Purchase of subsidiary shares from noncontrolling interest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ind w:left="420"/>
              <w:spacing w:after="0"/>
              <w:rPr>
                <w:sz w:val="20"/>
                <w:szCs w:val="20"/>
                <w:color w:val="auto"/>
              </w:rPr>
            </w:pPr>
            <w:r>
              <w:rPr>
                <w:rFonts w:ascii="Arial" w:cs="Arial" w:eastAsia="Arial" w:hAnsi="Arial"/>
                <w:sz w:val="18"/>
                <w:szCs w:val="18"/>
                <w:color w:val="auto"/>
              </w:rPr>
              <w:t>Sale of subsidiary shares in noncontrolling interest</w:t>
            </w:r>
          </w:p>
        </w:tc>
        <w:tc>
          <w:tcPr>
            <w:tcW w:w="14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w:t>
            </w:r>
          </w:p>
        </w:tc>
        <w:tc>
          <w:tcPr>
            <w:tcW w:w="3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Acquired noncontrolling interest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ind w:left="420"/>
              <w:spacing w:after="0"/>
              <w:rPr>
                <w:sz w:val="20"/>
                <w:szCs w:val="20"/>
                <w:color w:val="auto"/>
              </w:rPr>
            </w:pPr>
            <w:r>
              <w:rPr>
                <w:rFonts w:ascii="Arial" w:cs="Arial" w:eastAsia="Arial" w:hAnsi="Arial"/>
                <w:sz w:val="18"/>
                <w:szCs w:val="18"/>
                <w:color w:val="auto"/>
              </w:rPr>
              <w:t>Non-shareowners’ Changes in Equity:</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ind w:left="860"/>
              <w:spacing w:after="0"/>
              <w:rPr>
                <w:sz w:val="20"/>
                <w:szCs w:val="20"/>
                <w:color w:val="auto"/>
              </w:rPr>
            </w:pPr>
            <w:r>
              <w:rPr>
                <w:rFonts w:ascii="Arial" w:cs="Arial" w:eastAsia="Arial" w:hAnsi="Arial"/>
                <w:sz w:val="18"/>
                <w:szCs w:val="18"/>
                <w:color w:val="auto"/>
              </w:rPr>
              <w:t>Foreign currency translation, net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438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w:t>
            </w:r>
          </w:p>
        </w:tc>
        <w:tc>
          <w:tcPr>
            <w:tcW w:w="3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Increases (decreases) in unrealized gains from</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available-for-sale investments, net</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ind w:left="860"/>
              <w:spacing w:after="0"/>
              <w:rPr>
                <w:sz w:val="20"/>
                <w:szCs w:val="20"/>
                <w:color w:val="auto"/>
              </w:rPr>
            </w:pPr>
            <w:r>
              <w:rPr>
                <w:rFonts w:ascii="Arial" w:cs="Arial" w:eastAsia="Arial" w:hAnsi="Arial"/>
                <w:sz w:val="18"/>
                <w:szCs w:val="18"/>
                <w:color w:val="auto"/>
              </w:rPr>
              <w:t>Cash flow hedging gains (losses)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w w:val="95"/>
              </w:rPr>
              <w:t>Change in pension and post-retirement benefit plans,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net</w:t>
            </w:r>
          </w:p>
        </w:tc>
        <w:tc>
          <w:tcPr>
            <w:tcW w:w="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960" w:type="dxa"/>
            <w:vAlign w:val="bottom"/>
            <w:gridSpan w:val="3"/>
          </w:tcPr>
          <w:p>
            <w:pPr>
              <w:spacing w:after="0"/>
              <w:rPr>
                <w:sz w:val="20"/>
                <w:szCs w:val="20"/>
                <w:color w:val="auto"/>
              </w:rPr>
            </w:pPr>
            <w:r>
              <w:rPr>
                <w:rFonts w:ascii="Arial" w:cs="Arial" w:eastAsia="Arial" w:hAnsi="Arial"/>
                <w:sz w:val="18"/>
                <w:szCs w:val="18"/>
                <w:color w:val="auto"/>
              </w:rPr>
              <w:t>Equity, end of period</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17,379</w:t>
            </w:r>
          </w:p>
        </w:tc>
        <w:tc>
          <w:tcPr>
            <w:tcW w:w="220" w:type="dxa"/>
            <w:vAlign w:val="bottom"/>
          </w:tcPr>
          <w:p>
            <w:pPr>
              <w:spacing w:after="0"/>
              <w:rPr>
                <w:sz w:val="19"/>
                <w:szCs w:val="19"/>
                <w:color w:val="auto"/>
              </w:rPr>
            </w:pP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1,027</w:t>
            </w:r>
          </w:p>
        </w:tc>
        <w:tc>
          <w:tcPr>
            <w:tcW w:w="2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18,406</w:t>
            </w:r>
          </w:p>
        </w:tc>
        <w:tc>
          <w:tcPr>
            <w:tcW w:w="200" w:type="dxa"/>
            <w:vAlign w:val="bottom"/>
          </w:tcPr>
          <w:p>
            <w:pPr>
              <w:spacing w:after="0"/>
              <w:rPr>
                <w:sz w:val="19"/>
                <w:szCs w:val="19"/>
                <w:color w:val="auto"/>
              </w:rPr>
            </w:pP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21,912</w:t>
            </w:r>
          </w:p>
        </w:tc>
        <w:tc>
          <w:tcPr>
            <w:tcW w:w="220" w:type="dxa"/>
            <w:vAlign w:val="bottom"/>
          </w:tcPr>
          <w:p>
            <w:pPr>
              <w:spacing w:after="0"/>
              <w:rPr>
                <w:sz w:val="19"/>
                <w:szCs w:val="19"/>
                <w:color w:val="auto"/>
              </w:rPr>
            </w:pP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957</w:t>
            </w:r>
          </w:p>
        </w:tc>
        <w:tc>
          <w:tcPr>
            <w:tcW w:w="3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22,869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459" w:right="2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Effective January 1, 2009, we adopted the provisions of SFAS 160. Certain provisions of this statement are required to be adopted retrospectively for all periods presented. Such provisions include a requirement that the carrying value of noncontrolling interests (previously referred to as minority interests) be removed from the mezzanine section of the balance sheet and reclassified as equity, and that consolidated net income be recast to include net income attributable to the noncontrolling interest. As a result of this adoption, we reclassified noncontrolling interests in the amounts of $1,009 million and $957 million from the mezzanine section to equity in the December 31, 2008 and June 30, 2008, balance sheets, respectively.</w:t>
      </w:r>
    </w:p>
    <w:p>
      <w:pPr>
        <w:spacing w:after="0" w:line="116"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Consistent with the adoption of SFAS 141(R) and SFAS 160, changes in noncontrolling interests that do not result in a change of control and where there is a difference between fair value and carrying value are accounted for as equity transactions. A summary of these changes in ownership interest in subsidiaries and the effect on shareowners’ equity for the quarter and six months ended June 30, 2009 is provided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90"/>
              </w:rPr>
              <w:t>Quarter Ended</w:t>
            </w:r>
          </w:p>
        </w:tc>
        <w:tc>
          <w:tcPr>
            <w:tcW w:w="88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5"/>
              </w:rPr>
              <w:t>Six Months Ended</w:t>
            </w:r>
          </w:p>
        </w:tc>
        <w:tc>
          <w:tcPr>
            <w:tcW w:w="0" w:type="dxa"/>
            <w:vAlign w:val="bottom"/>
          </w:tcPr>
          <w:p>
            <w:pPr>
              <w:spacing w:after="0"/>
              <w:rPr>
                <w:sz w:val="1"/>
                <w:szCs w:val="1"/>
                <w:color w:val="auto"/>
              </w:rPr>
            </w:pPr>
          </w:p>
        </w:tc>
      </w:tr>
      <w:tr>
        <w:trPr>
          <w:trHeight w:val="161"/>
        </w:trPr>
        <w:tc>
          <w:tcPr>
            <w:tcW w:w="846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w w:val="90"/>
              </w:rPr>
              <w:t>June 30, 2009</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June 30, 2009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common shareowners</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976</w:t>
            </w:r>
          </w:p>
        </w:tc>
        <w:tc>
          <w:tcPr>
            <w:tcW w:w="10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1,698</w:t>
            </w:r>
          </w:p>
        </w:tc>
        <w:tc>
          <w:tcPr>
            <w:tcW w:w="0" w:type="dxa"/>
            <w:vAlign w:val="bottom"/>
          </w:tcPr>
          <w:p>
            <w:pPr>
              <w:spacing w:after="0"/>
              <w:rPr>
                <w:sz w:val="1"/>
                <w:szCs w:val="1"/>
                <w:color w:val="auto"/>
              </w:rPr>
            </w:pPr>
          </w:p>
        </w:tc>
      </w:tr>
      <w:tr>
        <w:trPr>
          <w:trHeight w:val="222"/>
        </w:trPr>
        <w:tc>
          <w:tcPr>
            <w:tcW w:w="8460" w:type="dxa"/>
            <w:vAlign w:val="bottom"/>
            <w:gridSpan w:val="3"/>
          </w:tcPr>
          <w:p>
            <w:pPr>
              <w:spacing w:after="0"/>
              <w:rPr>
                <w:sz w:val="20"/>
                <w:szCs w:val="20"/>
                <w:color w:val="auto"/>
              </w:rPr>
            </w:pPr>
            <w:r>
              <w:rPr>
                <w:rFonts w:ascii="Arial" w:cs="Arial" w:eastAsia="Arial" w:hAnsi="Arial"/>
                <w:sz w:val="18"/>
                <w:szCs w:val="18"/>
                <w:color w:val="auto"/>
              </w:rPr>
              <w:t>Transfers to noncontrolling interests</w:t>
            </w:r>
          </w:p>
        </w:tc>
        <w:tc>
          <w:tcPr>
            <w:tcW w:w="3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Decrease in common stock for purchase of subsidiary shares</w:t>
            </w: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2"/>
        </w:trPr>
        <w:tc>
          <w:tcPr>
            <w:tcW w:w="8460" w:type="dxa"/>
            <w:vAlign w:val="bottom"/>
            <w:gridSpan w:val="3"/>
          </w:tcPr>
          <w:p>
            <w:pPr>
              <w:spacing w:after="0"/>
              <w:rPr>
                <w:sz w:val="20"/>
                <w:szCs w:val="20"/>
                <w:color w:val="auto"/>
              </w:rPr>
            </w:pPr>
            <w:r>
              <w:rPr>
                <w:rFonts w:ascii="Arial" w:cs="Arial" w:eastAsia="Arial" w:hAnsi="Arial"/>
                <w:sz w:val="18"/>
                <w:szCs w:val="18"/>
                <w:color w:val="auto"/>
              </w:rPr>
              <w:t>Change from net income attributable to common shareowners and transfers to noncontrolling interests</w:t>
            </w: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w w:val="79"/>
              </w:rPr>
              <w:t>976</w:t>
            </w:r>
          </w:p>
        </w:tc>
        <w:tc>
          <w:tcPr>
            <w:tcW w:w="8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Guarantees</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We extend a variety of financial, market value and product performance guarantees to third parties. There have been no material changes to guarantees outstanding since December 31, 2008.</w:t>
      </w:r>
    </w:p>
    <w:p>
      <w:pPr>
        <w:spacing w:after="0" w:line="13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changes in the carrying amount of service and product warranties and product performance guarantees for the six months ended June 30, 2009 and 2008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604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January 1</w:t>
            </w:r>
          </w:p>
        </w:tc>
        <w:tc>
          <w:tcPr>
            <w:tcW w:w="6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2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Warranties and performance guarantees issued</w:t>
            </w:r>
          </w:p>
        </w:tc>
        <w:tc>
          <w:tcPr>
            <w:tcW w:w="6040" w:type="dxa"/>
            <w:vAlign w:val="bottom"/>
            <w:gridSpan w:val="2"/>
          </w:tcPr>
          <w:p>
            <w:pPr>
              <w:jc w:val="right"/>
              <w:spacing w:after="0"/>
              <w:rPr>
                <w:sz w:val="20"/>
                <w:szCs w:val="20"/>
                <w:color w:val="auto"/>
              </w:rPr>
            </w:pPr>
            <w:r>
              <w:rPr>
                <w:rFonts w:ascii="Arial" w:cs="Arial" w:eastAsia="Arial" w:hAnsi="Arial"/>
                <w:sz w:val="18"/>
                <w:szCs w:val="18"/>
                <w:color w:val="auto"/>
              </w:rPr>
              <w:t>170</w:t>
            </w:r>
          </w:p>
        </w:tc>
        <w:tc>
          <w:tcPr>
            <w:tcW w:w="20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Settlements made</w:t>
            </w:r>
          </w:p>
        </w:tc>
        <w:tc>
          <w:tcPr>
            <w:tcW w:w="6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(202)</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Other</w:t>
            </w:r>
          </w:p>
        </w:tc>
        <w:tc>
          <w:tcPr>
            <w:tcW w:w="55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55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June 30</w:t>
            </w:r>
          </w:p>
        </w:tc>
        <w:tc>
          <w:tcPr>
            <w:tcW w:w="55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1,078</w:t>
            </w:r>
          </w:p>
        </w:tc>
        <w:tc>
          <w:tcPr>
            <w:tcW w:w="2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540" w:type="dxa"/>
            <w:vAlign w:val="bottom"/>
            <w:vMerge w:val="restart"/>
          </w:tcPr>
          <w:p>
            <w:pPr>
              <w:jc w:val="right"/>
              <w:ind w:right="4096"/>
              <w:spacing w:after="0"/>
              <w:rPr>
                <w:sz w:val="20"/>
                <w:szCs w:val="20"/>
                <w:color w:val="auto"/>
              </w:rPr>
            </w:pPr>
            <w:r>
              <w:rPr>
                <w:rFonts w:ascii="Arial" w:cs="Arial" w:eastAsia="Arial" w:hAnsi="Arial"/>
                <w:sz w:val="18"/>
                <w:szCs w:val="18"/>
                <w:color w:val="auto"/>
              </w:rPr>
              <w:t>17</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554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Collaborative Arrangements</w:t>
      </w:r>
    </w:p>
    <w:p>
      <w:pPr>
        <w:spacing w:after="0" w:line="9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In view of the risks and costs associated with developing new engines, Pratt &amp; Whitney has entered into certain collaboration arrangements in which costs, revenues and risks are shared. Revenues generated from engine programs, spare parts sales, and aftermarket business under collaboration arrangements are recorded as earned in our financial statements. Amounts attributable to our collaborative partners for their share of revenues are recorded as an expense in our financial statements based upon the terms and nature of the arrangement. Costs associated with engine programs under collaborative arrangements are expensed as incurred. Under these arrangements, collaborators contribute their program share of engine parts, incur their own production costs and make certain payments to Pratt &amp; Whitney for shared or joint program costs. The reimbursement of the collaborator’s share of program costs is recorded as a reduction of the related expense item at that time. As of June 30, 2009, the collaborators’ interests in existing engine production programs ranged from 1 percent to 29 percent. Pratt &amp; Whitney directs those programs and is the principal participant in all existing collaborative arrangements. There are no individually significant collaborative arrangements and none of the partners exceed 25 percent share in an individual program.</w:t>
      </w:r>
    </w:p>
    <w:p>
      <w:pPr>
        <w:spacing w:after="0" w:line="12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following table illustrates the income statement classification and amounts attributable to transactions arising from the collaborative arrangements between participants for each period presented: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210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Quarter Ended June 30,</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gridSpan w:val="6"/>
          </w:tcPr>
          <w:p>
            <w:pPr>
              <w:ind w:left="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7000" w:type="dxa"/>
            <w:vAlign w:val="bottom"/>
            <w:gridSpan w:val="3"/>
            <w:vMerge w:val="continue"/>
          </w:tcPr>
          <w:p>
            <w:pPr>
              <w:spacing w:after="0"/>
              <w:rPr>
                <w:sz w:val="12"/>
                <w:szCs w:val="12"/>
                <w:color w:val="auto"/>
              </w:rPr>
            </w:pPr>
          </w:p>
        </w:tc>
        <w:tc>
          <w:tcPr>
            <w:tcW w:w="580" w:type="dxa"/>
            <w:vAlign w:val="bottom"/>
            <w:tcBorders>
              <w:top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2008</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96"/>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Collaborator share of revenues:</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ind w:left="420"/>
              <w:spacing w:after="0"/>
              <w:rPr>
                <w:sz w:val="20"/>
                <w:szCs w:val="20"/>
                <w:color w:val="auto"/>
              </w:rPr>
            </w:pPr>
            <w:r>
              <w:rPr>
                <w:rFonts w:ascii="Arial" w:cs="Arial" w:eastAsia="Arial" w:hAnsi="Arial"/>
                <w:sz w:val="18"/>
                <w:szCs w:val="18"/>
                <w:color w:val="auto"/>
              </w:rPr>
              <w:t>Cost of products sold</w:t>
            </w:r>
          </w:p>
        </w:tc>
        <w:tc>
          <w:tcPr>
            <w:tcW w:w="580" w:type="dxa"/>
            <w:vAlign w:val="bottom"/>
          </w:tcPr>
          <w:p>
            <w:pPr>
              <w:jc w:val="right"/>
              <w:spacing w:after="0"/>
              <w:rPr>
                <w:sz w:val="20"/>
                <w:szCs w:val="20"/>
                <w:color w:val="auto"/>
              </w:rPr>
            </w:pPr>
            <w:r>
              <w:rPr>
                <w:rFonts w:ascii="Arial" w:cs="Arial" w:eastAsia="Arial" w:hAnsi="Arial"/>
                <w:sz w:val="18"/>
                <w:szCs w:val="18"/>
                <w:color w:val="auto"/>
              </w:rPr>
              <w:t>$   187</w:t>
            </w:r>
          </w:p>
        </w:tc>
        <w:tc>
          <w:tcPr>
            <w:tcW w:w="340" w:type="dxa"/>
            <w:vAlign w:val="bottom"/>
          </w:tcPr>
          <w:p>
            <w:pPr>
              <w:spacing w:after="0"/>
              <w:rPr>
                <w:sz w:val="18"/>
                <w:szCs w:val="18"/>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273</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400</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Cost of services sold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Collaborator share of program costs (reimbursement of expenses incurred):</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Cost of products sold</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ind w:left="420"/>
              <w:spacing w:after="0"/>
              <w:rPr>
                <w:sz w:val="20"/>
                <w:szCs w:val="20"/>
                <w:color w:val="auto"/>
              </w:rPr>
            </w:pPr>
            <w:r>
              <w:rPr>
                <w:rFonts w:ascii="Arial" w:cs="Arial" w:eastAsia="Arial" w:hAnsi="Arial"/>
                <w:sz w:val="18"/>
                <w:szCs w:val="18"/>
                <w:color w:val="auto"/>
              </w:rPr>
              <w:t>Research and development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November 2007, the EITF issued EITF 07-1. This Issue is effective for financial statements issued for fiscal years beginning after December 15, 2008, and interim periods within those fiscal years, and must be applied retrospectively to all prior periods presented for all collaborative arrangements existing as of the effective date. This Issue requires that participants in a collaborative arrangement report costs incurred and revenues generated from these transactions on a gross basis and in the appropriate line items in each company’s financial statements pursuant to the guidance in EITF Issue No. 99-19, “Reporting Revenue Gross as a Principal versus Net as an Agent.” This Issue also requires disclosure of the nature and purpose of the participant’s collaborative arrangements, the participant’s rights and obligations under these arrangements, the accounting policy for collaborative arrangements, the income statement classification and amounts attributable to transactions arising from collaboration arrangements between participants, and the disclosure related to individually significant collaborative arrangements.</w:t>
      </w:r>
    </w:p>
    <w:p>
      <w:pPr>
        <w:spacing w:after="0" w:line="118"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adopted EITF 07-1 as of January 1, 2009. As required by EITF 07-1, we have applied the provisions of this Issue retrospectively for all periods presented. As a result, the collaborators’ share of revenues, which were previously reported on a net basis, are now reported on a gross basis. Certain reclassifications were made to the prior year amounts in both the Condensed Consolidated Balance Sheet and Condensed Consolidated Statement of Operations. In the Condensed Consolidated Balance Sheet, accounts receivable and accounts payable were each increased by $368 million at December 31, 2008, in order to reflect the amounts owed to our collaborative partners for their share of revenues on a gross basis.</w:t>
      </w:r>
    </w:p>
    <w:p>
      <w:pPr>
        <w:spacing w:after="0" w:line="1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following table illustrates the effect of the retroactive application on our Revenues and Costs and Expenses for all collaborative arrangements existing as of the effective date: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8"/>
          </w:tcPr>
          <w:p>
            <w:pPr>
              <w:jc w:val="center"/>
              <w:ind w:right="340"/>
              <w:spacing w:after="0"/>
              <w:rPr>
                <w:sz w:val="20"/>
                <w:szCs w:val="20"/>
                <w:color w:val="auto"/>
              </w:rPr>
            </w:pPr>
            <w:r>
              <w:rPr>
                <w:rFonts w:ascii="Arial" w:cs="Arial" w:eastAsia="Arial" w:hAnsi="Arial"/>
                <w:sz w:val="14"/>
                <w:szCs w:val="14"/>
                <w:b w:val="1"/>
                <w:bCs w:val="1"/>
                <w:color w:val="auto"/>
                <w:w w:val="87"/>
              </w:rPr>
              <w:t>Quarter Ended June 30, 2008</w:t>
            </w:r>
          </w:p>
        </w:tc>
        <w:tc>
          <w:tcPr>
            <w:tcW w:w="100" w:type="dxa"/>
            <w:vAlign w:val="bottom"/>
          </w:tcPr>
          <w:p>
            <w:pPr>
              <w:spacing w:after="0"/>
              <w:rPr>
                <w:sz w:val="14"/>
                <w:szCs w:val="14"/>
                <w:color w:val="auto"/>
              </w:rPr>
            </w:pPr>
          </w:p>
        </w:tc>
        <w:tc>
          <w:tcPr>
            <w:tcW w:w="2220" w:type="dxa"/>
            <w:vAlign w:val="bottom"/>
            <w:gridSpan w:val="9"/>
          </w:tcPr>
          <w:p>
            <w:pPr>
              <w:jc w:val="center"/>
              <w:ind w:right="140"/>
              <w:spacing w:after="0"/>
              <w:rPr>
                <w:sz w:val="20"/>
                <w:szCs w:val="20"/>
                <w:color w:val="auto"/>
              </w:rPr>
            </w:pPr>
            <w:r>
              <w:rPr>
                <w:rFonts w:ascii="Arial" w:cs="Arial" w:eastAsia="Arial" w:hAnsi="Arial"/>
                <w:sz w:val="14"/>
                <w:szCs w:val="14"/>
                <w:b w:val="1"/>
                <w:bCs w:val="1"/>
                <w:color w:val="auto"/>
                <w:w w:val="86"/>
              </w:rPr>
              <w:t>Six Months Ended June 30, 2008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156"/>
              <w:spacing w:after="0" w:line="129" w:lineRule="exact"/>
              <w:rPr>
                <w:sz w:val="20"/>
                <w:szCs w:val="20"/>
                <w:color w:val="auto"/>
              </w:rPr>
            </w:pPr>
            <w:r>
              <w:rPr>
                <w:rFonts w:ascii="Arial" w:cs="Arial" w:eastAsia="Arial" w:hAnsi="Arial"/>
                <w:sz w:val="14"/>
                <w:szCs w:val="14"/>
                <w:b w:val="1"/>
                <w:bCs w:val="1"/>
                <w:color w:val="auto"/>
              </w:rPr>
              <w:t>As</w:t>
            </w:r>
          </w:p>
        </w:tc>
        <w:tc>
          <w:tcPr>
            <w:tcW w:w="2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center"/>
              <w:ind w:right="14"/>
              <w:spacing w:after="0" w:line="129" w:lineRule="exact"/>
              <w:rPr>
                <w:sz w:val="20"/>
                <w:szCs w:val="20"/>
                <w:color w:val="auto"/>
              </w:rPr>
            </w:pPr>
            <w:r>
              <w:rPr>
                <w:rFonts w:ascii="Arial" w:cs="Arial" w:eastAsia="Arial" w:hAnsi="Arial"/>
                <w:sz w:val="14"/>
                <w:szCs w:val="14"/>
                <w:b w:val="1"/>
                <w:bCs w:val="1"/>
                <w:color w:val="auto"/>
                <w:w w:val="89"/>
              </w:rPr>
              <w:t>Effect of</w:t>
            </w:r>
          </w:p>
        </w:tc>
        <w:tc>
          <w:tcPr>
            <w:tcW w:w="2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156"/>
              <w:spacing w:after="0" w:line="129" w:lineRule="exact"/>
              <w:rPr>
                <w:sz w:val="20"/>
                <w:szCs w:val="20"/>
                <w:color w:val="auto"/>
              </w:rPr>
            </w:pPr>
            <w:r>
              <w:rPr>
                <w:rFonts w:ascii="Arial" w:cs="Arial" w:eastAsia="Arial" w:hAnsi="Arial"/>
                <w:sz w:val="14"/>
                <w:szCs w:val="14"/>
                <w:b w:val="1"/>
                <w:bCs w:val="1"/>
                <w:color w:val="auto"/>
              </w:rPr>
              <w:t>As</w:t>
            </w:r>
          </w:p>
        </w:tc>
        <w:tc>
          <w:tcPr>
            <w:tcW w:w="2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5"/>
              </w:rPr>
              <w:t>Effect of</w:t>
            </w: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Previously</w:t>
            </w:r>
          </w:p>
        </w:tc>
        <w:tc>
          <w:tcPr>
            <w:tcW w:w="20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Adoption of</w:t>
            </w:r>
          </w:p>
        </w:tc>
        <w:tc>
          <w:tcPr>
            <w:tcW w:w="220" w:type="dxa"/>
            <w:vAlign w:val="bottom"/>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Currently</w:t>
            </w: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1"/>
              </w:rPr>
              <w:t>Previously</w:t>
            </w:r>
          </w:p>
        </w:tc>
        <w:tc>
          <w:tcPr>
            <w:tcW w:w="220" w:type="dxa"/>
            <w:vAlign w:val="bottom"/>
          </w:tcPr>
          <w:p>
            <w:pPr>
              <w:spacing w:after="0"/>
              <w:rPr>
                <w:sz w:val="12"/>
                <w:szCs w:val="12"/>
                <w:color w:val="auto"/>
              </w:rPr>
            </w:pPr>
          </w:p>
        </w:tc>
        <w:tc>
          <w:tcPr>
            <w:tcW w:w="8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Adoption of</w:t>
            </w:r>
          </w:p>
        </w:tc>
        <w:tc>
          <w:tcPr>
            <w:tcW w:w="100" w:type="dxa"/>
            <w:vAlign w:val="bottom"/>
          </w:tcPr>
          <w:p>
            <w:pPr>
              <w:spacing w:after="0"/>
              <w:rPr>
                <w:sz w:val="12"/>
                <w:szCs w:val="12"/>
                <w:color w:val="auto"/>
              </w:rPr>
            </w:pPr>
          </w:p>
        </w:tc>
        <w:tc>
          <w:tcPr>
            <w:tcW w:w="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3"/>
              </w:rPr>
              <w:t>Currently</w:t>
            </w:r>
          </w:p>
        </w:tc>
        <w:tc>
          <w:tcPr>
            <w:tcW w:w="0" w:type="dxa"/>
            <w:vAlign w:val="bottom"/>
          </w:tcPr>
          <w:p>
            <w:pPr>
              <w:spacing w:after="0"/>
              <w:rPr>
                <w:sz w:val="1"/>
                <w:szCs w:val="1"/>
                <w:color w:val="auto"/>
              </w:rPr>
            </w:pPr>
          </w:p>
        </w:tc>
      </w:tr>
      <w:tr>
        <w:trPr>
          <w:trHeight w:val="161"/>
        </w:trPr>
        <w:tc>
          <w:tcPr>
            <w:tcW w:w="426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232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Reported</w:t>
            </w:r>
          </w:p>
        </w:tc>
        <w:tc>
          <w:tcPr>
            <w:tcW w:w="20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EITF 07-1</w:t>
            </w:r>
          </w:p>
        </w:tc>
        <w:tc>
          <w:tcPr>
            <w:tcW w:w="22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Reported</w:t>
            </w: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Reported</w:t>
            </w:r>
          </w:p>
        </w:tc>
        <w:tc>
          <w:tcPr>
            <w:tcW w:w="220" w:type="dxa"/>
            <w:vAlign w:val="bottom"/>
          </w:tcPr>
          <w:p>
            <w:pPr>
              <w:spacing w:after="0"/>
              <w:rPr>
                <w:sz w:val="14"/>
                <w:szCs w:val="14"/>
                <w:color w:val="auto"/>
              </w:rPr>
            </w:pPr>
          </w:p>
        </w:tc>
        <w:tc>
          <w:tcPr>
            <w:tcW w:w="8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6"/>
              </w:rPr>
              <w:t>EITF 07-1</w:t>
            </w:r>
          </w:p>
        </w:tc>
        <w:tc>
          <w:tcPr>
            <w:tcW w:w="100" w:type="dxa"/>
            <w:vAlign w:val="bottom"/>
          </w:tcPr>
          <w:p>
            <w:pPr>
              <w:spacing w:after="0"/>
              <w:rPr>
                <w:sz w:val="14"/>
                <w:szCs w:val="14"/>
                <w:color w:val="auto"/>
              </w:rPr>
            </w:pPr>
          </w:p>
        </w:tc>
        <w:tc>
          <w:tcPr>
            <w:tcW w:w="600" w:type="dxa"/>
            <w:vAlign w:val="bottom"/>
            <w:gridSpan w:val="3"/>
          </w:tcPr>
          <w:p>
            <w:pPr>
              <w:ind w:left="20"/>
              <w:spacing w:after="0"/>
              <w:rPr>
                <w:sz w:val="20"/>
                <w:szCs w:val="20"/>
                <w:color w:val="auto"/>
              </w:rPr>
            </w:pPr>
            <w:r>
              <w:rPr>
                <w:rFonts w:ascii="Arial" w:cs="Arial" w:eastAsia="Arial" w:hAnsi="Arial"/>
                <w:sz w:val="14"/>
                <w:szCs w:val="14"/>
                <w:b w:val="1"/>
                <w:bCs w:val="1"/>
                <w:color w:val="auto"/>
                <w:w w:val="91"/>
              </w:rPr>
              <w:t>Reported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90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ind w:left="420"/>
              <w:spacing w:after="0"/>
              <w:rPr>
                <w:sz w:val="20"/>
                <w:szCs w:val="20"/>
                <w:color w:val="auto"/>
              </w:rPr>
            </w:pPr>
            <w:r>
              <w:rPr>
                <w:rFonts w:ascii="Arial" w:cs="Arial" w:eastAsia="Arial" w:hAnsi="Arial"/>
                <w:sz w:val="18"/>
                <w:szCs w:val="18"/>
                <w:color w:val="auto"/>
              </w:rPr>
              <w:t>Product sales</w:t>
            </w:r>
          </w:p>
        </w:tc>
        <w:tc>
          <w:tcPr>
            <w:tcW w:w="2440" w:type="dxa"/>
            <w:vAlign w:val="bottom"/>
            <w:gridSpan w:val="2"/>
          </w:tcPr>
          <w:p>
            <w:pPr>
              <w:ind w:left="232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11,384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ind w:left="340"/>
              <w:spacing w:after="0"/>
              <w:rPr>
                <w:sz w:val="20"/>
                <w:szCs w:val="20"/>
                <w:color w:val="auto"/>
              </w:rPr>
            </w:pPr>
            <w:r>
              <w:rPr>
                <w:rFonts w:ascii="Arial" w:cs="Arial" w:eastAsia="Arial" w:hAnsi="Arial"/>
                <w:sz w:val="18"/>
                <w:szCs w:val="18"/>
                <w:color w:val="auto"/>
                <w:w w:val="79"/>
              </w:rPr>
              <w:t>273</w:t>
            </w: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11,657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21,075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527</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21,602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Service sales</w:t>
            </w:r>
          </w:p>
        </w:tc>
        <w:tc>
          <w:tcPr>
            <w:tcW w:w="2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ind w:left="500"/>
              <w:spacing w:after="0"/>
              <w:rPr>
                <w:sz w:val="20"/>
                <w:szCs w:val="20"/>
                <w:color w:val="auto"/>
              </w:rPr>
            </w:pPr>
            <w:r>
              <w:rPr>
                <w:rFonts w:ascii="Arial" w:cs="Arial" w:eastAsia="Arial" w:hAnsi="Arial"/>
                <w:sz w:val="18"/>
                <w:szCs w:val="18"/>
                <w:color w:val="auto"/>
                <w:w w:val="79"/>
              </w:rPr>
              <w:t>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gridSpan w:val="2"/>
          </w:tcPr>
          <w:p>
            <w:pPr>
              <w:ind w:left="420"/>
              <w:spacing w:after="0"/>
              <w:rPr>
                <w:sz w:val="20"/>
                <w:szCs w:val="20"/>
                <w:color w:val="auto"/>
              </w:rPr>
            </w:pPr>
            <w:r>
              <w:rPr>
                <w:rFonts w:ascii="Arial" w:cs="Arial" w:eastAsia="Arial" w:hAnsi="Arial"/>
                <w:sz w:val="18"/>
                <w:szCs w:val="18"/>
                <w:color w:val="auto"/>
              </w:rPr>
              <w:t>Other income, net</w:t>
            </w:r>
          </w:p>
        </w:tc>
        <w:tc>
          <w:tcPr>
            <w:tcW w:w="2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15,667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277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15,944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29,368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534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29,902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260" w:type="dxa"/>
            <w:vAlign w:val="bottom"/>
            <w:gridSpan w:val="3"/>
          </w:tcPr>
          <w:p>
            <w:pPr>
              <w:spacing w:after="0"/>
              <w:rPr>
                <w:sz w:val="20"/>
                <w:szCs w:val="20"/>
                <w:color w:val="auto"/>
              </w:rPr>
            </w:pPr>
            <w:r>
              <w:rPr>
                <w:rFonts w:ascii="Arial" w:cs="Arial" w:eastAsia="Arial" w:hAnsi="Arial"/>
                <w:sz w:val="18"/>
                <w:szCs w:val="18"/>
                <w:color w:val="auto"/>
              </w:rPr>
              <w:t>Costs and Expenses:</w:t>
            </w:r>
          </w:p>
        </w:tc>
        <w:tc>
          <w:tcPr>
            <w:tcW w:w="2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Cost of products sold</w:t>
            </w:r>
          </w:p>
        </w:tc>
        <w:tc>
          <w:tcPr>
            <w:tcW w:w="2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273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15,903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527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16,430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ind w:left="420"/>
              <w:spacing w:after="0"/>
              <w:rPr>
                <w:sz w:val="20"/>
                <w:szCs w:val="20"/>
                <w:color w:val="auto"/>
              </w:rPr>
            </w:pPr>
            <w:r>
              <w:rPr>
                <w:rFonts w:ascii="Arial" w:cs="Arial" w:eastAsia="Arial" w:hAnsi="Arial"/>
                <w:sz w:val="18"/>
                <w:szCs w:val="18"/>
                <w:color w:val="auto"/>
              </w:rPr>
              <w:t>Cost of services sold</w:t>
            </w:r>
          </w:p>
        </w:tc>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2,803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ind w:left="500"/>
              <w:spacing w:after="0"/>
              <w:rPr>
                <w:sz w:val="20"/>
                <w:szCs w:val="20"/>
                <w:color w:val="auto"/>
              </w:rPr>
            </w:pPr>
            <w:r>
              <w:rPr>
                <w:rFonts w:ascii="Arial" w:cs="Arial" w:eastAsia="Arial" w:hAnsi="Arial"/>
                <w:sz w:val="18"/>
                <w:szCs w:val="18"/>
                <w:color w:val="auto"/>
                <w:w w:val="79"/>
              </w:rPr>
              <w:t>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2,807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5,437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ind w:left="52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5,444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2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gridSpan w:val="2"/>
          </w:tcPr>
          <w:p>
            <w:pPr>
              <w:ind w:left="420"/>
              <w:spacing w:after="0"/>
              <w:rPr>
                <w:sz w:val="20"/>
                <w:szCs w:val="20"/>
                <w:color w:val="auto"/>
              </w:rPr>
            </w:pPr>
            <w:r>
              <w:rPr>
                <w:rFonts w:ascii="Arial" w:cs="Arial" w:eastAsia="Arial" w:hAnsi="Arial"/>
                <w:sz w:val="18"/>
                <w:szCs w:val="18"/>
                <w:color w:val="auto"/>
              </w:rPr>
              <w:t>Selling, general and administrative</w:t>
            </w:r>
          </w:p>
        </w:tc>
        <w:tc>
          <w:tcPr>
            <w:tcW w:w="2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1,775</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1,775</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3,410</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2440" w:type="dxa"/>
            <w:vAlign w:val="bottom"/>
            <w:gridSpan w:val="2"/>
            <w:shd w:val="clear" w:color="auto" w:fill="CCEEFF"/>
          </w:tcPr>
          <w:p>
            <w:pPr>
              <w:ind w:left="232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320" w:type="dxa"/>
            <w:vAlign w:val="bottom"/>
            <w:vMerge w:val="restart"/>
          </w:tcPr>
          <w:p>
            <w:pPr>
              <w:jc w:val="right"/>
              <w:ind w:right="692"/>
              <w:spacing w:after="0"/>
              <w:rPr>
                <w:sz w:val="20"/>
                <w:szCs w:val="20"/>
                <w:color w:val="auto"/>
              </w:rPr>
            </w:pPr>
            <w:r>
              <w:rPr>
                <w:rFonts w:ascii="Arial" w:cs="Arial" w:eastAsia="Arial" w:hAnsi="Arial"/>
                <w:sz w:val="18"/>
                <w:szCs w:val="18"/>
                <w:color w:val="auto"/>
              </w:rPr>
              <w:t>18</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Contingent Liabilities</w:t>
      </w:r>
    </w:p>
    <w:p>
      <w:pPr>
        <w:spacing w:after="0" w:line="9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Summarized below are the matters previously described in Note 15 of the Notes to the Consolidated Financial Statements in our 2008 Annual Report, incorporated by reference in our 2008 Form 10-K.</w:t>
      </w:r>
    </w:p>
    <w:p>
      <w:pPr>
        <w:spacing w:after="0" w:line="126"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 xml:space="preserve">Environmental. </w:t>
      </w:r>
      <w:r>
        <w:rPr>
          <w:rFonts w:ascii="Arial" w:cs="Arial" w:eastAsia="Arial" w:hAnsi="Arial"/>
          <w:sz w:val="18"/>
          <w:szCs w:val="18"/>
          <w:color w:val="auto"/>
        </w:rPr>
        <w:t>Our operations are subject to environmental regulation by federal, state and local authorities in the United States and regulatory authorities with</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 over our foreign operations.</w:t>
      </w:r>
    </w:p>
    <w:p>
      <w:pPr>
        <w:spacing w:after="0" w:line="12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accrue for environmental investigatory, remediation, operating and maintenance costs when it is probable that a liability has been incurred and the amount can be reasonably estimated. The most likely cost to be incurred is accrued based on an evaluation of currently available facts with respect to each individual site, including existing technology, current laws and regulations and prior remediation experience. Where no amount within a range of estimates is more likely, we accrue the minimum. For sites with multiple responsible parties, we consider our likely proportionate share of the anticipated remediation costs and the ability of the other parties to fulfill their obligations in establishing a provision for those costs. We discount liabilities with fixed or reliably determinable future cash payments. We do not reduce accrued environmental liabilities by potential insurance reimbursements. We periodically reassess these accrued amounts. We believe that the likelihood of incurring losses materially in excess of amounts accrued is remote.</w:t>
      </w:r>
    </w:p>
    <w:p>
      <w:pPr>
        <w:spacing w:after="0" w:line="112"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b w:val="1"/>
          <w:bCs w:val="1"/>
          <w:color w:val="auto"/>
        </w:rPr>
        <w:t xml:space="preserve">Government. </w:t>
      </w:r>
      <w:r>
        <w:rPr>
          <w:rFonts w:ascii="Arial" w:cs="Arial" w:eastAsia="Arial" w:hAnsi="Arial"/>
          <w:sz w:val="16"/>
          <w:szCs w:val="16"/>
          <w:color w:val="auto"/>
        </w:rPr>
        <w:t>We are now, and believe that in light of the current U.S. government contracting environment we will continue to be, the subject of one or more</w:t>
      </w:r>
      <w:r>
        <w:rPr>
          <w:rFonts w:ascii="Arial" w:cs="Arial" w:eastAsia="Arial" w:hAnsi="Arial"/>
          <w:sz w:val="16"/>
          <w:szCs w:val="16"/>
          <w:b w:val="1"/>
          <w:bCs w:val="1"/>
          <w:color w:val="auto"/>
        </w:rPr>
        <w:t xml:space="preserve"> </w:t>
      </w:r>
      <w:r>
        <w:rPr>
          <w:rFonts w:ascii="Arial" w:cs="Arial" w:eastAsia="Arial" w:hAnsi="Arial"/>
          <w:sz w:val="16"/>
          <w:szCs w:val="16"/>
          <w:color w:val="auto"/>
        </w:rPr>
        <w:t>U.S. government investigations. If we or one of our business units were charged with wrongdoing as a result of any of these investigations or other government investigations (including violations of certain environmental or export laws) the U.S. government could suspend us from bidding on or receiving awards of new U.S. government contracts pending the completion of legal proceedings. If convicted or found liable, the U.S. government could fine and debar us from new U.S. government contracting for a period generally not to exceed three years. The U.S. government could void any contracts found to be tainted by fraud.</w:t>
      </w:r>
    </w:p>
    <w:p>
      <w:pPr>
        <w:spacing w:after="0" w:line="11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contracts with the U.S. government are also subject to audits. Like many defense contractors, we have received audit reports, which recommend that certain contract prices should be reduced to comply with various government regulations. Some of these audit reports involve substantial amounts. We have made voluntary refunds in those cases we believe appropriate and continue to litigate certain other cases. In addition, we accrue for liabilities associated with those matters that are probable and can be reasonably estimated. The most likely settlement amount to be incurred is accrued based upon a range of estimates. Where no amount within a range of estimates is more likely, then we accrue the minimum amount.</w:t>
      </w:r>
    </w:p>
    <w:p>
      <w:pPr>
        <w:spacing w:after="0" w:line="116"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As previously disclosed, the Department of Justice (DOJ) sued us in 1999 in the U.S. District Court for the Southern District of Ohio, claiming that Pratt &amp; Whitney violated the civil False Claims Act and common law. This lawsuit relates to the “Fighter Engine Competition” between Pratt &amp; Whitney’s F100 engine and General Electric’s F110 engine. The DOJ alleges that the government overpaid for F100 engines under contracts awarded by the U.S. Air Force in fiscal years 1985 through 1990 because Pratt &amp; Whitney inflated its estimated costs for some purchased parts and withheld data that would have revealed the overstatements. At trial of this matter, completed in December 2004, the government claimed Pratt &amp; Whitney’s liability to be $624 million. On August 1, 2008, the trial court judge held that the Air Force had not suffered any actual damages because Pratt &amp; Whitney had made significant price concessions. However, the trial court judge found that Pratt &amp; Whitney violated the False Claims Act due to inaccurate statements contained in the 1983 offer. In the absence of actual damages, the trial court judge awarded the DOJ the maximum civil penalty of $7.09 million, or $10,000 for each of the 709 invoices Pratt &amp; Whitney submitted in 1989 and</w:t>
      </w:r>
    </w:p>
    <w:p>
      <w:pPr>
        <w:spacing w:after="0" w:line="6" w:lineRule="exact"/>
        <w:rPr>
          <w:sz w:val="20"/>
          <w:szCs w:val="20"/>
          <w:color w:val="auto"/>
        </w:rPr>
      </w:pPr>
    </w:p>
    <w:p>
      <w:pPr>
        <w:ind w:right="60"/>
        <w:spacing w:after="0" w:line="361" w:lineRule="auto"/>
        <w:rPr>
          <w:sz w:val="20"/>
          <w:szCs w:val="20"/>
          <w:color w:val="auto"/>
        </w:rPr>
      </w:pPr>
      <w:r>
        <w:rPr>
          <w:rFonts w:ascii="Arial" w:cs="Arial" w:eastAsia="Arial" w:hAnsi="Arial"/>
          <w:sz w:val="15"/>
          <w:szCs w:val="15"/>
          <w:color w:val="auto"/>
        </w:rPr>
        <w:t>later under the contracts. Both the DOJ and UTC have appealed the decision. Should the government ultimately prevail, the outcome of this matter could result in a material effect on our results of operations in the period in which a liability would be recognized or cash flows for the period in which damages would be paid.</w:t>
      </w:r>
    </w:p>
    <w:p>
      <w:pPr>
        <w:spacing w:after="0" w:line="69"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As previously disclosed, in December 2008, the Department of Defense (DOD) issued a contract claim against Sikorsky to recover overpayments the DOD alleges it has incurred since January 2003 in connection with cost accounting changes approved by the DOD and implemented by Sikorsky in 1999 and 2006. These changes relate to the calculation of material overhead rates in government contracts. The DOD claimed that Sikorsky’s liability is approximately $80 million (including interest). We believe this claim is without merit and intend to appeal.</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339" w:lineRule="auto"/>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16"/>
          <w:szCs w:val="16"/>
          <w:color w:val="auto"/>
        </w:rPr>
        <w:t>We extend performance and operating cost guarantees beyond our normal warranty and service policies for extended periods on some of our products. We</w:t>
      </w:r>
      <w:r>
        <w:rPr>
          <w:rFonts w:ascii="Arial" w:cs="Arial" w:eastAsia="Arial" w:hAnsi="Arial"/>
          <w:sz w:val="16"/>
          <w:szCs w:val="16"/>
          <w:b w:val="1"/>
          <w:bCs w:val="1"/>
          <w:color w:val="auto"/>
        </w:rPr>
        <w:t xml:space="preserve"> </w:t>
      </w:r>
      <w:r>
        <w:rPr>
          <w:rFonts w:ascii="Arial" w:cs="Arial" w:eastAsia="Arial" w:hAnsi="Arial"/>
          <w:sz w:val="16"/>
          <w:szCs w:val="16"/>
          <w:color w:val="auto"/>
        </w:rPr>
        <w:t>have accrued our estimate of the liability that may result under these guarantees and for service costs that are probable and can be reasonably estimated.</w:t>
      </w:r>
    </w:p>
    <w:p>
      <w:pPr>
        <w:spacing w:after="0" w:line="80" w:lineRule="exact"/>
        <w:rPr>
          <w:sz w:val="20"/>
          <w:szCs w:val="20"/>
          <w:color w:val="auto"/>
        </w:rPr>
      </w:pPr>
    </w:p>
    <w:p>
      <w:pPr>
        <w:jc w:val="both"/>
        <w:ind w:right="220" w:firstLine="456"/>
        <w:spacing w:after="0" w:line="335" w:lineRule="auto"/>
        <w:rPr>
          <w:sz w:val="20"/>
          <w:szCs w:val="20"/>
          <w:color w:val="auto"/>
        </w:rPr>
      </w:pPr>
      <w:r>
        <w:rPr>
          <w:rFonts w:ascii="Arial" w:cs="Arial" w:eastAsia="Arial" w:hAnsi="Arial"/>
          <w:sz w:val="15"/>
          <w:szCs w:val="15"/>
          <w:color w:val="auto"/>
        </w:rPr>
        <w:t>We have accrued for environmental investigatory, remediation, operating and maintenance costs, performance guarantees and other litigation and claims based on our estimate of the probable outcome of these matters. While it is possible that the outcome of these matters may differ from the recorded liability, we believe that resolution of these matters will not have a material impact on our competitive position, results of operations, cash flows or financial condition.</w:t>
      </w:r>
    </w:p>
    <w:p>
      <w:pPr>
        <w:spacing w:after="0" w:line="8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also have other commitments and contingent liabilities related to legal proceedings, self insurance programs and matters arising out of the normal course of business. We accrue contingencies based upon a range of possible outcomes. If no amount within this range is a better estimate than any other, then we accrue the minimum amount.</w:t>
      </w:r>
    </w:p>
    <w:p>
      <w:pPr>
        <w:spacing w:after="0" w:line="140"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Except as otherwise noted above, we do not believe that resolution of any of these matters will have a material adverse effect upon our competitive position, results of operations, cash flows or financial condition.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Segment Financial Data</w:t>
      </w:r>
    </w:p>
    <w:p>
      <w:pPr>
        <w:spacing w:after="0" w:line="96"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Our operations are classified into six principal segments: Otis, Carrier, UTC Fire &amp; Security, Pratt &amp; Whitney, Hamilton Sundstrand and Sikorsky. The segments are generally based on the management structure of the businesses and the grouping of similar operating companies, where each management organization has general operating autonomy over diversified products and services.</w:t>
      </w:r>
    </w:p>
    <w:p>
      <w:pPr>
        <w:spacing w:after="0" w:line="140"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As discussed more fully in Note 11 to the Condensed Consolidated Financial Statements, we adopted EITF 07-1 as of January 1, 2009. As a result, the collaborators’ share of revenues, which were previously reported on a net basis, are now reported on a gross basis. Prior period amounts include retrospective application of EITF 07-1.</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Results for the quarters and six months ended June 30, 2009 and 2008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gridSpan w:val="3"/>
          </w:tcPr>
          <w:p>
            <w:pPr>
              <w:spacing w:after="0"/>
              <w:rPr>
                <w:sz w:val="20"/>
                <w:szCs w:val="20"/>
                <w:color w:val="auto"/>
              </w:rPr>
            </w:pPr>
            <w:r>
              <w:rPr>
                <w:rFonts w:ascii="Arial" w:cs="Arial" w:eastAsia="Arial" w:hAnsi="Arial"/>
                <w:sz w:val="14"/>
                <w:szCs w:val="14"/>
                <w:b w:val="1"/>
                <w:bCs w:val="1"/>
                <w:color w:val="auto"/>
              </w:rPr>
              <w:t>Quarter Ended June 30,</w:t>
            </w: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4"/>
          </w:tcPr>
          <w:p>
            <w:pPr>
              <w:jc w:val="right"/>
              <w:spacing w:after="0"/>
              <w:rPr>
                <w:sz w:val="20"/>
                <w:szCs w:val="20"/>
                <w:color w:val="auto"/>
              </w:rPr>
            </w:pPr>
            <w:r>
              <w:rPr>
                <w:rFonts w:ascii="Arial" w:cs="Arial" w:eastAsia="Arial" w:hAnsi="Arial"/>
                <w:sz w:val="14"/>
                <w:szCs w:val="14"/>
                <w:b w:val="1"/>
                <w:bCs w:val="1"/>
                <w:color w:val="auto"/>
              </w:rPr>
              <w:t>Revenues</w:t>
            </w: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Operating Profits</w:t>
            </w:r>
          </w:p>
        </w:tc>
        <w:tc>
          <w:tcPr>
            <w:tcW w:w="1920" w:type="dxa"/>
            <w:vAlign w:val="bottom"/>
            <w:gridSpan w:val="4"/>
          </w:tcPr>
          <w:p>
            <w:pPr>
              <w:ind w:left="120"/>
              <w:spacing w:after="0"/>
              <w:rPr>
                <w:sz w:val="20"/>
                <w:szCs w:val="20"/>
                <w:color w:val="auto"/>
              </w:rPr>
            </w:pPr>
            <w:r>
              <w:rPr>
                <w:rFonts w:ascii="Arial" w:cs="Arial" w:eastAsia="Arial" w:hAnsi="Arial"/>
                <w:sz w:val="14"/>
                <w:szCs w:val="14"/>
                <w:b w:val="1"/>
                <w:bCs w:val="1"/>
                <w:color w:val="auto"/>
              </w:rPr>
              <w:t>Operating Profit Margins</w:t>
            </w:r>
          </w:p>
        </w:tc>
        <w:tc>
          <w:tcPr>
            <w:tcW w:w="0" w:type="dxa"/>
            <w:vAlign w:val="bottom"/>
          </w:tcPr>
          <w:p>
            <w:pPr>
              <w:spacing w:after="0"/>
              <w:rPr>
                <w:sz w:val="1"/>
                <w:szCs w:val="1"/>
                <w:color w:val="auto"/>
              </w:rPr>
            </w:pPr>
          </w:p>
        </w:tc>
      </w:tr>
      <w:tr>
        <w:trPr>
          <w:trHeight w:val="142"/>
        </w:trPr>
        <w:tc>
          <w:tcPr>
            <w:tcW w:w="37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(in millions of dollars)</w:t>
            </w:r>
          </w:p>
        </w:tc>
        <w:tc>
          <w:tcPr>
            <w:tcW w:w="19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2009</w:t>
            </w: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2008</w:t>
            </w:r>
          </w:p>
        </w:tc>
        <w:tc>
          <w:tcPr>
            <w:tcW w:w="420" w:type="dxa"/>
            <w:vAlign w:val="bottom"/>
          </w:tcPr>
          <w:p>
            <w:pPr>
              <w:spacing w:after="0"/>
              <w:rPr>
                <w:sz w:val="12"/>
                <w:szCs w:val="12"/>
                <w:color w:val="auto"/>
              </w:rPr>
            </w:pPr>
          </w:p>
        </w:tc>
        <w:tc>
          <w:tcPr>
            <w:tcW w:w="50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2009</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2008</w:t>
            </w:r>
          </w:p>
        </w:tc>
        <w:tc>
          <w:tcPr>
            <w:tcW w:w="400" w:type="dxa"/>
            <w:vAlign w:val="bottom"/>
          </w:tcPr>
          <w:p>
            <w:pPr>
              <w:spacing w:after="0"/>
              <w:rPr>
                <w:sz w:val="12"/>
                <w:szCs w:val="12"/>
                <w:color w:val="auto"/>
              </w:rPr>
            </w:pPr>
          </w:p>
        </w:tc>
        <w:tc>
          <w:tcPr>
            <w:tcW w:w="52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2009</w:t>
            </w:r>
          </w:p>
        </w:tc>
        <w:tc>
          <w:tcPr>
            <w:tcW w:w="6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Otis</w:t>
            </w:r>
          </w:p>
        </w:tc>
        <w:tc>
          <w:tcPr>
            <w:tcW w:w="24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3,404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631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21.4%</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3,100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4,356</w:t>
            </w:r>
          </w:p>
        </w:tc>
        <w:tc>
          <w:tcPr>
            <w:tcW w:w="500" w:type="dxa"/>
            <w:vAlign w:val="bottom"/>
          </w:tcPr>
          <w:p>
            <w:pPr>
              <w:jc w:val="right"/>
              <w:spacing w:after="0"/>
              <w:rPr>
                <w:sz w:val="20"/>
                <w:szCs w:val="20"/>
                <w:color w:val="auto"/>
              </w:rPr>
            </w:pPr>
            <w:r>
              <w:rPr>
                <w:rFonts w:ascii="Arial" w:cs="Arial" w:eastAsia="Arial" w:hAnsi="Arial"/>
                <w:sz w:val="18"/>
                <w:szCs w:val="18"/>
                <w:color w:val="auto"/>
              </w:rPr>
              <w:t>260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487</w:t>
            </w:r>
          </w:p>
        </w:tc>
        <w:tc>
          <w:tcPr>
            <w:tcW w:w="40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8.4%</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1,738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4.1%</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3,111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3,569</w:t>
            </w:r>
          </w:p>
        </w:tc>
        <w:tc>
          <w:tcPr>
            <w:tcW w:w="500" w:type="dxa"/>
            <w:vAlign w:val="bottom"/>
          </w:tcPr>
          <w:p>
            <w:pPr>
              <w:jc w:val="right"/>
              <w:spacing w:after="0"/>
              <w:rPr>
                <w:sz w:val="20"/>
                <w:szCs w:val="20"/>
                <w:color w:val="auto"/>
              </w:rPr>
            </w:pPr>
            <w:r>
              <w:rPr>
                <w:rFonts w:ascii="Arial" w:cs="Arial" w:eastAsia="Arial" w:hAnsi="Arial"/>
                <w:sz w:val="18"/>
                <w:szCs w:val="18"/>
                <w:color w:val="auto"/>
              </w:rPr>
              <w:t>467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546</w:t>
            </w:r>
          </w:p>
        </w:tc>
        <w:tc>
          <w:tcPr>
            <w:tcW w:w="40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15.0%</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1,650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13.3%</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Sikorsky</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1,389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1,307</w:t>
            </w:r>
          </w:p>
        </w:tc>
        <w:tc>
          <w:tcPr>
            <w:tcW w:w="500" w:type="dxa"/>
            <w:vAlign w:val="bottom"/>
          </w:tcPr>
          <w:p>
            <w:pPr>
              <w:jc w:val="right"/>
              <w:spacing w:after="0"/>
              <w:rPr>
                <w:sz w:val="20"/>
                <w:szCs w:val="20"/>
                <w:color w:val="auto"/>
              </w:rPr>
            </w:pPr>
            <w:r>
              <w:rPr>
                <w:rFonts w:ascii="Arial" w:cs="Arial" w:eastAsia="Arial" w:hAnsi="Arial"/>
                <w:sz w:val="18"/>
                <w:szCs w:val="18"/>
                <w:color w:val="auto"/>
              </w:rPr>
              <w:t>133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111</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9.6%</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34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segments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13,284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3"/>
              </w:rPr>
              <w:t>16,024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2,221</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Eliminations and other</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(80)</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(13)</w:t>
            </w: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corporate expenses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(109)</w:t>
            </w: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gridSpan w:val="3"/>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3780" w:type="dxa"/>
            <w:vAlign w:val="bottom"/>
            <w:gridSpan w:val="3"/>
          </w:tcPr>
          <w:p>
            <w:pPr>
              <w:spacing w:after="0"/>
              <w:rPr>
                <w:sz w:val="20"/>
                <w:szCs w:val="20"/>
                <w:color w:val="auto"/>
              </w:rPr>
            </w:pPr>
            <w:r>
              <w:rPr>
                <w:rFonts w:ascii="Arial" w:cs="Arial" w:eastAsia="Arial" w:hAnsi="Arial"/>
                <w:sz w:val="18"/>
                <w:szCs w:val="18"/>
                <w:color w:val="auto"/>
              </w:rPr>
              <w:t>Consolidated</w:t>
            </w:r>
          </w:p>
        </w:tc>
        <w:tc>
          <w:tcPr>
            <w:tcW w:w="19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13,196</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w w:val="83"/>
              </w:rPr>
              <w:t>15,944</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1,637</w:t>
            </w:r>
          </w:p>
        </w:tc>
        <w:tc>
          <w:tcPr>
            <w:tcW w:w="4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2,099</w:t>
            </w:r>
          </w:p>
        </w:tc>
        <w:tc>
          <w:tcPr>
            <w:tcW w:w="400" w:type="dxa"/>
            <w:vAlign w:val="bottom"/>
          </w:tcPr>
          <w:p>
            <w:pPr>
              <w:spacing w:after="0"/>
              <w:rPr>
                <w:sz w:val="24"/>
                <w:szCs w:val="24"/>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12.4%</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3780" w:type="dxa"/>
            <w:vAlign w:val="bottom"/>
            <w:gridSpan w:val="3"/>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3780" w:type="dxa"/>
            <w:vAlign w:val="bottom"/>
            <w:gridSpan w:val="3"/>
          </w:tcPr>
          <w:p>
            <w:pPr>
              <w:spacing w:after="0"/>
              <w:rPr>
                <w:sz w:val="20"/>
                <w:szCs w:val="20"/>
                <w:color w:val="auto"/>
              </w:rPr>
            </w:pPr>
            <w:r>
              <w:rPr>
                <w:rFonts w:ascii="Arial" w:cs="Arial" w:eastAsia="Arial" w:hAnsi="Arial"/>
                <w:sz w:val="14"/>
                <w:szCs w:val="14"/>
                <w:b w:val="1"/>
                <w:bCs w:val="1"/>
                <w:color w:val="auto"/>
              </w:rPr>
              <w:t>Six Months Ended June 30,</w:t>
            </w: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4"/>
          </w:tcPr>
          <w:p>
            <w:pPr>
              <w:jc w:val="right"/>
              <w:spacing w:after="0"/>
              <w:rPr>
                <w:sz w:val="20"/>
                <w:szCs w:val="20"/>
                <w:color w:val="auto"/>
              </w:rPr>
            </w:pPr>
            <w:r>
              <w:rPr>
                <w:rFonts w:ascii="Arial" w:cs="Arial" w:eastAsia="Arial" w:hAnsi="Arial"/>
                <w:sz w:val="14"/>
                <w:szCs w:val="14"/>
                <w:b w:val="1"/>
                <w:bCs w:val="1"/>
                <w:color w:val="auto"/>
              </w:rPr>
              <w:t>Revenues</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Operating Profits</w:t>
            </w:r>
          </w:p>
        </w:tc>
        <w:tc>
          <w:tcPr>
            <w:tcW w:w="1920" w:type="dxa"/>
            <w:vAlign w:val="bottom"/>
            <w:gridSpan w:val="4"/>
          </w:tcPr>
          <w:p>
            <w:pPr>
              <w:ind w:left="120"/>
              <w:spacing w:after="0"/>
              <w:rPr>
                <w:sz w:val="20"/>
                <w:szCs w:val="20"/>
                <w:color w:val="auto"/>
              </w:rPr>
            </w:pPr>
            <w:r>
              <w:rPr>
                <w:rFonts w:ascii="Arial" w:cs="Arial" w:eastAsia="Arial" w:hAnsi="Arial"/>
                <w:sz w:val="14"/>
                <w:szCs w:val="14"/>
                <w:b w:val="1"/>
                <w:bCs w:val="1"/>
                <w:color w:val="auto"/>
              </w:rPr>
              <w:t>Operating Profit Margins</w:t>
            </w:r>
          </w:p>
        </w:tc>
        <w:tc>
          <w:tcPr>
            <w:tcW w:w="0" w:type="dxa"/>
            <w:vAlign w:val="bottom"/>
          </w:tcPr>
          <w:p>
            <w:pPr>
              <w:spacing w:after="0"/>
              <w:rPr>
                <w:sz w:val="1"/>
                <w:szCs w:val="1"/>
                <w:color w:val="auto"/>
              </w:rPr>
            </w:pPr>
          </w:p>
        </w:tc>
      </w:tr>
      <w:tr>
        <w:trPr>
          <w:trHeight w:val="142"/>
        </w:trPr>
        <w:tc>
          <w:tcPr>
            <w:tcW w:w="37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(in millions of dollars)</w:t>
            </w:r>
          </w:p>
        </w:tc>
        <w:tc>
          <w:tcPr>
            <w:tcW w:w="19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2009</w:t>
            </w: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2008</w:t>
            </w:r>
          </w:p>
        </w:tc>
        <w:tc>
          <w:tcPr>
            <w:tcW w:w="420" w:type="dxa"/>
            <w:vAlign w:val="bottom"/>
          </w:tcPr>
          <w:p>
            <w:pPr>
              <w:spacing w:after="0"/>
              <w:rPr>
                <w:sz w:val="12"/>
                <w:szCs w:val="12"/>
                <w:color w:val="auto"/>
              </w:rPr>
            </w:pPr>
          </w:p>
        </w:tc>
        <w:tc>
          <w:tcPr>
            <w:tcW w:w="50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2009</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2008</w:t>
            </w:r>
          </w:p>
        </w:tc>
        <w:tc>
          <w:tcPr>
            <w:tcW w:w="400" w:type="dxa"/>
            <w:vAlign w:val="bottom"/>
          </w:tcPr>
          <w:p>
            <w:pPr>
              <w:spacing w:after="0"/>
              <w:rPr>
                <w:sz w:val="12"/>
                <w:szCs w:val="12"/>
                <w:color w:val="auto"/>
              </w:rPr>
            </w:pPr>
          </w:p>
        </w:tc>
        <w:tc>
          <w:tcPr>
            <w:tcW w:w="52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2009</w:t>
            </w:r>
          </w:p>
        </w:tc>
        <w:tc>
          <w:tcPr>
            <w:tcW w:w="6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Otis</w:t>
            </w:r>
          </w:p>
        </w:tc>
        <w:tc>
          <w:tcPr>
            <w:tcW w:w="24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6,461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$1,137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1,251</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20.2%</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5,587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7,765</w:t>
            </w:r>
          </w:p>
        </w:tc>
        <w:tc>
          <w:tcPr>
            <w:tcW w:w="500" w:type="dxa"/>
            <w:vAlign w:val="bottom"/>
          </w:tcPr>
          <w:p>
            <w:pPr>
              <w:jc w:val="right"/>
              <w:spacing w:after="0"/>
              <w:rPr>
                <w:sz w:val="20"/>
                <w:szCs w:val="20"/>
                <w:color w:val="auto"/>
              </w:rPr>
            </w:pPr>
            <w:r>
              <w:rPr>
                <w:rFonts w:ascii="Arial" w:cs="Arial" w:eastAsia="Arial" w:hAnsi="Arial"/>
                <w:sz w:val="18"/>
                <w:szCs w:val="18"/>
                <w:color w:val="auto"/>
              </w:rPr>
              <w:t>282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735</w:t>
            </w:r>
          </w:p>
        </w:tc>
        <w:tc>
          <w:tcPr>
            <w:tcW w:w="40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5.0%</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3,336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5.7%</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6,291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7,033</w:t>
            </w:r>
          </w:p>
        </w:tc>
        <w:tc>
          <w:tcPr>
            <w:tcW w:w="500" w:type="dxa"/>
            <w:vAlign w:val="bottom"/>
          </w:tcPr>
          <w:p>
            <w:pPr>
              <w:jc w:val="right"/>
              <w:spacing w:after="0"/>
              <w:rPr>
                <w:sz w:val="20"/>
                <w:szCs w:val="20"/>
                <w:color w:val="auto"/>
              </w:rPr>
            </w:pPr>
            <w:r>
              <w:rPr>
                <w:rFonts w:ascii="Arial" w:cs="Arial" w:eastAsia="Arial" w:hAnsi="Arial"/>
                <w:sz w:val="18"/>
                <w:szCs w:val="18"/>
                <w:color w:val="auto"/>
              </w:rPr>
              <w:t>903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1,072</w:t>
            </w:r>
          </w:p>
        </w:tc>
        <w:tc>
          <w:tcPr>
            <w:tcW w:w="40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14.4%</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3,111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13.6%</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Sikorsky</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2,723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2,330</w:t>
            </w:r>
          </w:p>
        </w:tc>
        <w:tc>
          <w:tcPr>
            <w:tcW w:w="500" w:type="dxa"/>
            <w:vAlign w:val="bottom"/>
          </w:tcPr>
          <w:p>
            <w:pPr>
              <w:jc w:val="right"/>
              <w:spacing w:after="0"/>
              <w:rPr>
                <w:sz w:val="20"/>
                <w:szCs w:val="20"/>
                <w:color w:val="auto"/>
              </w:rPr>
            </w:pPr>
            <w:r>
              <w:rPr>
                <w:rFonts w:ascii="Arial" w:cs="Arial" w:eastAsia="Arial" w:hAnsi="Arial"/>
                <w:sz w:val="18"/>
                <w:szCs w:val="18"/>
                <w:color w:val="auto"/>
              </w:rPr>
              <w:t>249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193</w:t>
            </w:r>
          </w:p>
        </w:tc>
        <w:tc>
          <w:tcPr>
            <w:tcW w:w="40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9.1%</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segments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25,617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3"/>
              </w:rPr>
              <w:t>30,036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4,001</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12.1%</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Eliminations and other</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(134)</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(22)</w:t>
            </w: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corporate expenses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(206)</w:t>
            </w: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gridSpan w:val="3"/>
            <w:vMerge w:val="restart"/>
          </w:tcPr>
          <w:p>
            <w:pPr>
              <w:spacing w:after="0"/>
              <w:rPr>
                <w:sz w:val="20"/>
                <w:szCs w:val="20"/>
                <w:color w:val="auto"/>
              </w:rPr>
            </w:pPr>
            <w:r>
              <w:rPr>
                <w:rFonts w:ascii="Arial" w:cs="Arial" w:eastAsia="Arial" w:hAnsi="Arial"/>
                <w:sz w:val="18"/>
                <w:szCs w:val="18"/>
                <w:color w:val="auto"/>
              </w:rPr>
              <w:t>Consolidated</w:t>
            </w:r>
          </w:p>
        </w:tc>
        <w:tc>
          <w:tcPr>
            <w:tcW w:w="1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780" w:type="dxa"/>
            <w:vAlign w:val="bottom"/>
            <w:gridSpan w:val="3"/>
            <w:vMerge w:val="continue"/>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25,445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w w:val="83"/>
              </w:rPr>
              <w:t>29,902</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2,887</w:t>
            </w:r>
          </w:p>
        </w:tc>
        <w:tc>
          <w:tcPr>
            <w:tcW w:w="4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3,773</w:t>
            </w:r>
          </w:p>
        </w:tc>
        <w:tc>
          <w:tcPr>
            <w:tcW w:w="400" w:type="dxa"/>
            <w:vAlign w:val="bottom"/>
          </w:tcPr>
          <w:p>
            <w:pPr>
              <w:spacing w:after="0"/>
              <w:rPr>
                <w:sz w:val="19"/>
                <w:szCs w:val="19"/>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11.3%</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Note 7 to the Condensed Consolidated Financial Statements for a discussion of restructuring charges included in segment operating results.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Accounting Pronouncements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December 2008, the FASB issued FSP FAS 132(R)-1, “Employers’ Disclosures about Postretirement Benefit Plan Assets.” This FSP amends SFAS No. 132 (revised 2003), “Employers’ Disclosures about Pensions and Other Postretirement Benefits,” to provide guidance on an employer’s disclosures about plan assets of a defined benefit pension or other postretirement plan on investment policies and strategies, major categories of plan assets, inputs and valuation techniques used to measure the fair value of plan assets and significant concentrations of risk within plan assets. This FSP will be effective for fiscal years ending after December 15, 2009, with earlier application permitted. Upon initial application, the provisions of this FSP are not required for earlier periods that are presented for comparative purposes. We are currently evaluating the disclosure requirements of this new FSP.</w:t>
      </w:r>
    </w:p>
    <w:p>
      <w:pPr>
        <w:spacing w:after="0" w:line="12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June 2009, the FASB issued SFAS No. 166, “Accounting for Transfers of Financial Assets – an amendment of FASB Statement No. 140” (SFAS 166). SFAS 166 removes the concept of a qualifying special-purpose entity from SFAS 140, “Accounting for Transfers and Servicing of Financial Assets and Extinguishments of Liabilities,” establishes a new “participating interest” definition that must be met for transfers of portions of financial assets to be eligible for sale accounting, clarifies and amends the derecognition criteria for a transfer to be accounted for as a sale, and changes the amount that can be recognized as a gain or loss on a transfer accounted for as a sale when beneficial interests are received by the transferor. Enhanced disclosures are also required to provide information about transfers of financial assets and a transferor’s continuing involvement with transferred financial assets. This statement must be applied as of the beginning of an entity’s first annual reporting period that begins after November 15, 2009, for interim periods within that first annual reporting period, and for interim and annual reporting periods thereafter. Earlier application is prohibited. We are currently evaluating this new statement.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June 2009, the FASB issued SFAS No. 167, “Amendments to FASB Interpretation No. 46(R)” (SFAS 167). SFAS 167 amends FASB Interpretation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No. 46 (revised December 2003), “Consolidation of Variable Interest Entities” (FIN 46(R)) to require an enterprise to qualitatively assess the determination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primary beneficiary of a variable interest entity (VIE) based on whether the entity (1) has the power to direct the activities of a VIE that most significantly impact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entity’s economic performance and (2) has the obligation to absorb losses of the entity or the right to receive benefits from the entity that could potentially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significant to the VIE. Also, SFAS 167 requires an ongoing reconsideration of the primary beneficiary, and amends the events that trigger a reassessment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whether an entity is a VIE. Enhanced disclosures are also required to provide information about an enterprise’s involvement in a VIE. This statement shall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effective as of the beginning of each reporting entity’s first annual reporting period that begins after November 15, 2009, for interim periods within that first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annual reporting period, and for interim and annual reporting periods thereafter. Earlier application is prohibited. We are currently evaluating this new statement.</w:t>
      </w:r>
    </w:p>
    <w:p>
      <w:pPr>
        <w:spacing w:after="0" w:line="18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June 2009, the FASB issued SFAS No. 168, “The FASB Accounting Standards Codification</w:t>
      </w:r>
      <w:r>
        <w:rPr>
          <w:rFonts w:ascii="Arial" w:cs="Arial" w:eastAsia="Arial" w:hAnsi="Arial"/>
          <w:sz w:val="10"/>
          <w:szCs w:val="10"/>
          <w:color w:val="auto"/>
        </w:rPr>
        <w:t>TM</w:t>
      </w:r>
      <w:r>
        <w:rPr>
          <w:rFonts w:ascii="Arial" w:cs="Arial" w:eastAsia="Arial" w:hAnsi="Arial"/>
          <w:sz w:val="16"/>
          <w:szCs w:val="16"/>
          <w:color w:val="auto"/>
        </w:rPr>
        <w:t xml:space="preserve"> and the Hierarchy of Generally Accepted Accounting Principles – a replacement of FASB Statement No. 162” (SFAS 168). SFAS 168 replaces SFAS No. 162, “The Hierarchy of Generally Accepted Accounting Principles” and establishes the “FASB Accounting Standards Codification</w:t>
      </w:r>
      <w:r>
        <w:rPr>
          <w:rFonts w:ascii="Arial" w:cs="Arial" w:eastAsia="Arial" w:hAnsi="Arial"/>
          <w:sz w:val="10"/>
          <w:szCs w:val="10"/>
          <w:color w:val="auto"/>
        </w:rPr>
        <w:t>TM</w:t>
      </w:r>
      <w:r>
        <w:rPr>
          <w:rFonts w:ascii="Arial" w:cs="Arial" w:eastAsia="Arial" w:hAnsi="Arial"/>
          <w:sz w:val="16"/>
          <w:szCs w:val="16"/>
          <w:color w:val="auto"/>
        </w:rPr>
        <w:t>” (Codification) as the source of authoritative accounting principles recognized by the FASB to be applied by nongovernmental entities in the preparation of financial statements in conformity with generally accepted accounting principles in the United States. All guidance contained in the Codification carries an equal level of authority. On the effective date of SFAS 168, the Codification will supersede all then-existing non-SEC accounting and reporting standards. All other nongrandfathered non-SEC accounting literature not included in the Codification will become nonauthoritative. SFAS 168 is effective for financial statements issued for interim and annual periods ending after September 15, 2009. We have evaluated this new statement, and have determined that it will not have a significant impact on the determination or reporting of our financial results.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With respect to the unaudited condensed consolidated financial information of UTC for the quarters ended June 30, 2009 and 2008, PricewaterhouseCoopers LLP (PricewaterhouseCoopers) reported that it has applied limited procedures in accordance with professional standards for a review of such information. However, its report dated July 24, 2009, appearing below, states that the firm did not audit and does not express an opinion on that unaudited condensed consolidated financial information. PricewaterhouseCoopers has not carried out any significant or additional audit tests beyond those that would have been necessary if their report had not been included. Accordingly, the degree of reliance on its report on such information should be restricted in light of the limited nature of the review procedures applied. PricewaterhouseCoopers is not subject to the liability provisions of Section 11 of the Securities Act of 1933 (the Act) for its report on the unaudited condensed consolidated financial information because that report is not a “report” or a “part” of a registration statement prepared or certified by PricewaterhouseCoopers within the meaning of Sections 7 and 11 of the Act.</w:t>
      </w:r>
    </w:p>
    <w:p>
      <w:pPr>
        <w:spacing w:after="0" w:line="274" w:lineRule="exact"/>
        <w:rPr>
          <w:sz w:val="20"/>
          <w:szCs w:val="20"/>
          <w:color w:val="auto"/>
        </w:rPr>
      </w:pPr>
    </w:p>
    <w:p>
      <w:pPr>
        <w:ind w:right="3500" w:firstLine="3508"/>
        <w:spacing w:after="0" w:line="394"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Shareowners of United Technologies Corporation:</w:t>
      </w:r>
    </w:p>
    <w:p>
      <w:pPr>
        <w:spacing w:after="0" w:line="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have reviewed the accompanying condensed consolidated balance sheet of United Technologies Corporation and its subsidiaries (the “Corporation”) as of June 30, 2009 and the related condensed consolidated statement of operations for the three-month and six-month periods ended June 30, 2009 and 2008 and the condensed consolidated statement of cash flows for the six-month periods ended June 30, 2009 and 2008. This interim financial information is the responsibility of the Corporation’s management.</w:t>
      </w:r>
    </w:p>
    <w:p>
      <w:pPr>
        <w:spacing w:after="0" w:line="143"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color w:val="auto"/>
        </w:rPr>
        <w:t>We conducted our review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13" w:lineRule="exact"/>
        <w:rPr>
          <w:sz w:val="20"/>
          <w:szCs w:val="20"/>
          <w:color w:val="auto"/>
        </w:rPr>
      </w:pPr>
    </w:p>
    <w:p>
      <w:pPr>
        <w:ind w:right="700"/>
        <w:spacing w:after="0" w:line="332" w:lineRule="auto"/>
        <w:rPr>
          <w:sz w:val="20"/>
          <w:szCs w:val="20"/>
          <w:color w:val="auto"/>
        </w:rPr>
      </w:pPr>
      <w:r>
        <w:rPr>
          <w:rFonts w:ascii="Arial" w:cs="Arial" w:eastAsia="Arial" w:hAnsi="Arial"/>
          <w:sz w:val="16"/>
          <w:szCs w:val="16"/>
          <w:color w:val="auto"/>
        </w:rPr>
        <w:t>Based on our review, we are not aware of any material modifications that should be made to the accompanying condensed consolidated interim financial information for it to be in conformity with accounting principles generally accepted in the United States of America.</w:t>
      </w:r>
    </w:p>
    <w:p>
      <w:pPr>
        <w:spacing w:after="0" w:line="8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As discussed in the Notes to the condensed consolidated interim financial information, the Corporation adopted FASB Statement No. 157, Fair Value Measurements in 2008, and changed the manner in which the Corporation accounts for business combinations, noncontrolling interests, and collaborative arrangements and the manner in which it provides disclosures about derivatives and hedging activities, subsequent events, and fair value of financial instruments in 2009.</w:t>
      </w:r>
    </w:p>
    <w:p>
      <w:pPr>
        <w:spacing w:after="0" w:line="14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previously audited, in accordance with the standards of the Public Company Accounting Oversight Board (United States), the consolidated balance sheet as of December 31, 2008, and the related consolidated statements of operations, of cash flows and of changes in shareowners’ equity for the year then ended (not presented herein), and in our report dated February 11, 2009 (which included an explanatory paragraph with respect to the Corporation’s change in the manner of accounting for defined benefit pension and other postretirement plans, uncertain tax positions and for the adoption of FASB Statement No. 157, Fair Value Measurements), we expressed an unqualified opinion on those consolidated financial statements. As discussed in the Notes to the accompanying condensed consolidated financial information, the Corporation changed its method of accounting for noncontrolling interests and collaborative arrangements in 2009. The accompanying 2008 condensed consolidated financial information reflects this change.</w:t>
      </w:r>
    </w:p>
    <w:p>
      <w:pPr>
        <w:spacing w:after="0" w:line="15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Hartford, Connecticut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24, 2009</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 OVERVIEW</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conduct our business through six principal segments: Otis, Carrier, UTC Fire &amp; Security, Pratt &amp; Whitney, Hamilton Sundstrand and Sikorsky. Otis, Carrier and UTC Fire &amp; Security are collectively referred to as the “commercial businesses,” while Pratt &amp; Whitney, Hamilton Sundstrand and Sikorsky are collectively referred to as the “aerospace businesses.” The current status of significant factors impacting our business environment in 2009 is discussed below. For additional discussion, refer to the “Business Overview” section in Management’s Discussion and Analysis of Financial Condition and Results of Operations in our 2008 Annual Report, which is incorporated by reference in our 2008 Form 10-K. Certain reclassifications have been made to the 2008 amounts to conform to the current year presentation. These include the adoption of Statement of Financial Accounting Standard (SFAS) No. 160, “Noncontrolling Interests in Consolidated Financial Statements” (SFAS 160) and Emerging Issues Task Force (EITF) Issue No. 07-1, “Accounting for Collaborative Arrangements” (EITF 07-1). See discussion in Notes 9 and 11, respectively, to the Condensed Consolidated Financial Statements.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General</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As worldwide businesses, our operations can be affected by global and regional industrial, economic and political factors. In order to limit the impact of any one industry or the economy of any single country on our consolidated operating results, our strategy has been, and continues to be, the maintenance of a balanced and diversified portfolio of businesses. Our businesses include both commercial and aerospace operations, original equipment manufacturing (OEM) businesses with extensive related aftermarket parts and services businesses, as well as shorter cycles in our commercial businesses, particularly Carrier, and longer cycles in our aerospace businesses. Our businesses include extensive geographic diversification that has evolved with the continued globalization of world economies.</w:t>
      </w:r>
    </w:p>
    <w:p>
      <w:pPr>
        <w:spacing w:after="0" w:line="144"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However, as was the case in the first quarter of 2009, the widespread nature of the current global economic contraction continues to create immediate challenges for most of our businesses and the markets in which they operate. Weak airline traffic and business jet production, declines in commercial construction activity and depressed conditions in the transport refrigeration industries as well as domestic and certain international housing markets have adversely impacted aspects of our underlying businesses and are expected to continue to present challenges throughout 2009.</w:t>
      </w:r>
    </w:p>
    <w:p>
      <w:pPr>
        <w:spacing w:after="0" w:line="11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As a result of these adverse global economic conditions, total organic revenue declined 11% in the second quarter of 2009, compared to the same period a year ago. The adverse impact of both foreign currency translation (5%) and net divestitures completed in the past year (1%) contributed to the remainder of the 17% contraction in total second quarter revenues year-over-year. The reduction in organic revenue reflects decreases in new equipment sales across all geographic regions at Otis and lower volume across all businesses at Carrier, led by declines in the higher margin transport refrigeration business. UTC Fire &amp; Security’s organic revenue contraction reflects declines in both the fire safety and electronic security businesses. As a result of continued weakness in construction and general manufacturing markets, Hamilton Sundstrand’s industrial businesses saw organic revenue contraction year-over-year. Within the aerospace industry, weak airline traffic, the impact from capacity reductions and lower aircraft utilization has resulted in a related decrease in commercial aerospace aftermarket volume at both Pratt &amp; Whitney and Hamilton Sundstrand. Low demand for business and general aviation aircraft has also adversely impacted Pratt &amp; Whitney Canada (P&amp;WC) engine shipments in the quarter. Continued government military spending and demand for military helicopters favorably impacted Sikorsky, which experienced 6% revenue growth in the second quarter of 2009 compared to the same period of 2008.</w:t>
      </w:r>
    </w:p>
    <w:p>
      <w:pPr>
        <w:spacing w:after="0" w:line="123"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The decline in revenue contributed to a consolidated operating profit decline of 22% in the second quarter of 2009, as compared with the same period of 2008. This year-over-year decline also reflects the adverse impact of higher restructuring charges (10%) and the negative impact of foreign currency translation combined with currency hedges at P&amp;WC (combined 7%). To help mitigate the impact of the global economic downturn and better position us for the future, we continue to focus on restructuring and cost reduction actions. During the second quarter of 2009, we incurred restructuring charges of $301 million for actions to help mitigate the volume declines and to reduce structural and overhead costs across all of the businesses. We expect full year restructuring costs to total approximately $750 million, including the $464 million of charges incurred in the first six months of 2009. However, no specific plans for significant other actions have been finalized at this time. In addition to savings from restructuring, we are seeing benefits from other cost reductions, in areas such as travel, furloughs, research and development and employee attrition. This continued focus on costs that are within our control, including restructuring, has resulted in approximately $550 million of discrete cost reductions in the first six months of 2009.</w:t>
      </w:r>
    </w:p>
    <w:p>
      <w:pPr>
        <w:spacing w:after="0" w:line="12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year-over-year general strength of the U.S. dollar against certain currencies such as the Euro generated an adverse foreign currency impact of $.11 per share on our operational performance in the second quarter of 2009. This year-over-year impact is net of the beneficial impact of foreign currency translation and includes the adverse impact of hedging at P&amp;WC. The strength in the U.S. dollar benefits P&amp;WC operating results, as the majority of P&amp;WC’s revenues are denominated in U.S. dollars, while a significant portion of its costs are incurred in local currencies. However, this benefit was more than offset by the adverse impact on revenues of maturing hedges that were executed when the U.S. dollar was weaker.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Commercial Businesses</w:t>
      </w:r>
    </w:p>
    <w:p>
      <w:pPr>
        <w:spacing w:after="0" w:line="90" w:lineRule="exact"/>
        <w:rPr>
          <w:sz w:val="20"/>
          <w:szCs w:val="20"/>
          <w:color w:val="auto"/>
        </w:rPr>
      </w:pPr>
    </w:p>
    <w:p>
      <w:pPr>
        <w:ind w:right="400" w:firstLine="456"/>
        <w:spacing w:after="0" w:line="291" w:lineRule="auto"/>
        <w:rPr>
          <w:sz w:val="20"/>
          <w:szCs w:val="20"/>
          <w:color w:val="auto"/>
        </w:rPr>
      </w:pPr>
      <w:r>
        <w:rPr>
          <w:rFonts w:ascii="Arial" w:cs="Arial" w:eastAsia="Arial" w:hAnsi="Arial"/>
          <w:sz w:val="16"/>
          <w:szCs w:val="16"/>
          <w:color w:val="auto"/>
        </w:rPr>
        <w:t>Our commercial businesses generally serve customers in the worldwide commercial and residential property industries, although Carrier also serves customers in the commercial and transport refrigeration industries. Revenues in the commercial businesses are influenced by a number of external factors including fluctuations in residential and commercial construction activity, regulatory changes, interest rates, labor costs, foreign currency exchange rates, customer attrition, raw material and energy costs, tightening credit markets and other global and political factors. Carrier’s financial performance can also be influenced by production and utilization of transport equipment, and for its residential business, weather conditions. To ensure adequate supply of Carrier products in the distribution channel, Carrier customarily offers its customers incentives to purchase products.</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Global economic conditions have continued to adversely impact the commercial businesses to varying degrees with the most significant effects experienced at Carrier. The stronger U.S. dollar, weak commercial construction, the deterioration of the U.S. housing market and weak demand in end markets have all posed operating challenges. Further, although we have not seen a significant increase in cancellations of orders in the commercial businesses to date, we have experienced an increase in delays as the underlying projects contend with financing issues due to the tight credit markets, as well as a decline in orders year-over-year. Order trends remained weak in the quarter, although the rate of year-over-year decline showed signs of stabilization.</w:t>
      </w:r>
    </w:p>
    <w:p>
      <w:pPr>
        <w:spacing w:after="0" w:line="11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Within the Otis segment, revenues decreased 13% in the first half of 2009 as compared to 2008, reflecting lower volume (5%) and the unfavorable impact of foreign currency translation (9%). These declines were partially offset by a $52 million non-cash, non-taxable gain on the remeasurement to fair value of a previously held equity interest in a joint venture as a result of the purchase of a controlling interest. Difficult economic conditions have continued to adversely impact many commercial construction markets around the world resulting in the decline in new equipment sales. Cost reduction actions and continued strength in the contractual maintenance business helped mitigate the new equipment volume decline. During the first half of 2009, new equipment orders decreased 42% as compared to the same period in 2008.</w:t>
      </w:r>
    </w:p>
    <w:p>
      <w:pPr>
        <w:spacing w:after="0" w:line="14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challenging global economy continues to have an immediate impact on Carrier’s short cycle businesses, leading to a decline in organic revenue of 21% in the second quarter of 2009. Weak market conditions continue to impact all businesses at Carrier, particularly the higher margin transport refrigeration business. Organic revenues within the transport refrigeration business declined 42% in the second quarter of 2009 as compared to the same period of 2008. Ongoing weakness in the U.S. housing market led to a 16% contraction in organic revenues within the North American residential business consistent with the broader market decline. These adverse market conditions are expected to challenge Carrier throughout 2009. In response, Carrier continues to focus on implementing restructuring and other cost reduction initiatives to assist in mitigating the impact from the steep volume decline.</w:t>
      </w:r>
    </w:p>
    <w:p>
      <w:pPr>
        <w:spacing w:after="0" w:line="12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UTC Fire &amp; Security experienced a 23% revenue decline in the second quarter of 2009, as compared to the same period of 2008, primarily attributable to the adverse impact of foreign currency translation (12%). Lower revenues in both the fire safety and electronic security businesses contributed to an 8% contraction in organic revenues in the second quarter, with particular weakness experienced in both the Americas and in the United Kingdom.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Aerospace Businesses</w:t>
      </w:r>
    </w:p>
    <w:p>
      <w:pPr>
        <w:spacing w:after="0" w:line="9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aerospace businesses serve both commercial and government aerospace customers. In addition, elements of Pratt &amp; Whitney and Hamilton Sundstrand also serve customers in the industrial markets. Revenue passenger miles (RPMs), U.S. government military and space spending, and the general economic health of airline carriers are all barometers for our aerospace businesses.</w:t>
      </w:r>
    </w:p>
    <w:p>
      <w:pPr>
        <w:spacing w:after="0" w:line="140" w:lineRule="exact"/>
        <w:rPr>
          <w:sz w:val="20"/>
          <w:szCs w:val="20"/>
          <w:color w:val="auto"/>
        </w:rPr>
      </w:pPr>
    </w:p>
    <w:p>
      <w:pPr>
        <w:ind w:right="60" w:firstLine="456"/>
        <w:spacing w:after="0" w:line="309" w:lineRule="auto"/>
        <w:rPr>
          <w:sz w:val="20"/>
          <w:szCs w:val="20"/>
          <w:color w:val="auto"/>
        </w:rPr>
      </w:pPr>
      <w:r>
        <w:rPr>
          <w:rFonts w:ascii="Arial" w:cs="Arial" w:eastAsia="Arial" w:hAnsi="Arial"/>
          <w:sz w:val="15"/>
          <w:szCs w:val="15"/>
          <w:color w:val="auto"/>
        </w:rPr>
        <w:t>The global aerospace industry continues to be confronted by the global economic downturn and reduced air travel. Lower air traffic and the tight credit markets continue to impose a difficult operating environment for the airlines. As a result, airframers have seen lower levels of orders for aircraft compared to 2008. Due to the weak demand for business and general aviation aircraft, as corporations cut back on discretionary spending, business jet OEMs have seen lower levels of orders. Accordingly, business jet OEMs continue to make downward revisions to their production schedules, which has put additional pressure on P&amp;WC. These factors have led to an approximately 25% decrease in second quarter year-over-year engine shipments at P&amp;WC. In an effort to combat the impact of the current economic environment, airlines have reduced capacity by idling some aircraft and retiring older and less fuel efficient aircraft, and have delayed orders and deliveries of new planes. Continued declining passenger and cargo traffic, capacity reductions, lower aircraft utilization, and cash conservation measures at some airlines have led to a corresponding decrease in commercial aerospace aftermarket volume at both Pratt &amp; Whitney and Hamilton Sundstrand and accordingly consolidated commercial aerospace aftermarket revenue declined 16% for the first half of 2009 as compared to the same period of 2008.</w:t>
      </w:r>
    </w:p>
    <w:p>
      <w:pPr>
        <w:spacing w:after="0" w:line="10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Second quarter revenues at Sikorsky increased 6%, as compared to the same period of 2008, driven largely by continued government spending on military helicopters. With the strong government demand, Sikorsky’s military backlog remains very strong.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Acquisition Activity</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Our growth strategy contemplates acquisitions. The rate and extent to which appropriate acquisition opportunities are available, acquired businesses are effectively integrated and anticipated synergies or cost savings are achieved, can affect our operations and results. During the first six months of 2009, we invested approximately $197 million in acquisitions, which consisted primarily of a number of small acquisitions in both our commercial and aerospace businesses. We recorded the excess of the purchase price over the estimated fair value of the assets acquired as an increase in goodwill. As a result of acquisition activity and the finalization of purchase accounting, goodwill increased approximately $158 million in the first six months of 2009.</w:t>
      </w:r>
    </w:p>
    <w:p>
      <w:pPr>
        <w:spacing w:after="0" w:line="11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During the second quarter of 2009, Otis recorded a $52 million non-cash, non-taxable gain recognized on the remeasurement to fair value of a previously held equity interest in a joint venture as a result of the purchase of a controlling interest.</w:t>
      </w:r>
    </w:p>
    <w:p>
      <w:pPr>
        <w:spacing w:after="0" w:line="132"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Carrier continues on the path of aggressive transformation, to a simpler, more focused, higher returns business. In July 2009, Carrier and Watsco, Inc (Watsco) formed Carrier Enterprise, LLC, a venture to distribute Carrier, Bryant, Payne and Totaline residential and light commercial heating, ventilating and air conditioning products in the U.S. Sunbelt region and selected territories in the Caribbean and Latin America. As part of the transaction, Carrier contributed its distribution businesses located in these regions into the new venture. In consideration of its contribution, Carrier received approximately 3 million shares of common stock of Watsco and a 40 percent non-controlling interest in the new venture, which included a business contributed by Watsco. Watsco will own a 60 percent interest in the venture with options to purchase an additional 20 percent interest from Carrier in future years.</w:t>
      </w:r>
    </w:p>
    <w:p>
      <w:pPr>
        <w:spacing w:after="0" w:line="12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continue to expect to invest approximately $2 billion in acquisitions for 2009, including those investments during the first six months of 2009, although this will depend upon the timing, availability and appropriate value of acquisition opportunities.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90"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Government legislation, policies and regulations can have a negative impact on our worldwide operations. Government regulation of refrigerants and energy efficiency standards, elevator safety codes and fire protection regulations are important to our commercial businesses. Government and market-driven safety and performance regulations, restrictions on aircraft engine noise and emissions and government procurement practices can impact our aerospace and defense businesses.</w:t>
      </w:r>
    </w:p>
    <w:p>
      <w:pPr>
        <w:spacing w:after="0" w:line="143"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Commercial airline financial distress/consolidation, global economic conditions, changes in raw material and commodity prices, interest rates, foreign currency exchange rates and energy costs create uncertainties that could impact our earnings outlook for the remainder of 2009. See Part II, Item 1A, “Risk Factors” in this Form 10-Q for further discussion.</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ESTIMATES</w:t>
      </w:r>
    </w:p>
    <w:p>
      <w:pPr>
        <w:spacing w:after="0" w:line="177"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Preparation of our financial statements requires management to make estimates and assumptions that affect the reported amounts of assets, liabilities, revenues and expenses. We believe the most complex and sensitive judgments, because of their significance to the Consolidated Financial Statements, result primarily from the need to make estimates about the effects of matters that are inherently uncertain. Management’s Discussion and Analysis and Note 1 to the Consolidated Financial Statements in our 2008 Annual Report, incorporated by reference in our 2008 Form 10-K, describe the significant accounting estimates and policies used in preparation of the Consolidated Financial Statements. Actual results in these areas could differ from management’s estimates. There have been no significant changes in our critical accounting estimates during the first six months of 2009.</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CONTINUING OPERATIONS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Revenues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2360" w:type="dxa"/>
            <w:vAlign w:val="bottom"/>
          </w:tcPr>
          <w:p>
            <w:pPr>
              <w:spacing w:after="0"/>
              <w:rPr>
                <w:sz w:val="14"/>
                <w:szCs w:val="14"/>
                <w:color w:val="auto"/>
              </w:rPr>
            </w:pPr>
          </w:p>
        </w:tc>
        <w:tc>
          <w:tcPr>
            <w:tcW w:w="15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2"/>
              </w:rPr>
              <w:t>Quarter Ended June 30,</w:t>
            </w:r>
          </w:p>
        </w:tc>
        <w:tc>
          <w:tcPr>
            <w:tcW w:w="220" w:type="dxa"/>
            <w:vAlign w:val="bottom"/>
          </w:tcPr>
          <w:p>
            <w:pPr>
              <w:spacing w:after="0"/>
              <w:rPr>
                <w:sz w:val="14"/>
                <w:szCs w:val="14"/>
                <w:color w:val="auto"/>
              </w:rPr>
            </w:pPr>
          </w:p>
        </w:tc>
        <w:tc>
          <w:tcPr>
            <w:tcW w:w="10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82"/>
              </w:rPr>
              <w:t>% change</w:t>
            </w:r>
          </w:p>
        </w:tc>
        <w:tc>
          <w:tcPr>
            <w:tcW w:w="17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89"/>
              </w:rPr>
              <w:t>Six Months Ended June 30,</w:t>
            </w:r>
          </w:p>
        </w:tc>
        <w:tc>
          <w:tcPr>
            <w:tcW w:w="200" w:type="dxa"/>
            <w:vAlign w:val="bottom"/>
          </w:tcPr>
          <w:p>
            <w:pPr>
              <w:spacing w:after="0"/>
              <w:rPr>
                <w:sz w:val="14"/>
                <w:szCs w:val="14"/>
                <w:color w:val="auto"/>
              </w:rPr>
            </w:pPr>
          </w:p>
        </w:tc>
        <w:tc>
          <w:tcPr>
            <w:tcW w:w="8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5"/>
              </w:rPr>
              <w:t>% change</w:t>
            </w:r>
          </w:p>
        </w:tc>
        <w:tc>
          <w:tcPr>
            <w:tcW w:w="0" w:type="dxa"/>
            <w:vAlign w:val="bottom"/>
          </w:tcPr>
          <w:p>
            <w:pPr>
              <w:spacing w:after="0"/>
              <w:rPr>
                <w:sz w:val="1"/>
                <w:szCs w:val="1"/>
                <w:color w:val="auto"/>
              </w:rPr>
            </w:pPr>
          </w:p>
        </w:tc>
      </w:tr>
      <w:tr>
        <w:trPr>
          <w:trHeight w:val="142"/>
        </w:trPr>
        <w:tc>
          <w:tcPr>
            <w:tcW w:w="3540" w:type="dxa"/>
            <w:vAlign w:val="bottom"/>
            <w:gridSpan w:val="3"/>
            <w:vMerge w:val="continue"/>
          </w:tcPr>
          <w:p>
            <w:pPr>
              <w:spacing w:after="0"/>
              <w:rPr>
                <w:sz w:val="12"/>
                <w:szCs w:val="12"/>
                <w:color w:val="auto"/>
              </w:rPr>
            </w:pPr>
          </w:p>
        </w:tc>
        <w:tc>
          <w:tcPr>
            <w:tcW w:w="2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7"/>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117"/>
              <w:spacing w:after="0" w:line="142" w:lineRule="exact"/>
              <w:rPr>
                <w:sz w:val="20"/>
                <w:szCs w:val="20"/>
                <w:color w:val="auto"/>
              </w:rPr>
            </w:pPr>
            <w:r>
              <w:rPr>
                <w:rFonts w:ascii="Arial" w:cs="Arial" w:eastAsia="Arial" w:hAnsi="Arial"/>
                <w:sz w:val="14"/>
                <w:szCs w:val="14"/>
                <w:b w:val="1"/>
                <w:bCs w:val="1"/>
                <w:color w:val="auto"/>
                <w:w w:val="96"/>
              </w:rPr>
              <w:t>2008</w:t>
            </w:r>
          </w:p>
        </w:tc>
        <w:tc>
          <w:tcPr>
            <w:tcW w:w="2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57"/>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157"/>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18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13,060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15,812</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(17.4)%</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25,259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29,646</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2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132</w:t>
            </w:r>
          </w:p>
        </w:tc>
        <w:tc>
          <w:tcPr>
            <w:tcW w:w="2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186</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256</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revenues</w:t>
            </w:r>
          </w:p>
        </w:tc>
        <w:tc>
          <w:tcPr>
            <w:tcW w:w="23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13,196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15,944</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(17.2)%</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25,445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29,902</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360" w:type="dxa"/>
            <w:vAlign w:val="bottom"/>
            <w:vMerge w:val="restart"/>
          </w:tcPr>
          <w:p>
            <w:pPr>
              <w:jc w:val="right"/>
              <w:ind w:right="12"/>
              <w:spacing w:after="0"/>
              <w:rPr>
                <w:sz w:val="20"/>
                <w:szCs w:val="20"/>
                <w:color w:val="auto"/>
              </w:rPr>
            </w:pPr>
            <w:r>
              <w:rPr>
                <w:rFonts w:ascii="Arial" w:cs="Arial" w:eastAsia="Arial" w:hAnsi="Arial"/>
                <w:sz w:val="18"/>
                <w:szCs w:val="18"/>
                <w:color w:val="auto"/>
              </w:rPr>
              <w:t>25</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17% revenue decline in the second quarter of 2009, as compared to the same period of 2008, reflects organic revenue contraction of 11%, the impact of net acquisitions and divestitures (1%), and the adverse impact from foreign currency translation (5%) resulting from the year-over-year strength of the U.S. dollar relative to currencies such as the Euro. As discussed above in the “Business Overview” section, the revenue contraction reflects decreases in all but our Sikorsky business, with particular weakness in our short cycle commercial businesses as a result of challenging global economic conditions. Depressed conditions in the business jet market, as corporations cut back on discretionary spending, has adversely impacted P&amp;WC as they experienced an approximately 25% decrease in engine shipments for the second quarter of 2009, as compared to the same period of 2008. Continued weak air traffic and cash conservation measures at some airlines have resulted in corresponding declines in aerospace aftermarket revenues, primarily at Pratt &amp; Whitney and Hamilton Sundstrand. Also contributing to the year-over-year revenue decline is the adverse impact of maturing currency hedges at P&amp;WC that were executed when the U.S. dollar was weaker. Military OEM revenue growth was driven largely by government demand for helicopters at Sikorsky.</w:t>
      </w:r>
    </w:p>
    <w:p>
      <w:pPr>
        <w:spacing w:after="0" w:line="120"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The 15% revenue decline in the first six months of 2009, as compared to the same period of 2008, reflects organic revenue contraction of 8%, the impact of net acquisitions and divestitures (1%), and the adverse impact from foreign currency translation (5%) resulting from the year-over-year strength of the U.S. dollar relative to currencies such as the Euro. As with the second quarter decline, the six month revenue decline largely reflects decreases at most of our businesses as a result of challenging global economic conditions, with particular weakness in our short cycle commercial businesses, a decline in aerospace aftermarket revenues at both Pratt &amp; Whitney and Hamilton Sundstrand and the adverse impact from a depressed business jet market. Similar to the second quarter of 2009, year to date revenues also reflect the adverse impact of maturing currency hedges at P&amp;WC that were executed when the U.S. dollar was weaker.</w:t>
      </w:r>
    </w:p>
    <w:p>
      <w:pPr>
        <w:spacing w:after="0" w:line="105"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Other income, net for the second quarter of 2009 includes a $52 million non-cash, non-taxable gain recognized at Otis on the remeasurement to fair value of a previously held equity interest in a joint venture as a result of the purchase of a controlling interest. The year-over-year impact on other income, net of the above mentioned gain was mostly offset by lower joint venture and royalty income across the businesses, higher restructuring and related charges, and the net year-over-year impact of various fixed asset disposals.</w:t>
      </w:r>
    </w:p>
    <w:p>
      <w:pPr>
        <w:spacing w:after="0" w:line="143"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The decrease in other income, net in the first six months of 2009 is largely related to lower equity income at Carrier from a joint venture in Japan, lower royalty and interest income across the businesses, higher restructuring and related charges, and the net year-over-year impact of various fixed asset disposals. These reductions in other income, net were partially offset by a gain recognized at Otis in the second quarter of 2009 on the remeasurement to fair value of an interest in a joint venture as noted above.</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Gross Margin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212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w w:val="95"/>
              </w:rPr>
              <w:t>Quarter Ended June 30,</w:t>
            </w:r>
          </w:p>
        </w:tc>
        <w:tc>
          <w:tcPr>
            <w:tcW w:w="202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2"/>
              </w:rPr>
              <w:t>Six Months Ended June 30,</w:t>
            </w:r>
          </w:p>
        </w:tc>
        <w:tc>
          <w:tcPr>
            <w:tcW w:w="0" w:type="dxa"/>
            <w:vAlign w:val="bottom"/>
          </w:tcPr>
          <w:p>
            <w:pPr>
              <w:spacing w:after="0"/>
              <w:rPr>
                <w:sz w:val="1"/>
                <w:szCs w:val="1"/>
                <w:color w:val="auto"/>
              </w:rPr>
            </w:pPr>
          </w:p>
        </w:tc>
      </w:tr>
      <w:tr>
        <w:trPr>
          <w:trHeight w:val="142"/>
        </w:trPr>
        <w:tc>
          <w:tcPr>
            <w:tcW w:w="7280" w:type="dxa"/>
            <w:vAlign w:val="bottom"/>
            <w:gridSpan w:val="3"/>
            <w:vMerge w:val="continue"/>
          </w:tcPr>
          <w:p>
            <w:pPr>
              <w:spacing w:after="0"/>
              <w:rPr>
                <w:sz w:val="12"/>
                <w:szCs w:val="12"/>
                <w:color w:val="auto"/>
              </w:rPr>
            </w:pPr>
          </w:p>
        </w:tc>
        <w:tc>
          <w:tcPr>
            <w:tcW w:w="56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2009</w:t>
            </w:r>
          </w:p>
        </w:tc>
        <w:tc>
          <w:tcPr>
            <w:tcW w:w="5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2008</w:t>
            </w:r>
          </w:p>
        </w:tc>
        <w:tc>
          <w:tcPr>
            <w:tcW w:w="480" w:type="dxa"/>
            <w:vAlign w:val="bottom"/>
          </w:tcPr>
          <w:p>
            <w:pPr>
              <w:spacing w:after="0"/>
              <w:rPr>
                <w:sz w:val="12"/>
                <w:szCs w:val="12"/>
                <w:color w:val="auto"/>
              </w:rPr>
            </w:pPr>
          </w:p>
        </w:tc>
        <w:tc>
          <w:tcPr>
            <w:tcW w:w="620" w:type="dxa"/>
            <w:vAlign w:val="bottom"/>
            <w:tcBorders>
              <w:top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5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$ 3,459</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$ 4,176</w:t>
            </w: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6,551</w:t>
            </w:r>
          </w:p>
        </w:tc>
        <w:tc>
          <w:tcPr>
            <w:tcW w:w="3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7,772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Percentage of sales</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26.5%</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26.4%</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25.9%</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10 basis point increase in gross margin as a percentage of sales in the second quarter of 2009 as compared to 2008 is net of the adverse impact of higher year-over-year restructuring charges (70 basis points). Similarly, for the first six months of 2009, the year-over-year decrease in gross margin as a percentage of sales of 30 basis points includes higher year-over-year restructuring charges (70 basis points). Excluding the impact of restructuring charges, gross margin improved 80 basis points and 40 basis points, as compared to the second quarter and first six months of 2008, respectively. Continued focus on cost reduction, savings from previously initiated restructuring actions and net operational efficiencies helped to limit the impact of lower sales volumes, particularly in our higher margin aerospace aftermarket and transport refrigeration businesses.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Research and Development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5"/>
          </w:tcPr>
          <w:p>
            <w:pPr>
              <w:ind w:left="120"/>
              <w:spacing w:after="0"/>
              <w:rPr>
                <w:sz w:val="20"/>
                <w:szCs w:val="20"/>
                <w:color w:val="auto"/>
              </w:rPr>
            </w:pPr>
            <w:r>
              <w:rPr>
                <w:rFonts w:ascii="Arial" w:cs="Arial" w:eastAsia="Arial" w:hAnsi="Arial"/>
                <w:sz w:val="14"/>
                <w:szCs w:val="14"/>
                <w:b w:val="1"/>
                <w:bCs w:val="1"/>
                <w:color w:val="auto"/>
                <w:w w:val="89"/>
              </w:rPr>
              <w:t>Quarter Ended June 30,</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0" w:type="dxa"/>
            <w:vAlign w:val="bottom"/>
            <w:gridSpan w:val="9"/>
          </w:tcPr>
          <w:p>
            <w:pPr>
              <w:jc w:val="right"/>
              <w:ind w:right="980"/>
              <w:spacing w:after="0"/>
              <w:rPr>
                <w:sz w:val="20"/>
                <w:szCs w:val="20"/>
                <w:color w:val="auto"/>
              </w:rPr>
            </w:pPr>
            <w:r>
              <w:rPr>
                <w:rFonts w:ascii="Arial" w:cs="Arial" w:eastAsia="Arial" w:hAnsi="Arial"/>
                <w:sz w:val="14"/>
                <w:szCs w:val="14"/>
                <w:b w:val="1"/>
                <w:bCs w:val="1"/>
                <w:color w:val="auto"/>
                <w:w w:val="88"/>
              </w:rPr>
              <w:t>Six Months Ended June 30,</w:t>
            </w:r>
          </w:p>
        </w:tc>
        <w:tc>
          <w:tcPr>
            <w:tcW w:w="0" w:type="dxa"/>
            <w:vAlign w:val="bottom"/>
          </w:tcPr>
          <w:p>
            <w:pPr>
              <w:spacing w:after="0"/>
              <w:rPr>
                <w:sz w:val="1"/>
                <w:szCs w:val="1"/>
                <w:color w:val="auto"/>
              </w:rPr>
            </w:pPr>
          </w:p>
        </w:tc>
      </w:tr>
      <w:tr>
        <w:trPr>
          <w:trHeight w:val="142"/>
        </w:trPr>
        <w:tc>
          <w:tcPr>
            <w:tcW w:w="4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16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w w:val="83"/>
              </w:rPr>
              <w:t>2009</w:t>
            </w:r>
          </w:p>
        </w:tc>
        <w:tc>
          <w:tcPr>
            <w:tcW w:w="4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gridSpan w:val="2"/>
          </w:tcPr>
          <w:p>
            <w:pPr>
              <w:jc w:val="right"/>
              <w:ind w:right="452"/>
              <w:spacing w:after="0" w:line="142" w:lineRule="exact"/>
              <w:rPr>
                <w:sz w:val="20"/>
                <w:szCs w:val="20"/>
                <w:color w:val="auto"/>
              </w:rPr>
            </w:pPr>
            <w:r>
              <w:rPr>
                <w:rFonts w:ascii="Arial" w:cs="Arial" w:eastAsia="Arial" w:hAnsi="Arial"/>
                <w:sz w:val="14"/>
                <w:szCs w:val="14"/>
                <w:b w:val="1"/>
                <w:bCs w:val="1"/>
                <w:color w:val="auto"/>
                <w:w w:val="89"/>
              </w:rPr>
              <w:t>2008</w:t>
            </w:r>
          </w:p>
        </w:tc>
        <w:tc>
          <w:tcPr>
            <w:tcW w:w="4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gridSpan w:val="2"/>
          </w:tcPr>
          <w:p>
            <w:pPr>
              <w:jc w:val="right"/>
              <w:ind w:right="472"/>
              <w:spacing w:after="0" w:line="142" w:lineRule="exact"/>
              <w:rPr>
                <w:sz w:val="20"/>
                <w:szCs w:val="20"/>
                <w:color w:val="auto"/>
              </w:rPr>
            </w:pPr>
            <w:r>
              <w:rPr>
                <w:rFonts w:ascii="Arial" w:cs="Arial" w:eastAsia="Arial" w:hAnsi="Arial"/>
                <w:sz w:val="14"/>
                <w:szCs w:val="14"/>
                <w:b w:val="1"/>
                <w:bCs w:val="1"/>
                <w:color w:val="auto"/>
                <w:w w:val="89"/>
              </w:rPr>
              <w:t>2009</w:t>
            </w: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gridSpan w:val="2"/>
          </w:tcPr>
          <w:p>
            <w:pPr>
              <w:jc w:val="right"/>
              <w:ind w:right="472"/>
              <w:spacing w:after="0" w:line="142" w:lineRule="exact"/>
              <w:rPr>
                <w:sz w:val="20"/>
                <w:szCs w:val="20"/>
                <w:color w:val="auto"/>
              </w:rPr>
            </w:pPr>
            <w:r>
              <w:rPr>
                <w:rFonts w:ascii="Arial" w:cs="Arial" w:eastAsia="Arial" w:hAnsi="Arial"/>
                <w:sz w:val="14"/>
                <w:szCs w:val="14"/>
                <w:b w:val="1"/>
                <w:bCs w:val="1"/>
                <w:color w:val="auto"/>
                <w:w w:val="89"/>
              </w:rPr>
              <w:t>2008</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40" w:type="dxa"/>
            <w:vAlign w:val="bottom"/>
            <w:gridSpan w:val="3"/>
            <w:vMerge w:val="continue"/>
          </w:tcPr>
          <w:p>
            <w:pPr>
              <w:spacing w:after="0"/>
              <w:rPr>
                <w:sz w:val="12"/>
                <w:szCs w:val="12"/>
                <w:color w:val="auto"/>
              </w:rPr>
            </w:pPr>
          </w:p>
        </w:tc>
        <w:tc>
          <w:tcPr>
            <w:tcW w:w="520" w:type="dxa"/>
            <w:vAlign w:val="bottom"/>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w w:val="86"/>
              </w:rPr>
              <w:t>Amount</w:t>
            </w:r>
          </w:p>
        </w:tc>
        <w:tc>
          <w:tcPr>
            <w:tcW w:w="220" w:type="dxa"/>
            <w:vAlign w:val="bottom"/>
          </w:tcPr>
          <w:p>
            <w:pPr>
              <w:spacing w:after="0"/>
              <w:rPr>
                <w:sz w:val="12"/>
                <w:szCs w:val="12"/>
                <w:color w:val="auto"/>
              </w:rPr>
            </w:pPr>
          </w:p>
        </w:tc>
        <w:tc>
          <w:tcPr>
            <w:tcW w:w="580" w:type="dxa"/>
            <w:vAlign w:val="bottom"/>
          </w:tcPr>
          <w:p>
            <w:pPr>
              <w:spacing w:after="0" w:line="142" w:lineRule="exact"/>
              <w:rPr>
                <w:sz w:val="20"/>
                <w:szCs w:val="20"/>
                <w:color w:val="auto"/>
              </w:rPr>
            </w:pPr>
            <w:r>
              <w:rPr>
                <w:rFonts w:ascii="Arial" w:cs="Arial" w:eastAsia="Arial" w:hAnsi="Arial"/>
                <w:sz w:val="14"/>
                <w:szCs w:val="14"/>
                <w:b w:val="1"/>
                <w:bCs w:val="1"/>
                <w:color w:val="auto"/>
                <w:w w:val="81"/>
              </w:rPr>
              <w:t>% of sales</w:t>
            </w:r>
          </w:p>
        </w:tc>
        <w:tc>
          <w:tcPr>
            <w:tcW w:w="460" w:type="dxa"/>
            <w:vAlign w:val="bottom"/>
          </w:tcPr>
          <w:p>
            <w:pPr>
              <w:spacing w:after="0"/>
              <w:rPr>
                <w:sz w:val="12"/>
                <w:szCs w:val="12"/>
                <w:color w:val="auto"/>
              </w:rPr>
            </w:pPr>
          </w:p>
        </w:tc>
        <w:tc>
          <w:tcPr>
            <w:tcW w:w="500" w:type="dxa"/>
            <w:vAlign w:val="bottom"/>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w w:val="86"/>
              </w:rPr>
              <w:t>Amount</w:t>
            </w:r>
          </w:p>
        </w:tc>
        <w:tc>
          <w:tcPr>
            <w:tcW w:w="22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4"/>
              </w:rPr>
              <w:t>% of sales</w:t>
            </w:r>
          </w:p>
        </w:tc>
        <w:tc>
          <w:tcPr>
            <w:tcW w:w="440" w:type="dxa"/>
            <w:vAlign w:val="bottom"/>
          </w:tcPr>
          <w:p>
            <w:pPr>
              <w:spacing w:after="0"/>
              <w:rPr>
                <w:sz w:val="12"/>
                <w:szCs w:val="12"/>
                <w:color w:val="auto"/>
              </w:rPr>
            </w:pPr>
          </w:p>
        </w:tc>
        <w:tc>
          <w:tcPr>
            <w:tcW w:w="5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6"/>
              </w:rPr>
              <w:t>Amount</w:t>
            </w:r>
          </w:p>
        </w:tc>
        <w:tc>
          <w:tcPr>
            <w:tcW w:w="24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4"/>
              </w:rPr>
              <w:t>% of sales</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w w:val="90"/>
              </w:rPr>
              <w:t>Amount</w:t>
            </w:r>
          </w:p>
        </w:tc>
        <w:tc>
          <w:tcPr>
            <w:tcW w:w="24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4"/>
              </w:rPr>
              <w:t>% of sales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w w:val="95"/>
              </w:rPr>
              <w:t>Company-funded</w:t>
            </w:r>
          </w:p>
        </w:tc>
        <w:tc>
          <w:tcPr>
            <w:tcW w:w="3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434</w:t>
            </w:r>
          </w:p>
        </w:tc>
        <w:tc>
          <w:tcPr>
            <w:tcW w:w="12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3.1%</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845</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Customer-funded</w:t>
            </w: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519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ind w:left="360"/>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509</w:t>
            </w:r>
          </w:p>
        </w:tc>
        <w:tc>
          <w:tcPr>
            <w:tcW w:w="1260" w:type="dxa"/>
            <w:vAlign w:val="bottom"/>
            <w:gridSpan w:val="3"/>
          </w:tcPr>
          <w:p>
            <w:pPr>
              <w:jc w:val="right"/>
              <w:ind w:right="30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1,033</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1,037</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6.9%</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943</w:t>
            </w:r>
          </w:p>
        </w:tc>
        <w:tc>
          <w:tcPr>
            <w:tcW w:w="12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1,826</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7.2%</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1,882</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gridSpan w:val="2"/>
          </w:tcPr>
          <w:p>
            <w:pPr>
              <w:ind w:left="560"/>
              <w:spacing w:after="0"/>
              <w:rPr>
                <w:sz w:val="20"/>
                <w:szCs w:val="20"/>
                <w:color w:val="auto"/>
              </w:rPr>
            </w:pPr>
            <w:r>
              <w:rPr>
                <w:rFonts w:ascii="Arial" w:cs="Arial" w:eastAsia="Arial" w:hAnsi="Arial"/>
                <w:sz w:val="18"/>
                <w:szCs w:val="18"/>
                <w:color w:val="auto"/>
              </w:rPr>
              <w:t>26</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decrease in company-funded research and development in the second quarter of 2009, compared to the same period in 2008, primarily reflects declines at Pratt &amp; Whitney and Hamilton Sundstrand. The decrease at Pratt &amp; Whitney was led by lower spend at P&amp;WC, while the decrease at Hamilton Sundstrand reflected lower costs across various programs. The decrease in company-funded research and development for the first six months of 2009, compared to the same period of 2008, primarily reflects declines at Pratt &amp; Whitney, driven by P&amp;WC, and Carrier partially offset by higher costs at Sikorsky across various programs. Company-funded research and development spending for the full year 2009 is expected to decrease by at least $100 million from 2008 levels. Company-funded research and development spending is subject to the variable nature of program development schedules.</w:t>
      </w:r>
    </w:p>
    <w:p>
      <w:pPr>
        <w:spacing w:after="0" w:line="12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increase in customer-funded research and development in the second quarter of 2009, compared to the same period of 2008, largely relates to increases at both Hamilton Sundstrand and Sikorsky. The increase at Hamilton Sundstrand reflects higher spending on various commercial and space programs partially offset by lower development spending on defense programs, while Sikorsky’s increase is primarily attributable to higher development spending on the CH-53K program. The slight decrease in customer-funded research and development for the first six months of 2009, compared to the same period of 2008, largely reflects lower spending at Pratt &amp; Whitney Rocketdyne and reduced spending at Pratt &amp; Whitney on the JSF development program partially offset by increases at Hamilton Sundstrand on various commercial and space programs and at Sikorsky on higher development spending on the CH-53K program.</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212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w w:val="95"/>
              </w:rPr>
              <w:t>Quarter Ended June 30,</w:t>
            </w:r>
          </w:p>
        </w:tc>
        <w:tc>
          <w:tcPr>
            <w:tcW w:w="202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2"/>
              </w:rPr>
              <w:t>Six Months Ended June 30,</w:t>
            </w:r>
          </w:p>
        </w:tc>
        <w:tc>
          <w:tcPr>
            <w:tcW w:w="0" w:type="dxa"/>
            <w:vAlign w:val="bottom"/>
          </w:tcPr>
          <w:p>
            <w:pPr>
              <w:spacing w:after="0"/>
              <w:rPr>
                <w:sz w:val="1"/>
                <w:szCs w:val="1"/>
                <w:color w:val="auto"/>
              </w:rPr>
            </w:pPr>
          </w:p>
        </w:tc>
      </w:tr>
      <w:tr>
        <w:trPr>
          <w:trHeight w:val="142"/>
        </w:trPr>
        <w:tc>
          <w:tcPr>
            <w:tcW w:w="7280" w:type="dxa"/>
            <w:vAlign w:val="bottom"/>
            <w:gridSpan w:val="3"/>
            <w:vMerge w:val="continue"/>
          </w:tcPr>
          <w:p>
            <w:pPr>
              <w:spacing w:after="0"/>
              <w:rPr>
                <w:sz w:val="12"/>
                <w:szCs w:val="12"/>
                <w:color w:val="auto"/>
              </w:rPr>
            </w:pPr>
          </w:p>
        </w:tc>
        <w:tc>
          <w:tcPr>
            <w:tcW w:w="56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2009</w:t>
            </w:r>
          </w:p>
        </w:tc>
        <w:tc>
          <w:tcPr>
            <w:tcW w:w="5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2008</w:t>
            </w:r>
          </w:p>
        </w:tc>
        <w:tc>
          <w:tcPr>
            <w:tcW w:w="480" w:type="dxa"/>
            <w:vAlign w:val="bottom"/>
          </w:tcPr>
          <w:p>
            <w:pPr>
              <w:spacing w:after="0"/>
              <w:rPr>
                <w:sz w:val="12"/>
                <w:szCs w:val="12"/>
                <w:color w:val="auto"/>
              </w:rPr>
            </w:pPr>
          </w:p>
        </w:tc>
        <w:tc>
          <w:tcPr>
            <w:tcW w:w="620" w:type="dxa"/>
            <w:vAlign w:val="bottom"/>
            <w:tcBorders>
              <w:top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5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$ 1,574</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$ 1,775</w:t>
            </w: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3,057</w:t>
            </w:r>
          </w:p>
        </w:tc>
        <w:tc>
          <w:tcPr>
            <w:tcW w:w="3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3,410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Percentage of sales</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12.1%</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11.2%</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12.1%</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decrease in selling, general and administrative expenses in the second quarter of 2009, as compared to the same period of 2008, is due primarily to a continued focus on cost reduction and the impact from restructuring and cost saving initiatives undertaken in 2008 and 2009 in anticipation of continuing adverse economic conditions. As a percentage of sales, selling, general and administrative expenses increased 90 basis points. This increase includes the adverse impact of higher restructuring costs (approximately 100 basis points) year-over-year, largely offset by the benefit from cost reduction actions in such areas as travel, furloughs and employee attrition and the favorable impact of foreign exchange.</w:t>
      </w:r>
    </w:p>
    <w:p>
      <w:pPr>
        <w:spacing w:after="0" w:line="1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Similar to the second quarter of 2009, the decrease in selling, general and administrative expenses for the first six months of 2009, as compared to the same period of 2008, is due primarily to a continued focus on cost reduction and the impact from restructuring and cost saving initiatives. As a percentage of sales, selling, general and administrative expenses increased 60 basis points. This increase includes the adverse impact of higher restructuring costs (approximately 70 basis points) year-over-year, largely offset by the benefit from reduced overhead costs and favorable impact of foreign exchange.</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Interest Expense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2700" w:type="dxa"/>
            <w:vAlign w:val="bottom"/>
          </w:tcPr>
          <w:p>
            <w:pPr>
              <w:spacing w:after="0"/>
              <w:rPr>
                <w:sz w:val="14"/>
                <w:szCs w:val="14"/>
                <w:color w:val="auto"/>
              </w:rPr>
            </w:pPr>
          </w:p>
        </w:tc>
        <w:tc>
          <w:tcPr>
            <w:tcW w:w="242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w w:val="99"/>
              </w:rPr>
              <w:t>Quarter Ended June 30,</w:t>
            </w:r>
          </w:p>
        </w:tc>
        <w:tc>
          <w:tcPr>
            <w:tcW w:w="216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5"/>
              </w:rPr>
              <w:t>Six Months Ended June 30,</w:t>
            </w:r>
          </w:p>
        </w:tc>
        <w:tc>
          <w:tcPr>
            <w:tcW w:w="0" w:type="dxa"/>
            <w:vAlign w:val="bottom"/>
          </w:tcPr>
          <w:p>
            <w:pPr>
              <w:spacing w:after="0"/>
              <w:rPr>
                <w:sz w:val="1"/>
                <w:szCs w:val="1"/>
                <w:color w:val="auto"/>
              </w:rPr>
            </w:pPr>
          </w:p>
        </w:tc>
      </w:tr>
      <w:tr>
        <w:trPr>
          <w:trHeight w:val="142"/>
        </w:trPr>
        <w:tc>
          <w:tcPr>
            <w:tcW w:w="4140" w:type="dxa"/>
            <w:vAlign w:val="bottom"/>
            <w:gridSpan w:val="3"/>
            <w:vMerge w:val="continue"/>
          </w:tcPr>
          <w:p>
            <w:pPr>
              <w:spacing w:after="0"/>
              <w:rPr>
                <w:sz w:val="12"/>
                <w:szCs w:val="12"/>
                <w:color w:val="auto"/>
              </w:rPr>
            </w:pPr>
          </w:p>
        </w:tc>
        <w:tc>
          <w:tcPr>
            <w:tcW w:w="2700" w:type="dxa"/>
            <w:vAlign w:val="bottom"/>
          </w:tcPr>
          <w:p>
            <w:pPr>
              <w:spacing w:after="0"/>
              <w:rPr>
                <w:sz w:val="12"/>
                <w:szCs w:val="12"/>
                <w:color w:val="auto"/>
              </w:rPr>
            </w:pPr>
          </w:p>
        </w:tc>
        <w:tc>
          <w:tcPr>
            <w:tcW w:w="520" w:type="dxa"/>
            <w:vAlign w:val="bottom"/>
            <w:tcBorders>
              <w:top w:val="single" w:sz="8" w:color="auto"/>
            </w:tcBorders>
          </w:tcPr>
          <w:p>
            <w:pPr>
              <w:jc w:val="right"/>
              <w:ind w:right="46"/>
              <w:spacing w:after="0" w:line="142" w:lineRule="exact"/>
              <w:rPr>
                <w:sz w:val="20"/>
                <w:szCs w:val="20"/>
                <w:color w:val="auto"/>
              </w:rPr>
            </w:pPr>
            <w:r>
              <w:rPr>
                <w:rFonts w:ascii="Arial" w:cs="Arial" w:eastAsia="Arial" w:hAnsi="Arial"/>
                <w:sz w:val="14"/>
                <w:szCs w:val="14"/>
                <w:b w:val="1"/>
                <w:bCs w:val="1"/>
                <w:color w:val="auto"/>
              </w:rPr>
              <w:t>2009</w:t>
            </w:r>
          </w:p>
        </w:tc>
        <w:tc>
          <w:tcPr>
            <w:tcW w:w="7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2008</w:t>
            </w:r>
          </w:p>
        </w:tc>
        <w:tc>
          <w:tcPr>
            <w:tcW w:w="640" w:type="dxa"/>
            <w:vAlign w:val="bottom"/>
          </w:tcPr>
          <w:p>
            <w:pPr>
              <w:spacing w:after="0"/>
              <w:rPr>
                <w:sz w:val="12"/>
                <w:szCs w:val="12"/>
                <w:color w:val="auto"/>
              </w:rPr>
            </w:pPr>
          </w:p>
        </w:tc>
        <w:tc>
          <w:tcPr>
            <w:tcW w:w="580" w:type="dxa"/>
            <w:vAlign w:val="bottom"/>
            <w:tcBorders>
              <w:top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2009</w:t>
            </w:r>
          </w:p>
        </w:tc>
        <w:tc>
          <w:tcPr>
            <w:tcW w:w="4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w w:val="99"/>
              </w:rPr>
              <w:t>Interest expense</w:t>
            </w:r>
          </w:p>
        </w:tc>
        <w:tc>
          <w:tcPr>
            <w:tcW w:w="278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177</w:t>
            </w:r>
          </w:p>
        </w:tc>
        <w:tc>
          <w:tcPr>
            <w:tcW w:w="7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  176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352</w:t>
            </w:r>
          </w:p>
        </w:tc>
        <w:tc>
          <w:tcPr>
            <w:tcW w:w="4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341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Average interest rate</w:t>
            </w:r>
          </w:p>
        </w:tc>
        <w:tc>
          <w:tcPr>
            <w:tcW w:w="3940" w:type="dxa"/>
            <w:vAlign w:val="bottom"/>
            <w:gridSpan w:val="3"/>
          </w:tcPr>
          <w:p>
            <w:pPr>
              <w:jc w:val="right"/>
              <w:ind w:right="580"/>
              <w:spacing w:after="0"/>
              <w:rPr>
                <w:sz w:val="20"/>
                <w:szCs w:val="20"/>
                <w:color w:val="auto"/>
              </w:rPr>
            </w:pPr>
            <w:r>
              <w:rPr>
                <w:rFonts w:ascii="Arial" w:cs="Arial" w:eastAsia="Arial" w:hAnsi="Arial"/>
                <w:sz w:val="18"/>
                <w:szCs w:val="18"/>
                <w:color w:val="auto"/>
              </w:rPr>
              <w:t>5.8%</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5.8%</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5.9%</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 xml:space="preserve">The increase in interest expense for the first six months of 2009 as compared to the same period of 2008 is primarily the result of the issuances of $1.25 billion and $1.0 billion of long-term debt in December and May 2008, respectively, both bearing interest at 6.125% partially offset by the absence of interest expense associated with the redemption in February 2009 of our $500 million of Floating Rate Notes Due 2009 and the repayment in June 2009 of our $400 million of 6 </w:t>
      </w:r>
      <w:r>
        <w:rPr>
          <w:rFonts w:ascii="Arial" w:cs="Arial" w:eastAsia="Arial" w:hAnsi="Arial"/>
          <w:sz w:val="20"/>
          <w:szCs w:val="20"/>
          <w:color w:val="auto"/>
          <w:vertAlign w:val="superscript"/>
        </w:rPr>
        <w:t>1</w:t>
      </w:r>
      <w:r>
        <w:rPr>
          <w:rFonts w:ascii="Arial" w:cs="Arial" w:eastAsia="Arial" w:hAnsi="Arial"/>
          <w:sz w:val="16"/>
          <w:szCs w:val="16"/>
          <w:color w:val="auto"/>
        </w:rPr>
        <w:t>/</w:t>
      </w:r>
      <w:r>
        <w:rPr>
          <w:rFonts w:ascii="Arial" w:cs="Arial" w:eastAsia="Arial" w:hAnsi="Arial"/>
          <w:sz w:val="12"/>
          <w:szCs w:val="12"/>
          <w:color w:val="auto"/>
        </w:rPr>
        <w:t>2</w:t>
      </w:r>
      <w:r>
        <w:rPr>
          <w:rFonts w:ascii="Arial" w:cs="Arial" w:eastAsia="Arial" w:hAnsi="Arial"/>
          <w:sz w:val="16"/>
          <w:szCs w:val="16"/>
          <w:color w:val="auto"/>
        </w:rPr>
        <w:t>% Notes Due 2009. Interest expense also reflects the low cost associated with our commercial paper borrowings.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260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rPr>
              <w:t>Quarter Ended June 30,</w:t>
            </w:r>
          </w:p>
        </w:tc>
        <w:tc>
          <w:tcPr>
            <w:tcW w:w="224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98"/>
              </w:rPr>
              <w:t>Six Months Ended June 30,</w:t>
            </w:r>
          </w:p>
        </w:tc>
      </w:tr>
      <w:tr>
        <w:trPr>
          <w:trHeight w:val="142"/>
        </w:trPr>
        <w:tc>
          <w:tcPr>
            <w:tcW w:w="658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6"/>
              <w:spacing w:after="0" w:line="142" w:lineRule="exact"/>
              <w:rPr>
                <w:sz w:val="20"/>
                <w:szCs w:val="20"/>
                <w:color w:val="auto"/>
              </w:rPr>
            </w:pPr>
            <w:r>
              <w:rPr>
                <w:rFonts w:ascii="Arial" w:cs="Arial" w:eastAsia="Arial" w:hAnsi="Arial"/>
                <w:sz w:val="14"/>
                <w:szCs w:val="14"/>
                <w:b w:val="1"/>
                <w:bCs w:val="1"/>
                <w:color w:val="auto"/>
              </w:rPr>
              <w:t>2009</w:t>
            </w:r>
          </w:p>
        </w:tc>
        <w:tc>
          <w:tcPr>
            <w:tcW w:w="84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2008</w:t>
            </w:r>
          </w:p>
        </w:tc>
        <w:tc>
          <w:tcPr>
            <w:tcW w:w="74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66"/>
              <w:spacing w:after="0" w:line="142" w:lineRule="exact"/>
              <w:rPr>
                <w:sz w:val="20"/>
                <w:szCs w:val="20"/>
                <w:color w:val="auto"/>
              </w:rPr>
            </w:pPr>
            <w:r>
              <w:rPr>
                <w:rFonts w:ascii="Arial" w:cs="Arial" w:eastAsia="Arial" w:hAnsi="Arial"/>
                <w:sz w:val="14"/>
                <w:szCs w:val="14"/>
                <w:b w:val="1"/>
                <w:bCs w:val="1"/>
                <w:color w:val="auto"/>
              </w:rPr>
              <w:t>2009</w:t>
            </w:r>
          </w:p>
        </w:tc>
        <w:tc>
          <w:tcPr>
            <w:tcW w:w="90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r>
      <w:tr>
        <w:trPr>
          <w:trHeight w:val="210"/>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27.0%</w:t>
            </w: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28.5%</w:t>
            </w:r>
          </w:p>
        </w:tc>
        <w:tc>
          <w:tcPr>
            <w:tcW w:w="14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26.4%</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28.5%</w:t>
            </w:r>
          </w:p>
        </w:tc>
      </w:tr>
    </w:tbl>
    <w:p>
      <w:pPr>
        <w:spacing w:after="0" w:line="154" w:lineRule="exact"/>
        <w:rPr>
          <w:sz w:val="20"/>
          <w:szCs w:val="20"/>
          <w:color w:val="auto"/>
        </w:rPr>
      </w:pPr>
    </w:p>
    <w:p>
      <w:pPr>
        <w:jc w:val="both"/>
        <w:ind w:right="40" w:firstLine="456"/>
        <w:spacing w:after="0" w:line="318" w:lineRule="auto"/>
        <w:rPr>
          <w:sz w:val="20"/>
          <w:szCs w:val="20"/>
          <w:color w:val="auto"/>
        </w:rPr>
      </w:pPr>
      <w:r>
        <w:rPr>
          <w:rFonts w:ascii="Arial" w:cs="Arial" w:eastAsia="Arial" w:hAnsi="Arial"/>
          <w:sz w:val="15"/>
          <w:szCs w:val="15"/>
          <w:color w:val="auto"/>
        </w:rPr>
        <w:t>The effective tax rate for the quarter ended June 30, 2009 has decreased as compared to the same period of 2008 as a result of the non-taxability of a gain recognized in the quarter ended June 30, 2009 on the remeasurement to fair value of a previously held equity interest in an Otis joint venture due to the purchase of a controlling interest in the venture. The effective tax rate for the six months ended June 30, 2009 decreased as compared to the same period of 2008 as a result of the favorable tax impact of approximately $25 million in the first quarter of 2009 related to the formation of a commercial venture and the non-taxability of the second quarter 2009 Otis gain. The effective tax rate for the balance of the year is expected to be approximately 28% before the impacts of any discrete events.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Net Income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 except per share amounts)</w:t>
            </w:r>
          </w:p>
        </w:tc>
        <w:tc>
          <w:tcPr>
            <w:tcW w:w="1520" w:type="dxa"/>
            <w:vAlign w:val="bottom"/>
            <w:gridSpan w:val="5"/>
          </w:tcPr>
          <w:p>
            <w:pPr>
              <w:jc w:val="right"/>
              <w:spacing w:after="0"/>
              <w:rPr>
                <w:sz w:val="20"/>
                <w:szCs w:val="20"/>
                <w:color w:val="auto"/>
              </w:rPr>
            </w:pPr>
            <w:r>
              <w:rPr>
                <w:rFonts w:ascii="Arial" w:cs="Arial" w:eastAsia="Arial" w:hAnsi="Arial"/>
                <w:sz w:val="14"/>
                <w:szCs w:val="14"/>
                <w:b w:val="1"/>
                <w:bCs w:val="1"/>
                <w:color w:val="auto"/>
                <w:w w:val="91"/>
              </w:rPr>
              <w:t>Quarter Ended June 30,</w:t>
            </w:r>
          </w:p>
        </w:tc>
        <w:tc>
          <w:tcPr>
            <w:tcW w:w="220" w:type="dxa"/>
            <w:vAlign w:val="bottom"/>
          </w:tcPr>
          <w:p>
            <w:pPr>
              <w:spacing w:after="0"/>
              <w:rPr>
                <w:sz w:val="14"/>
                <w:szCs w:val="14"/>
                <w:color w:val="auto"/>
              </w:rPr>
            </w:pPr>
          </w:p>
        </w:tc>
        <w:tc>
          <w:tcPr>
            <w:tcW w:w="1700" w:type="dxa"/>
            <w:vAlign w:val="bottom"/>
            <w:gridSpan w:val="6"/>
          </w:tcPr>
          <w:p>
            <w:pPr>
              <w:jc w:val="right"/>
              <w:ind w:right="80"/>
              <w:spacing w:after="0"/>
              <w:rPr>
                <w:sz w:val="20"/>
                <w:szCs w:val="20"/>
                <w:color w:val="auto"/>
              </w:rPr>
            </w:pPr>
            <w:r>
              <w:rPr>
                <w:rFonts w:ascii="Arial" w:cs="Arial" w:eastAsia="Arial" w:hAnsi="Arial"/>
                <w:sz w:val="14"/>
                <w:szCs w:val="14"/>
                <w:b w:val="1"/>
                <w:bCs w:val="1"/>
                <w:color w:val="auto"/>
                <w:w w:val="88"/>
              </w:rPr>
              <w:t>Six Months Ended June 30,</w:t>
            </w:r>
          </w:p>
        </w:tc>
        <w:tc>
          <w:tcPr>
            <w:tcW w:w="0" w:type="dxa"/>
            <w:vAlign w:val="bottom"/>
          </w:tcPr>
          <w:p>
            <w:pPr>
              <w:spacing w:after="0"/>
              <w:rPr>
                <w:sz w:val="1"/>
                <w:szCs w:val="1"/>
                <w:color w:val="auto"/>
              </w:rPr>
            </w:pPr>
          </w:p>
        </w:tc>
      </w:tr>
      <w:tr>
        <w:trPr>
          <w:trHeight w:val="142"/>
        </w:trPr>
        <w:tc>
          <w:tcPr>
            <w:tcW w:w="8000" w:type="dxa"/>
            <w:vAlign w:val="bottom"/>
            <w:gridSpan w:val="3"/>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w w:val="96"/>
              </w:rPr>
              <w:t>2009</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w w:val="96"/>
              </w:rPr>
              <w:t>2008</w:t>
            </w: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80" w:type="dxa"/>
            <w:vAlign w:val="bottom"/>
            <w:shd w:val="clear" w:color="auto" w:fill="000000"/>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0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3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Less: Noncontrolling interest in subsidiaries’ earnings</w:t>
            </w: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common shareowners</w:t>
            </w: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1,698</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gridSpan w:val="3"/>
            <w:vMerge w:val="restart"/>
          </w:tcPr>
          <w:p>
            <w:pPr>
              <w:spacing w:after="0"/>
              <w:rPr>
                <w:sz w:val="20"/>
                <w:szCs w:val="20"/>
                <w:color w:val="auto"/>
              </w:rPr>
            </w:pPr>
            <w:r>
              <w:rPr>
                <w:rFonts w:ascii="Arial" w:cs="Arial" w:eastAsia="Arial" w:hAnsi="Arial"/>
                <w:sz w:val="18"/>
                <w:szCs w:val="18"/>
                <w:color w:val="auto"/>
              </w:rPr>
              <w:t>Diluted earnings per share</w:t>
            </w: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000" w:type="dxa"/>
            <w:vAlign w:val="bottom"/>
            <w:gridSpan w:val="3"/>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1.05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1.32</w:t>
            </w:r>
          </w:p>
        </w:tc>
        <w:tc>
          <w:tcPr>
            <w:tcW w:w="3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1.83</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The general strength of the U.S. dollar against certain currencies, such as the Euro, in the first half of 2009 as compared to 2008, generated an adverse foreign currency impact on our operational results of $.11 and $.19 per share in the second quarter and first six months of 2009, respectively. These impacts include the net impacts of both foreign currency translation and hedging at P&amp;WC. In the second quarter of 2009, positive foreign currency translation at P&amp;WC of $.05 per share was more than offset by the adverse impact of hedging. At P&amp;WC, the strength of the U.S. dollar in the second quarter of 2009 generated positive foreign currency translation impact as the majority of P&amp;WC’s revenues are denominated in U.S. dollars, while a significant portion of its costs are incurred in local currencies. To help mitigate the volatility of foreign currency exchange rates on our operating results, we maintain foreign currency hedging programs, the majority of which are entered into by P&amp;WC. Due to the significant revenue growth at P&amp;WC over the past few years, as well as the dramatic increase in the strength of the Canadian dollar to the U.S. dollar in early 2008, the hedges previously entered into generated an adverse foreign exchange impact as the U.S. dollar strengthened. As a result of hedging programs currently in place, P&amp;WC’s 2009 full year operating results will include the adverse impact of foreign currency translation, net of hedging, of approximately $100 million. For additional discussion of hedging, refer to Note 8 to the Condensed Consolidated Financial Statements. Diluted earnings per share for the second quarter of 2009 were also favorably impacted by approximately $.03 per share as a result of the shares repurchased since July 1, 2008 under our share repurchase program.</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and Related Costs</w:t>
      </w:r>
    </w:p>
    <w:p>
      <w:pPr>
        <w:spacing w:after="0" w:line="9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During the first six months of 2009, we recorded net pre-tax restructuring and related charges totaling $464 million for new and ongoing restructuring actions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7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Otis</w:t>
            </w:r>
          </w:p>
        </w:tc>
        <w:tc>
          <w:tcPr>
            <w:tcW w:w="2420" w:type="dxa"/>
            <w:vAlign w:val="bottom"/>
            <w:shd w:val="clear" w:color="auto" w:fill="CCEEFF"/>
          </w:tcPr>
          <w:p>
            <w:pPr>
              <w:spacing w:after="0"/>
              <w:rPr>
                <w:sz w:val="18"/>
                <w:szCs w:val="18"/>
                <w:color w:val="auto"/>
              </w:rPr>
            </w:pPr>
          </w:p>
        </w:tc>
        <w:tc>
          <w:tcPr>
            <w:tcW w:w="7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7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7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7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7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Sikorsky</w:t>
            </w:r>
          </w:p>
        </w:tc>
        <w:tc>
          <w:tcPr>
            <w:tcW w:w="7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Eliminations &amp; other</w:t>
            </w:r>
          </w:p>
        </w:tc>
        <w:tc>
          <w:tcPr>
            <w:tcW w:w="7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General corporate expenses</w:t>
            </w:r>
          </w:p>
        </w:tc>
        <w:tc>
          <w:tcPr>
            <w:tcW w:w="7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7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7280" w:type="dxa"/>
            <w:vAlign w:val="bottom"/>
            <w:vMerge w:val="restart"/>
          </w:tcPr>
          <w:p>
            <w:pPr>
              <w:jc w:val="right"/>
              <w:ind w:right="5172"/>
              <w:spacing w:after="0"/>
              <w:rPr>
                <w:sz w:val="20"/>
                <w:szCs w:val="20"/>
                <w:color w:val="auto"/>
              </w:rPr>
            </w:pPr>
            <w:r>
              <w:rPr>
                <w:rFonts w:ascii="Arial" w:cs="Arial" w:eastAsia="Arial" w:hAnsi="Arial"/>
                <w:sz w:val="18"/>
                <w:szCs w:val="18"/>
                <w:color w:val="auto"/>
              </w:rPr>
              <w:t>28</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2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net charges included $192 million in cost of sales, $254 million in selling, general and administrative expenses and $18 million in other income and, as described below, primarily relate to actions initiated during 2009 and 2008.</w:t>
      </w:r>
    </w:p>
    <w:p>
      <w:pPr>
        <w:spacing w:after="0" w:line="126"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b w:val="1"/>
          <w:bCs w:val="1"/>
          <w:color w:val="auto"/>
        </w:rPr>
        <w:t xml:space="preserve">2009 Actions. </w:t>
      </w:r>
      <w:r>
        <w:rPr>
          <w:rFonts w:ascii="Arial" w:cs="Arial" w:eastAsia="Arial" w:hAnsi="Arial"/>
          <w:sz w:val="16"/>
          <w:szCs w:val="16"/>
          <w:color w:val="auto"/>
        </w:rPr>
        <w:t>During the first six months of 2009, we initiated restructuring actions relating to ongoing cost reduction efforts, including workforce</w:t>
      </w:r>
      <w:r>
        <w:rPr>
          <w:rFonts w:ascii="Arial" w:cs="Arial" w:eastAsia="Arial" w:hAnsi="Arial"/>
          <w:sz w:val="16"/>
          <w:szCs w:val="16"/>
          <w:b w:val="1"/>
          <w:bCs w:val="1"/>
          <w:color w:val="auto"/>
        </w:rPr>
        <w:t xml:space="preserve"> </w:t>
      </w:r>
      <w:r>
        <w:rPr>
          <w:rFonts w:ascii="Arial" w:cs="Arial" w:eastAsia="Arial" w:hAnsi="Arial"/>
          <w:sz w:val="16"/>
          <w:szCs w:val="16"/>
          <w:color w:val="auto"/>
        </w:rPr>
        <w:t>reductions and the consolidation of administrative offices. We recorded net pre-tax restructuring and related charges totaling $434 million as follows: Otis $78 million, Carrier $88 million, UTC Fire &amp; Security $96 million, Pratt &amp; Whitney $102 million, Hamilton Sundstrand $56 million, Sikorsky $7 million, Eliminations &amp; Other $4 million and General corporate expenses $3 million. The charges included $167 million in cost of sales, $249 million in selling, general and administrative expenses and $18 million in other income. Those costs included $395 million for severance and related employee termination costs, $20 million for asset write-downs and $19 million for facility exit and lease termination costs.</w:t>
      </w:r>
    </w:p>
    <w:p>
      <w:pPr>
        <w:spacing w:after="0" w:line="11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expect the 2009 actions that were initiated in the first six months to result in net workforce reductions of approximately 10,600 hourly and salaried employees, the exiting of approximately 2 million net square feet of facilities and the disposal of assets associated with the exited facilities. As of June 30, 2009, we have completed net workforce reductions of approximately 7,000 employees. We are targeting the majority of the remaining workforce and all facility related cost reduction actions for completion during 2009 and 2010. Approximately 75% of the total pre-tax charge will require cash payments, which we will fund with cash generated from operations. During the first six months of 2009, we had cash outflows of approximately $116 million related to the 2009 actions. We expect to incur additional restructuring and related charges of $64 million to complete these actions. We expect recurring pre-tax savings to increase over the two-year period subsequent to initiating the actions to approximately $500 million annually.</w:t>
      </w:r>
    </w:p>
    <w:p>
      <w:pPr>
        <w:spacing w:after="0" w:line="112"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b w:val="1"/>
          <w:bCs w:val="1"/>
          <w:color w:val="auto"/>
        </w:rPr>
        <w:t xml:space="preserve">2008 Actions. </w:t>
      </w:r>
      <w:r>
        <w:rPr>
          <w:rFonts w:ascii="Arial" w:cs="Arial" w:eastAsia="Arial" w:hAnsi="Arial"/>
          <w:sz w:val="16"/>
          <w:szCs w:val="16"/>
          <w:color w:val="auto"/>
        </w:rPr>
        <w:t>During the first six months of 2009, we recorded net pre-tax restructuring and related charges and reversals of $28 million for actions</w:t>
      </w:r>
      <w:r>
        <w:rPr>
          <w:rFonts w:ascii="Arial" w:cs="Arial" w:eastAsia="Arial" w:hAnsi="Arial"/>
          <w:sz w:val="16"/>
          <w:szCs w:val="16"/>
          <w:b w:val="1"/>
          <w:bCs w:val="1"/>
          <w:color w:val="auto"/>
        </w:rPr>
        <w:t xml:space="preserve"> </w:t>
      </w:r>
      <w:r>
        <w:rPr>
          <w:rFonts w:ascii="Arial" w:cs="Arial" w:eastAsia="Arial" w:hAnsi="Arial"/>
          <w:sz w:val="16"/>
          <w:szCs w:val="16"/>
          <w:color w:val="auto"/>
        </w:rPr>
        <w:t>initiated in 2008. The 2008 actions relate to ongoing cost reduction efforts, including selling, general and administrative reductions and the consolidation of manufacturing facilities. We recorded the charges (reversals) for the first six months of 2009 as follows: Otis $1 million, Carrier $8 million, UTC Fire &amp; Security $4 million, Pratt &amp; Whitney $18 million, Hamilton Sundstrand ($2 million) and Eliminations &amp; Other ($1 million). The charges and reversals included $23 million in cost of sales and $5 million in selling, general and administrative expenses. Those costs and reversals included $19 million for severance and related employee termination costs and $9 million for facility exit and lease termination costs.</w:t>
      </w:r>
    </w:p>
    <w:p>
      <w:pPr>
        <w:spacing w:after="0" w:line="11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expect the 2008 actions to result in net workforce reductions of approximately 6,300 hourly and salaried employees, the exiting of approximately 1.2 million net square feet of facilities and the disposal of assets associated with the exited facilities. As of June 30, 2009, we have completed net workforce reductions of approximately 5,500 employees and exited 200,000 net square feet of facilities. We are targeting the majority of the remaining workforce and all facility related cost reduction actions for completion during 2009 and 2010. Approximately 65% of the total pre-tax charge will require cash payments, which we will fund with cash generated from operations. During the first six months of 2009, we had cash outflows of approximately $96 million related to the 2008 actions. We expect to incur additional restructuring and related charges of $23 million to complete these actions. We expect recurring pre-tax savings to increase over the two-year period subsequent to initiating the actions to approximately $400 million annually.</w:t>
      </w:r>
    </w:p>
    <w:p>
      <w:pPr>
        <w:spacing w:after="0" w:line="112" w:lineRule="exact"/>
        <w:rPr>
          <w:sz w:val="20"/>
          <w:szCs w:val="20"/>
          <w:color w:val="auto"/>
        </w:rPr>
      </w:pPr>
    </w:p>
    <w:p>
      <w:pPr>
        <w:jc w:val="both"/>
        <w:ind w:right="480" w:firstLine="456"/>
        <w:spacing w:after="0" w:line="262" w:lineRule="auto"/>
        <w:rPr>
          <w:sz w:val="20"/>
          <w:szCs w:val="20"/>
          <w:color w:val="auto"/>
        </w:rPr>
      </w:pPr>
      <w:r>
        <w:rPr>
          <w:rFonts w:ascii="Arial" w:cs="Arial" w:eastAsia="Arial" w:hAnsi="Arial"/>
          <w:sz w:val="18"/>
          <w:szCs w:val="18"/>
          <w:b w:val="1"/>
          <w:bCs w:val="1"/>
          <w:color w:val="auto"/>
        </w:rPr>
        <w:t xml:space="preserve">Additional 2009 Actions. </w:t>
      </w:r>
      <w:r>
        <w:rPr>
          <w:rFonts w:ascii="Arial" w:cs="Arial" w:eastAsia="Arial" w:hAnsi="Arial"/>
          <w:sz w:val="18"/>
          <w:szCs w:val="18"/>
          <w:color w:val="auto"/>
        </w:rPr>
        <w:t>We expect to initiate additional restructuring actions during the remainder of 2009 related to the current global economic</w:t>
      </w:r>
      <w:r>
        <w:rPr>
          <w:rFonts w:ascii="Arial" w:cs="Arial" w:eastAsia="Arial" w:hAnsi="Arial"/>
          <w:sz w:val="18"/>
          <w:szCs w:val="18"/>
          <w:b w:val="1"/>
          <w:bCs w:val="1"/>
          <w:color w:val="auto"/>
        </w:rPr>
        <w:t xml:space="preserve"> </w:t>
      </w:r>
      <w:r>
        <w:rPr>
          <w:rFonts w:ascii="Arial" w:cs="Arial" w:eastAsia="Arial" w:hAnsi="Arial"/>
          <w:sz w:val="18"/>
          <w:szCs w:val="18"/>
          <w:color w:val="auto"/>
        </w:rPr>
        <w:t>downturn. Including trailing costs from previously announced restructuring actions, we expect full year 2009 restructuring cost to total approximately $750 million, including the $464 million of charges incurred in the first six months of 2009.</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These actions are expected to result in global employment reductions, in primarily overhead and selling, general and administrative functions, of approximately 11,600, including those completed through June 2009; however, except for those actions described above and similar actions announced in July 2009, no specific plans for significant other actions have been finalized at this time.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Review</w:t>
      </w:r>
    </w:p>
    <w:p>
      <w:pPr>
        <w:spacing w:after="0" w:line="96"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Segments are generally based on the management structure of the businesses and the grouping of similar operating companies, where each management organization has general operating autonomy over diversified products and services. Adjustments to reconcile segment reporting to the consolidated results for the quarters and six months ended June 30, 2009 and 2008 are included in “Eliminations and other” below, which also includes certain small subsidiaries.</w:t>
      </w:r>
    </w:p>
    <w:p>
      <w:pPr>
        <w:spacing w:after="0" w:line="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discussed more fully in Note 11 to the Condensed Consolidated Financial Statements, we adopted EITF 07-1 as of January 1, 2009. Accordingly, revenues were increased by the collaborators’ share of revenues with an offsetting increase to cost of sales. Prior period amounts include retroactive application of requirements of EITF 07-1.</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Results for the quarters ended June 30, 2009 and 2008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80" w:type="dxa"/>
            <w:vAlign w:val="bottom"/>
          </w:tcPr>
          <w:p>
            <w:pPr>
              <w:spacing w:after="0"/>
              <w:rPr>
                <w:sz w:val="14"/>
                <w:szCs w:val="14"/>
                <w:color w:val="auto"/>
              </w:rPr>
            </w:pPr>
          </w:p>
        </w:tc>
        <w:tc>
          <w:tcPr>
            <w:tcW w:w="170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Revenues</w:t>
            </w:r>
          </w:p>
        </w:tc>
        <w:tc>
          <w:tcPr>
            <w:tcW w:w="100" w:type="dxa"/>
            <w:vAlign w:val="bottom"/>
          </w:tcPr>
          <w:p>
            <w:pPr>
              <w:spacing w:after="0"/>
              <w:rPr>
                <w:sz w:val="14"/>
                <w:szCs w:val="14"/>
                <w:color w:val="auto"/>
              </w:rPr>
            </w:pPr>
          </w:p>
        </w:tc>
        <w:tc>
          <w:tcPr>
            <w:tcW w:w="152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0"/>
              </w:rPr>
              <w:t>Operating Profits</w:t>
            </w:r>
          </w:p>
        </w:tc>
        <w:tc>
          <w:tcPr>
            <w:tcW w:w="182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2"/>
              </w:rPr>
              <w:t>Operating Profit Margins</w:t>
            </w:r>
          </w:p>
        </w:tc>
        <w:tc>
          <w:tcPr>
            <w:tcW w:w="0" w:type="dxa"/>
            <w:vAlign w:val="bottom"/>
          </w:tcPr>
          <w:p>
            <w:pPr>
              <w:spacing w:after="0"/>
              <w:rPr>
                <w:sz w:val="1"/>
                <w:szCs w:val="1"/>
                <w:color w:val="auto"/>
              </w:rPr>
            </w:pPr>
          </w:p>
        </w:tc>
      </w:tr>
      <w:tr>
        <w:trPr>
          <w:trHeight w:val="142"/>
        </w:trPr>
        <w:tc>
          <w:tcPr>
            <w:tcW w:w="6200" w:type="dxa"/>
            <w:vAlign w:val="bottom"/>
            <w:gridSpan w:val="3"/>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2009</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2008</w:t>
            </w:r>
          </w:p>
        </w:tc>
        <w:tc>
          <w:tcPr>
            <w:tcW w:w="320" w:type="dxa"/>
            <w:vAlign w:val="bottom"/>
          </w:tcPr>
          <w:p>
            <w:pPr>
              <w:spacing w:after="0"/>
              <w:rPr>
                <w:sz w:val="12"/>
                <w:szCs w:val="12"/>
                <w:color w:val="auto"/>
              </w:rPr>
            </w:pPr>
          </w:p>
        </w:tc>
        <w:tc>
          <w:tcPr>
            <w:tcW w:w="52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2009</w:t>
            </w:r>
          </w:p>
        </w:tc>
        <w:tc>
          <w:tcPr>
            <w:tcW w:w="5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Otis</w:t>
            </w:r>
          </w:p>
        </w:tc>
        <w:tc>
          <w:tcPr>
            <w:tcW w:w="48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671</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21.4%</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4,356</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260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487</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8.4%</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1,738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126</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4.1%</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3,111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3,569</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467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546</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15.0%</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1,650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280</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13.3%</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Sikorsky</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1,389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1,307</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111</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9.6%</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1340" w:type="dxa"/>
            <w:vAlign w:val="bottom"/>
          </w:tcPr>
          <w:p>
            <w:pPr>
              <w:spacing w:after="0"/>
              <w:rPr>
                <w:sz w:val="6"/>
                <w:szCs w:val="6"/>
                <w:color w:val="auto"/>
              </w:rPr>
            </w:pPr>
          </w:p>
        </w:tc>
        <w:tc>
          <w:tcPr>
            <w:tcW w:w="48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segments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13,284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3"/>
              </w:rPr>
              <w:t>16,024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1,733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2,221</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Eliminations and other</w:t>
            </w: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(13)</w:t>
            </w: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corporate expenses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(109)</w:t>
            </w: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gridSpan w:val="3"/>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6200" w:type="dxa"/>
            <w:vAlign w:val="bottom"/>
            <w:gridSpan w:val="3"/>
          </w:tcPr>
          <w:p>
            <w:pPr>
              <w:spacing w:after="0"/>
              <w:rPr>
                <w:sz w:val="20"/>
                <w:szCs w:val="20"/>
                <w:color w:val="auto"/>
              </w:rPr>
            </w:pPr>
            <w:r>
              <w:rPr>
                <w:rFonts w:ascii="Arial" w:cs="Arial" w:eastAsia="Arial" w:hAnsi="Arial"/>
                <w:sz w:val="18"/>
                <w:szCs w:val="18"/>
                <w:color w:val="auto"/>
              </w:rPr>
              <w:t>Consolidated</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13,196</w:t>
            </w:r>
          </w:p>
        </w:tc>
        <w:tc>
          <w:tcPr>
            <w:tcW w:w="3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w w:val="83"/>
              </w:rPr>
              <w:t>15,944</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1,637</w:t>
            </w:r>
          </w:p>
        </w:tc>
        <w:tc>
          <w:tcPr>
            <w:tcW w:w="18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2,099</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12.4%</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900" w:firstLine="456"/>
        <w:spacing w:after="0" w:line="268" w:lineRule="auto"/>
        <w:rPr>
          <w:sz w:val="20"/>
          <w:szCs w:val="20"/>
          <w:color w:val="auto"/>
        </w:rPr>
      </w:pPr>
      <w:r>
        <w:rPr>
          <w:rFonts w:ascii="Arial" w:cs="Arial" w:eastAsia="Arial" w:hAnsi="Arial"/>
          <w:sz w:val="18"/>
          <w:szCs w:val="18"/>
          <w:color w:val="auto"/>
        </w:rPr>
        <w:t>Second quarter 2009 and 2008 restructuring and related charges included in consolidated operating profit totaled $301 million and $94 million, respectively,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3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6"/>
          </w:tcPr>
          <w:p>
            <w:pPr>
              <w:ind w:left="120"/>
              <w:spacing w:after="0"/>
              <w:rPr>
                <w:sz w:val="20"/>
                <w:szCs w:val="20"/>
                <w:color w:val="auto"/>
              </w:rPr>
            </w:pPr>
            <w:r>
              <w:rPr>
                <w:rFonts w:ascii="Arial" w:cs="Arial" w:eastAsia="Arial" w:hAnsi="Arial"/>
                <w:sz w:val="14"/>
                <w:szCs w:val="14"/>
                <w:b w:val="1"/>
                <w:bCs w:val="1"/>
                <w:color w:val="auto"/>
              </w:rPr>
              <w:t>Quarter Ended June 30,</w:t>
            </w:r>
          </w:p>
        </w:tc>
        <w:tc>
          <w:tcPr>
            <w:tcW w:w="0" w:type="dxa"/>
            <w:vAlign w:val="bottom"/>
          </w:tcPr>
          <w:p>
            <w:pPr>
              <w:spacing w:after="0"/>
              <w:rPr>
                <w:sz w:val="1"/>
                <w:szCs w:val="1"/>
                <w:color w:val="auto"/>
              </w:rPr>
            </w:pPr>
          </w:p>
        </w:tc>
      </w:tr>
      <w:tr>
        <w:trPr>
          <w:trHeight w:val="142"/>
        </w:trPr>
        <w:tc>
          <w:tcPr>
            <w:tcW w:w="5720" w:type="dxa"/>
            <w:vAlign w:val="bottom"/>
            <w:gridSpan w:val="3"/>
            <w:vMerge w:val="continue"/>
          </w:tcPr>
          <w:p>
            <w:pPr>
              <w:spacing w:after="0"/>
              <w:rPr>
                <w:sz w:val="12"/>
                <w:szCs w:val="12"/>
                <w:color w:val="auto"/>
              </w:rPr>
            </w:pPr>
          </w:p>
        </w:tc>
        <w:tc>
          <w:tcPr>
            <w:tcW w:w="37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96"/>
              </w:rPr>
              <w:t>2009</w:t>
            </w:r>
          </w:p>
        </w:tc>
        <w:tc>
          <w:tcPr>
            <w:tcW w:w="3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96"/>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Otis</w:t>
            </w:r>
          </w:p>
        </w:tc>
        <w:tc>
          <w:tcPr>
            <w:tcW w:w="436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3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55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3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3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56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3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Sikorsky</w:t>
            </w:r>
          </w:p>
        </w:tc>
        <w:tc>
          <w:tcPr>
            <w:tcW w:w="3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Eliminations and other</w:t>
            </w:r>
          </w:p>
        </w:tc>
        <w:tc>
          <w:tcPr>
            <w:tcW w:w="3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General corporate expenses</w:t>
            </w:r>
          </w:p>
        </w:tc>
        <w:tc>
          <w:tcPr>
            <w:tcW w:w="3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34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301</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Results for the six months ended June 30, 2009 and 2008 are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2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Revenues</w:t>
            </w:r>
          </w:p>
        </w:tc>
        <w:tc>
          <w:tcPr>
            <w:tcW w:w="162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9"/>
              </w:rPr>
              <w:t>Operating Profits</w:t>
            </w:r>
          </w:p>
        </w:tc>
        <w:tc>
          <w:tcPr>
            <w:tcW w:w="182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2"/>
              </w:rPr>
              <w:t>Operating Profit Margins</w:t>
            </w:r>
          </w:p>
        </w:tc>
        <w:tc>
          <w:tcPr>
            <w:tcW w:w="0" w:type="dxa"/>
            <w:vAlign w:val="bottom"/>
          </w:tcPr>
          <w:p>
            <w:pPr>
              <w:spacing w:after="0"/>
              <w:rPr>
                <w:sz w:val="1"/>
                <w:szCs w:val="1"/>
                <w:color w:val="auto"/>
              </w:rPr>
            </w:pPr>
          </w:p>
        </w:tc>
      </w:tr>
      <w:tr>
        <w:trPr>
          <w:trHeight w:val="142"/>
        </w:trPr>
        <w:tc>
          <w:tcPr>
            <w:tcW w:w="3780" w:type="dxa"/>
            <w:vAlign w:val="bottom"/>
            <w:gridSpan w:val="3"/>
            <w:vMerge w:val="continue"/>
          </w:tcPr>
          <w:p>
            <w:pPr>
              <w:spacing w:after="0"/>
              <w:rPr>
                <w:sz w:val="12"/>
                <w:szCs w:val="12"/>
                <w:color w:val="auto"/>
              </w:rPr>
            </w:pPr>
          </w:p>
        </w:tc>
        <w:tc>
          <w:tcPr>
            <w:tcW w:w="24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2"/>
                <w:szCs w:val="12"/>
                <w:color w:val="auto"/>
              </w:rPr>
            </w:pPr>
          </w:p>
        </w:tc>
        <w:tc>
          <w:tcPr>
            <w:tcW w:w="50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2"/>
                <w:szCs w:val="12"/>
                <w:color w:val="auto"/>
              </w:rPr>
            </w:pPr>
          </w:p>
        </w:tc>
        <w:tc>
          <w:tcPr>
            <w:tcW w:w="52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2009</w:t>
            </w:r>
          </w:p>
        </w:tc>
        <w:tc>
          <w:tcPr>
            <w:tcW w:w="5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Otis</w:t>
            </w:r>
          </w:p>
        </w:tc>
        <w:tc>
          <w:tcPr>
            <w:tcW w:w="242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6,461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$1,137</w:t>
            </w: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$1,251</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20.2%</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5,587</w:t>
            </w: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7,765</w:t>
            </w:r>
          </w:p>
        </w:tc>
        <w:tc>
          <w:tcPr>
            <w:tcW w:w="500" w:type="dxa"/>
            <w:vAlign w:val="bottom"/>
          </w:tcPr>
          <w:p>
            <w:pPr>
              <w:jc w:val="right"/>
              <w:spacing w:after="0"/>
              <w:rPr>
                <w:sz w:val="20"/>
                <w:szCs w:val="20"/>
                <w:color w:val="auto"/>
              </w:rPr>
            </w:pPr>
            <w:r>
              <w:rPr>
                <w:rFonts w:ascii="Arial" w:cs="Arial" w:eastAsia="Arial" w:hAnsi="Arial"/>
                <w:sz w:val="18"/>
                <w:szCs w:val="18"/>
                <w:color w:val="auto"/>
              </w:rPr>
              <w:t>282</w:t>
            </w:r>
          </w:p>
        </w:tc>
        <w:tc>
          <w:tcPr>
            <w:tcW w:w="180" w:type="dxa"/>
            <w:vAlign w:val="bottom"/>
          </w:tcPr>
          <w:p>
            <w:pPr>
              <w:spacing w:after="0"/>
              <w:rPr>
                <w:sz w:val="18"/>
                <w:szCs w:val="18"/>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8"/>
                <w:szCs w:val="18"/>
                <w:color w:val="auto"/>
              </w:rPr>
              <w:t>735</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5.0%</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2,616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3,336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241</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5.7%</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6,291</w:t>
            </w: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7,033</w:t>
            </w:r>
          </w:p>
        </w:tc>
        <w:tc>
          <w:tcPr>
            <w:tcW w:w="500" w:type="dxa"/>
            <w:vAlign w:val="bottom"/>
          </w:tcPr>
          <w:p>
            <w:pPr>
              <w:jc w:val="right"/>
              <w:spacing w:after="0"/>
              <w:rPr>
                <w:sz w:val="20"/>
                <w:szCs w:val="20"/>
                <w:color w:val="auto"/>
              </w:rPr>
            </w:pPr>
            <w:r>
              <w:rPr>
                <w:rFonts w:ascii="Arial" w:cs="Arial" w:eastAsia="Arial" w:hAnsi="Arial"/>
                <w:sz w:val="18"/>
                <w:szCs w:val="18"/>
                <w:color w:val="auto"/>
              </w:rPr>
              <w:t>903</w:t>
            </w:r>
          </w:p>
        </w:tc>
        <w:tc>
          <w:tcPr>
            <w:tcW w:w="180" w:type="dxa"/>
            <w:vAlign w:val="bottom"/>
          </w:tcPr>
          <w:p>
            <w:pPr>
              <w:spacing w:after="0"/>
              <w:rPr>
                <w:sz w:val="18"/>
                <w:szCs w:val="18"/>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8"/>
                <w:szCs w:val="18"/>
                <w:color w:val="auto"/>
              </w:rPr>
              <w:t>1,072</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14.4%</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2,783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3,111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509</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13.6%</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Sikorsky</w:t>
            </w: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2,723</w:t>
            </w: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2,330</w:t>
            </w:r>
          </w:p>
        </w:tc>
        <w:tc>
          <w:tcPr>
            <w:tcW w:w="500" w:type="dxa"/>
            <w:vAlign w:val="bottom"/>
          </w:tcPr>
          <w:p>
            <w:pPr>
              <w:jc w:val="right"/>
              <w:spacing w:after="0"/>
              <w:rPr>
                <w:sz w:val="20"/>
                <w:szCs w:val="20"/>
                <w:color w:val="auto"/>
              </w:rPr>
            </w:pPr>
            <w:r>
              <w:rPr>
                <w:rFonts w:ascii="Arial" w:cs="Arial" w:eastAsia="Arial" w:hAnsi="Arial"/>
                <w:sz w:val="18"/>
                <w:szCs w:val="18"/>
                <w:color w:val="auto"/>
              </w:rPr>
              <w:t>249</w:t>
            </w:r>
          </w:p>
        </w:tc>
        <w:tc>
          <w:tcPr>
            <w:tcW w:w="180" w:type="dxa"/>
            <w:vAlign w:val="bottom"/>
          </w:tcPr>
          <w:p>
            <w:pPr>
              <w:spacing w:after="0"/>
              <w:rPr>
                <w:sz w:val="18"/>
                <w:szCs w:val="18"/>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8"/>
                <w:szCs w:val="18"/>
                <w:color w:val="auto"/>
              </w:rPr>
              <w:t>193</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9.1%</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1340" w:type="dxa"/>
            <w:vAlign w:val="bottom"/>
          </w:tcPr>
          <w:p>
            <w:pPr>
              <w:spacing w:after="0"/>
              <w:rPr>
                <w:sz w:val="6"/>
                <w:szCs w:val="6"/>
                <w:color w:val="auto"/>
              </w:rPr>
            </w:pPr>
          </w:p>
        </w:tc>
        <w:tc>
          <w:tcPr>
            <w:tcW w:w="2420" w:type="dxa"/>
            <w:vAlign w:val="bottom"/>
          </w:tcPr>
          <w:p>
            <w:pPr>
              <w:spacing w:after="0"/>
              <w:rPr>
                <w:sz w:val="6"/>
                <w:szCs w:val="6"/>
                <w:color w:val="auto"/>
              </w:rPr>
            </w:pPr>
          </w:p>
        </w:tc>
        <w:tc>
          <w:tcPr>
            <w:tcW w:w="24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segments</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25,617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3"/>
              </w:rPr>
              <w:t>30,036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3,098</w:t>
            </w: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4,001</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12.1%</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Eliminations and other</w:t>
            </w: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(134)</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c>
          <w:tcPr>
            <w:tcW w:w="940" w:type="dxa"/>
            <w:vAlign w:val="bottom"/>
            <w:gridSpan w:val="3"/>
          </w:tcPr>
          <w:p>
            <w:pPr>
              <w:jc w:val="right"/>
              <w:ind w:right="260"/>
              <w:spacing w:after="0"/>
              <w:rPr>
                <w:sz w:val="20"/>
                <w:szCs w:val="20"/>
                <w:color w:val="auto"/>
              </w:rPr>
            </w:pPr>
            <w:r>
              <w:rPr>
                <w:rFonts w:ascii="Arial" w:cs="Arial" w:eastAsia="Arial" w:hAnsi="Arial"/>
                <w:sz w:val="18"/>
                <w:szCs w:val="18"/>
                <w:color w:val="auto"/>
              </w:rPr>
              <w:t>(22)</w:t>
            </w: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corporate expenses</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w:t>
            </w:r>
          </w:p>
        </w:tc>
        <w:tc>
          <w:tcPr>
            <w:tcW w:w="9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(206)</w:t>
            </w: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gridSpan w:val="3"/>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3780" w:type="dxa"/>
            <w:vAlign w:val="bottom"/>
            <w:gridSpan w:val="3"/>
          </w:tcPr>
          <w:p>
            <w:pPr>
              <w:spacing w:after="0"/>
              <w:rPr>
                <w:sz w:val="20"/>
                <w:szCs w:val="20"/>
                <w:color w:val="auto"/>
              </w:rPr>
            </w:pPr>
            <w:r>
              <w:rPr>
                <w:rFonts w:ascii="Arial" w:cs="Arial" w:eastAsia="Arial" w:hAnsi="Arial"/>
                <w:sz w:val="18"/>
                <w:szCs w:val="18"/>
                <w:color w:val="auto"/>
              </w:rPr>
              <w:t>Consolidated</w:t>
            </w:r>
          </w:p>
        </w:tc>
        <w:tc>
          <w:tcPr>
            <w:tcW w:w="25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25,445</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w w:val="83"/>
              </w:rPr>
              <w:t>29,902</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2,887</w:t>
            </w:r>
          </w:p>
        </w:tc>
        <w:tc>
          <w:tcPr>
            <w:tcW w:w="180" w:type="dxa"/>
            <w:vAlign w:val="bottom"/>
          </w:tcPr>
          <w:p>
            <w:pPr>
              <w:spacing w:after="0"/>
              <w:rPr>
                <w:sz w:val="24"/>
                <w:szCs w:val="24"/>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3,773</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11.3%</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20" w:type="dxa"/>
            <w:vAlign w:val="bottom"/>
            <w:vMerge w:val="restart"/>
          </w:tcPr>
          <w:p>
            <w:pPr>
              <w:jc w:val="right"/>
              <w:ind w:right="312"/>
              <w:spacing w:after="0"/>
              <w:rPr>
                <w:sz w:val="20"/>
                <w:szCs w:val="20"/>
                <w:color w:val="auto"/>
              </w:rPr>
            </w:pPr>
            <w:r>
              <w:rPr>
                <w:rFonts w:ascii="Arial" w:cs="Arial" w:eastAsia="Arial" w:hAnsi="Arial"/>
                <w:sz w:val="18"/>
                <w:szCs w:val="18"/>
                <w:color w:val="auto"/>
              </w:rPr>
              <w:t>30</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For the first six months of 2009 and 2008, restructuring and related charges included in consolidated operating profit totaled $464 million and $128 million, respectively,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3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5"/>
          </w:tcPr>
          <w:p>
            <w:pPr>
              <w:ind w:left="1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5660" w:type="dxa"/>
            <w:vAlign w:val="bottom"/>
            <w:gridSpan w:val="3"/>
            <w:vMerge w:val="continue"/>
          </w:tcPr>
          <w:p>
            <w:pPr>
              <w:spacing w:after="0"/>
              <w:rPr>
                <w:sz w:val="12"/>
                <w:szCs w:val="12"/>
                <w:color w:val="auto"/>
              </w:rPr>
            </w:pPr>
          </w:p>
        </w:tc>
        <w:tc>
          <w:tcPr>
            <w:tcW w:w="37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2009</w:t>
            </w:r>
          </w:p>
        </w:tc>
        <w:tc>
          <w:tcPr>
            <w:tcW w:w="6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Otis</w:t>
            </w:r>
          </w:p>
        </w:tc>
        <w:tc>
          <w:tcPr>
            <w:tcW w:w="4300" w:type="dxa"/>
            <w:vAlign w:val="bottom"/>
            <w:shd w:val="clear" w:color="auto" w:fill="CCEEFF"/>
          </w:tcPr>
          <w:p>
            <w:pPr>
              <w:spacing w:after="0"/>
              <w:rPr>
                <w:sz w:val="18"/>
                <w:szCs w:val="18"/>
                <w:color w:val="auto"/>
              </w:rPr>
            </w:pPr>
          </w:p>
        </w:tc>
        <w:tc>
          <w:tcPr>
            <w:tcW w:w="3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Carrier</w:t>
            </w:r>
          </w:p>
        </w:tc>
        <w:tc>
          <w:tcPr>
            <w:tcW w:w="3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96</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UTC Fire &amp; Security</w:t>
            </w:r>
          </w:p>
        </w:tc>
        <w:tc>
          <w:tcPr>
            <w:tcW w:w="3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Pratt &amp; Whitney</w:t>
            </w:r>
          </w:p>
        </w:tc>
        <w:tc>
          <w:tcPr>
            <w:tcW w:w="3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120</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Hamilton Sundstrand</w:t>
            </w:r>
          </w:p>
        </w:tc>
        <w:tc>
          <w:tcPr>
            <w:tcW w:w="3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Sikorsky</w:t>
            </w:r>
          </w:p>
        </w:tc>
        <w:tc>
          <w:tcPr>
            <w:tcW w:w="3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Eliminations and other</w:t>
            </w:r>
          </w:p>
        </w:tc>
        <w:tc>
          <w:tcPr>
            <w:tcW w:w="3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General corporate expenses</w:t>
            </w:r>
          </w:p>
        </w:tc>
        <w:tc>
          <w:tcPr>
            <w:tcW w:w="37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34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Totals</w:t>
            </w:r>
          </w:p>
        </w:tc>
        <w:tc>
          <w:tcPr>
            <w:tcW w:w="3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b w:val="1"/>
          <w:bCs w:val="1"/>
          <w:color w:val="auto"/>
        </w:rPr>
        <w:t xml:space="preserve">Otis – </w:t>
      </w:r>
      <w:r>
        <w:rPr>
          <w:rFonts w:ascii="Arial" w:cs="Arial" w:eastAsia="Arial" w:hAnsi="Arial"/>
          <w:sz w:val="16"/>
          <w:szCs w:val="16"/>
          <w:color w:val="auto"/>
        </w:rPr>
        <w:t>Revenues decreased $452 million (13%) in the second quarter of 2009 compared with the same period of 2008 reflecting lower volume (6%)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unfavorable impact of foreign currency translation (9%). For the first six months of 2009, revenues decreased $844 million (13%) compared with the same period of 2008 reflecting lower volume (5%) and the unfavorable impact of foreign currency translation (9%). The lower volume was due to a decline in new equipment sales across all geographic regions as difficult economic conditions have negatively impacted global commercial construction. Revenue declines for the second quarter and the first six months of 2009 were partially offset by a gain of $52 million recognized on the remeasurement to fair value of a previously held equity interest in a joint venture as a result of the purchase of a controlling interest in the venture.</w:t>
      </w:r>
    </w:p>
    <w:p>
      <w:pPr>
        <w:spacing w:after="0" w:line="117"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Operating profits decreased $40 million (6%) in the second quarter of 2009 compared with the same period of 2008. The decrease reflects the adverse impact of foreign currency translation (11%) and higher restructuring expenses (8%) which were partially offset by cost reduction actions and strength in the contractual maintenance business (combined 5%). In the first six months of 2009, operating profits decreased $114 million (9%) compared with the same period of 2008. The decrease reflects the adverse impact of foreign currency translation (10%) and higher restructuring expenses (6%) which were partially offset by cost reduction actions and strength in the contractual maintenance business (combined 3%). Operating profits in the second quarter and the first six months of 2009 were also positively impacted by a gain of $52 million recognized on the remeasurement to fair value of a previously held equity interest in a joint venture as a result of the purchase of a controlling interest.</w:t>
      </w:r>
    </w:p>
    <w:p>
      <w:pPr>
        <w:spacing w:after="0" w:line="112"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b w:val="1"/>
          <w:bCs w:val="1"/>
          <w:color w:val="auto"/>
        </w:rPr>
        <w:t xml:space="preserve">Carrier – </w:t>
      </w:r>
      <w:r>
        <w:rPr>
          <w:rFonts w:ascii="Arial" w:cs="Arial" w:eastAsia="Arial" w:hAnsi="Arial"/>
          <w:sz w:val="16"/>
          <w:szCs w:val="16"/>
          <w:color w:val="auto"/>
        </w:rPr>
        <w:t>Revenues decreased $1,256 million (29%) in the second quarter of 2009 compared with the same period of 2008. Organic revenues declined 21% as a</w:t>
      </w:r>
      <w:r>
        <w:rPr>
          <w:rFonts w:ascii="Arial" w:cs="Arial" w:eastAsia="Arial" w:hAnsi="Arial"/>
          <w:sz w:val="16"/>
          <w:szCs w:val="16"/>
          <w:b w:val="1"/>
          <w:bCs w:val="1"/>
          <w:color w:val="auto"/>
        </w:rPr>
        <w:t xml:space="preserve"> </w:t>
      </w:r>
      <w:r>
        <w:rPr>
          <w:rFonts w:ascii="Arial" w:cs="Arial" w:eastAsia="Arial" w:hAnsi="Arial"/>
          <w:sz w:val="16"/>
          <w:szCs w:val="16"/>
          <w:color w:val="auto"/>
        </w:rPr>
        <w:t>result of continued weak market conditions across all businesses, particularly transport refrigeration. The unfavorable impact of foreign currency translation</w:t>
      </w:r>
    </w:p>
    <w:p>
      <w:pPr>
        <w:spacing w:after="0" w:line="1"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(5%) and the net impact from acquisitions and divestitures (2%) accounted for the majority of the remaining year-over-year decline in revenues. For the first six months of 2009, revenues decreased $2,178 million (28%) compared with the same period of 2008. Organic revenues declined 20% as a result of continued weak market conditions across all businesses, particularly transport refrigeration. The unfavorable impact of foreign currency translation (6%) and the net impact from acquisitions and divestitures (2%) accounted for the remaining year-over-year decline in revenues.</w:t>
      </w:r>
    </w:p>
    <w:p>
      <w:pPr>
        <w:spacing w:after="0" w:line="115" w:lineRule="exact"/>
        <w:rPr>
          <w:sz w:val="20"/>
          <w:szCs w:val="20"/>
          <w:color w:val="auto"/>
        </w:rPr>
      </w:pPr>
    </w:p>
    <w:p>
      <w:pPr>
        <w:ind w:right="160" w:firstLine="456"/>
        <w:spacing w:after="0" w:line="318" w:lineRule="auto"/>
        <w:rPr>
          <w:sz w:val="20"/>
          <w:szCs w:val="20"/>
          <w:color w:val="auto"/>
        </w:rPr>
      </w:pPr>
      <w:r>
        <w:rPr>
          <w:rFonts w:ascii="Arial" w:cs="Arial" w:eastAsia="Arial" w:hAnsi="Arial"/>
          <w:sz w:val="15"/>
          <w:szCs w:val="15"/>
          <w:color w:val="auto"/>
        </w:rPr>
        <w:t>Operating profits decreased $227 million (47%) in the second quarter of 2009 compared with the same period of 2008 as most of the businesses experienced earnings declines due to unfavorable market conditions. The operating profit decrease was primarily due to the volume decline (55%), especially in our higher margin businesses, and the adverse cost impact from worldwide currency shifts (6%). Aggressive cost reduction and restructuring actions and lower commodity costs more than offset the adverse impact of foreign currency translation and net acquisitions and divestitures (net combined 14%). For the first six months of 2009, operating profit decreased $453 million (62%) compared with the same period of 2008 as all businesses experienced earnings declines due to</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unfavorable market conditions. The operating profit decrease was primarily due to the volume decline (62%), especially in our higher margin businesses, higher year-over-year restructuring costs (5%), the adverse cost impact from worldwide currency shifts (9%), and lower equity income from a joint venture in Japan (3%). Aggressive cost reduction and restructuring actions and lower commodity costs and favorable pricing more than offset the adverse impact of foreign currency translation and net acquisitions and divestitures (net combined 17%). These factors also resulted in a decline in operating profit margin as a percentage of revenue in the second quarter and first six months of 2009 as compared to the same periods of the prior year.</w:t>
      </w:r>
    </w:p>
    <w:p>
      <w:pPr>
        <w:spacing w:after="0" w:line="110" w:lineRule="exact"/>
        <w:rPr>
          <w:sz w:val="20"/>
          <w:szCs w:val="20"/>
          <w:color w:val="auto"/>
        </w:rPr>
      </w:pPr>
    </w:p>
    <w:p>
      <w:pPr>
        <w:jc w:val="both"/>
        <w:ind w:right="160"/>
        <w:spacing w:after="0" w:line="304" w:lineRule="auto"/>
        <w:rPr>
          <w:sz w:val="20"/>
          <w:szCs w:val="20"/>
          <w:color w:val="auto"/>
        </w:rPr>
      </w:pPr>
      <w:r>
        <w:rPr>
          <w:rFonts w:ascii="Arial" w:cs="Arial" w:eastAsia="Arial" w:hAnsi="Arial"/>
          <w:sz w:val="15"/>
          <w:szCs w:val="15"/>
          <w:b w:val="1"/>
          <w:bCs w:val="1"/>
          <w:color w:val="auto"/>
        </w:rPr>
        <w:t xml:space="preserve">UTC Fire &amp; Security – </w:t>
      </w:r>
      <w:r>
        <w:rPr>
          <w:rFonts w:ascii="Arial" w:cs="Arial" w:eastAsia="Arial" w:hAnsi="Arial"/>
          <w:sz w:val="15"/>
          <w:szCs w:val="15"/>
          <w:color w:val="auto"/>
        </w:rPr>
        <w:t>Revenues decreased $408 million (23%) in the second quarter of 2009 compared with the same period of 2008, principally due to the</w:t>
      </w:r>
      <w:r>
        <w:rPr>
          <w:rFonts w:ascii="Arial" w:cs="Arial" w:eastAsia="Arial" w:hAnsi="Arial"/>
          <w:sz w:val="15"/>
          <w:szCs w:val="15"/>
          <w:b w:val="1"/>
          <w:bCs w:val="1"/>
          <w:color w:val="auto"/>
        </w:rPr>
        <w:t xml:space="preserve"> </w:t>
      </w:r>
      <w:r>
        <w:rPr>
          <w:rFonts w:ascii="Arial" w:cs="Arial" w:eastAsia="Arial" w:hAnsi="Arial"/>
          <w:sz w:val="15"/>
          <w:szCs w:val="15"/>
          <w:color w:val="auto"/>
        </w:rPr>
        <w:t>unfavorable impact of foreign currency translation (12%). Organically, revenues contracted 8% driven by declines in both the fire safety and electronic security businesses. The net impact from acquisitions and divestitures comprised the remainder of the year-over-year change. For the first six months of 2009, revenues decreased $720 million (22%) compared with the same period of 2008, principally due to the unfavorable impact of foreign currency translation (13%).</w:t>
      </w:r>
    </w:p>
    <w:p>
      <w:pPr>
        <w:spacing w:after="0" w:line="3" w:lineRule="exact"/>
        <w:rPr>
          <w:sz w:val="20"/>
          <w:szCs w:val="20"/>
          <w:color w:val="auto"/>
        </w:rPr>
      </w:pPr>
    </w:p>
    <w:p>
      <w:pPr>
        <w:jc w:val="both"/>
        <w:ind w:right="180"/>
        <w:spacing w:after="0" w:line="255" w:lineRule="auto"/>
        <w:rPr>
          <w:sz w:val="20"/>
          <w:szCs w:val="20"/>
          <w:color w:val="auto"/>
        </w:rPr>
      </w:pPr>
      <w:r>
        <w:rPr>
          <w:rFonts w:ascii="Arial" w:cs="Arial" w:eastAsia="Arial" w:hAnsi="Arial"/>
          <w:sz w:val="18"/>
          <w:szCs w:val="18"/>
          <w:color w:val="auto"/>
        </w:rPr>
        <w:t>Organically, revenues contracted 5% driven by declines in both the fire safety and electronic security businesses. Geographically, weakness was experienced in the Americas and United Kingdom as a result of weak economic conditions. The net impact from acquisitions and divestitures comprised the remainder of the year-over-year change.</w:t>
      </w:r>
    </w:p>
    <w:p>
      <w:pPr>
        <w:spacing w:after="0" w:line="14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Operating profits decreased $71 million (56%) in the second quarter of 2009 compared with the same period of 2008, principally due to higher restructuring costs (47%) and the unfavorable impact of foreign currency translation (21%). The benefit from integration of field operations, previous restructuring actions, and continuing productivity and cost control initiatives (combined 10%) and the net impact of acquisitions and divestitures (2%) comprised the remaining year-over-year change. For the first six months of 2009 operating profits decreased $93 million (39%) compared with the same period of 2008, principally due to higher restructuring costs (28%) and the adverse impact of foreign currency translation (21%). These adverse impacts were partially offset by the benefit from integration of field operations, previous restructuring actions, and continuing productivity and cost control initiatives (combined 7%) and the net impact from acquisitions and divestitures (3%). These factors also resulted in a decline in operating profit margin as a percentage of revenue in the second quarter and first six months of 2009 as compared to the same periods of the prior year.</w:t>
      </w:r>
    </w:p>
    <w:p>
      <w:pPr>
        <w:spacing w:after="0" w:line="11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b w:val="1"/>
          <w:bCs w:val="1"/>
          <w:color w:val="auto"/>
        </w:rPr>
        <w:t xml:space="preserve">Pratt &amp; Whitney – </w:t>
      </w:r>
      <w:r>
        <w:rPr>
          <w:rFonts w:ascii="Arial" w:cs="Arial" w:eastAsia="Arial" w:hAnsi="Arial"/>
          <w:sz w:val="16"/>
          <w:szCs w:val="16"/>
          <w:color w:val="auto"/>
        </w:rPr>
        <w:t>Revenues decreased $458 million (13%) in the second quarter of 2009 compared with the same period of 2008. The decrease is primarily</w:t>
      </w:r>
      <w:r>
        <w:rPr>
          <w:rFonts w:ascii="Arial" w:cs="Arial" w:eastAsia="Arial" w:hAnsi="Arial"/>
          <w:sz w:val="16"/>
          <w:szCs w:val="16"/>
          <w:b w:val="1"/>
          <w:bCs w:val="1"/>
          <w:color w:val="auto"/>
        </w:rPr>
        <w:t xml:space="preserve"> </w:t>
      </w:r>
      <w:r>
        <w:rPr>
          <w:rFonts w:ascii="Arial" w:cs="Arial" w:eastAsia="Arial" w:hAnsi="Arial"/>
          <w:sz w:val="16"/>
          <w:szCs w:val="16"/>
          <w:color w:val="auto"/>
        </w:rPr>
        <w:t>attributable to lower commercial spares and aftermarket volume (4%), decreased engine volume at P&amp;WC (4%) and the adverse impact of net hedging activity (3%). Lower development revenues and military spares volume comprised the majority of the remaining year-over-year change. For the first six months of 2009, revenues decreased $742 million (11%) compared with the same period of 2008. The decrease is primarily attributable to the adverse impact of net hedging activity (4%), lower commercial spares and aftermarket volume (3%) and decreased engine volume at P&amp;WC (2%). Lower development revenues and military spares volume comprised the majority of the remaining year-over-year change.</w:t>
      </w:r>
    </w:p>
    <w:p>
      <w:pPr>
        <w:spacing w:after="0" w:line="117" w:lineRule="exact"/>
        <w:rPr>
          <w:sz w:val="20"/>
          <w:szCs w:val="20"/>
          <w:color w:val="auto"/>
        </w:rPr>
      </w:pPr>
    </w:p>
    <w:p>
      <w:pPr>
        <w:ind w:right="260" w:firstLine="456"/>
        <w:spacing w:after="0" w:line="288" w:lineRule="auto"/>
        <w:rPr>
          <w:sz w:val="20"/>
          <w:szCs w:val="20"/>
          <w:color w:val="auto"/>
        </w:rPr>
      </w:pPr>
      <w:r>
        <w:rPr>
          <w:rFonts w:ascii="Arial" w:cs="Arial" w:eastAsia="Arial" w:hAnsi="Arial"/>
          <w:sz w:val="16"/>
          <w:szCs w:val="16"/>
          <w:color w:val="auto"/>
        </w:rPr>
        <w:t>Operating profits decreased $79 million (14%) in the second quarter of 2009 compared with the same period of 2008. This decrease is primarily attributable to the adverse impact of net hedging activity partially offset by the favorable impact of foreign currency translation (net combined 8%) and higher year-over-year restructuring costs (7%). The favorable impact from lower research and development costs and fewer large commercial engine shipments, in addition to the benefits of restructuring and cost reduction initiatives, were largely offset by decreased profit contributions from lower overall spares and aftermarket volume and from decreased engine volume at P&amp;WC. For the first six months of 2009, operating profits decreased $169 million (16%) compared with the same period of 2008. This decrease is primarily attributable to higher year-over-year restructuring costs (8%) and decreased profit contributions from lower commercial spares volume (5%). The adverse impact of net hedging activity partially offset by the favorable impact of foreign currency translation (net combined 5%) and decreased profit contributions from lower volumes at P&amp;WC (2%) were partially offset by the favorable impact of lower research and development costs (4%).</w:t>
      </w:r>
    </w:p>
    <w:p>
      <w:pPr>
        <w:spacing w:after="0" w:line="114" w:lineRule="exact"/>
        <w:rPr>
          <w:sz w:val="20"/>
          <w:szCs w:val="20"/>
          <w:color w:val="auto"/>
        </w:rPr>
      </w:pPr>
    </w:p>
    <w:p>
      <w:pPr>
        <w:ind w:right="20"/>
        <w:spacing w:after="0" w:line="316" w:lineRule="auto"/>
        <w:rPr>
          <w:sz w:val="20"/>
          <w:szCs w:val="20"/>
          <w:color w:val="auto"/>
        </w:rPr>
      </w:pPr>
      <w:r>
        <w:rPr>
          <w:rFonts w:ascii="Arial" w:cs="Arial" w:eastAsia="Arial" w:hAnsi="Arial"/>
          <w:sz w:val="15"/>
          <w:szCs w:val="15"/>
          <w:b w:val="1"/>
          <w:bCs w:val="1"/>
          <w:color w:val="auto"/>
        </w:rPr>
        <w:t xml:space="preserve">Hamilton Sundstrand – </w:t>
      </w:r>
      <w:r>
        <w:rPr>
          <w:rFonts w:ascii="Arial" w:cs="Arial" w:eastAsia="Arial" w:hAnsi="Arial"/>
          <w:sz w:val="15"/>
          <w:szCs w:val="15"/>
          <w:color w:val="auto"/>
        </w:rPr>
        <w:t>Revenues decreased $248 million (15%) in the second quarter of 2009 compared with the same period of 2008, principally due to lower</w:t>
      </w:r>
      <w:r>
        <w:rPr>
          <w:rFonts w:ascii="Arial" w:cs="Arial" w:eastAsia="Arial" w:hAnsi="Arial"/>
          <w:sz w:val="15"/>
          <w:szCs w:val="15"/>
          <w:b w:val="1"/>
          <w:bCs w:val="1"/>
          <w:color w:val="auto"/>
        </w:rPr>
        <w:t xml:space="preserve"> </w:t>
      </w:r>
      <w:r>
        <w:rPr>
          <w:rFonts w:ascii="Arial" w:cs="Arial" w:eastAsia="Arial" w:hAnsi="Arial"/>
          <w:sz w:val="15"/>
          <w:szCs w:val="15"/>
          <w:color w:val="auto"/>
        </w:rPr>
        <w:t>organic volume in both the industrial businesses (5%) and aerospace businesses (4%). The organic revenue contraction within aerospace reflects declines in aftermarket volume, while OEM remained flat year-over-year. The remaining decrease was attributable to an unfavorable impact of foreign currency translation (3%) and the net impact from acquisitions and divestitures (3%). For the first six months of 2009, revenues decreased $328 million (11%) compared with the same period of 2008, principally due to lower organic volume in the industrial businesses (4%), an unfavorable impact of foreign currency translation (3%), and the net impact of acquisitions and divestitures (3%). Within the aerospace businesses, a decline in aftermarket (4%) was primarily offset by an increase in OEM.</w:t>
      </w:r>
    </w:p>
    <w:p>
      <w:pPr>
        <w:sectPr>
          <w:pgSz w:w="11900" w:h="16838" w:orient="portrait"/>
          <w:cols w:equalWidth="0" w:num="1">
            <w:col w:w="11380"/>
          </w:cols>
          <w:pgMar w:left="240" w:top="459" w:right="279" w:bottom="1440" w:gutter="0" w:footer="0" w:header="0"/>
        </w:sectPr>
      </w:pPr>
    </w:p>
    <w:bookmarkStart w:id="32" w:name="page33"/>
    <w:bookmarkEnd w:id="32"/>
    <w:p>
      <w:pPr>
        <w:ind w:firstLine="456"/>
        <w:spacing w:after="0" w:line="254" w:lineRule="auto"/>
        <w:rPr>
          <w:sz w:val="20"/>
          <w:szCs w:val="20"/>
          <w:color w:val="auto"/>
        </w:rPr>
      </w:pPr>
      <w:r>
        <w:rPr>
          <w:rFonts w:ascii="Arial" w:cs="Arial" w:eastAsia="Arial" w:hAnsi="Arial"/>
          <w:sz w:val="18"/>
          <w:szCs w:val="18"/>
          <w:color w:val="auto"/>
        </w:rPr>
        <w:t>Operating profits decreased $93 million (33%) in the second quarter of 2009 as compared with the same period of 2008, principally due to higher restructuring charges (13%) and a decrease in the aerospace businesses (11%) and industrial businesses (5%). Within aerospace, a decline in aftermarket (16%) was partially offset by an increase in OEM (5%). The increase in OEM was driven primarily by lower year-over-year research and development costs (4%). The remaining operating profit decrease was attributable to the net impact of acquisitions and divestitures (3%) and unfavorable foreign currency translation (1%). For the first six months of 2009, operating profits decreased $130 million (26%) compared with the same period of 2008, principally due to higher restructuring</w:t>
      </w:r>
    </w:p>
    <w:p>
      <w:pPr>
        <w:spacing w:after="0" w:line="13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40"/>
          </w:cols>
          <w:pgMar w:left="240" w:top="131" w:right="6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charges (11%) and a decrease in the aerospace businesses (6%) and industrial businesses (5%). Within aerospace, an operating profit decrease in aftermarket (15%) was partially offset by an increase in OEM (9%). The remaining decrease was attributable to the net impact of acquisitions and divestitures (2%) and unfavorable foreign currency translation (2%). These factors also resulted in a decline in operating profit margin as a percentage of revenue in the second quarter and first six months of 2009 as compared to the same periods of the prior year.</w:t>
      </w:r>
    </w:p>
    <w:p>
      <w:pPr>
        <w:spacing w:after="0" w:line="13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color w:val="auto"/>
        </w:rPr>
        <w:t xml:space="preserve">Sikorsky – </w:t>
      </w:r>
      <w:r>
        <w:rPr>
          <w:rFonts w:ascii="Arial" w:cs="Arial" w:eastAsia="Arial" w:hAnsi="Arial"/>
          <w:sz w:val="18"/>
          <w:szCs w:val="18"/>
          <w:color w:val="auto"/>
        </w:rPr>
        <w:t>Revenues increased $82 million (6%) in the second quarter of 2009 as compared with the same period of 2008. This increase was primarily driven by</w:t>
      </w:r>
      <w:r>
        <w:rPr>
          <w:rFonts w:ascii="Arial" w:cs="Arial" w:eastAsia="Arial" w:hAnsi="Arial"/>
          <w:sz w:val="18"/>
          <w:szCs w:val="18"/>
          <w:b w:val="1"/>
          <w:bCs w:val="1"/>
          <w:color w:val="auto"/>
        </w:rPr>
        <w:t xml:space="preserve"> </w:t>
      </w:r>
      <w:r>
        <w:rPr>
          <w:rFonts w:ascii="Arial" w:cs="Arial" w:eastAsia="Arial" w:hAnsi="Arial"/>
          <w:sz w:val="18"/>
          <w:szCs w:val="18"/>
          <w:color w:val="auto"/>
        </w:rPr>
        <w:t>higher volumes of military aircraft shipments as well as favorable aircraft configurations. Lower overall commercial aircraft revenues were essentially offset by higher customer funded development program support. For the first six months of 2009, revenues increased $393 million (17%) compared with the same period of 2008. This increase was primarily driven by higher volumes of military aircraft shipments as well as favorable aircraft configurations and foreign military sales.</w:t>
      </w:r>
    </w:p>
    <w:p>
      <w:pPr>
        <w:spacing w:after="0" w:line="145" w:lineRule="exact"/>
        <w:rPr>
          <w:sz w:val="20"/>
          <w:szCs w:val="20"/>
          <w:color w:val="auto"/>
        </w:rPr>
      </w:pPr>
    </w:p>
    <w:p>
      <w:pPr>
        <w:ind w:right="240" w:firstLine="456"/>
        <w:spacing w:after="0" w:line="253" w:lineRule="auto"/>
        <w:rPr>
          <w:sz w:val="20"/>
          <w:szCs w:val="20"/>
          <w:color w:val="auto"/>
        </w:rPr>
      </w:pPr>
      <w:r>
        <w:rPr>
          <w:rFonts w:ascii="Arial" w:cs="Arial" w:eastAsia="Arial" w:hAnsi="Arial"/>
          <w:sz w:val="18"/>
          <w:szCs w:val="18"/>
          <w:color w:val="auto"/>
        </w:rPr>
        <w:t>Operating profits increased $22 million (20%) in the second quarter of 2009 as compared to the same period of 2008. This improvement was primarily attributable to increased military aircraft deliveries and favorable military aircraft configurations (combined 35%), partially offset by less favorable foreign military aircraft configurations (7%). Higher year-over-year restructuring costs (6%) and research and development comprise the remaining year-over-year change. For the first six months of 2009, operating profits increased $56 million (29%) compared to the same period of 2008. This improvement was primarily attributable to increased military aircraft deliveries and favorable military aircraft configurations (combined 48%). Costs associated with a new union contract (11%), higher year-over-year research and development costs (5%) and higher restructuring costs (4%) comprise the majority of the remaining year-over-year change.</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Eliminations and other – </w:t>
      </w:r>
      <w:r>
        <w:rPr>
          <w:rFonts w:ascii="Arial" w:cs="Arial" w:eastAsia="Arial" w:hAnsi="Arial"/>
          <w:sz w:val="16"/>
          <w:szCs w:val="16"/>
          <w:color w:val="auto"/>
        </w:rPr>
        <w:t>For the first six months of 2009, the increase in Eliminations and other primarily reflects the impact of higher insurance costs.</w:t>
      </w:r>
    </w:p>
    <w:p>
      <w:pPr>
        <w:spacing w:after="0" w:line="194" w:lineRule="exact"/>
        <w:rPr>
          <w:sz w:val="20"/>
          <w:szCs w:val="20"/>
          <w:color w:val="auto"/>
        </w:rPr>
      </w:pPr>
    </w:p>
    <w:p>
      <w:pPr>
        <w:ind w:right="80"/>
        <w:spacing w:after="0" w:line="339" w:lineRule="auto"/>
        <w:rPr>
          <w:sz w:val="20"/>
          <w:szCs w:val="20"/>
          <w:color w:val="auto"/>
        </w:rPr>
      </w:pPr>
      <w:r>
        <w:rPr>
          <w:rFonts w:ascii="Arial" w:cs="Arial" w:eastAsia="Arial" w:hAnsi="Arial"/>
          <w:sz w:val="16"/>
          <w:szCs w:val="16"/>
          <w:b w:val="1"/>
          <w:bCs w:val="1"/>
          <w:color w:val="auto"/>
        </w:rPr>
        <w:t xml:space="preserve">General corporate expenses – </w:t>
      </w:r>
      <w:r>
        <w:rPr>
          <w:rFonts w:ascii="Arial" w:cs="Arial" w:eastAsia="Arial" w:hAnsi="Arial"/>
          <w:sz w:val="16"/>
          <w:szCs w:val="16"/>
          <w:color w:val="auto"/>
        </w:rPr>
        <w:t>The decrease in General corporate expenses for both the quarter and first six months of 2009, as compared to the same periods of</w:t>
      </w:r>
      <w:r>
        <w:rPr>
          <w:rFonts w:ascii="Arial" w:cs="Arial" w:eastAsia="Arial" w:hAnsi="Arial"/>
          <w:sz w:val="16"/>
          <w:szCs w:val="16"/>
          <w:b w:val="1"/>
          <w:bCs w:val="1"/>
          <w:color w:val="auto"/>
        </w:rPr>
        <w:t xml:space="preserve"> </w:t>
      </w:r>
      <w:r>
        <w:rPr>
          <w:rFonts w:ascii="Arial" w:cs="Arial" w:eastAsia="Arial" w:hAnsi="Arial"/>
          <w:sz w:val="16"/>
          <w:szCs w:val="16"/>
          <w:color w:val="auto"/>
        </w:rPr>
        <w:t>2008, reflects lower corporate general and administrative spending across all cost categories as a result of the current economic environment.</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FINANCIAL CONDITION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June 30,</w:t>
            </w:r>
          </w:p>
        </w:tc>
        <w:tc>
          <w:tcPr>
            <w:tcW w:w="28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61"/>
        </w:trPr>
        <w:tc>
          <w:tcPr>
            <w:tcW w:w="7880" w:type="dxa"/>
            <w:vAlign w:val="bottom"/>
            <w:gridSpan w:val="3"/>
          </w:tcPr>
          <w:p>
            <w:pPr>
              <w:spacing w:after="0"/>
              <w:rPr>
                <w:sz w:val="20"/>
                <w:szCs w:val="20"/>
                <w:color w:val="auto"/>
              </w:rPr>
            </w:pPr>
            <w:r>
              <w:rPr>
                <w:rFonts w:ascii="Arial" w:cs="Arial" w:eastAsia="Arial" w:hAnsi="Arial"/>
                <w:sz w:val="14"/>
                <w:szCs w:val="14"/>
                <w:b w:val="1"/>
                <w:bCs w:val="1"/>
                <w:color w:val="auto"/>
              </w:rPr>
              <w:t>(in millions of dollars)</w:t>
            </w:r>
          </w:p>
        </w:tc>
        <w:tc>
          <w:tcPr>
            <w:tcW w:w="580" w:type="dxa"/>
            <w:vAlign w:val="bottom"/>
          </w:tcPr>
          <w:p>
            <w:pPr>
              <w:jc w:val="right"/>
              <w:ind w:right="76"/>
              <w:spacing w:after="0"/>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74"/>
              <w:spacing w:after="0"/>
              <w:rPr>
                <w:sz w:val="20"/>
                <w:szCs w:val="20"/>
                <w:color w:val="auto"/>
              </w:rPr>
            </w:pPr>
            <w:r>
              <w:rPr>
                <w:rFonts w:ascii="Arial" w:cs="Arial" w:eastAsia="Arial" w:hAnsi="Arial"/>
                <w:sz w:val="14"/>
                <w:szCs w:val="14"/>
                <w:b w:val="1"/>
                <w:bCs w:val="1"/>
                <w:color w:val="auto"/>
              </w:rPr>
              <w:t>2008</w:t>
            </w:r>
          </w:p>
        </w:tc>
        <w:tc>
          <w:tcPr>
            <w:tcW w:w="420" w:type="dxa"/>
            <w:vAlign w:val="bottom"/>
          </w:tcPr>
          <w:p>
            <w:pPr>
              <w:spacing w:after="0"/>
              <w:rPr>
                <w:sz w:val="14"/>
                <w:szCs w:val="14"/>
                <w:color w:val="auto"/>
              </w:rPr>
            </w:pPr>
          </w:p>
        </w:tc>
        <w:tc>
          <w:tcPr>
            <w:tcW w:w="86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3"/>
              </w:rPr>
              <w:t>$ 4,016</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4,327</w:t>
            </w:r>
          </w:p>
        </w:tc>
        <w:tc>
          <w:tcPr>
            <w:tcW w:w="4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$ 3,442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10,816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11,476</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10,730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debt (total debt less cash and cash equivalents)</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6,800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7,149</w:t>
            </w:r>
          </w:p>
        </w:tc>
        <w:tc>
          <w:tcPr>
            <w:tcW w:w="4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Total equity</w:t>
            </w:r>
            <w:r>
              <w:rPr>
                <w:rFonts w:ascii="Arial" w:cs="Arial" w:eastAsia="Arial" w:hAnsi="Arial"/>
                <w:sz w:val="11"/>
                <w:szCs w:val="11"/>
                <w:color w:val="auto"/>
              </w:rPr>
              <w:t>1</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18,406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16,926</w:t>
            </w:r>
          </w:p>
        </w:tc>
        <w:tc>
          <w:tcPr>
            <w:tcW w:w="420" w:type="dxa"/>
            <w:vAlign w:val="bottom"/>
          </w:tcPr>
          <w:p>
            <w:pPr>
              <w:spacing w:after="0"/>
              <w:rPr>
                <w:sz w:val="18"/>
                <w:szCs w:val="18"/>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22,869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capitalization (debt plus equity)</w:t>
            </w:r>
            <w:r>
              <w:rPr>
                <w:rFonts w:ascii="Arial" w:cs="Arial" w:eastAsia="Arial" w:hAnsi="Arial"/>
                <w:sz w:val="11"/>
                <w:szCs w:val="11"/>
                <w:color w:val="auto"/>
              </w:rPr>
              <w:t>1</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29,222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28,402</w:t>
            </w:r>
          </w:p>
        </w:tc>
        <w:tc>
          <w:tcPr>
            <w:tcW w:w="4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33,599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Net capitalization (debt plus equity less cash and cash equivalents)</w:t>
            </w:r>
            <w:r>
              <w:rPr>
                <w:rFonts w:ascii="Arial" w:cs="Arial" w:eastAsia="Arial" w:hAnsi="Arial"/>
                <w:sz w:val="11"/>
                <w:szCs w:val="11"/>
                <w:color w:val="auto"/>
              </w:rPr>
              <w:t>1</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25,206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24,075</w:t>
            </w:r>
          </w:p>
        </w:tc>
        <w:tc>
          <w:tcPr>
            <w:tcW w:w="420" w:type="dxa"/>
            <w:vAlign w:val="bottom"/>
          </w:tcPr>
          <w:p>
            <w:pPr>
              <w:spacing w:after="0"/>
              <w:rPr>
                <w:sz w:val="18"/>
                <w:szCs w:val="18"/>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30,157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to total capitalization</w:t>
            </w:r>
            <w:r>
              <w:rPr>
                <w:rFonts w:ascii="Arial" w:cs="Arial" w:eastAsia="Arial" w:hAnsi="Arial"/>
                <w:sz w:val="11"/>
                <w:szCs w:val="11"/>
                <w:color w:val="auto"/>
              </w:rPr>
              <w:t>1</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Net debt to net capitalization</w:t>
            </w:r>
            <w:r>
              <w:rPr>
                <w:rFonts w:ascii="Arial" w:cs="Arial" w:eastAsia="Arial" w:hAnsi="Arial"/>
                <w:sz w:val="11"/>
                <w:szCs w:val="11"/>
                <w:color w:val="auto"/>
              </w:rPr>
              <w:t>1</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30%</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460" w:right="180" w:hanging="445"/>
        <w:spacing w:after="0" w:line="256" w:lineRule="auto"/>
        <w:tabs>
          <w:tab w:leader="none" w:pos="440" w:val="left"/>
        </w:tabs>
        <w:rPr>
          <w:sz w:val="20"/>
          <w:szCs w:val="20"/>
          <w:color w:val="auto"/>
        </w:rPr>
      </w:pPr>
      <w:r>
        <w:rPr>
          <w:rFonts w:ascii="Arial" w:cs="Arial" w:eastAsia="Arial" w:hAnsi="Arial"/>
          <w:sz w:val="22"/>
          <w:szCs w:val="22"/>
          <w:color w:val="auto"/>
          <w:vertAlign w:val="superscript"/>
        </w:rPr>
        <w:t>Note 1</w:t>
      </w:r>
      <w:r>
        <w:rPr>
          <w:rFonts w:ascii="Arial" w:cs="Arial" w:eastAsia="Arial" w:hAnsi="Arial"/>
          <w:sz w:val="18"/>
          <w:szCs w:val="18"/>
          <w:color w:val="auto"/>
        </w:rPr>
        <w:tab/>
        <w:t>Effective January 1, 2009, we adopted the provisions of SFAS No. 160. This statement requires the carrying value of noncontrolling interest (previously referred to as minority interest) to be removed from the mezzanine section of the balance sheet and reclassified as equity for all periods presented. As a result of this adoption, we reclassified noncontrolling interests in the amounts of $1,009 million and $957 million from the mezzanine section to equity in the December 31, 2008 and June 30, 2008 balance sheets,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-549910</wp:posOffset>
            </wp:positionV>
            <wp:extent cx="7289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assess our liquidity in terms of our ability to generate cash to fund our operating, investing and financing activities. Our principal source of liquidity is operating cash flows, which, after netting out capital expenditures, we target to equal or exceed net income attributable to common shareowners. In addition to operating cash flows, other significant factors that affect our overall management of liquidity include: capital expenditures, customer financing requirements, investments in businesses, dividends, common stock repurchases, pension funding, access to the commercial paper markets, adequacy of available bank lines of credit, and the ability to attract long-term capital at satisfactory terms.</w:t>
      </w:r>
    </w:p>
    <w:p>
      <w:pPr>
        <w:spacing w:after="0" w:line="11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Recent distress in the financial markets has had an adverse impact on financial market activities including, among other things, extreme volatility in security prices, severely diminished liquidity and credit availability, rating downgrades of certain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investments and declining valuations of others. We have assessed the implications of these factors on our current business, are closely monitoring the impact on our customers and suppliers, and have determined that while there has been some impact to working capital, overall there has not been a significant effect on our financial position, results of operations or liquidity during the first six months of 2009. Our pension plans have not experienced any significant impact on liquidity or counterparty exposure due to the volatility in the credit markets. However, as a result of losses experienced in the global equity markets, our domestic pension funds experienced a negative return on assets of approximately 27% in 2008. This negative return on our domestic plan in 2008, combined with a change in discount rate will increase pension costs by approximately $225 million in 2009 as compared to 2008. During the first six months of 2009, our domestic pension funds produced a small positive return on assets, in contrast to the negative return on assets experienced for the full year of 2008.</w:t>
      </w:r>
    </w:p>
    <w:p>
      <w:pPr>
        <w:spacing w:after="0" w:line="11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Approximately 88% of our domestic pension plans are invested in readily-liquid investments, including equity, fixed income, asset backed receivables and structured products. The balance of our domestic pension plans (12%) is invested in less-liquid but market-valued investments, including real estate and private equity.</w:t>
      </w:r>
    </w:p>
    <w:p>
      <w:pPr>
        <w:spacing w:after="0" w:line="140" w:lineRule="exact"/>
        <w:rPr>
          <w:sz w:val="20"/>
          <w:szCs w:val="20"/>
          <w:color w:val="auto"/>
        </w:rPr>
      </w:pPr>
    </w:p>
    <w:p>
      <w:pPr>
        <w:ind w:right="220" w:firstLine="456"/>
        <w:spacing w:after="0" w:line="241" w:lineRule="auto"/>
        <w:rPr>
          <w:sz w:val="20"/>
          <w:szCs w:val="20"/>
          <w:color w:val="auto"/>
        </w:rPr>
      </w:pPr>
      <w:r>
        <w:rPr>
          <w:rFonts w:ascii="Arial" w:cs="Arial" w:eastAsia="Arial" w:hAnsi="Arial"/>
          <w:sz w:val="18"/>
          <w:szCs w:val="18"/>
          <w:color w:val="auto"/>
        </w:rPr>
        <w:t xml:space="preserve">As discussed further below, our strong debt ratings and financial position have historically enabled us to issue long-term debt at favorable market rates, including the $1.0 billion of long-term debt issuance in May 2008 and $1.25 billion of long-term debt issuance in December 2008. Also, in February 2009, we redeemed the entire $500 million outstanding principal amount of our Floating Rate Notes Due 2009 that were due June 1, 2009 at a redemption price in U.S. dollars equal to 100% of the principal amount, plus interest accrued, and on June 1, 2009, we repaid our $400 million of 6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 Notes Due 2009 which matured on the same date.</w:t>
      </w:r>
    </w:p>
    <w:p>
      <w:pPr>
        <w:spacing w:after="0" w:line="198"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Our ability to obtain debt financing at comparable risk-based interest rates is partly a function of our existing debt to capitalization levels as well as our current credit standing. Our credit ratings are reviewed regularly by major debt rating agencies such as Standard and Poor’s and Moody’s Investors Service. In March 2009, Standard and Poor’s affirmed both our short-term debt rating as A-1 and our long-term debt rating as A. Similarly, in February 2009, Moody’s Investors Service also affirmed its corporate rating on our long-term debt rating as A2, and in November 2008 affirmed our short-term debt rating as P-1. We continue to have access to the commercial paper markets and our existing credit facilities, and expect to continue to generate strong operating cash flows. While the impact of continued market volatility cannot be predicted, we believe we have sufficient operating flexibility, cash reserves and funding sources to maintain adequate amounts of liquidity and to meet our future operating cash needs.</w:t>
      </w:r>
    </w:p>
    <w:p>
      <w:pPr>
        <w:spacing w:after="0" w:line="118" w:lineRule="exact"/>
        <w:rPr>
          <w:sz w:val="20"/>
          <w:szCs w:val="20"/>
          <w:color w:val="auto"/>
        </w:rPr>
      </w:pPr>
    </w:p>
    <w:p>
      <w:pPr>
        <w:ind w:right="280" w:firstLine="456"/>
        <w:spacing w:after="0" w:line="323" w:lineRule="auto"/>
        <w:rPr>
          <w:sz w:val="20"/>
          <w:szCs w:val="20"/>
          <w:color w:val="auto"/>
        </w:rPr>
      </w:pPr>
      <w:r>
        <w:rPr>
          <w:rFonts w:ascii="Arial" w:cs="Arial" w:eastAsia="Arial" w:hAnsi="Arial"/>
          <w:sz w:val="15"/>
          <w:szCs w:val="15"/>
          <w:color w:val="auto"/>
        </w:rPr>
        <w:t>Most of our cash is denominated in foreign currencies. We manage our worldwide cash requirements by considering available funds among the many subsidiaries through which we conduct our business and the cost effectiveness with which those funds can be accessed. The repatriation of cash balances from certain of our subsidiaries could have adverse tax consequences; however, those balances are generally available without legal restrictions to fund ordinary business operations. We will continue to transfer cash from those subsidiaries to UTC and to other international subsidiaries when it is cost effective to do so.</w:t>
      </w:r>
    </w:p>
    <w:p>
      <w:pPr>
        <w:spacing w:after="0" w:line="98"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On occasion, we are required to maintain cash deposits with certain banks in respect to contractual obligations related to acquisitions or divestitures or other legal obligations. As of June 30, 2009, $346 million of restricted cash is reported in current assets and $10 million is reported in other assets in the Condensed Consolidated Balance Sheet. Restricted cash as of June 30, 2008 was not significant.</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Cash Flow - Operating Activities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3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142"/>
        </w:trPr>
        <w:tc>
          <w:tcPr>
            <w:tcW w:w="6460" w:type="dxa"/>
            <w:vAlign w:val="bottom"/>
            <w:gridSpan w:val="3"/>
            <w:vMerge w:val="continue"/>
          </w:tcPr>
          <w:p>
            <w:pPr>
              <w:spacing w:after="0"/>
              <w:rPr>
                <w:sz w:val="12"/>
                <w:szCs w:val="12"/>
                <w:color w:val="auto"/>
              </w:rPr>
            </w:pPr>
          </w:p>
        </w:tc>
        <w:tc>
          <w:tcPr>
            <w:tcW w:w="3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46"/>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flows provided by operating activities</w:t>
            </w:r>
          </w:p>
        </w:tc>
        <w:tc>
          <w:tcPr>
            <w:tcW w:w="3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2,025</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The decrease in cash generated from operating activities in the first six months of 2009 as compared with the same period in 2008, is due largely to the decline in net income attributable to common shareowners, as a result of lower volumes and the domestic pension contributions of $401 million made in the second quarter of 2009. However, a focus on working capital during the second quarter of 2009 helped to offset these declines. Cash used to fund working capital growth decreased from $739 million in the first six months of 2008 to $196 million in the first six months of 2009. This improvement in working capital was largely attributable to a net reduction in inventory build at Carrier of $414 million. The impact of lower volume and improved collections of accounts receivable was effectively offset by the corresponding reduction to accounts payable stemming from the lower volumes, and lower customer advances of $184 million at Sikorsky.</w:t>
      </w:r>
    </w:p>
    <w:p>
      <w:pPr>
        <w:spacing w:after="0" w:line="14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Despite the 15% decline in consolidated revenues, and the lower year-over-year build in working capital noted, net working capital still increased in the first half of 2009 by $196 million. This increase is due largely to an increase in inventory levels associated with the continued high volumes at Sikorsky, the lag in timing of inventory purchases relative to shipments and the volume declines at Pratt &amp; Whitney.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funded status of our pension plans is dependent upon many factors, including returns on invested assets and the level of market interest rates. We can contribute cash or company stock to our plans at our discretion. We made $401 million of cash contributions to our domestic pension plans in the second quarter of 2009, which is the total anticipated contribution for our domestic plans for 2009. We expect full year global contributions of up to $600 million to our pension plans during the year including the $401 million contributed to our domestic plans as noted above. Expected contributions to our defined pension plans in 2009 will meet or exceed the current funding requirements.</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Cash Flow - Investing Activities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3220" w:type="dxa"/>
            <w:vAlign w:val="bottom"/>
          </w:tcPr>
          <w:p>
            <w:pPr>
              <w:spacing w:after="0"/>
              <w:rPr>
                <w:sz w:val="14"/>
                <w:szCs w:val="14"/>
                <w:color w:val="auto"/>
              </w:rPr>
            </w:pPr>
          </w:p>
        </w:tc>
        <w:tc>
          <w:tcPr>
            <w:tcW w:w="1960" w:type="dxa"/>
            <w:vAlign w:val="bottom"/>
            <w:gridSpan w:val="5"/>
          </w:tcPr>
          <w:p>
            <w:pPr>
              <w:ind w:left="140"/>
              <w:spacing w:after="0"/>
              <w:rPr>
                <w:sz w:val="20"/>
                <w:szCs w:val="20"/>
                <w:color w:val="auto"/>
              </w:rPr>
            </w:pPr>
            <w:r>
              <w:rPr>
                <w:rFonts w:ascii="Arial" w:cs="Arial" w:eastAsia="Arial" w:hAnsi="Arial"/>
                <w:sz w:val="14"/>
                <w:szCs w:val="14"/>
                <w:b w:val="1"/>
                <w:bCs w:val="1"/>
                <w:color w:val="auto"/>
                <w:w w:val="99"/>
              </w:rPr>
              <w:t>Six Months Ended June 30,</w:t>
            </w:r>
          </w:p>
        </w:tc>
        <w:tc>
          <w:tcPr>
            <w:tcW w:w="0" w:type="dxa"/>
            <w:vAlign w:val="bottom"/>
          </w:tcPr>
          <w:p>
            <w:pPr>
              <w:spacing w:after="0"/>
              <w:rPr>
                <w:sz w:val="1"/>
                <w:szCs w:val="1"/>
                <w:color w:val="auto"/>
              </w:rPr>
            </w:pPr>
          </w:p>
        </w:tc>
      </w:tr>
      <w:tr>
        <w:trPr>
          <w:trHeight w:val="142"/>
        </w:trPr>
        <w:tc>
          <w:tcPr>
            <w:tcW w:w="6240" w:type="dxa"/>
            <w:vAlign w:val="bottom"/>
            <w:gridSpan w:val="3"/>
            <w:vMerge w:val="continue"/>
          </w:tcPr>
          <w:p>
            <w:pPr>
              <w:spacing w:after="0"/>
              <w:rPr>
                <w:sz w:val="12"/>
                <w:szCs w:val="12"/>
                <w:color w:val="auto"/>
              </w:rPr>
            </w:pPr>
          </w:p>
        </w:tc>
        <w:tc>
          <w:tcPr>
            <w:tcW w:w="3220" w:type="dxa"/>
            <w:vAlign w:val="bottom"/>
          </w:tcPr>
          <w:p>
            <w:pPr>
              <w:spacing w:after="0"/>
              <w:rPr>
                <w:sz w:val="12"/>
                <w:szCs w:val="12"/>
                <w:color w:val="auto"/>
              </w:rPr>
            </w:pPr>
          </w:p>
        </w:tc>
        <w:tc>
          <w:tcPr>
            <w:tcW w:w="580" w:type="dxa"/>
            <w:vAlign w:val="bottom"/>
            <w:tcBorders>
              <w:top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2009</w:t>
            </w:r>
          </w:p>
        </w:tc>
        <w:tc>
          <w:tcPr>
            <w:tcW w:w="4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flows used by investing activities</w:t>
            </w:r>
          </w:p>
        </w:tc>
        <w:tc>
          <w:tcPr>
            <w:tcW w:w="42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(527)</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The decrease in the net use of cash flows year-over-year in investing activities is largely a result of a decrease in our capital expenditures of $202 million and a decrease of $349 million in acquisitions activity in the first six months of 2009 as compared to the first six months of 2008. Capital expenditures have been curtailed across the businesses in line with the volume reductions. For the full year, capital expenditures are expected to decrease approximately 30 percent from 2008 levels. A year-over-year benefit of approximately $205 million on settlement of our foreign exchange derivatives also contributed to the year-over-year decrease. Customer financing activities was a net use of cash of $38 million for the first six months of 2009, compared to a net use of cash of $92 million for the same period in 2008. While we expect that 2009 customer financing activity will be a net use of funds, actual funding is subject to usage under existing customer financing commitments during the remainder of the year. We may also arrange for third-party investors to assume a portion of our commitments. We had financing and rental commitments of approximately $1,040 million and $1,142 million related to commercial aircraft at June 30, 2009 and December 31, 2008, respectively, of which as much as $174 million may be required to be disbursed during 2009. Net acquisition activity in the first six months of 2009 was $153 million, compared to $461 million for the same period in 2008, and consisted of a number of small purchases both in the commercial and aerospace businesses in both years. We expect total investments in businesses in 2009 to approximate $2 billion, including acquisitions announced during the first six months of 2009; however, actual acquisition spending may vary depending upon the timing and availability of acquisition opportunities.</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Cash Flow - Financing Activities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3220" w:type="dxa"/>
            <w:vAlign w:val="bottom"/>
          </w:tcPr>
          <w:p>
            <w:pPr>
              <w:spacing w:after="0"/>
              <w:rPr>
                <w:sz w:val="14"/>
                <w:szCs w:val="14"/>
                <w:color w:val="auto"/>
              </w:rPr>
            </w:pPr>
          </w:p>
        </w:tc>
        <w:tc>
          <w:tcPr>
            <w:tcW w:w="196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142"/>
        </w:trPr>
        <w:tc>
          <w:tcPr>
            <w:tcW w:w="6240" w:type="dxa"/>
            <w:vAlign w:val="bottom"/>
            <w:gridSpan w:val="3"/>
            <w:vMerge w:val="continue"/>
          </w:tcPr>
          <w:p>
            <w:pPr>
              <w:spacing w:after="0"/>
              <w:rPr>
                <w:sz w:val="12"/>
                <w:szCs w:val="12"/>
                <w:color w:val="auto"/>
              </w:rPr>
            </w:pPr>
          </w:p>
        </w:tc>
        <w:tc>
          <w:tcPr>
            <w:tcW w:w="3220" w:type="dxa"/>
            <w:vAlign w:val="bottom"/>
          </w:tcPr>
          <w:p>
            <w:pPr>
              <w:spacing w:after="0"/>
              <w:rPr>
                <w:sz w:val="12"/>
                <w:szCs w:val="12"/>
                <w:color w:val="auto"/>
              </w:rPr>
            </w:pPr>
          </w:p>
        </w:tc>
        <w:tc>
          <w:tcPr>
            <w:tcW w:w="780" w:type="dxa"/>
            <w:vAlign w:val="bottom"/>
            <w:tcBorders>
              <w:top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2009</w:t>
            </w:r>
          </w:p>
        </w:tc>
        <w:tc>
          <w:tcPr>
            <w:tcW w:w="4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flows used by financing activities</w:t>
            </w:r>
          </w:p>
        </w:tc>
        <w:tc>
          <w:tcPr>
            <w:tcW w:w="44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   (1,785)</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(612)</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At June 30, 2009, we had two committed credit agreements from banks permitting aggregate borrowings of up to $2.5 billion. One credit commitment is a $1.5 billion revolving credit agreement. As of June 30, 2009, there were no borrowings under this revolving credit agreement, which expires in October 2011. We also have a $1.0 billion multicurrency revolving credit agreement that is available for general funding purposes, including acquisitions. During the first six months of 2009, we repaid approximately $460 million which had been borrowed under the multicurrency revolving credit agreement as of December 31, 2008. As of June 30, 2009, there were no borrowings under this revolving credit agreement, which expires in November 2011. The undrawn portions of both the $1.5 billion revolving credit agreement and $1.0 billion multicurrency revolving credit agreement are also available to serve as backup facilities for the issuance of commercial paper. During the second quarter of 2009, we repaid approximately $515 million for the commercial paper which was outstanding as of March 31, 2009. We had approximately $856 million of commercial paper outstanding at June 30, 2009, all of which was scheduled to mature within one month.</w:t>
      </w:r>
    </w:p>
    <w:p>
      <w:pPr>
        <w:spacing w:after="0" w:line="118" w:lineRule="exact"/>
        <w:rPr>
          <w:sz w:val="20"/>
          <w:szCs w:val="20"/>
          <w:color w:val="auto"/>
        </w:rPr>
      </w:pPr>
    </w:p>
    <w:p>
      <w:pPr>
        <w:jc w:val="both"/>
        <w:ind w:right="100" w:firstLine="456"/>
        <w:spacing w:after="0" w:line="235" w:lineRule="auto"/>
        <w:rPr>
          <w:sz w:val="20"/>
          <w:szCs w:val="20"/>
          <w:color w:val="auto"/>
        </w:rPr>
      </w:pPr>
      <w:r>
        <w:rPr>
          <w:rFonts w:ascii="Arial" w:cs="Arial" w:eastAsia="Arial" w:hAnsi="Arial"/>
          <w:sz w:val="18"/>
          <w:szCs w:val="18"/>
          <w:color w:val="auto"/>
        </w:rPr>
        <w:t xml:space="preserve">In February 2009, we redeemed the entire $500 million outstanding principal amount of our Floating Rate Notes Due 2009 that were due June 1, 2009 at a redemption price in U.S. dollars equal to 100% of the principal amount, plus interest accrued. On June 1, 2009, we repaid our $400 million of 6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 Notes Due 2009 which matured on the same date.</w:t>
      </w:r>
    </w:p>
    <w:p>
      <w:pPr>
        <w:spacing w:after="0" w:line="19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repurchased $350 million of common stock in the first six months of 2009, under an existing 60 million share repurchase program. Share repurchase in the first half of 2009 represents approximately 7 million shares. At June 30, 2009, approximately 21</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million shares remain available for repurchase under the program. We expect total share repurchases in 2009 to be approximately $1 billion and expect the total number of outstanding shares to decrease during the year. However, total repurchases may vary depending upon the level of other investing activities. The share repurchase program continues to be a significant use of our cash flows and, at a minimum, is expected to offset the dilutive effect of the issuance of stock and options under stock-based employee benefit programs. We paid dividends of $0.385 per share in the first quarter of 2009 totaling $339 million and $0.385 per share in the second quarter of 2009 totaling $340 million. On June 10, 2009, the Board of Directors declared a dividend of $0.385 per share payable September 10, 2009.</w:t>
      </w:r>
    </w:p>
    <w:p>
      <w:pPr>
        <w:spacing w:after="0" w:line="144"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have an existing universal shelf registration statement filed with the SEC for an indeterminate amount of securities for future issuance, subject to our internal limitations on the amount of debt to be issued under this shelf registration statement.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our 2008 Annual Report, incorporated by reference in our 2008 Form 10-K, we disclosed our off-balance sheet arrangements and contractual obligations. At June 30, 2009, there have been no material changes to these off-balance sheet arrangements and contractual obligations outside the ordinary course of business except as disclosed above.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There has been no significant change in our exposure to market risk during the first six months of 2009. For discussion of our exposure to market risk, refer to Part II, Item 7A, “Quantitative and Qualitative Disclosures About Market Risk,” contained in our 2008 Form 10-K.</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As required by Rule 13a-15 under the Securities Exchange Act of 1934 (Exchange Act), we carried out an evaluation under the supervision and with the participation of our management, including the President and Chief Executive Officer (CEO), the Senior Vice President and Chief Financial Officer (CFO), and the Vice President, Controller (Controller), of the effectiveness of the design and operation of our disclosure controls and procedures as of June 30, 2009.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upon our evaluation, our CEO, our CFO, and our Controller have concluded that, as of June 30, 2009, our disclosure controls and procedures were effective to provide reasonable assurance that information required to be disclosed in the reports that we file or submit under the Exchange Act is recorded, processed, summarized and reported within the time periods specified in the applicable rules and forms, and that it is accumulated and communicated to our management, including our CEO, our CFO, and our Controller, as appropriate, to allow timely decisions regarding required disclosure.</w:t>
      </w:r>
    </w:p>
    <w:p>
      <w:pPr>
        <w:spacing w:after="0" w:line="120"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There has been no change in our internal control over financial reporting during the quarter ended June 30, 2009 that has materially affected, or is reasonably likely to materially affect, our internal control over financial reporting.</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Concerning Factors That May Affect Future Results</w:t>
      </w:r>
    </w:p>
    <w:p>
      <w:pPr>
        <w:spacing w:after="0" w:line="17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This report on Form 10-Q contains statements which, to the extent they are not statements of historical or present fact, constitute “forward-looking statements” under the securities laws. From time to time, oral or written forward-looking statements may also be included in other materials released to the public. These forward-looking statements are intended to provide management’s current expectations or plans for our future operating and financial performance, based on assumptions currently believed to be valid. Forward-looking statements can be identified by the use of words such as “believe,” “expect,” “plans,” “strategy,” “prospects,” “estimate,” “project,” “target,” “anticipate,” “guidance” and other words of similar meaning in connection with a discussion of future operating or financial performance. These include, among others, statements relating to:</w:t>
      </w:r>
    </w:p>
    <w:p>
      <w:pPr>
        <w:spacing w:after="0" w:line="39"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revenues, earnings, cash flow, uses of cash and other measures of financial performance;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economic conditions in the United States and globally, including the financial condition of our customers and suppliers;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new business opportunities;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restructuring costs and savings;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scope, nature or impact of acquisition activity and integration into our businesses;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development, production and support of advanced technologies and new products and services;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anticipated benefits of diversification and balance of operations across product lines, regions and industries;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negotiation of collective bargaining agreements;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contingencies;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repurchases of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levels of indebtedness and capital spending;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pension plan assumptions and future contributions.</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All forward-looking statements involve risks and uncertainties that may cause actual results to differ materially from those expressed or implied in the forward-looking statements. This Quarterly Report on Form 10-Q includes important information as to factors that may cause actual results to vary materially from those stated in the forward-looking statements. See the “Notes to Condensed Consolidated Financial Statements” under the heading “Contingent Liabilities,” the section titled “Management’s Discussion and Analysis of Financial Condition and Results of Operations” under the headings “Business Overview,” “Critical Accounting Estimates,” “Results of Continuing Operations,” and “Liquidity and Financial Condition” and the section titled “Risk Factors.” Our 2008 Annual Report also includes important information as to these risk factors in the “Business” section under the headings “Description of Business by Segment” and “Other Matters Relating to our Business as a Whole,” and in the “Risk Factors” and “Legal Proceedings” sections. Additional important information as to these factors is included in our 2008 Annual Report in the section titled “Management’s Discussion and Analysis of Financial Condition and Results of Operations” under the headings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“Business Overview,” “Critical Accounting Estimates,” “Environmental Matters” and “Restructuring and Other Costs.” For additional information identifying factors that may cause actual results to vary materially from those stated in the forward-looking statements, see our reports on Forms 10-K, 10-Q and 8-K filed with the SEC from time to time.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business, financial condition, operating results and cash flows can be impacted by a number of factors, including, but not limited to, those set forth below, any one of which could cause our actual results to vary materially from recent results or from our anticipated future results. For a discussion identifying additional risk factors and important factors that could cause actual results to differ materially from those anticipated, see the discussion in the “Business” section under the headings “Other Matters Relating to Our Business as a Whole” and “Cautionary Note Concerning Factors That May Affect Future Results” in our 2008 Form 10-K, in “Management’s Discussion and Analysis of Financial Condition and Results of Operations” and “Notes to Consolidated Financial Statements” in our 2008 Annual Report, and in “Management’s Discussion and Analysis of Financial Condition and Results of Operations” and “Notes to Condensed Consolidated Financial Statements” in this Form 10-Q.</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Global Growth is Subject to a Number of Economic Risks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As widely reported, financial markets in the United States, Europe and Asia have been experiencing extreme disruption, including significant distress of financial institutions, extreme volatility in security prices, severely diminished liquidity and credit availability, rating downgrades of certain investments and declining valuations of others. Governments have taken unprecedented actions intended to address extreme financial and market conditions that include severely restricted credit and declines in real estate values. While currently these conditions have not impaired our ability to access credit markets and finance our operations, there can be no assurance that there will not be a further deterioration in financial markets and confidence in major economies. These economic developments affect businesses such as ours in a number of ways. The tightening of credit in financial markets adversely affects the ability of our customers and suppliers to obtain financing for significant purchases and operations and could result in a decrease in or cancellation of orders for our products and services as well as impact the ability of our customers to make payments. Similarly, this tightening of credit may adversely affect our supplier base and increase the potential for one or more of our suppliers to experience financial distress or bankruptcy. Our global business is also adversely affected by decreases in the general level of economic activity, such as decreases in business and consumer spending, air travel, construction activity, the financial strength of airline customers and business jet operators, and government procurement. Strengthening of the rate of exchange for the U.S. Dollar against certain major currencies such as the Euro, the Canadian Dollar and other currencies also adversely affects our results. We are unable to predict the likely duration and severity of disruption in financial markets and adverse economic conditions in the U.S. and other countries.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Performance Is Dependent on the Conditions of the Construction and Aerospace Industries</w:t>
      </w:r>
    </w:p>
    <w:p>
      <w:pPr>
        <w:spacing w:after="0" w:line="90"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The results of our commercial and industrial businesses, which generated approximately 61% of our consolidated revenues in 2008, are influenced by a number of external factors including fluctuations in residential and commercial construction activity, regulatory changes, interest rates, labor costs, foreign currency exchange rates, customer attrition, raw material and energy costs, the tightening of the U.S. credit markets and other global and political factors. In addition to these factors, Carrier’s financial performance can also be influenced by production and utilization of transport equipment and, in its residential business, weather conditions.</w:t>
      </w:r>
    </w:p>
    <w:p>
      <w:pPr>
        <w:spacing w:after="0" w:line="143"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The results of our commercial and military aerospace businesses, which generated approximately 39% of our consolidated revenues in 2008, are directly tied to the economic conditions in the commercial aviation and defense industries, which are cyclical in nature. The challenging operating environment currently faced by commercial airlines is expected to continue. As a result, financial difficulties, including bankruptcy, of one or more of the major commercial airlines could result in significant cancellations of orders, reductions in our aerospace revenues and losses under existing contracts. In addition, capital spending and demand for aircraft engine and component aftermarket parts and service by commercial airlines, aircraft operators and aircraft manufacturers are influenced by a wide variety of factors, including current and predicted traffic levels, load factors, aircraft fuel pricing, labor issues, worldwide airline profits, airline consolidation, competition, the retirement of older aircraft, regulatory changes, terrorism and related safety concerns, general economic conditions, corporate profitability, and backlog levels, all of which could reduce both the demand for air travel and the aftermarket sales and margins of our aerospace businesses. Future terrorist actions or pandemic health issues could dramatically reduce both the demand for air travel and our aerospace businesses aftermarket sales and margins. Also, since a substantial portion of the backlog for commercial aerospace customers is scheduled for delivery beyond 2009, changes in economic conditions may cause customers to request that firm orders be rescheduled or canceled. At times, our aerospace businesses also enter into firm fixed-price development contracts, which may require us to bear cost overruns related to unforeseen technical and design challenges that arise during the development stage of the program. In addition, our aerospace businesses face intense competition from domestic and foreign manufacturers of new equipment and spare parts. The defense industry is also affected by a changing global political environment, continued pressure on U.S. and global defense spending and U.S. foreign policy and the level of activity in military</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flight operations. Spare parts sales and aftermarket service trends are affected by similar factors, including usage, pricing, technological improvements, regulatory changes and the retirement of older aircraft. Furthermore, because of the lengthy research and development cycle involved in bringing products in these business segments to market, we cannot predict the economic conditions that will exist when any new product is complete. A reduction in capital spending in the commercial aviation or defense industries could have a significant effect on the demand for our products, which could have an adverse effect on our financial performance or results of operations.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Affected by Government Contracting Risks</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U.S. government contracts are subject to termination by the government, either for the convenience of the government or for default as a result of our failure to perform under the applicable contract. If terminated by the government as a result of our default, we could be liable for additional costs the government incurs in acquiring undelivered goods or services from another source and any other damages it suffers. We are now, and believe that in light of the current U.S. government contracting environment we will continue to be, the subject of one or more U.S. government investigations. If we or one of our business units were charged with wrongdoing as a result of any U.S. government investigation (including violation of certain environmental or export laws), the U.S. government could suspend us from bidding on or receiving awards of new U.S. government contracts pending the completion of legal proceedings. If convicted or found liable, the U.S. government could subject us to fines, penalties, repayments and treble and other damages. The U.S. government could void any contracts found to be tainted by fraud. The U.S. government also reserves the right to debar a contractor from receiving new government contracts for fraudulent, criminal or other seriously improper conduct. Debarment generally does not exceed three years. Independently, failure to comply with U.S. laws and regulations related to the export of goods and technology outside the United States could result in civil or criminal penalties and suspension or termination of our export privileges. In addition, we are also sensitive to U.S. military budgets, which may fluctuate to reflect the policies of a new administration or Congress.</w:t>
      </w:r>
    </w:p>
    <w:p>
      <w:pPr>
        <w:spacing w:after="0" w:line="20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Our International Operations Subject Us to Economic Risk As Our Results of Operations May Be Adversely Affected by Changes in Economic Conditions, Foreign Currency Fluctuations and Changes in Local Government Regulation</w:t>
      </w:r>
    </w:p>
    <w:p>
      <w:pPr>
        <w:spacing w:after="0" w:line="51"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We conduct our business on a global basis, with approximately 63% of our total 2008 segment revenues derived from operations outside of the United States and from U.S. export sales. Changes in local and regional economic conditions, including fluctuations in exchange rates, may affect product demand and reported profits in our non-U.S. operations (primarily the commercial businesses) where transactions are generally denominated in local currencies. In addition, currency fluctuations may affect the prices we pay suppliers for materials used in our products. As a result, our operating margins may also be negatively impacted by worldwide currency fluctuations that result in higher costs for certain cross border transactions. Our financial statements are denominated in U.S. dollars. Accordingly, fluctuations in exchange rates may also give rise to translation gains or losses when financial statements of non-U.S. operating units are translated into U.S. dollars. Given that the majority of our revenues are non-U.S. based, a strengthening of the U.S. dollar against other major foreign currencies could adversely affect our results of operations.</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majority of sales in the aerospace businesses is transacted in U.S. dollars, consistent with established industry practice, while the majority of costs at locations outside the United States is incurred in the applicable local currency (principally the Euro and the Canadian dollar). For operating units with U.S. dollar sales and local currency costs, there is a foreign currency exposure that could impact our results of operations depending on market changes in the exchange rate of the U.S. dollar against the applicable foreign currencies. To manage certain exposures, we employ long-term hedging strategies associated with U.S. dollar revenues. See Note 1 to the Consolidated Financial Statements in our 2008 Annual Report and Note 8 to the Condensed Consolidated Financial Statements in this Form 10-Q for a discussion of our hedging strategies.</w:t>
      </w:r>
    </w:p>
    <w:p>
      <w:pPr>
        <w:spacing w:after="0" w:line="12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international sales and operations are subject to risks associated with changes in local government laws, regulations and policies, including those related to tariffs and trade barriers, investments, taxation, exchange controls, employment regulations, and repatriation of earnings. Our international sales and operations are also sensitive to changes in foreign national priorities, including government budgets, as well as to political and economic instability. International transactions may involve increased financial and legal risks due to differing legal systems and customs in foreign countries. For example, as a condition of sale or award of a contract, some international customers require us to agree to offset arrangements, which may include in-country purchases, manufacturing and financial support arrangements. The contract may provide for penalties in the event we fail to perform in accordance with the offset requirements. In addition, as part of our globalization strategy, we have invested in certain countries, including Argentina, Brazil, China, India, Russia and South Africa that carry high levels of currency, political and economic risk.</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While these factors or the impact of these factors are difficult to predict, any one or more of them could adversely affect our business, financial condition or operating results.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b w:val="1"/>
          <w:bCs w:val="1"/>
          <w:i w:val="1"/>
          <w:iCs w:val="1"/>
          <w:color w:val="auto"/>
        </w:rPr>
        <w:t>We Use a Variety of Raw Materials, Supplier-Provided Parts, Components, Sub-Systems and Third Party Contract Manufacturing Services in Our Businesses, and Significant Shortages, Supplier Capacity Constraints, Supplier Production Disruptions or Price Increases Could Increase Our Operating Costs and Adversely Impact the Competitive Positions of Our Products</w:t>
      </w:r>
    </w:p>
    <w:p>
      <w:pPr>
        <w:spacing w:after="0" w:line="59"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Our reliance on suppliers, third party contract manufacturing and commodity markets to secure raw materials, parts, components and sub-systems used in our products exposes us to volatility in the prices and availability of these materials. In some instances, we depend upon a single source of supply, manufacturing or assembly or participate in commodity markets that may be subject to allocations of limited supplies by suppliers. A disruption in deliveries from our suppliers or third party contract manufacturers, supplier capacity constraints, supplier and third party contract manufacturer production disruptions, price increases, or decreased availability of raw materials or commodities, could have an adverse effect on our ability to meet our commitments to customers or increase our operating costs. We believe that our supply management and production practices are based on an appropriate balancing of the foreseeable risks and the costs of alternative practices. Nonetheless, price increases, supplier capacity constraints, supplier production disruptions or the unavailability of some raw materials may have an adverse effect on our results of operations or financial condition.</w:t>
      </w:r>
    </w:p>
    <w:p>
      <w:pPr>
        <w:spacing w:after="0" w:line="19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We Engage in Acquisitions, and May Encounter Difficulties Integrating Acquired Businesses with Our Current Operations; Therefore, We May Not Realize the Anticipated Benefits of the Acquisitions</w:t>
      </w:r>
    </w:p>
    <w:p>
      <w:pPr>
        <w:spacing w:after="0" w:line="51"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We seek to grow through strategic acquisitions. In the past several years, we have made various acquisitions and entered into joint venture arrangements intended to complement and expand our businesses, and may continue to do so in the future. The success of these transactions will depend on our ability to integrate assets and personnel acquired in these transactions, apply our internal controls processes to these acquired businesses, and cooperate with our strategic partners. We may encounter difficulties in integrating acquisitions with our operations, applying our internal controls processes to these acquisitions, or in managing strategic investments. Furthermore, we may not realize the degree or timing of benefits we anticipate when we first enter into a transaction. Any of the foregoing could adversely affect our business and results of operations. In addition, the recent effectiveness of Statement of Financial Accounting Standards No. 141 (revised 2007), “Business Combinations,” which, among other things, requires companies to expense certain acquisition costs as incurred, may cause us to incur greater earnings volatility and generally lower earnings during periods in which we acquire new businesses.</w:t>
      </w:r>
    </w:p>
    <w:p>
      <w:pPr>
        <w:spacing w:after="0" w:line="19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We Design, Manufacture and Service Products that Incorporate Advanced Technologies; The Introduction of New Products and Technologies Involves Risks and We May Not Realize the Degree or Timing of Benefits Initially Anticipated</w:t>
      </w:r>
    </w:p>
    <w:p>
      <w:pPr>
        <w:spacing w:after="0" w:line="51"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We seek to achieve growth through the design, development, production, sale and support of innovative products that incorporate advanced technologies. We regularly invest substantial amounts in research and development efforts that pursue advancements in a wide range of technologies, products and services. Our ability to realize the anticipated benefits of these advancements depends on a variety of factors, including meeting development, production, certification and regulatory approval schedules; execution of internal and external performance plans; availability of internal and supplier-produced parts and materials; performance of suppliers and subcontractors; achieving cost and production efficiencies, validation of innovative technologies and the level of customer interest in new technologies and products. These factors involve significant risks and uncertainties. We may encounter difficulties in developing and producing these new products and services, and may not realize the degree or timing of benefits initially anticipated. In particular, we cannot predict with certainty whether, when and in what quantities Pratt &amp; Whitney or its affiliates will produce aircraft engines currently in development or pending required certifications. Any of the foregoing could adversely affect our business and results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Litigation and Legal Compliance Risks That Could Adversely Affect Our Operating Results</w:t>
      </w:r>
    </w:p>
    <w:p>
      <w:pPr>
        <w:spacing w:after="0" w:line="90" w:lineRule="exact"/>
        <w:rPr>
          <w:sz w:val="20"/>
          <w:szCs w:val="20"/>
          <w:color w:val="auto"/>
        </w:rPr>
      </w:pPr>
    </w:p>
    <w:p>
      <w:pPr>
        <w:jc w:val="both"/>
        <w:ind w:right="80" w:firstLine="456"/>
        <w:spacing w:after="0" w:line="302" w:lineRule="auto"/>
        <w:rPr>
          <w:sz w:val="20"/>
          <w:szCs w:val="20"/>
          <w:color w:val="auto"/>
        </w:rPr>
      </w:pPr>
      <w:r>
        <w:rPr>
          <w:rFonts w:ascii="Arial" w:cs="Arial" w:eastAsia="Arial" w:hAnsi="Arial"/>
          <w:sz w:val="15"/>
          <w:szCs w:val="15"/>
          <w:color w:val="auto"/>
        </w:rPr>
        <w:t>We are subject to a variety of litigation and legal compliance risks. These risks include, among other things, litigation concerning product liability matters, personal injuries, intellectual property rights, government contracts, taxes, environmental matters and compliance with U.S. and foreign export laws, competition laws and sales and trading practices. We or one of our business units could be charged with wrongdoing as a result of such litigation. If convicted or found liable, we could be subject to fines, penalties, repayments, other damages (in certain cases, treble damages), or suspension or debarment from government contracts.</w:t>
      </w:r>
    </w:p>
    <w:p>
      <w:pPr>
        <w:spacing w:after="0" w:line="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Independently, failure of us or one of our business units to comply with applicable export and trade practice laws could result in civil or criminal penalties and suspension or termination of export privileges. While we believe we have adopted appropriate risk management and compliance programs to address and reduce these risks, the global and diverse nature of our operations means that these risks will continue to exist and additional legal proceedings and contingencies will arise from time to time. Our results may be affected by the outcome of legal proceedings and other contingencies that cannot be predicted with certainty. For non-income tax risks, we estimate material loss contingencies and establish reserves as required by generally accepted accounting principles based on our assessment of contingencies where liability is deemed probable and reasonably estimable in light of the facts and circumstances known to us at a particular point in time. Subsequent developments in legal proceedings may affect our assessment and estimates of the loss contingency recorded as a liability or as a reserve against assets in our financial statements and could result in an adverse effect on our results of operations in the period in which a liability would be recognized or cash flows for the period in which damages would be paid. For a description of current legal proceedings, see Part I, Item 3 “Legal Proceedings,” in our 2008 Form 10-K. For income tax risks, we recognize tax benefits based on our assessment that a tax benefit has a greater than 50% likelihood of being sustained upon ultimate settlement with the applicable taxing authority that has full knowledge of all relevant facts. For those income tax positions where we assess that there is not a greater than 50% likelihood that such tax benefit will be sustained, we do not recognize a tax</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benefit in our financial statements. Subsequent events may cause us to change our assessment of the likelihood of sustaining a previously-recognized benefit which could result in an adverse effect on our results of operations in the period in which such event occurs or on our cash flows in the period in which the ultimate settlement with the applicable taxing authority occurs.</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following table provides information about our purchases during the quarter ended June 30, 2009 of equity securities that are registered by us pursuant to Section 12 of the Exchange Act.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6"/>
              </w:rPr>
              <w:t>Total Number of Shares</w:t>
            </w:r>
          </w:p>
        </w:tc>
        <w:tc>
          <w:tcPr>
            <w:tcW w:w="13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Maximum 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6"/>
              </w:rPr>
              <w:t>Purchased as Part of a</w:t>
            </w:r>
          </w:p>
        </w:tc>
        <w:tc>
          <w:tcPr>
            <w:tcW w:w="13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Shares that 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Total Number of Shares</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6"/>
              </w:rPr>
              <w:t>Publicly Announced</w:t>
            </w:r>
          </w:p>
        </w:tc>
        <w:tc>
          <w:tcPr>
            <w:tcW w:w="13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Purchased Under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Purchased</w:t>
            </w:r>
          </w:p>
        </w:tc>
        <w:tc>
          <w:tcPr>
            <w:tcW w:w="820" w:type="dxa"/>
            <w:vAlign w:val="bottom"/>
          </w:tcPr>
          <w:p>
            <w:pPr>
              <w:spacing w:after="0"/>
              <w:rPr>
                <w:sz w:val="12"/>
                <w:szCs w:val="12"/>
                <w:color w:val="auto"/>
              </w:rPr>
            </w:pP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5"/>
              </w:rPr>
              <w:t>Average Price Paid</w:t>
            </w:r>
          </w:p>
        </w:tc>
        <w:tc>
          <w:tcPr>
            <w:tcW w:w="800" w:type="dxa"/>
            <w:vAlign w:val="bottom"/>
          </w:tcPr>
          <w:p>
            <w:pPr>
              <w:spacing w:after="0"/>
              <w:rPr>
                <w:sz w:val="12"/>
                <w:szCs w:val="12"/>
                <w:color w:val="auto"/>
              </w:rPr>
            </w:pPr>
          </w:p>
        </w:tc>
        <w:tc>
          <w:tcPr>
            <w:tcW w:w="22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0"/>
              </w:rPr>
              <w:t>Program</w:t>
            </w:r>
          </w:p>
        </w:tc>
        <w:tc>
          <w:tcPr>
            <w:tcW w:w="13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Program</w:t>
            </w:r>
          </w:p>
        </w:tc>
        <w:tc>
          <w:tcPr>
            <w:tcW w:w="0" w:type="dxa"/>
            <w:vAlign w:val="bottom"/>
          </w:tcPr>
          <w:p>
            <w:pPr>
              <w:spacing w:after="0"/>
              <w:rPr>
                <w:sz w:val="1"/>
                <w:szCs w:val="1"/>
                <w:color w:val="auto"/>
              </w:rPr>
            </w:pPr>
          </w:p>
        </w:tc>
      </w:tr>
      <w:tr>
        <w:trPr>
          <w:trHeight w:val="161"/>
        </w:trPr>
        <w:tc>
          <w:tcPr>
            <w:tcW w:w="300" w:type="dxa"/>
            <w:vAlign w:val="bottom"/>
            <w:gridSpan w:val="2"/>
          </w:tcPr>
          <w:p>
            <w:pPr>
              <w:spacing w:after="0"/>
              <w:rPr>
                <w:sz w:val="20"/>
                <w:szCs w:val="20"/>
                <w:color w:val="auto"/>
              </w:rPr>
            </w:pPr>
            <w:r>
              <w:rPr>
                <w:rFonts w:ascii="Arial" w:cs="Arial" w:eastAsia="Arial" w:hAnsi="Arial"/>
                <w:sz w:val="14"/>
                <w:szCs w:val="14"/>
                <w:b w:val="1"/>
                <w:bCs w:val="1"/>
                <w:color w:val="auto"/>
                <w:w w:val="89"/>
              </w:rPr>
              <w:t>2009</w:t>
            </w:r>
          </w:p>
        </w:tc>
        <w:tc>
          <w:tcPr>
            <w:tcW w:w="35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5"/>
              </w:rPr>
              <w:t>(000’s)</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196"/>
              <w:spacing w:after="0"/>
              <w:rPr>
                <w:sz w:val="20"/>
                <w:szCs w:val="20"/>
                <w:color w:val="auto"/>
              </w:rPr>
            </w:pPr>
            <w:r>
              <w:rPr>
                <w:rFonts w:ascii="Arial" w:cs="Arial" w:eastAsia="Arial" w:hAnsi="Arial"/>
                <w:sz w:val="14"/>
                <w:szCs w:val="14"/>
                <w:b w:val="1"/>
                <w:bCs w:val="1"/>
                <w:color w:val="auto"/>
                <w:w w:val="95"/>
              </w:rPr>
              <w:t>per Share</w:t>
            </w:r>
          </w:p>
        </w:tc>
        <w:tc>
          <w:tcPr>
            <w:tcW w:w="800" w:type="dxa"/>
            <w:vAlign w:val="bottom"/>
          </w:tcPr>
          <w:p>
            <w:pPr>
              <w:spacing w:after="0"/>
              <w:rPr>
                <w:sz w:val="14"/>
                <w:szCs w:val="14"/>
                <w:color w:val="auto"/>
              </w:rPr>
            </w:pPr>
          </w:p>
        </w:tc>
        <w:tc>
          <w:tcPr>
            <w:tcW w:w="220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0"/>
              </w:rPr>
              <w:t>(000’s)</w:t>
            </w:r>
          </w:p>
        </w:tc>
        <w:tc>
          <w:tcPr>
            <w:tcW w:w="13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(000’s)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1 - April 30</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48.65</w:t>
            </w:r>
          </w:p>
        </w:tc>
        <w:tc>
          <w:tcPr>
            <w:tcW w:w="300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76</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May 1 - May 31</w:t>
            </w:r>
          </w:p>
        </w:tc>
        <w:tc>
          <w:tcPr>
            <w:tcW w:w="1380" w:type="dxa"/>
            <w:vAlign w:val="bottom"/>
          </w:tcPr>
          <w:p>
            <w:pPr>
              <w:jc w:val="right"/>
              <w:spacing w:after="0"/>
              <w:rPr>
                <w:sz w:val="20"/>
                <w:szCs w:val="20"/>
                <w:color w:val="auto"/>
              </w:rPr>
            </w:pPr>
            <w:r>
              <w:rPr>
                <w:rFonts w:ascii="Arial" w:cs="Arial" w:eastAsia="Arial" w:hAnsi="Arial"/>
                <w:sz w:val="18"/>
                <w:szCs w:val="18"/>
                <w:color w:val="auto"/>
              </w:rPr>
              <w:t>1,182</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51.38</w:t>
            </w:r>
          </w:p>
        </w:tc>
        <w:tc>
          <w:tcPr>
            <w:tcW w:w="3000" w:type="dxa"/>
            <w:vAlign w:val="bottom"/>
            <w:gridSpan w:val="3"/>
          </w:tcPr>
          <w:p>
            <w:pPr>
              <w:jc w:val="right"/>
              <w:ind w:right="820"/>
              <w:spacing w:after="0"/>
              <w:rPr>
                <w:sz w:val="20"/>
                <w:szCs w:val="20"/>
                <w:color w:val="auto"/>
              </w:rPr>
            </w:pPr>
            <w:r>
              <w:rPr>
                <w:rFonts w:ascii="Arial" w:cs="Arial" w:eastAsia="Arial" w:hAnsi="Arial"/>
                <w:sz w:val="18"/>
                <w:szCs w:val="18"/>
                <w:color w:val="auto"/>
              </w:rPr>
              <w:t>1,178</w:t>
            </w:r>
          </w:p>
        </w:tc>
        <w:tc>
          <w:tcPr>
            <w:tcW w:w="1320" w:type="dxa"/>
            <w:vAlign w:val="bottom"/>
          </w:tcPr>
          <w:p>
            <w:pPr>
              <w:jc w:val="right"/>
              <w:spacing w:after="0"/>
              <w:rPr>
                <w:sz w:val="20"/>
                <w:szCs w:val="20"/>
                <w:color w:val="auto"/>
              </w:rPr>
            </w:pPr>
            <w:r>
              <w:rPr>
                <w:rFonts w:ascii="Arial" w:cs="Arial" w:eastAsia="Arial" w:hAnsi="Arial"/>
                <w:sz w:val="18"/>
                <w:szCs w:val="18"/>
                <w:color w:val="auto"/>
              </w:rPr>
              <w:t>22,835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1 - June 30</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54.13</w:t>
            </w:r>
          </w:p>
        </w:tc>
        <w:tc>
          <w:tcPr>
            <w:tcW w:w="80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1,585</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gridSpan w:val="3"/>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3800" w:type="dxa"/>
            <w:vAlign w:val="bottom"/>
            <w:gridSpan w:val="3"/>
          </w:tcPr>
          <w:p>
            <w:pPr>
              <w:spacing w:after="0"/>
              <w:rPr>
                <w:sz w:val="20"/>
                <w:szCs w:val="20"/>
                <w:color w:val="auto"/>
              </w:rPr>
            </w:pPr>
            <w:r>
              <w:rPr>
                <w:rFonts w:ascii="Arial" w:cs="Arial" w:eastAsia="Arial" w:hAnsi="Arial"/>
                <w:sz w:val="18"/>
                <w:szCs w:val="18"/>
                <w:color w:val="auto"/>
              </w:rPr>
              <w:t>Total</w:t>
            </w:r>
          </w:p>
        </w:tc>
        <w:tc>
          <w:tcPr>
            <w:tcW w:w="1380" w:type="dxa"/>
            <w:vAlign w:val="bottom"/>
          </w:tcPr>
          <w:p>
            <w:pPr>
              <w:jc w:val="right"/>
              <w:spacing w:after="0"/>
              <w:rPr>
                <w:sz w:val="20"/>
                <w:szCs w:val="20"/>
                <w:color w:val="auto"/>
              </w:rPr>
            </w:pPr>
            <w:r>
              <w:rPr>
                <w:rFonts w:ascii="Arial" w:cs="Arial" w:eastAsia="Arial" w:hAnsi="Arial"/>
                <w:sz w:val="18"/>
                <w:szCs w:val="18"/>
                <w:color w:val="auto"/>
              </w:rPr>
              <w:t>2,846</w:t>
            </w:r>
          </w:p>
        </w:tc>
        <w:tc>
          <w:tcPr>
            <w:tcW w:w="10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52.83</w:t>
            </w:r>
          </w:p>
        </w:tc>
        <w:tc>
          <w:tcPr>
            <w:tcW w:w="3000" w:type="dxa"/>
            <w:vAlign w:val="bottom"/>
            <w:gridSpan w:val="3"/>
          </w:tcPr>
          <w:p>
            <w:pPr>
              <w:jc w:val="right"/>
              <w:ind w:right="820"/>
              <w:spacing w:after="0"/>
              <w:rPr>
                <w:sz w:val="20"/>
                <w:szCs w:val="20"/>
                <w:color w:val="auto"/>
              </w:rPr>
            </w:pPr>
            <w:r>
              <w:rPr>
                <w:rFonts w:ascii="Arial" w:cs="Arial" w:eastAsia="Arial" w:hAnsi="Arial"/>
                <w:sz w:val="18"/>
                <w:szCs w:val="18"/>
                <w:color w:val="auto"/>
              </w:rPr>
              <w:t>2,839</w:t>
            </w: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repurchase shares under a program announced on June 11, 2008, which authorized the repurchase of up to 60 million shares of our common stock. Under the current program, shares may be purchased on the open market, in privately negotiated transactions and under plans complying with Rules 10b5-1 and 10b-18 under the Exchange Act, as amended. These repurchases are included within the scope of our overall repurchase program discussed above. We may also reacquire shares outside of the program from time to time in connection with the surrender of shares to cover taxes on vesting of restricted stock. Approximately 7,000 shares were reacquired in transactions outside the program during the quarter.</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information related to our Annual Meeting of Shareowners on April 8, 2009 required by Item 4 is incorporated herein by reference to Part II, Item 4 of our Quarterly Report on Form 10-Q for the quarter ended March 31, 2009.</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2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7840" w:type="dxa"/>
            <w:vAlign w:val="bottom"/>
            <w:gridSpan w:val="2"/>
          </w:tcPr>
          <w:p>
            <w:pPr>
              <w:ind w:left="1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219"/>
        </w:trPr>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1200" w:type="dxa"/>
            <w:vAlign w:val="bottom"/>
          </w:tcPr>
          <w:p>
            <w:pPr>
              <w:spacing w:after="0"/>
              <w:rPr>
                <w:sz w:val="19"/>
                <w:szCs w:val="19"/>
                <w:color w:val="auto"/>
              </w:rPr>
            </w:pPr>
          </w:p>
        </w:tc>
        <w:tc>
          <w:tcPr>
            <w:tcW w:w="6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7840" w:type="dxa"/>
            <w:vAlign w:val="bottom"/>
            <w:gridSpan w:val="2"/>
          </w:tcPr>
          <w:p>
            <w:pPr>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10.7</w:t>
            </w:r>
          </w:p>
        </w:tc>
        <w:tc>
          <w:tcPr>
            <w:tcW w:w="420" w:type="dxa"/>
            <w:vAlign w:val="bottom"/>
            <w:vMerge w:val="continue"/>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w w:val="88"/>
              </w:rPr>
              <w:t>United Technologies Corporation Executive Leadership Group Program, as amended, effective June 10, 2009.*</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920" w:hanging="649"/>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Statement re: computation of ratio of earnings to fixed charges.*</w:t>
      </w:r>
    </w:p>
    <w:p>
      <w:pPr>
        <w:spacing w:after="0" w:line="117" w:lineRule="exact"/>
        <w:rPr>
          <w:rFonts w:ascii="Arial" w:cs="Arial" w:eastAsia="Arial" w:hAnsi="Arial"/>
          <w:sz w:val="18"/>
          <w:szCs w:val="18"/>
          <w:color w:val="auto"/>
        </w:rPr>
      </w:pPr>
    </w:p>
    <w:p>
      <w:pPr>
        <w:ind w:left="920" w:hanging="649"/>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Letter re: unaudited interim financial information.*</w:t>
      </w:r>
    </w:p>
    <w:p>
      <w:pPr>
        <w:spacing w:after="0" w:line="117" w:lineRule="exact"/>
        <w:rPr>
          <w:rFonts w:ascii="Arial" w:cs="Arial" w:eastAsia="Arial" w:hAnsi="Arial"/>
          <w:sz w:val="18"/>
          <w:szCs w:val="18"/>
          <w:color w:val="auto"/>
        </w:rPr>
      </w:pPr>
    </w:p>
    <w:p>
      <w:pPr>
        <w:ind w:left="920" w:hanging="649"/>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Rule 13a-14(a)/15d-14(a) Certifications.*</w:t>
      </w:r>
    </w:p>
    <w:p>
      <w:pPr>
        <w:spacing w:after="0" w:line="117" w:lineRule="exact"/>
        <w:rPr>
          <w:rFonts w:ascii="Arial" w:cs="Arial" w:eastAsia="Arial" w:hAnsi="Arial"/>
          <w:sz w:val="18"/>
          <w:szCs w:val="18"/>
          <w:color w:val="auto"/>
        </w:rPr>
      </w:pPr>
    </w:p>
    <w:p>
      <w:pPr>
        <w:ind w:left="920" w:hanging="649"/>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Section 1350 Certifications.*</w:t>
      </w:r>
    </w:p>
    <w:p>
      <w:pPr>
        <w:spacing w:after="0" w:line="11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60" w:type="dxa"/>
            <w:vAlign w:val="bottom"/>
          </w:tcPr>
          <w:p>
            <w:pPr>
              <w:jc w:val="center"/>
              <w:ind w:right="32"/>
              <w:spacing w:after="0"/>
              <w:rPr>
                <w:sz w:val="20"/>
                <w:szCs w:val="20"/>
                <w:color w:val="auto"/>
              </w:rPr>
            </w:pPr>
            <w:r>
              <w:rPr>
                <w:rFonts w:ascii="Arial" w:cs="Arial" w:eastAsia="Arial" w:hAnsi="Arial"/>
                <w:sz w:val="18"/>
                <w:szCs w:val="18"/>
                <w:color w:val="auto"/>
                <w:w w:val="92"/>
              </w:rPr>
              <w:t>101.INS</w:t>
            </w:r>
          </w:p>
        </w:tc>
        <w:tc>
          <w:tcPr>
            <w:tcW w:w="4640" w:type="dxa"/>
            <w:vAlign w:val="bottom"/>
          </w:tcPr>
          <w:p>
            <w:pPr>
              <w:ind w:left="120"/>
              <w:spacing w:after="0"/>
              <w:rPr>
                <w:sz w:val="20"/>
                <w:szCs w:val="20"/>
                <w:color w:val="auto"/>
              </w:rPr>
            </w:pPr>
            <w:r>
              <w:rPr>
                <w:rFonts w:ascii="Arial" w:cs="Arial" w:eastAsia="Arial" w:hAnsi="Arial"/>
                <w:sz w:val="18"/>
                <w:szCs w:val="18"/>
                <w:color w:val="auto"/>
              </w:rPr>
              <w:t>XBRL Instance Document.*</w:t>
            </w:r>
          </w:p>
        </w:tc>
      </w:tr>
      <w:tr>
        <w:trPr>
          <w:trHeight w:val="222"/>
        </w:trPr>
        <w:tc>
          <w:tcPr>
            <w:tcW w:w="760" w:type="dxa"/>
            <w:vAlign w:val="bottom"/>
          </w:tcPr>
          <w:p>
            <w:pPr>
              <w:spacing w:after="0"/>
              <w:rPr>
                <w:sz w:val="19"/>
                <w:szCs w:val="19"/>
                <w:color w:val="auto"/>
              </w:rPr>
            </w:pPr>
          </w:p>
        </w:tc>
        <w:tc>
          <w:tcPr>
            <w:tcW w:w="4640" w:type="dxa"/>
            <w:vAlign w:val="bottom"/>
          </w:tcPr>
          <w:p>
            <w:pPr>
              <w:ind w:left="120"/>
              <w:spacing w:after="0"/>
              <w:rPr>
                <w:sz w:val="20"/>
                <w:szCs w:val="20"/>
                <w:color w:val="auto"/>
              </w:rPr>
            </w:pPr>
            <w:r>
              <w:rPr>
                <w:rFonts w:ascii="Arial" w:cs="Arial" w:eastAsia="Arial" w:hAnsi="Arial"/>
                <w:sz w:val="18"/>
                <w:szCs w:val="18"/>
                <w:color w:val="auto"/>
              </w:rPr>
              <w:t>(File name: utx-20090630.xml)</w:t>
            </w:r>
          </w:p>
        </w:tc>
      </w:tr>
      <w:tr>
        <w:trPr>
          <w:trHeight w:val="331"/>
        </w:trPr>
        <w:tc>
          <w:tcPr>
            <w:tcW w:w="760" w:type="dxa"/>
            <w:vAlign w:val="bottom"/>
          </w:tcPr>
          <w:p>
            <w:pPr>
              <w:jc w:val="center"/>
              <w:ind w:right="32"/>
              <w:spacing w:after="0"/>
              <w:rPr>
                <w:sz w:val="20"/>
                <w:szCs w:val="20"/>
                <w:color w:val="auto"/>
              </w:rPr>
            </w:pPr>
            <w:r>
              <w:rPr>
                <w:rFonts w:ascii="Arial" w:cs="Arial" w:eastAsia="Arial" w:hAnsi="Arial"/>
                <w:sz w:val="18"/>
                <w:szCs w:val="18"/>
                <w:color w:val="auto"/>
                <w:w w:val="87"/>
              </w:rPr>
              <w:t>101.SCH</w:t>
            </w:r>
          </w:p>
        </w:tc>
        <w:tc>
          <w:tcPr>
            <w:tcW w:w="4640" w:type="dxa"/>
            <w:vAlign w:val="bottom"/>
          </w:tcPr>
          <w:p>
            <w:pPr>
              <w:ind w:left="120"/>
              <w:spacing w:after="0"/>
              <w:rPr>
                <w:sz w:val="20"/>
                <w:szCs w:val="20"/>
                <w:color w:val="auto"/>
              </w:rPr>
            </w:pPr>
            <w:r>
              <w:rPr>
                <w:rFonts w:ascii="Arial" w:cs="Arial" w:eastAsia="Arial" w:hAnsi="Arial"/>
                <w:sz w:val="18"/>
                <w:szCs w:val="18"/>
                <w:color w:val="auto"/>
              </w:rPr>
              <w:t>XBRL Taxonomy Extension Schema Document.*</w:t>
            </w:r>
          </w:p>
        </w:tc>
      </w:tr>
      <w:tr>
        <w:trPr>
          <w:trHeight w:val="222"/>
        </w:trPr>
        <w:tc>
          <w:tcPr>
            <w:tcW w:w="760" w:type="dxa"/>
            <w:vAlign w:val="bottom"/>
          </w:tcPr>
          <w:p>
            <w:pPr>
              <w:spacing w:after="0"/>
              <w:rPr>
                <w:sz w:val="19"/>
                <w:szCs w:val="19"/>
                <w:color w:val="auto"/>
              </w:rPr>
            </w:pPr>
          </w:p>
        </w:tc>
        <w:tc>
          <w:tcPr>
            <w:tcW w:w="4640" w:type="dxa"/>
            <w:vAlign w:val="bottom"/>
          </w:tcPr>
          <w:p>
            <w:pPr>
              <w:ind w:left="120"/>
              <w:spacing w:after="0"/>
              <w:rPr>
                <w:sz w:val="20"/>
                <w:szCs w:val="20"/>
                <w:color w:val="auto"/>
              </w:rPr>
            </w:pPr>
            <w:r>
              <w:rPr>
                <w:rFonts w:ascii="Arial" w:cs="Arial" w:eastAsia="Arial" w:hAnsi="Arial"/>
                <w:sz w:val="18"/>
                <w:szCs w:val="18"/>
                <w:color w:val="auto"/>
              </w:rPr>
              <w:t>(File name: utx-20090630.xsd)</w:t>
            </w:r>
          </w:p>
        </w:tc>
      </w:tr>
      <w:tr>
        <w:trPr>
          <w:trHeight w:val="331"/>
        </w:trPr>
        <w:tc>
          <w:tcPr>
            <w:tcW w:w="760" w:type="dxa"/>
            <w:vAlign w:val="bottom"/>
          </w:tcPr>
          <w:p>
            <w:pPr>
              <w:jc w:val="center"/>
              <w:ind w:right="32"/>
              <w:spacing w:after="0"/>
              <w:rPr>
                <w:sz w:val="20"/>
                <w:szCs w:val="20"/>
                <w:color w:val="auto"/>
              </w:rPr>
            </w:pPr>
            <w:r>
              <w:rPr>
                <w:rFonts w:ascii="Arial" w:cs="Arial" w:eastAsia="Arial" w:hAnsi="Arial"/>
                <w:sz w:val="18"/>
                <w:szCs w:val="18"/>
                <w:color w:val="auto"/>
                <w:w w:val="88"/>
              </w:rPr>
              <w:t>101.PRE</w:t>
            </w:r>
          </w:p>
        </w:tc>
        <w:tc>
          <w:tcPr>
            <w:tcW w:w="4640" w:type="dxa"/>
            <w:vAlign w:val="bottom"/>
          </w:tcPr>
          <w:p>
            <w:pPr>
              <w:ind w:left="120"/>
              <w:spacing w:after="0"/>
              <w:rPr>
                <w:sz w:val="20"/>
                <w:szCs w:val="20"/>
                <w:color w:val="auto"/>
              </w:rPr>
            </w:pPr>
            <w:r>
              <w:rPr>
                <w:rFonts w:ascii="Arial" w:cs="Arial" w:eastAsia="Arial" w:hAnsi="Arial"/>
                <w:sz w:val="18"/>
                <w:szCs w:val="18"/>
                <w:color w:val="auto"/>
                <w:w w:val="89"/>
              </w:rPr>
              <w:t>XBRL Taxonomy Extension Presentation Linkbase Document.*</w:t>
            </w:r>
          </w:p>
        </w:tc>
      </w:tr>
      <w:tr>
        <w:trPr>
          <w:trHeight w:val="222"/>
        </w:trPr>
        <w:tc>
          <w:tcPr>
            <w:tcW w:w="760" w:type="dxa"/>
            <w:vAlign w:val="bottom"/>
          </w:tcPr>
          <w:p>
            <w:pPr>
              <w:spacing w:after="0"/>
              <w:rPr>
                <w:sz w:val="19"/>
                <w:szCs w:val="19"/>
                <w:color w:val="auto"/>
              </w:rPr>
            </w:pPr>
          </w:p>
        </w:tc>
        <w:tc>
          <w:tcPr>
            <w:tcW w:w="4640" w:type="dxa"/>
            <w:vAlign w:val="bottom"/>
          </w:tcPr>
          <w:p>
            <w:pPr>
              <w:ind w:left="120"/>
              <w:spacing w:after="0"/>
              <w:rPr>
                <w:sz w:val="20"/>
                <w:szCs w:val="20"/>
                <w:color w:val="auto"/>
              </w:rPr>
            </w:pPr>
            <w:r>
              <w:rPr>
                <w:rFonts w:ascii="Arial" w:cs="Arial" w:eastAsia="Arial" w:hAnsi="Arial"/>
                <w:sz w:val="18"/>
                <w:szCs w:val="18"/>
                <w:color w:val="auto"/>
              </w:rPr>
              <w:t>(File name: utx-20090630_pre.xml)</w:t>
            </w:r>
          </w:p>
        </w:tc>
      </w:tr>
      <w:tr>
        <w:trPr>
          <w:trHeight w:val="331"/>
        </w:trPr>
        <w:tc>
          <w:tcPr>
            <w:tcW w:w="760" w:type="dxa"/>
            <w:vAlign w:val="bottom"/>
          </w:tcPr>
          <w:p>
            <w:pPr>
              <w:jc w:val="center"/>
              <w:ind w:right="32"/>
              <w:spacing w:after="0"/>
              <w:rPr>
                <w:sz w:val="20"/>
                <w:szCs w:val="20"/>
                <w:color w:val="auto"/>
              </w:rPr>
            </w:pPr>
            <w:r>
              <w:rPr>
                <w:rFonts w:ascii="Arial" w:cs="Arial" w:eastAsia="Arial" w:hAnsi="Arial"/>
                <w:sz w:val="18"/>
                <w:szCs w:val="18"/>
                <w:color w:val="auto"/>
                <w:w w:val="92"/>
              </w:rPr>
              <w:t>101.LAB</w:t>
            </w:r>
          </w:p>
        </w:tc>
        <w:tc>
          <w:tcPr>
            <w:tcW w:w="4640" w:type="dxa"/>
            <w:vAlign w:val="bottom"/>
          </w:tcPr>
          <w:p>
            <w:pPr>
              <w:ind w:left="120"/>
              <w:spacing w:after="0"/>
              <w:rPr>
                <w:sz w:val="20"/>
                <w:szCs w:val="20"/>
                <w:color w:val="auto"/>
              </w:rPr>
            </w:pPr>
            <w:r>
              <w:rPr>
                <w:rFonts w:ascii="Arial" w:cs="Arial" w:eastAsia="Arial" w:hAnsi="Arial"/>
                <w:sz w:val="18"/>
                <w:szCs w:val="18"/>
                <w:color w:val="auto"/>
              </w:rPr>
              <w:t>XBRL Taxonomy Extension Label Linkbase Document.*</w:t>
            </w:r>
          </w:p>
        </w:tc>
      </w:tr>
      <w:tr>
        <w:trPr>
          <w:trHeight w:val="222"/>
        </w:trPr>
        <w:tc>
          <w:tcPr>
            <w:tcW w:w="760" w:type="dxa"/>
            <w:vAlign w:val="bottom"/>
          </w:tcPr>
          <w:p>
            <w:pPr>
              <w:spacing w:after="0"/>
              <w:rPr>
                <w:sz w:val="19"/>
                <w:szCs w:val="19"/>
                <w:color w:val="auto"/>
              </w:rPr>
            </w:pPr>
          </w:p>
        </w:tc>
        <w:tc>
          <w:tcPr>
            <w:tcW w:w="4640" w:type="dxa"/>
            <w:vAlign w:val="bottom"/>
          </w:tcPr>
          <w:p>
            <w:pPr>
              <w:ind w:left="120"/>
              <w:spacing w:after="0"/>
              <w:rPr>
                <w:sz w:val="20"/>
                <w:szCs w:val="20"/>
                <w:color w:val="auto"/>
              </w:rPr>
            </w:pPr>
            <w:r>
              <w:rPr>
                <w:rFonts w:ascii="Arial" w:cs="Arial" w:eastAsia="Arial" w:hAnsi="Arial"/>
                <w:sz w:val="18"/>
                <w:szCs w:val="18"/>
                <w:color w:val="auto"/>
              </w:rPr>
              <w:t>(File name: utx-20090630_lab.xml)</w:t>
            </w:r>
          </w:p>
        </w:tc>
      </w:tr>
      <w:tr>
        <w:trPr>
          <w:trHeight w:val="331"/>
        </w:trPr>
        <w:tc>
          <w:tcPr>
            <w:tcW w:w="760" w:type="dxa"/>
            <w:vAlign w:val="bottom"/>
          </w:tcPr>
          <w:p>
            <w:pPr>
              <w:jc w:val="center"/>
              <w:ind w:right="32"/>
              <w:spacing w:after="0"/>
              <w:rPr>
                <w:sz w:val="20"/>
                <w:szCs w:val="20"/>
                <w:color w:val="auto"/>
              </w:rPr>
            </w:pPr>
            <w:r>
              <w:rPr>
                <w:rFonts w:ascii="Arial" w:cs="Arial" w:eastAsia="Arial" w:hAnsi="Arial"/>
                <w:sz w:val="18"/>
                <w:szCs w:val="18"/>
                <w:color w:val="auto"/>
                <w:w w:val="91"/>
              </w:rPr>
              <w:t>101.CAL</w:t>
            </w:r>
          </w:p>
        </w:tc>
        <w:tc>
          <w:tcPr>
            <w:tcW w:w="4640" w:type="dxa"/>
            <w:vAlign w:val="bottom"/>
          </w:tcPr>
          <w:p>
            <w:pPr>
              <w:ind w:left="120"/>
              <w:spacing w:after="0"/>
              <w:rPr>
                <w:sz w:val="20"/>
                <w:szCs w:val="20"/>
                <w:color w:val="auto"/>
              </w:rPr>
            </w:pPr>
            <w:r>
              <w:rPr>
                <w:rFonts w:ascii="Arial" w:cs="Arial" w:eastAsia="Arial" w:hAnsi="Arial"/>
                <w:sz w:val="18"/>
                <w:szCs w:val="18"/>
                <w:color w:val="auto"/>
                <w:w w:val="91"/>
              </w:rPr>
              <w:t>XBRL Taxonomy Extension Calculation Linkbase Document.*</w:t>
            </w:r>
          </w:p>
        </w:tc>
      </w:tr>
      <w:tr>
        <w:trPr>
          <w:trHeight w:val="222"/>
        </w:trPr>
        <w:tc>
          <w:tcPr>
            <w:tcW w:w="760" w:type="dxa"/>
            <w:vAlign w:val="bottom"/>
          </w:tcPr>
          <w:p>
            <w:pPr>
              <w:spacing w:after="0"/>
              <w:rPr>
                <w:sz w:val="19"/>
                <w:szCs w:val="19"/>
                <w:color w:val="auto"/>
              </w:rPr>
            </w:pPr>
          </w:p>
        </w:tc>
        <w:tc>
          <w:tcPr>
            <w:tcW w:w="4640" w:type="dxa"/>
            <w:vAlign w:val="bottom"/>
          </w:tcPr>
          <w:p>
            <w:pPr>
              <w:ind w:left="120"/>
              <w:spacing w:after="0"/>
              <w:rPr>
                <w:sz w:val="20"/>
                <w:szCs w:val="20"/>
                <w:color w:val="auto"/>
              </w:rPr>
            </w:pPr>
            <w:r>
              <w:rPr>
                <w:rFonts w:ascii="Arial" w:cs="Arial" w:eastAsia="Arial" w:hAnsi="Arial"/>
                <w:sz w:val="18"/>
                <w:szCs w:val="18"/>
                <w:color w:val="auto"/>
              </w:rPr>
              <w:t>(File name: utx-20090630_cal.xml)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8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  Submitted electronically herewith.</w:t>
      </w:r>
    </w:p>
    <w:p>
      <w:pPr>
        <w:spacing w:after="0" w:line="17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Attached as Exhibit 101 to this report are the following formatted in XBRL (Extensible Business Reporting Language): (i) Condensed Consolidated Statement of Operations for the quarters ended June 30, 2009 and 2008, (ii) Condensed Consolidated Statement of Operations for the six months ended June 30, 2009 and 2008, (iii) Condensed Consolidated Balance Sheet at June 30, 2009 and December 31, 2008, (iv) Condensed Consolidated Statement of Cash Flows for the six months ended June 30, 2009 and 2008 and (v) Notes to Condensed Consolidated Financial Statements for the six months ended June 30, 2009.</w:t>
      </w:r>
    </w:p>
    <w:p>
      <w:pPr>
        <w:spacing w:after="0" w:line="113"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In accordance with Rule 406T of Regulation S-T, the XBRL related information in Exhibit 101 to this Quarterly Report on Form 10-Q shall not be deemed to be “filed” for purposes of Section 18 of the Exchange Act, or otherwise subject to the liability of that section, and shall not be part of any registration statement or other document filed under the Securities Act or the Exchange Act, except as shall be expressly set forth by specific reference in such filing.</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40"/>
          </w:cols>
          <w:pgMar w:left="240" w:top="459" w:right="3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000"/>
          </w:cols>
          <w:pgMar w:left="240" w:top="459"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Dated: July 24, 2009</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Dated: July 24, 2009</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Dated: July 24, 2009</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UNITED TECHNOLOGIES CORPORATION</w:t>
      </w:r>
    </w:p>
    <w:p>
      <w:pPr>
        <w:spacing w:after="0" w:line="225" w:lineRule="exact"/>
        <w:rPr>
          <w:sz w:val="20"/>
          <w:szCs w:val="20"/>
          <w:color w:val="auto"/>
        </w:rPr>
      </w:pPr>
    </w:p>
    <w:p>
      <w:pPr>
        <w:ind w:left="780"/>
        <w:spacing w:after="0"/>
        <w:tabs>
          <w:tab w:leader="none" w:pos="144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5"/>
          <w:szCs w:val="15"/>
          <w:color w:val="auto"/>
        </w:rPr>
        <w:t>Gregory J. Hayes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10795</wp:posOffset>
            </wp:positionV>
            <wp:extent cx="29673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22"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Gregory J. Hayes</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Senior Vice President and Chief Financial Officer</w:t>
      </w:r>
    </w:p>
    <w:p>
      <w:pPr>
        <w:spacing w:after="0" w:line="242" w:lineRule="exact"/>
        <w:rPr>
          <w:sz w:val="20"/>
          <w:szCs w:val="20"/>
          <w:color w:val="auto"/>
        </w:rPr>
      </w:pPr>
    </w:p>
    <w:p>
      <w:pPr>
        <w:ind w:left="780"/>
        <w:spacing w:after="0"/>
        <w:tabs>
          <w:tab w:leader="none" w:pos="150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6"/>
          <w:szCs w:val="16"/>
          <w:color w:val="auto"/>
        </w:rPr>
        <w:t>Charles D. Gill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10795</wp:posOffset>
            </wp:positionV>
            <wp:extent cx="29673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22"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Charles D. Gill</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Senior Vice President and General Counsel</w:t>
      </w:r>
    </w:p>
    <w:p>
      <w:pPr>
        <w:spacing w:after="0" w:line="219" w:lineRule="exact"/>
        <w:rPr>
          <w:sz w:val="20"/>
          <w:szCs w:val="20"/>
          <w:color w:val="auto"/>
        </w:rPr>
      </w:pPr>
    </w:p>
    <w:p>
      <w:pPr>
        <w:ind w:left="780"/>
        <w:spacing w:after="0"/>
        <w:tabs>
          <w:tab w:leader="none" w:pos="144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6"/>
          <w:szCs w:val="16"/>
          <w:color w:val="auto"/>
        </w:rPr>
        <w:t>Margaret M. Smyth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10795</wp:posOffset>
            </wp:positionV>
            <wp:extent cx="29673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22"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Margaret M. Smyth</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Vice President, Controller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43</w:t>
      </w:r>
    </w:p>
    <w:p>
      <w:pPr>
        <w:sectPr>
          <w:pgSz w:w="11900" w:h="16838" w:orient="portrait"/>
          <w:cols w:equalWidth="0" w:num="2">
            <w:col w:w="4900" w:space="720"/>
            <w:col w:w="5380"/>
          </w:cols>
          <w:pgMar w:left="240" w:top="459" w:right="659"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640" w:type="dxa"/>
            <w:vAlign w:val="bottom"/>
            <w:gridSpan w:val="3"/>
          </w:tcPr>
          <w:p>
            <w:pPr>
              <w:ind w:left="29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59"/>
        </w:trPr>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12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7840" w:type="dxa"/>
            <w:vAlign w:val="bottom"/>
            <w:gridSpan w:val="4"/>
          </w:tcPr>
          <w:p>
            <w:pPr>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10.7</w:t>
            </w:r>
          </w:p>
        </w:tc>
        <w:tc>
          <w:tcPr>
            <w:tcW w:w="420" w:type="dxa"/>
            <w:vAlign w:val="bottom"/>
            <w:vMerge w:val="continue"/>
          </w:tcPr>
          <w:p>
            <w:pPr>
              <w:spacing w:after="0"/>
              <w:rPr>
                <w:sz w:val="18"/>
                <w:szCs w:val="18"/>
                <w:color w:val="auto"/>
              </w:rPr>
            </w:pPr>
          </w:p>
        </w:tc>
        <w:tc>
          <w:tcPr>
            <w:tcW w:w="7840" w:type="dxa"/>
            <w:vAlign w:val="bottom"/>
            <w:gridSpan w:val="4"/>
          </w:tcPr>
          <w:p>
            <w:pPr>
              <w:spacing w:after="0"/>
              <w:rPr>
                <w:sz w:val="20"/>
                <w:szCs w:val="20"/>
                <w:color w:val="auto"/>
              </w:rPr>
            </w:pPr>
            <w:r>
              <w:rPr>
                <w:rFonts w:ascii="Arial" w:cs="Arial" w:eastAsia="Arial" w:hAnsi="Arial"/>
                <w:sz w:val="18"/>
                <w:szCs w:val="18"/>
                <w:color w:val="auto"/>
                <w:w w:val="88"/>
              </w:rPr>
              <w:t>United Technologies Corporation Executive Leadership Group Program, as amended, effective June 10, 2009.*</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920" w:hanging="649"/>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Statement re: computation of ratio of earnings to fixed charges.*</w:t>
      </w:r>
    </w:p>
    <w:p>
      <w:pPr>
        <w:spacing w:after="0" w:line="117" w:lineRule="exact"/>
        <w:rPr>
          <w:rFonts w:ascii="Arial" w:cs="Arial" w:eastAsia="Arial" w:hAnsi="Arial"/>
          <w:sz w:val="18"/>
          <w:szCs w:val="18"/>
          <w:color w:val="auto"/>
        </w:rPr>
      </w:pPr>
    </w:p>
    <w:p>
      <w:pPr>
        <w:ind w:left="920" w:hanging="649"/>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Letter re: unaudited interim financial information.*</w:t>
      </w:r>
    </w:p>
    <w:p>
      <w:pPr>
        <w:spacing w:after="0" w:line="117" w:lineRule="exact"/>
        <w:rPr>
          <w:rFonts w:ascii="Arial" w:cs="Arial" w:eastAsia="Arial" w:hAnsi="Arial"/>
          <w:sz w:val="18"/>
          <w:szCs w:val="18"/>
          <w:color w:val="auto"/>
        </w:rPr>
      </w:pPr>
    </w:p>
    <w:p>
      <w:pPr>
        <w:ind w:left="920" w:hanging="649"/>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Rule 13a-14(a)/15d-14(a) Certifications.*</w:t>
      </w:r>
    </w:p>
    <w:p>
      <w:pPr>
        <w:spacing w:after="0" w:line="117" w:lineRule="exact"/>
        <w:rPr>
          <w:rFonts w:ascii="Arial" w:cs="Arial" w:eastAsia="Arial" w:hAnsi="Arial"/>
          <w:sz w:val="18"/>
          <w:szCs w:val="18"/>
          <w:color w:val="auto"/>
        </w:rPr>
      </w:pPr>
    </w:p>
    <w:p>
      <w:pPr>
        <w:ind w:left="920" w:hanging="649"/>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Section 1350 Certifications.*</w:t>
      </w:r>
    </w:p>
    <w:p>
      <w:pPr>
        <w:spacing w:after="0" w:line="11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60" w:type="dxa"/>
            <w:vAlign w:val="bottom"/>
          </w:tcPr>
          <w:p>
            <w:pPr>
              <w:jc w:val="center"/>
              <w:ind w:right="32"/>
              <w:spacing w:after="0"/>
              <w:rPr>
                <w:sz w:val="20"/>
                <w:szCs w:val="20"/>
                <w:color w:val="auto"/>
              </w:rPr>
            </w:pPr>
            <w:r>
              <w:rPr>
                <w:rFonts w:ascii="Arial" w:cs="Arial" w:eastAsia="Arial" w:hAnsi="Arial"/>
                <w:sz w:val="18"/>
                <w:szCs w:val="18"/>
                <w:color w:val="auto"/>
                <w:w w:val="92"/>
              </w:rPr>
              <w:t>101.INS</w:t>
            </w:r>
          </w:p>
        </w:tc>
        <w:tc>
          <w:tcPr>
            <w:tcW w:w="4640" w:type="dxa"/>
            <w:vAlign w:val="bottom"/>
          </w:tcPr>
          <w:p>
            <w:pPr>
              <w:ind w:left="120"/>
              <w:spacing w:after="0"/>
              <w:rPr>
                <w:sz w:val="20"/>
                <w:szCs w:val="20"/>
                <w:color w:val="auto"/>
              </w:rPr>
            </w:pPr>
            <w:r>
              <w:rPr>
                <w:rFonts w:ascii="Arial" w:cs="Arial" w:eastAsia="Arial" w:hAnsi="Arial"/>
                <w:sz w:val="18"/>
                <w:szCs w:val="18"/>
                <w:color w:val="auto"/>
              </w:rPr>
              <w:t>XBRL Instance Document.*</w:t>
            </w:r>
          </w:p>
        </w:tc>
      </w:tr>
      <w:tr>
        <w:trPr>
          <w:trHeight w:val="222"/>
        </w:trPr>
        <w:tc>
          <w:tcPr>
            <w:tcW w:w="760" w:type="dxa"/>
            <w:vAlign w:val="bottom"/>
          </w:tcPr>
          <w:p>
            <w:pPr>
              <w:spacing w:after="0"/>
              <w:rPr>
                <w:sz w:val="19"/>
                <w:szCs w:val="19"/>
                <w:color w:val="auto"/>
              </w:rPr>
            </w:pPr>
          </w:p>
        </w:tc>
        <w:tc>
          <w:tcPr>
            <w:tcW w:w="4640" w:type="dxa"/>
            <w:vAlign w:val="bottom"/>
          </w:tcPr>
          <w:p>
            <w:pPr>
              <w:ind w:left="120"/>
              <w:spacing w:after="0"/>
              <w:rPr>
                <w:sz w:val="20"/>
                <w:szCs w:val="20"/>
                <w:color w:val="auto"/>
              </w:rPr>
            </w:pPr>
            <w:r>
              <w:rPr>
                <w:rFonts w:ascii="Arial" w:cs="Arial" w:eastAsia="Arial" w:hAnsi="Arial"/>
                <w:sz w:val="18"/>
                <w:szCs w:val="18"/>
                <w:color w:val="auto"/>
              </w:rPr>
              <w:t>(File name: utx-20090630.xml)</w:t>
            </w:r>
          </w:p>
        </w:tc>
      </w:tr>
      <w:tr>
        <w:trPr>
          <w:trHeight w:val="331"/>
        </w:trPr>
        <w:tc>
          <w:tcPr>
            <w:tcW w:w="760" w:type="dxa"/>
            <w:vAlign w:val="bottom"/>
          </w:tcPr>
          <w:p>
            <w:pPr>
              <w:jc w:val="center"/>
              <w:ind w:right="32"/>
              <w:spacing w:after="0"/>
              <w:rPr>
                <w:sz w:val="20"/>
                <w:szCs w:val="20"/>
                <w:color w:val="auto"/>
              </w:rPr>
            </w:pPr>
            <w:r>
              <w:rPr>
                <w:rFonts w:ascii="Arial" w:cs="Arial" w:eastAsia="Arial" w:hAnsi="Arial"/>
                <w:sz w:val="18"/>
                <w:szCs w:val="18"/>
                <w:color w:val="auto"/>
                <w:w w:val="87"/>
              </w:rPr>
              <w:t>101.SCH</w:t>
            </w:r>
          </w:p>
        </w:tc>
        <w:tc>
          <w:tcPr>
            <w:tcW w:w="4640" w:type="dxa"/>
            <w:vAlign w:val="bottom"/>
          </w:tcPr>
          <w:p>
            <w:pPr>
              <w:ind w:left="120"/>
              <w:spacing w:after="0"/>
              <w:rPr>
                <w:sz w:val="20"/>
                <w:szCs w:val="20"/>
                <w:color w:val="auto"/>
              </w:rPr>
            </w:pPr>
            <w:r>
              <w:rPr>
                <w:rFonts w:ascii="Arial" w:cs="Arial" w:eastAsia="Arial" w:hAnsi="Arial"/>
                <w:sz w:val="18"/>
                <w:szCs w:val="18"/>
                <w:color w:val="auto"/>
              </w:rPr>
              <w:t>XBRL Taxonomy Extension Schema Document.*</w:t>
            </w:r>
          </w:p>
        </w:tc>
      </w:tr>
      <w:tr>
        <w:trPr>
          <w:trHeight w:val="222"/>
        </w:trPr>
        <w:tc>
          <w:tcPr>
            <w:tcW w:w="760" w:type="dxa"/>
            <w:vAlign w:val="bottom"/>
          </w:tcPr>
          <w:p>
            <w:pPr>
              <w:spacing w:after="0"/>
              <w:rPr>
                <w:sz w:val="19"/>
                <w:szCs w:val="19"/>
                <w:color w:val="auto"/>
              </w:rPr>
            </w:pPr>
          </w:p>
        </w:tc>
        <w:tc>
          <w:tcPr>
            <w:tcW w:w="4640" w:type="dxa"/>
            <w:vAlign w:val="bottom"/>
          </w:tcPr>
          <w:p>
            <w:pPr>
              <w:ind w:left="120"/>
              <w:spacing w:after="0"/>
              <w:rPr>
                <w:sz w:val="20"/>
                <w:szCs w:val="20"/>
                <w:color w:val="auto"/>
              </w:rPr>
            </w:pPr>
            <w:r>
              <w:rPr>
                <w:rFonts w:ascii="Arial" w:cs="Arial" w:eastAsia="Arial" w:hAnsi="Arial"/>
                <w:sz w:val="18"/>
                <w:szCs w:val="18"/>
                <w:color w:val="auto"/>
              </w:rPr>
              <w:t>(File name: utx-20090630.xsd)</w:t>
            </w:r>
          </w:p>
        </w:tc>
      </w:tr>
      <w:tr>
        <w:trPr>
          <w:trHeight w:val="331"/>
        </w:trPr>
        <w:tc>
          <w:tcPr>
            <w:tcW w:w="760" w:type="dxa"/>
            <w:vAlign w:val="bottom"/>
          </w:tcPr>
          <w:p>
            <w:pPr>
              <w:jc w:val="center"/>
              <w:ind w:right="32"/>
              <w:spacing w:after="0"/>
              <w:rPr>
                <w:sz w:val="20"/>
                <w:szCs w:val="20"/>
                <w:color w:val="auto"/>
              </w:rPr>
            </w:pPr>
            <w:r>
              <w:rPr>
                <w:rFonts w:ascii="Arial" w:cs="Arial" w:eastAsia="Arial" w:hAnsi="Arial"/>
                <w:sz w:val="18"/>
                <w:szCs w:val="18"/>
                <w:color w:val="auto"/>
                <w:w w:val="88"/>
              </w:rPr>
              <w:t>101.PRE</w:t>
            </w:r>
          </w:p>
        </w:tc>
        <w:tc>
          <w:tcPr>
            <w:tcW w:w="4640" w:type="dxa"/>
            <w:vAlign w:val="bottom"/>
          </w:tcPr>
          <w:p>
            <w:pPr>
              <w:ind w:left="120"/>
              <w:spacing w:after="0"/>
              <w:rPr>
                <w:sz w:val="20"/>
                <w:szCs w:val="20"/>
                <w:color w:val="auto"/>
              </w:rPr>
            </w:pPr>
            <w:r>
              <w:rPr>
                <w:rFonts w:ascii="Arial" w:cs="Arial" w:eastAsia="Arial" w:hAnsi="Arial"/>
                <w:sz w:val="18"/>
                <w:szCs w:val="18"/>
                <w:color w:val="auto"/>
                <w:w w:val="89"/>
              </w:rPr>
              <w:t>XBRL Taxonomy Extension Presentation Linkbase Document.*</w:t>
            </w:r>
          </w:p>
        </w:tc>
      </w:tr>
      <w:tr>
        <w:trPr>
          <w:trHeight w:val="222"/>
        </w:trPr>
        <w:tc>
          <w:tcPr>
            <w:tcW w:w="760" w:type="dxa"/>
            <w:vAlign w:val="bottom"/>
          </w:tcPr>
          <w:p>
            <w:pPr>
              <w:spacing w:after="0"/>
              <w:rPr>
                <w:sz w:val="19"/>
                <w:szCs w:val="19"/>
                <w:color w:val="auto"/>
              </w:rPr>
            </w:pPr>
          </w:p>
        </w:tc>
        <w:tc>
          <w:tcPr>
            <w:tcW w:w="4640" w:type="dxa"/>
            <w:vAlign w:val="bottom"/>
          </w:tcPr>
          <w:p>
            <w:pPr>
              <w:ind w:left="120"/>
              <w:spacing w:after="0"/>
              <w:rPr>
                <w:sz w:val="20"/>
                <w:szCs w:val="20"/>
                <w:color w:val="auto"/>
              </w:rPr>
            </w:pPr>
            <w:r>
              <w:rPr>
                <w:rFonts w:ascii="Arial" w:cs="Arial" w:eastAsia="Arial" w:hAnsi="Arial"/>
                <w:sz w:val="18"/>
                <w:szCs w:val="18"/>
                <w:color w:val="auto"/>
              </w:rPr>
              <w:t>(File name: utx-20090630_pre.xml)</w:t>
            </w:r>
          </w:p>
        </w:tc>
      </w:tr>
      <w:tr>
        <w:trPr>
          <w:trHeight w:val="331"/>
        </w:trPr>
        <w:tc>
          <w:tcPr>
            <w:tcW w:w="760" w:type="dxa"/>
            <w:vAlign w:val="bottom"/>
          </w:tcPr>
          <w:p>
            <w:pPr>
              <w:jc w:val="center"/>
              <w:ind w:right="32"/>
              <w:spacing w:after="0"/>
              <w:rPr>
                <w:sz w:val="20"/>
                <w:szCs w:val="20"/>
                <w:color w:val="auto"/>
              </w:rPr>
            </w:pPr>
            <w:r>
              <w:rPr>
                <w:rFonts w:ascii="Arial" w:cs="Arial" w:eastAsia="Arial" w:hAnsi="Arial"/>
                <w:sz w:val="18"/>
                <w:szCs w:val="18"/>
                <w:color w:val="auto"/>
                <w:w w:val="92"/>
              </w:rPr>
              <w:t>101.LAB</w:t>
            </w:r>
          </w:p>
        </w:tc>
        <w:tc>
          <w:tcPr>
            <w:tcW w:w="4640" w:type="dxa"/>
            <w:vAlign w:val="bottom"/>
          </w:tcPr>
          <w:p>
            <w:pPr>
              <w:ind w:left="120"/>
              <w:spacing w:after="0"/>
              <w:rPr>
                <w:sz w:val="20"/>
                <w:szCs w:val="20"/>
                <w:color w:val="auto"/>
              </w:rPr>
            </w:pPr>
            <w:r>
              <w:rPr>
                <w:rFonts w:ascii="Arial" w:cs="Arial" w:eastAsia="Arial" w:hAnsi="Arial"/>
                <w:sz w:val="18"/>
                <w:szCs w:val="18"/>
                <w:color w:val="auto"/>
              </w:rPr>
              <w:t>XBRL Taxonomy Extension Label Linkbase Document.*</w:t>
            </w:r>
          </w:p>
        </w:tc>
      </w:tr>
      <w:tr>
        <w:trPr>
          <w:trHeight w:val="222"/>
        </w:trPr>
        <w:tc>
          <w:tcPr>
            <w:tcW w:w="760" w:type="dxa"/>
            <w:vAlign w:val="bottom"/>
          </w:tcPr>
          <w:p>
            <w:pPr>
              <w:spacing w:after="0"/>
              <w:rPr>
                <w:sz w:val="19"/>
                <w:szCs w:val="19"/>
                <w:color w:val="auto"/>
              </w:rPr>
            </w:pPr>
          </w:p>
        </w:tc>
        <w:tc>
          <w:tcPr>
            <w:tcW w:w="4640" w:type="dxa"/>
            <w:vAlign w:val="bottom"/>
          </w:tcPr>
          <w:p>
            <w:pPr>
              <w:ind w:left="120"/>
              <w:spacing w:after="0"/>
              <w:rPr>
                <w:sz w:val="20"/>
                <w:szCs w:val="20"/>
                <w:color w:val="auto"/>
              </w:rPr>
            </w:pPr>
            <w:r>
              <w:rPr>
                <w:rFonts w:ascii="Arial" w:cs="Arial" w:eastAsia="Arial" w:hAnsi="Arial"/>
                <w:sz w:val="18"/>
                <w:szCs w:val="18"/>
                <w:color w:val="auto"/>
              </w:rPr>
              <w:t>(File name: utx-20090630_lab.xml)</w:t>
            </w:r>
          </w:p>
        </w:tc>
      </w:tr>
      <w:tr>
        <w:trPr>
          <w:trHeight w:val="331"/>
        </w:trPr>
        <w:tc>
          <w:tcPr>
            <w:tcW w:w="760" w:type="dxa"/>
            <w:vAlign w:val="bottom"/>
          </w:tcPr>
          <w:p>
            <w:pPr>
              <w:jc w:val="center"/>
              <w:ind w:right="32"/>
              <w:spacing w:after="0"/>
              <w:rPr>
                <w:sz w:val="20"/>
                <w:szCs w:val="20"/>
                <w:color w:val="auto"/>
              </w:rPr>
            </w:pPr>
            <w:r>
              <w:rPr>
                <w:rFonts w:ascii="Arial" w:cs="Arial" w:eastAsia="Arial" w:hAnsi="Arial"/>
                <w:sz w:val="18"/>
                <w:szCs w:val="18"/>
                <w:color w:val="auto"/>
                <w:w w:val="91"/>
              </w:rPr>
              <w:t>101.CAL</w:t>
            </w:r>
          </w:p>
        </w:tc>
        <w:tc>
          <w:tcPr>
            <w:tcW w:w="4640" w:type="dxa"/>
            <w:vAlign w:val="bottom"/>
          </w:tcPr>
          <w:p>
            <w:pPr>
              <w:ind w:left="120"/>
              <w:spacing w:after="0"/>
              <w:rPr>
                <w:sz w:val="20"/>
                <w:szCs w:val="20"/>
                <w:color w:val="auto"/>
              </w:rPr>
            </w:pPr>
            <w:r>
              <w:rPr>
                <w:rFonts w:ascii="Arial" w:cs="Arial" w:eastAsia="Arial" w:hAnsi="Arial"/>
                <w:sz w:val="18"/>
                <w:szCs w:val="18"/>
                <w:color w:val="auto"/>
                <w:w w:val="91"/>
              </w:rPr>
              <w:t>XBRL Taxonomy Extension Calculation Linkbase Document.*</w:t>
            </w:r>
          </w:p>
        </w:tc>
      </w:tr>
      <w:tr>
        <w:trPr>
          <w:trHeight w:val="222"/>
        </w:trPr>
        <w:tc>
          <w:tcPr>
            <w:tcW w:w="760" w:type="dxa"/>
            <w:vAlign w:val="bottom"/>
          </w:tcPr>
          <w:p>
            <w:pPr>
              <w:spacing w:after="0"/>
              <w:rPr>
                <w:sz w:val="19"/>
                <w:szCs w:val="19"/>
                <w:color w:val="auto"/>
              </w:rPr>
            </w:pPr>
          </w:p>
        </w:tc>
        <w:tc>
          <w:tcPr>
            <w:tcW w:w="4640" w:type="dxa"/>
            <w:vAlign w:val="bottom"/>
          </w:tcPr>
          <w:p>
            <w:pPr>
              <w:ind w:left="120"/>
              <w:spacing w:after="0"/>
              <w:rPr>
                <w:sz w:val="20"/>
                <w:szCs w:val="20"/>
                <w:color w:val="auto"/>
              </w:rPr>
            </w:pPr>
            <w:r>
              <w:rPr>
                <w:rFonts w:ascii="Arial" w:cs="Arial" w:eastAsia="Arial" w:hAnsi="Arial"/>
                <w:sz w:val="18"/>
                <w:szCs w:val="18"/>
                <w:color w:val="auto"/>
              </w:rPr>
              <w:t>(File name: utx-20090630_cal.xml)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89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  Submitted electronically herewith.</w:t>
      </w:r>
    </w:p>
    <w:p>
      <w:pPr>
        <w:spacing w:after="0" w:line="17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Attached as Exhibit 101 to this report are the following formatted in XBRL (Extensible Business Reporting Language): (i) Condensed Consolidated Statement of Operations for the quarters ended June 30, 2009 and 2008, (ii) Condensed Consolidated Statement of Operations for the six months ended June 30, 2009 and 2008, (iii) Condensed Consolidated Balance Sheet at June 30, 2009 and December 31, 2008, (iv) Condensed Consolidated Statement of Cash Flows for the six months ended June 30, 2009 and 2008, and (v) Notes to Condensed Consolidated Financial Statements for the six months ended June 30, 2009.</w:t>
      </w:r>
    </w:p>
    <w:p>
      <w:pPr>
        <w:spacing w:after="0" w:line="113"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In accordance with Rule 406T of Regulation S-T, the XBRL related information in Exhibit 101 to this Quarterly Report on Form 10-Q shall not be deemed to be “filed” for purposes of Section 18 of the Exchange Act, or otherwise subject to the liability of that section, and shall not be part of any registration statement or other document filed under the Securities Act or the Exchange Act, except as shall be expressly set forth by specific reference in such filing.</w:t>
      </w:r>
    </w:p>
    <w:p>
      <w:pPr>
        <w:sectPr>
          <w:pgSz w:w="11900" w:h="16838" w:orient="portrait"/>
          <w:cols w:equalWidth="0" w:num="1">
            <w:col w:w="11340"/>
          </w:cols>
          <w:pgMar w:left="240" w:top="459" w:right="31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10.7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UNITED TECHNOLOGIES CORPORATION EXECUTIVE LEADERSHIP GROUP PROGRAM</w:t>
      </w:r>
    </w:p>
    <w:p>
      <w:pPr>
        <w:spacing w:after="0" w:line="17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The following summary of UTC’s Executive Leadership Group (“ELG”) program has been restated to reflect reductions to change in control related termination benefits implemented effective June 10, 2009 for new ELG members. As of that date the Senior Executive Severance Plan was closed to new participants. That program provided a change in control severance benefit equal to 2.99 times base salary and bonus, plus certain other benefits including a gross up for excise taxes under IRC Sec. 280G. The standard ELG severance benefit will now apply in the event of termination following a change in control. The ELG severance benefit equals 2.5 times base salary and does not include an excise tax gross up.</w:t>
      </w:r>
    </w:p>
    <w:p>
      <w:pPr>
        <w:spacing w:after="0" w:line="1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company’s most senior executives participate in the Executive Leadership Program. Members of the Executive Leadership Group (“ELG members” or “Executives”) receive certain supplemental benefits including a perquisite allowance equal to 5% of base salary, reimbursements for annual executive physicals, disability income protection, life insurance and separation benefits in certain circumstances. Disability, life insurance and separation benefits are described below. ELG members incur obligations related to the protection of the company’s intellectual resources and post employment covenants related to the protection of company information and solicitation of company employees.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Disability Benefit</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the event of the Executive’s absence from work due to illness or injury and the cessation of any sick leave benefits available, he/she will receive 100% of base salary for up to one year. This amount will decrease by 5% each year until it reaches 80% of base salary – payable for the remainder of the disability. However, this benefit is not payable beyond the executive’s recovery date, retirement date or age 65, whichever is first. The total amounts paid under this plan will be offset by any other company-provided disability insurance benefit or the benefits provided under any government-sponsored programs.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Protection Program</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event of the death of an Executive before retirement, a benefit is payable to the beneficiary equal to three times the Executive’s current salary (at the time of death) projected to age 62, assuming annual increases of 6% in base salary. Once age 62 is reached, the benefit will be frozen at three times the base salary in effect on the July 1 following the Executive’s 62</w:t>
      </w:r>
      <w:r>
        <w:rPr>
          <w:rFonts w:ascii="Arial" w:cs="Arial" w:eastAsia="Arial" w:hAnsi="Arial"/>
          <w:sz w:val="11"/>
          <w:szCs w:val="11"/>
          <w:color w:val="auto"/>
        </w:rPr>
        <w:t>nd</w:t>
      </w:r>
      <w:r>
        <w:rPr>
          <w:rFonts w:ascii="Arial" w:cs="Arial" w:eastAsia="Arial" w:hAnsi="Arial"/>
          <w:sz w:val="18"/>
          <w:szCs w:val="18"/>
          <w:color w:val="auto"/>
        </w:rPr>
        <w:t xml:space="preserve"> birthday for the remainder of the Executive’s employment. The level of coverage will be reviewed every three years to ensure the accuracy of the projections on which the benefit is based. This benefit is payable in addition to any group life insurance in which the Executive is now or may be enrolled in the future.</w:t>
      </w:r>
    </w:p>
    <w:p>
      <w:pPr>
        <w:spacing w:after="0" w:line="183"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If the Executive is age 55 or older, and has completed five years of participation in this plan, he/she will vest in the program. For vested participants who leave the company, the post-retirement death benefit provided will equal two times his/her base salary at age 62, or two times base salary at time of separation if that should occur before age 62.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Severance Protection</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ELG severance program provides the Executive and his/her family with financial assistance if his/her employment with the company should terminate under circumstances that constitute a mutually agreeable separation or following a change in control of the company, as discussed below. If eligible, a severance benefit equal to 2.5 times the Executive’s base salary will be paid at time of separation, subject to any applicable restrictions under Section 409A of the Internal Revenue Code.</w:t>
      </w:r>
    </w:p>
    <w:p>
      <w:pPr>
        <w:sectPr>
          <w:pgSz w:w="11900" w:h="16838" w:orient="portrait"/>
          <w:cols w:equalWidth="0" w:num="1">
            <w:col w:w="11420"/>
          </w:cols>
          <w:pgMar w:left="240" w:top="125" w:right="239" w:bottom="1440" w:gutter="0" w:footer="0" w:header="0"/>
        </w:sectPr>
      </w:pPr>
    </w:p>
    <w:bookmarkStart w:id="46" w:name="page47"/>
    <w:bookmarkEnd w:id="46"/>
    <w:p>
      <w:pPr>
        <w:ind w:right="120" w:firstLine="45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Separation benefits are payable if a mutually agreeable separation occurs before age 62. Executives who became ELG members before June 7, 2005 are eligible to receive the ELG severance benefit after age 62 but do not receive the RSU Retention Award as described below. No benefits are provided in the event of termination for cause. Separation benefits will not be provided to Executives who voluntarily resign before normal retirement age, if separation occurs due to death or permanent and total disability, if the executive receives benefits under the Senior Executive Severance Plan (the “SESP”) or under certain other limited circumstances. In the event of a change in control, resignations for good reason (i.e. a materially adverse compensation or job related change) will qualify for severance benefits.</w:t>
      </w:r>
    </w:p>
    <w:p>
      <w:pPr>
        <w:spacing w:after="0" w:line="144"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color w:val="auto"/>
        </w:rPr>
        <w:t>A mutually agreeable separation includes separations resulting from the sale or elimination of an operating unit, management realignment, a change in business conditions or priorities or other circumstances that affect the Executive’s role within the company. Separation benefits will not be paid unless the Executive enters into the standard separation agreement with post-termination covenants including agreements not to bring suit against or compete with the company; to refrain from recruiting company employees and to protect proprietary and sensitive information.</w:t>
      </w:r>
    </w:p>
    <w:p>
      <w:pPr>
        <w:spacing w:after="0" w:line="11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Effective June 10, 2009, the Board of Directors closed the Senior Executive Severance Plan (the “SESP”) to new participants. Executives who join the ELG after that date will receive the standard ELG severance benefit in lieu of benefits provided under the SESP in the event of a change in control. An ELG member will receive the standard ELG 2.5 times base salary severance benefit plus one year health care plan continuation if involuntarily terminated or upon resignation for good reason, in either case within two years following a change in control. No tax gross ups will be provided. Post change in control benefits will be paid without regard to the mutually agreeable termination requirement otherwise applicable to non-change in control terminations. Executives who entered into SESP agreements prior to June 10, 2009 remain eligible for post change in control severance benefits in accordance with the terms of those agreements.</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ELG members receive a restricted share unit retention award (an “RSU Retention Award”) upon their appointment to the ELG. The RSU Retention Award replaces standard ELG separation benefits in the case of retirement on or after age 62 with at least three years of ELG service. RSU Retention Awards are not provided to Executives who became ELG members prior to June 7, 2005 (i.e. the date the ELG severance program was modified to eliminate benefits after age 62). Those ELG members remain eligible for standard ELG separation benefits after age 62. Under the revised program, ELG members will forfeit their RSU Retention Award if they terminate employment with the company for any reason prior to age 62. However, all ELG members, including those with RSU Retention Awards, retain their eligibility for the standard ELG separation benefits in the event of termination prior to age 62, subject to and in accordance with the terms of the program. Upon vesting in an RSU Retention Award, an ELG member will be subject to the same covenants and restrictions as provided for in the ELG separation agreement.</w:t>
      </w:r>
    </w:p>
    <w:p>
      <w:pPr>
        <w:spacing w:after="0" w:line="11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RSU Retention Award will consist of RSUs equal in value to two times base salary as of the date of appointment to the ELG. RSU Retention Awards will be credited with dividend equivalents. Following retirement, the Award will be settled in shares of Common Stock.</w:t>
      </w:r>
    </w:p>
    <w:p>
      <w:pPr>
        <w:sectPr>
          <w:pgSz w:w="11900" w:h="16838" w:orient="portrait"/>
          <w:cols w:equalWidth="0" w:num="1">
            <w:col w:w="11420"/>
          </w:cols>
          <w:pgMar w:left="240" w:top="280"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b w:val="1"/>
                <w:bCs w:val="1"/>
                <w:color w:val="auto"/>
                <w:w w:val="94"/>
              </w:rPr>
              <w:t>Exhibit 12</w:t>
            </w: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UNITED TECHNOLOGIES CORPORATION</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AND SUBSIDIARIES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7"/>
              </w:rPr>
              <w:t>STATEMENT RE: COMPUTATION OF RATIO OF EARNINGS TO FIXED CHARGES</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3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millions of dollars)</w:t>
            </w:r>
          </w:p>
        </w:tc>
        <w:tc>
          <w:tcPr>
            <w:tcW w:w="6740" w:type="dxa"/>
            <w:vAlign w:val="bottom"/>
            <w:tcBorders>
              <w:top w:val="single" w:sz="8" w:color="auto"/>
            </w:tcBorders>
            <w:vMerge w:val="restart"/>
          </w:tcPr>
          <w:p>
            <w:pPr>
              <w:spacing w:after="0"/>
              <w:rPr>
                <w:sz w:val="24"/>
                <w:szCs w:val="24"/>
                <w:color w:val="auto"/>
              </w:rPr>
            </w:pPr>
          </w:p>
        </w:tc>
        <w:tc>
          <w:tcPr>
            <w:tcW w:w="200" w:type="dxa"/>
            <w:vAlign w:val="bottom"/>
            <w:vMerge w:val="restart"/>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87"/>
              </w:rPr>
              <w:t>Six Months Ended June 30,</w:t>
            </w:r>
          </w:p>
        </w:tc>
        <w:tc>
          <w:tcPr>
            <w:tcW w:w="0" w:type="dxa"/>
            <w:vAlign w:val="bottom"/>
          </w:tcPr>
          <w:p>
            <w:pPr>
              <w:spacing w:after="0"/>
              <w:rPr>
                <w:sz w:val="1"/>
                <w:szCs w:val="1"/>
                <w:color w:val="auto"/>
              </w:rPr>
            </w:pPr>
          </w:p>
        </w:tc>
      </w:tr>
      <w:tr>
        <w:trPr>
          <w:trHeight w:val="142"/>
        </w:trPr>
        <w:tc>
          <w:tcPr>
            <w:tcW w:w="2340" w:type="dxa"/>
            <w:vAlign w:val="bottom"/>
            <w:gridSpan w:val="4"/>
            <w:vMerge w:val="continue"/>
          </w:tcPr>
          <w:p>
            <w:pPr>
              <w:spacing w:after="0"/>
              <w:rPr>
                <w:sz w:val="12"/>
                <w:szCs w:val="12"/>
                <w:color w:val="auto"/>
              </w:rPr>
            </w:pPr>
          </w:p>
        </w:tc>
        <w:tc>
          <w:tcPr>
            <w:tcW w:w="6740" w:type="dxa"/>
            <w:vAlign w:val="bottom"/>
            <w:tcBorders>
              <w:top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Fixed Charges:</w:t>
            </w:r>
          </w:p>
        </w:tc>
        <w:tc>
          <w:tcPr>
            <w:tcW w:w="7880" w:type="dxa"/>
            <w:vAlign w:val="bottom"/>
            <w:gridSpan w:val="3"/>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5"/>
          </w:tcPr>
          <w:p>
            <w:pPr>
              <w:ind w:left="420"/>
              <w:spacing w:after="0"/>
              <w:rPr>
                <w:sz w:val="20"/>
                <w:szCs w:val="20"/>
                <w:color w:val="auto"/>
              </w:rPr>
            </w:pPr>
            <w:r>
              <w:rPr>
                <w:rFonts w:ascii="Arial" w:cs="Arial" w:eastAsia="Arial" w:hAnsi="Arial"/>
                <w:sz w:val="18"/>
                <w:szCs w:val="18"/>
                <w:color w:val="auto"/>
              </w:rPr>
              <w:t>Interest expense</w:t>
            </w:r>
            <w:r>
              <w:rPr>
                <w:rFonts w:ascii="Arial" w:cs="Arial" w:eastAsia="Arial" w:hAnsi="Arial"/>
                <w:sz w:val="11"/>
                <w:szCs w:val="11"/>
                <w:color w:val="auto"/>
              </w:rPr>
              <w:t>1</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352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Interest capitalized</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gridSpan w:val="5"/>
          </w:tcPr>
          <w:p>
            <w:pPr>
              <w:ind w:left="420"/>
              <w:spacing w:after="0"/>
              <w:rPr>
                <w:sz w:val="20"/>
                <w:szCs w:val="20"/>
                <w:color w:val="auto"/>
              </w:rPr>
            </w:pPr>
            <w:r>
              <w:rPr>
                <w:rFonts w:ascii="Arial" w:cs="Arial" w:eastAsia="Arial" w:hAnsi="Arial"/>
                <w:sz w:val="18"/>
                <w:szCs w:val="18"/>
                <w:color w:val="auto"/>
              </w:rPr>
              <w:t>One-third of rents</w:t>
            </w:r>
            <w:r>
              <w:rPr>
                <w:rFonts w:ascii="Arial" w:cs="Arial" w:eastAsia="Arial" w:hAnsi="Arial"/>
                <w:sz w:val="11"/>
                <w:szCs w:val="11"/>
                <w:color w:val="auto"/>
              </w:rPr>
              <w:t>2</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Total fixed charges</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0"/>
        </w:trPr>
        <w:tc>
          <w:tcPr>
            <w:tcW w:w="9280" w:type="dxa"/>
            <w:vAlign w:val="bottom"/>
            <w:gridSpan w:val="6"/>
            <w:vMerge w:val="restart"/>
          </w:tcPr>
          <w:p>
            <w:pPr>
              <w:spacing w:after="0"/>
              <w:rPr>
                <w:sz w:val="20"/>
                <w:szCs w:val="20"/>
                <w:color w:val="auto"/>
              </w:rPr>
            </w:pPr>
            <w:r>
              <w:rPr>
                <w:rFonts w:ascii="Arial" w:cs="Arial" w:eastAsia="Arial" w:hAnsi="Arial"/>
                <w:sz w:val="18"/>
                <w:szCs w:val="18"/>
                <w:color w:val="auto"/>
              </w:rPr>
              <w:t>Earnings:</w:t>
            </w: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9280" w:type="dxa"/>
            <w:vAlign w:val="bottom"/>
            <w:gridSpan w:val="6"/>
            <w:vMerge w:val="continue"/>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Income before income taxes</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2,535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5"/>
          </w:tcPr>
          <w:p>
            <w:pPr>
              <w:ind w:left="420"/>
              <w:spacing w:after="0"/>
              <w:rPr>
                <w:sz w:val="20"/>
                <w:szCs w:val="20"/>
                <w:color w:val="auto"/>
              </w:rPr>
            </w:pPr>
            <w:r>
              <w:rPr>
                <w:rFonts w:ascii="Arial" w:cs="Arial" w:eastAsia="Arial" w:hAnsi="Arial"/>
                <w:sz w:val="18"/>
                <w:szCs w:val="18"/>
                <w:color w:val="auto"/>
              </w:rPr>
              <w:t>Fixed charges per above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431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Less: capitalized interest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Amortization of interest capitalized</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60" w:type="dxa"/>
            <w:vAlign w:val="bottom"/>
            <w:gridSpan w:val="5"/>
          </w:tcPr>
          <w:p>
            <w:pPr>
              <w:ind w:left="420"/>
              <w:spacing w:after="0"/>
              <w:rPr>
                <w:sz w:val="20"/>
                <w:szCs w:val="20"/>
                <w:color w:val="auto"/>
              </w:rPr>
            </w:pPr>
            <w:r>
              <w:rPr>
                <w:rFonts w:ascii="Arial" w:cs="Arial" w:eastAsia="Arial" w:hAnsi="Arial"/>
                <w:sz w:val="18"/>
                <w:szCs w:val="18"/>
                <w:color w:val="auto"/>
              </w:rPr>
              <w:t>Total earnings</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2,961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3,845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2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6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20" w:hanging="452"/>
        <w:spacing w:after="0" w:line="286"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Interest related to unrecognized tax benefits recorded under Financial Accounting Standards Board Interpretation No. 48, “Accounting for Uncertainty in Income Taxes” was approximately $11 million and $23 million for the six months ended June 30, 2009 and 2008, respectively. The ratio of earnings to</w:t>
      </w:r>
    </w:p>
    <w:p>
      <w:pPr>
        <w:ind w:left="460" w:right="540"/>
        <w:spacing w:after="0" w:line="250" w:lineRule="auto"/>
        <w:rPr>
          <w:sz w:val="20"/>
          <w:szCs w:val="20"/>
          <w:color w:val="auto"/>
        </w:rPr>
      </w:pPr>
      <w:r>
        <w:rPr>
          <w:rFonts w:ascii="Arial" w:cs="Arial" w:eastAsia="Arial" w:hAnsi="Arial"/>
          <w:sz w:val="18"/>
          <w:szCs w:val="18"/>
          <w:color w:val="auto"/>
        </w:rPr>
        <w:t>fixed charges would have been 7.05 and 9.73 for the six months ended June 30, 2009 and 2008, respectively, if such interest were excluded from the calculation.</w:t>
      </w:r>
    </w:p>
    <w:p>
      <w:pPr>
        <w:spacing w:after="0" w:line="1"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Reasonable approximation of the interest factor.</w:t>
      </w:r>
    </w:p>
    <w:p>
      <w:pPr>
        <w:sectPr>
          <w:pgSz w:w="11900" w:h="16838" w:orient="portrait"/>
          <w:cols w:equalWidth="0" w:num="1">
            <w:col w:w="11420"/>
          </w:cols>
          <w:pgMar w:left="240" w:top="125"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July 24, 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Commissioners:</w:t>
      </w:r>
    </w:p>
    <w:p>
      <w:pPr>
        <w:spacing w:after="0" w:line="17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are aware that our report dated July 24, 2009 on our review of interim financial information of United Technologies Corporation (the “Corporation”) for the three and six-month periods ended June 30, 2009 and 2008 and included in the Corporation’s quarterly report on Form 10-Q for the quarter ended June 30, 2009 is incorporated by reference in its Registration Statement on Form S-3 (No. 333-144830), in the Registration Statement on Form S-4 (No. 333-77991) as amended by Post-Effective Amendment No. 1 on Form S-8 (No. 333-77991) and in the Registration Statements on Form S-8 (Nos. 333-156390, 333-156385, 333-150643, 333-150640, 333-150639, 333-125478, 333-125476, 333-125293, 333-110020, 333-100724, 333-100723, 333-100718, 333-82911, 333-77817, 333-21853, 333-21851, 033-57769 and 033-51385).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Hartford, Connecticut</w:t>
      </w:r>
    </w:p>
    <w:p>
      <w:pPr>
        <w:sectPr>
          <w:pgSz w:w="11900" w:h="16838" w:orient="portrait"/>
          <w:cols w:equalWidth="0" w:num="1">
            <w:col w:w="11420"/>
          </w:cols>
          <w:pgMar w:left="240" w:top="125"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Louis R. Chênevert, certify that:</w:t>
      </w:r>
    </w:p>
    <w:p>
      <w:pPr>
        <w:spacing w:after="0" w:line="90"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1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60" w:type="dxa"/>
            <w:vAlign w:val="bottom"/>
          </w:tcPr>
          <w:p>
            <w:pPr>
              <w:spacing w:after="0"/>
              <w:rPr>
                <w:sz w:val="19"/>
                <w:szCs w:val="19"/>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Louis R. Chênevert</w:t>
            </w:r>
          </w:p>
        </w:tc>
      </w:tr>
      <w:tr>
        <w:trPr>
          <w:trHeight w:val="216"/>
        </w:trPr>
        <w:tc>
          <w:tcPr>
            <w:tcW w:w="606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Louis R. Chênevert</w:t>
            </w:r>
          </w:p>
        </w:tc>
      </w:tr>
      <w:tr>
        <w:trPr>
          <w:trHeight w:val="222"/>
        </w:trPr>
        <w:tc>
          <w:tcPr>
            <w:tcW w:w="6060" w:type="dxa"/>
            <w:vAlign w:val="bottom"/>
          </w:tcPr>
          <w:p>
            <w:pPr>
              <w:spacing w:after="0"/>
              <w:rPr>
                <w:sz w:val="20"/>
                <w:szCs w:val="20"/>
                <w:color w:val="auto"/>
              </w:rPr>
            </w:pPr>
            <w:r>
              <w:rPr>
                <w:rFonts w:ascii="Arial" w:cs="Arial" w:eastAsia="Arial" w:hAnsi="Arial"/>
                <w:sz w:val="18"/>
                <w:szCs w:val="18"/>
                <w:color w:val="auto"/>
              </w:rPr>
              <w:t>Date: July 24, 2009</w:t>
            </w:r>
          </w:p>
        </w:tc>
        <w:tc>
          <w:tcPr>
            <w:tcW w:w="53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125"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Gregory J. Hayes, certify that:</w:t>
      </w:r>
    </w:p>
    <w:p>
      <w:pPr>
        <w:spacing w:after="0" w:line="90"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1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60" w:type="dxa"/>
            <w:vAlign w:val="bottom"/>
          </w:tcPr>
          <w:p>
            <w:pPr>
              <w:spacing w:after="0"/>
              <w:rPr>
                <w:sz w:val="19"/>
                <w:szCs w:val="19"/>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Gregory J. Hayes</w:t>
            </w:r>
          </w:p>
        </w:tc>
      </w:tr>
      <w:tr>
        <w:trPr>
          <w:trHeight w:val="216"/>
        </w:trPr>
        <w:tc>
          <w:tcPr>
            <w:tcW w:w="606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Gregory J. Hayes</w:t>
            </w:r>
          </w:p>
        </w:tc>
      </w:tr>
      <w:tr>
        <w:trPr>
          <w:trHeight w:val="222"/>
        </w:trPr>
        <w:tc>
          <w:tcPr>
            <w:tcW w:w="6060" w:type="dxa"/>
            <w:vAlign w:val="bottom"/>
          </w:tcPr>
          <w:p>
            <w:pPr>
              <w:spacing w:after="0"/>
              <w:rPr>
                <w:sz w:val="20"/>
                <w:szCs w:val="20"/>
                <w:color w:val="auto"/>
              </w:rPr>
            </w:pPr>
            <w:r>
              <w:rPr>
                <w:rFonts w:ascii="Arial" w:cs="Arial" w:eastAsia="Arial" w:hAnsi="Arial"/>
                <w:sz w:val="18"/>
                <w:szCs w:val="18"/>
                <w:color w:val="auto"/>
              </w:rPr>
              <w:t>Date: July 24, 2009</w:t>
            </w:r>
          </w:p>
        </w:tc>
        <w:tc>
          <w:tcPr>
            <w:tcW w:w="536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bl>
    <w:p>
      <w:pPr>
        <w:sectPr>
          <w:pgSz w:w="11900" w:h="16838" w:orient="portrait"/>
          <w:cols w:equalWidth="0" w:num="1">
            <w:col w:w="11420"/>
          </w:cols>
          <w:pgMar w:left="240" w:top="125"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31.3</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 Margaret M. Smyth, certify that:</w:t>
      </w:r>
    </w:p>
    <w:p>
      <w:pPr>
        <w:spacing w:after="0" w:line="90"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Technologies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1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60" w:type="dxa"/>
            <w:vAlign w:val="bottom"/>
          </w:tcPr>
          <w:p>
            <w:pPr>
              <w:spacing w:after="0"/>
              <w:rPr>
                <w:sz w:val="19"/>
                <w:szCs w:val="19"/>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Margaret M. Smyth</w:t>
            </w:r>
          </w:p>
        </w:tc>
      </w:tr>
      <w:tr>
        <w:trPr>
          <w:trHeight w:val="216"/>
        </w:trPr>
        <w:tc>
          <w:tcPr>
            <w:tcW w:w="606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Margaret M. Smyth</w:t>
            </w:r>
          </w:p>
        </w:tc>
      </w:tr>
      <w:tr>
        <w:trPr>
          <w:trHeight w:val="222"/>
        </w:trPr>
        <w:tc>
          <w:tcPr>
            <w:tcW w:w="6060" w:type="dxa"/>
            <w:vAlign w:val="bottom"/>
          </w:tcPr>
          <w:p>
            <w:pPr>
              <w:spacing w:after="0"/>
              <w:rPr>
                <w:sz w:val="20"/>
                <w:szCs w:val="20"/>
                <w:color w:val="auto"/>
              </w:rPr>
            </w:pPr>
            <w:r>
              <w:rPr>
                <w:rFonts w:ascii="Arial" w:cs="Arial" w:eastAsia="Arial" w:hAnsi="Arial"/>
                <w:sz w:val="18"/>
                <w:szCs w:val="18"/>
                <w:color w:val="auto"/>
              </w:rPr>
              <w:t>Date: July 24, 2009</w:t>
            </w:r>
          </w:p>
        </w:tc>
        <w:tc>
          <w:tcPr>
            <w:tcW w:w="5360" w:type="dxa"/>
            <w:vAlign w:val="bottom"/>
          </w:tcPr>
          <w:p>
            <w:pPr>
              <w:spacing w:after="0"/>
              <w:rPr>
                <w:sz w:val="20"/>
                <w:szCs w:val="20"/>
                <w:color w:val="auto"/>
              </w:rPr>
            </w:pPr>
            <w:r>
              <w:rPr>
                <w:rFonts w:ascii="Arial" w:cs="Arial" w:eastAsia="Arial" w:hAnsi="Arial"/>
                <w:sz w:val="18"/>
                <w:szCs w:val="18"/>
                <w:color w:val="auto"/>
              </w:rPr>
              <w:t>Vice President, Controller</w:t>
            </w:r>
          </w:p>
        </w:tc>
      </w:tr>
    </w:tbl>
    <w:p>
      <w:pPr>
        <w:sectPr>
          <w:pgSz w:w="11900" w:h="16838" w:orient="portrait"/>
          <w:cols w:equalWidth="0" w:num="1">
            <w:col w:w="11420"/>
          </w:cols>
          <w:pgMar w:left="240" w:top="125"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165"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Pursuant to section 906 of the Sarbanes-Oxley Act of 2002 (subsections (a) and (b) of section 1350, chapter 63 of title 18, United States Code), each of the undersigned officers of United Technologies Corporation, a Delaware corporation (the “</w:t>
      </w:r>
      <w:r>
        <w:rPr>
          <w:rFonts w:ascii="Arial" w:cs="Arial" w:eastAsia="Arial" w:hAnsi="Arial"/>
          <w:sz w:val="16"/>
          <w:szCs w:val="16"/>
          <w:u w:val="single" w:color="auto"/>
          <w:color w:val="auto"/>
        </w:rPr>
        <w:t>Corporation</w:t>
      </w:r>
      <w:r>
        <w:rPr>
          <w:rFonts w:ascii="Arial" w:cs="Arial" w:eastAsia="Arial" w:hAnsi="Arial"/>
          <w:sz w:val="16"/>
          <w:szCs w:val="16"/>
          <w:color w:val="auto"/>
        </w:rPr>
        <w:t>”), does hereby certify that:</w:t>
      </w:r>
    </w:p>
    <w:p>
      <w:pPr>
        <w:spacing w:after="0" w:line="8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Quarterly Report on Form 10-Q for the quarter ended June 30, 2009 (the “</w:t>
      </w:r>
      <w:r>
        <w:rPr>
          <w:rFonts w:ascii="Arial" w:cs="Arial" w:eastAsia="Arial" w:hAnsi="Arial"/>
          <w:sz w:val="18"/>
          <w:szCs w:val="18"/>
          <w:u w:val="single" w:color="auto"/>
          <w:color w:val="auto"/>
        </w:rPr>
        <w:t>Form 10-Q</w:t>
      </w:r>
      <w:r>
        <w:rPr>
          <w:rFonts w:ascii="Arial" w:cs="Arial" w:eastAsia="Arial" w:hAnsi="Arial"/>
          <w:sz w:val="18"/>
          <w:szCs w:val="18"/>
          <w:color w:val="auto"/>
        </w:rPr>
        <w:t>”) of the Corporation fully complies with the requirements of section 13(a) or 15(d) of the Securities Exchange Act of 1934 and information contained in the Form 10-Q fairly presents, in all material respects, the financial condition and results of operations of the Corporation.</w:t>
      </w:r>
    </w:p>
    <w:p>
      <w:pPr>
        <w:spacing w:after="0" w:line="181" w:lineRule="exact"/>
        <w:rPr>
          <w:sz w:val="20"/>
          <w:szCs w:val="20"/>
          <w:color w:val="auto"/>
        </w:rPr>
      </w:pPr>
    </w:p>
    <w:p>
      <w:pPr>
        <w:spacing w:after="0"/>
        <w:tabs>
          <w:tab w:leader="none" w:pos="3080" w:val="left"/>
          <w:tab w:leader="none" w:pos="3420" w:val="left"/>
        </w:tabs>
        <w:rPr>
          <w:sz w:val="20"/>
          <w:szCs w:val="20"/>
          <w:color w:val="auto"/>
        </w:rPr>
      </w:pPr>
      <w:r>
        <w:rPr>
          <w:rFonts w:ascii="Arial" w:cs="Arial" w:eastAsia="Arial" w:hAnsi="Arial"/>
          <w:sz w:val="18"/>
          <w:szCs w:val="18"/>
          <w:color w:val="auto"/>
        </w:rPr>
        <w:t>Date: July 24, 2009</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Louis R. Chênevert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10795</wp:posOffset>
            </wp:positionV>
            <wp:extent cx="36277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16"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Louis R. Chênevert</w:t>
      </w:r>
    </w:p>
    <w:p>
      <w:pPr>
        <w:spacing w:after="0" w:line="15"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President and Chief Executive Officer</w:t>
      </w:r>
    </w:p>
    <w:p>
      <w:pPr>
        <w:spacing w:after="0" w:line="219" w:lineRule="exact"/>
        <w:rPr>
          <w:sz w:val="20"/>
          <w:szCs w:val="20"/>
          <w:color w:val="auto"/>
        </w:rPr>
      </w:pPr>
    </w:p>
    <w:p>
      <w:pPr>
        <w:spacing w:after="0"/>
        <w:tabs>
          <w:tab w:leader="none" w:pos="3080" w:val="left"/>
          <w:tab w:leader="none" w:pos="3420" w:val="left"/>
        </w:tabs>
        <w:rPr>
          <w:sz w:val="20"/>
          <w:szCs w:val="20"/>
          <w:color w:val="auto"/>
        </w:rPr>
      </w:pPr>
      <w:r>
        <w:rPr>
          <w:rFonts w:ascii="Arial" w:cs="Arial" w:eastAsia="Arial" w:hAnsi="Arial"/>
          <w:sz w:val="18"/>
          <w:szCs w:val="18"/>
          <w:color w:val="auto"/>
        </w:rPr>
        <w:t>Date: July 24, 2009</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Gregory J. Hayes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10795</wp:posOffset>
            </wp:positionV>
            <wp:extent cx="362775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16"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Gregory J. Hayes</w:t>
      </w:r>
    </w:p>
    <w:p>
      <w:pPr>
        <w:spacing w:after="0" w:line="15"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Senior Vice President and Chief Financial Officer</w:t>
      </w:r>
    </w:p>
    <w:p>
      <w:pPr>
        <w:spacing w:after="0" w:line="219" w:lineRule="exact"/>
        <w:rPr>
          <w:sz w:val="20"/>
          <w:szCs w:val="20"/>
          <w:color w:val="auto"/>
        </w:rPr>
      </w:pPr>
    </w:p>
    <w:p>
      <w:pPr>
        <w:spacing w:after="0"/>
        <w:tabs>
          <w:tab w:leader="none" w:pos="3080" w:val="left"/>
          <w:tab w:leader="none" w:pos="3420" w:val="left"/>
        </w:tabs>
        <w:rPr>
          <w:sz w:val="20"/>
          <w:szCs w:val="20"/>
          <w:color w:val="auto"/>
        </w:rPr>
      </w:pPr>
      <w:r>
        <w:rPr>
          <w:rFonts w:ascii="Arial" w:cs="Arial" w:eastAsia="Arial" w:hAnsi="Arial"/>
          <w:sz w:val="18"/>
          <w:szCs w:val="18"/>
          <w:color w:val="auto"/>
        </w:rPr>
        <w:t>Date: July 24, 2009</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Margaret M. Smyth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10795</wp:posOffset>
            </wp:positionV>
            <wp:extent cx="362775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16"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Margaret M. Smyth</w:t>
      </w:r>
    </w:p>
    <w:p>
      <w:pPr>
        <w:spacing w:after="0" w:line="15"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Vice President, Controller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2"/>
    </w:lvl>
  </w:abstractNum>
  <w:abstractNum w:abstractNumId="4">
    <w:nsid w:val="12200854"/>
    <w:multiLevelType w:val="hybridMultilevel"/>
    <w:lvl w:ilvl="0">
      <w:lvlJc w:val="left"/>
      <w:lvlText w:val="%1"/>
      <w:numFmt w:val="decimal"/>
      <w:start w:val="15"/>
    </w:lvl>
  </w:abstractNum>
  <w:abstractNum w:abstractNumId="5">
    <w:nsid w:val="4DB127F8"/>
    <w:multiLevelType w:val="hybridMultilevel"/>
    <w:lvl w:ilvl="0">
      <w:lvlJc w:val="left"/>
      <w:lvlText w:val="%1"/>
      <w:numFmt w:val="decimal"/>
      <w:start w:val="31"/>
    </w:lvl>
  </w:abstractNum>
  <w:abstractNum w:abstractNumId="6">
    <w:nsid w:val="216231B"/>
    <w:multiLevelType w:val="hybridMultilevel"/>
    <w:lvl w:ilvl="0">
      <w:lvlJc w:val="left"/>
      <w:lvlText w:val="%1"/>
      <w:numFmt w:val="decimal"/>
      <w:start w:val="12"/>
    </w:lvl>
  </w:abstractNum>
  <w:abstractNum w:abstractNumId="7">
    <w:nsid w:val="1F16E9E8"/>
    <w:multiLevelType w:val="hybridMultilevel"/>
    <w:lvl w:ilvl="0">
      <w:lvlJc w:val="left"/>
      <w:lvlText w:val="%1"/>
      <w:numFmt w:val="decimal"/>
      <w:start w:val="15"/>
    </w:lvl>
  </w:abstractNum>
  <w:abstractNum w:abstractNumId="8">
    <w:nsid w:val="1190CDE7"/>
    <w:multiLevelType w:val="hybridMultilevel"/>
    <w:lvl w:ilvl="0">
      <w:lvlJc w:val="left"/>
      <w:lvlText w:val="%1"/>
      <w:numFmt w:val="decimal"/>
      <w:start w:val="31"/>
    </w:lvl>
  </w:abstractNum>
  <w:abstractNum w:abstractNumId="9">
    <w:nsid w:val="66EF438D"/>
    <w:multiLevelType w:val="hybridMultilevel"/>
    <w:lvl w:ilvl="0">
      <w:lvlJc w:val="left"/>
      <w:lvlText w:val="1"/>
      <w:numFmt w:val="bullet"/>
      <w:start w:val="1"/>
    </w:lvl>
  </w:abstractNum>
  <w:abstractNum w:abstractNumId="10">
    <w:nsid w:val="140E0F76"/>
    <w:multiLevelType w:val="hybridMultilevel"/>
    <w:lvl w:ilvl="0">
      <w:lvlJc w:val="left"/>
      <w:lvlText w:val="2"/>
      <w:numFmt w:val="bullet"/>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2019-12-10T03:07:40Z</dcterms:created>
  <dcterms:modified xsi:type="dcterms:W3CDTF">2019-12-10T03:07:40Z</dcterms:modified>
</cp:coreProperties>
</file>