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tbl>
      <w:tblPr>
        <w:tblLayout w:type="fixed"/>
        <w:tblInd w:w="236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Plaza, Hartford, Connecticut 06103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ind w:left="460"/>
        <w:spacing w:after="0" w:line="207" w:lineRule="exact"/>
        <w:tabs>
          <w:tab w:leader="none" w:pos="8580" w:val="left"/>
          <w:tab w:leader="none" w:pos="9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At June 30, 2011 there were 908,712,931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June 30, 2011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02"/>
        </w:trPr>
        <w:tc>
          <w:tcPr>
            <w:tcW w:w="11040" w:type="dxa"/>
            <w:vAlign w:val="bottom"/>
            <w:gridSpan w:val="21"/>
          </w:tcPr>
          <w:p>
            <w:pPr>
              <w:spacing w:after="0"/>
              <w:rPr>
                <w:sz w:val="20"/>
                <w:szCs w:val="20"/>
                <w:color w:val="auto"/>
              </w:rPr>
            </w:pPr>
            <w:r>
              <w:rPr>
                <w:rFonts w:ascii="Arial" w:cs="Arial" w:eastAsia="Arial" w:hAnsi="Arial"/>
                <w:sz w:val="18"/>
                <w:szCs w:val="18"/>
                <w:color w:val="auto"/>
              </w:rPr>
              <w:t>PART I – FINANCIAL INFORMATION</w:t>
            </w:r>
          </w:p>
        </w:tc>
        <w:tc>
          <w:tcPr>
            <w:tcW w:w="28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106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 of Operations for the quarters ended June 30,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Operations for the six months ended June 30,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Condensed Consolidated Balance Sheet at June 30, 2011 and December 31, 2010</w:t>
              </w:r>
            </w:hyperlink>
          </w:p>
        </w:tc>
        <w:tc>
          <w:tcPr>
            <w:tcW w:w="1280" w:type="dxa"/>
            <w:vAlign w:val="bottom"/>
            <w:tcBorders>
              <w:top w:val="single" w:sz="8" w:color="0000EE"/>
            </w:tcBorders>
            <w:gridSpan w:val="3"/>
          </w:tcPr>
          <w:p>
            <w:pPr>
              <w:spacing w:after="0"/>
              <w:rPr>
                <w:sz w:val="24"/>
                <w:szCs w:val="24"/>
                <w:color w:val="auto"/>
              </w:rPr>
            </w:pPr>
          </w:p>
        </w:tc>
        <w:tc>
          <w:tcPr>
            <w:tcW w:w="31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40" w:type="dxa"/>
            <w:vAlign w:val="bottom"/>
            <w:tcBorders>
              <w:bottom w:val="single" w:sz="8" w:color="0000EE"/>
            </w:tcBorders>
            <w:gridSpan w:val="17"/>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 of Cash Flows for the six months ended June 30, 2011 and 2010</w:t>
              </w:r>
            </w:hyperlink>
          </w:p>
        </w:tc>
        <w:tc>
          <w:tcPr>
            <w:tcW w:w="31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7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4.</w:t>
              </w:r>
            </w:hyperlink>
          </w:p>
        </w:tc>
        <w:tc>
          <w:tcPr>
            <w:tcW w:w="10080" w:type="dxa"/>
            <w:vAlign w:val="bottom"/>
            <w:gridSpan w:val="17"/>
          </w:tcPr>
          <w:p>
            <w:pPr>
              <w:ind w:left="20"/>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46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3"/>
        </w:trPr>
        <w:tc>
          <w:tcPr>
            <w:tcW w:w="11040" w:type="dxa"/>
            <w:vAlign w:val="bottom"/>
            <w:gridSpan w:val="21"/>
          </w:tcPr>
          <w:p>
            <w:pPr>
              <w:spacing w:after="0"/>
              <w:rPr>
                <w:sz w:val="20"/>
                <w:szCs w:val="20"/>
                <w:color w:val="auto"/>
              </w:rPr>
            </w:pPr>
            <w:r>
              <w:rPr>
                <w:rFonts w:ascii="Arial" w:cs="Arial" w:eastAsia="Arial" w:hAnsi="Arial"/>
                <w:sz w:val="18"/>
                <w:szCs w:val="18"/>
                <w:color w:val="auto"/>
              </w:rPr>
              <w:t>PART II – OTHER INFORMATION</w:t>
            </w:r>
          </w:p>
        </w:tc>
        <w:tc>
          <w:tcPr>
            <w:tcW w:w="28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1.</w:t>
              </w:r>
            </w:hyperlink>
          </w:p>
        </w:tc>
        <w:tc>
          <w:tcPr>
            <w:tcW w:w="10080" w:type="dxa"/>
            <w:vAlign w:val="bottom"/>
            <w:gridSpan w:val="17"/>
          </w:tcPr>
          <w:p>
            <w:pPr>
              <w:ind w:left="20"/>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1A. Risk Factors</w:t>
              </w:r>
            </w:hyperlink>
          </w:p>
        </w:tc>
        <w:tc>
          <w:tcPr>
            <w:tcW w:w="280" w:type="dxa"/>
            <w:vAlign w:val="bottom"/>
            <w:tcBorders>
              <w:top w:val="single" w:sz="8" w:color="0000EE"/>
            </w:tcBorders>
          </w:tcPr>
          <w:p>
            <w:pPr>
              <w:spacing w:after="0"/>
              <w:rPr>
                <w:sz w:val="24"/>
                <w:szCs w:val="24"/>
                <w:color w:val="auto"/>
              </w:rPr>
            </w:pPr>
          </w:p>
        </w:tc>
        <w:tc>
          <w:tcPr>
            <w:tcW w:w="87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2.</w:t>
              </w:r>
            </w:hyperlink>
          </w:p>
        </w:tc>
        <w:tc>
          <w:tcPr>
            <w:tcW w:w="10080" w:type="dxa"/>
            <w:vAlign w:val="bottom"/>
            <w:gridSpan w:val="17"/>
          </w:tcPr>
          <w:p>
            <w:pPr>
              <w:ind w:left="20"/>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440" w:type="dxa"/>
            <w:vAlign w:val="bottom"/>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6.</w:t>
              </w:r>
            </w:hyperlink>
          </w:p>
        </w:tc>
        <w:tc>
          <w:tcPr>
            <w:tcW w:w="4260" w:type="dxa"/>
            <w:vAlign w:val="bottom"/>
            <w:tcBorders>
              <w:top w:val="single" w:sz="8" w:color="0000EE"/>
            </w:tcBorders>
            <w:gridSpan w:val="10"/>
          </w:tcPr>
          <w:p>
            <w:pPr>
              <w:ind w:left="20"/>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58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44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8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2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0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74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EXHIBIT INDEX</w:t>
              </w:r>
            </w:hyperlink>
          </w:p>
        </w:tc>
        <w:tc>
          <w:tcPr>
            <w:tcW w:w="974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18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or “UTC,” unless the context otherwise requires, mean United Technologies Corporation and its subsidiaries.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UNITED TECHNOLOGIES CORPORATION</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80" w:type="dxa"/>
            <w:vAlign w:val="bottom"/>
          </w:tcPr>
          <w:p>
            <w:pPr>
              <w:jc w:val="center"/>
              <w:ind w:right="812"/>
              <w:spacing w:after="0"/>
              <w:rPr>
                <w:sz w:val="20"/>
                <w:szCs w:val="20"/>
                <w:color w:val="auto"/>
              </w:rPr>
            </w:pPr>
            <w:r>
              <w:rPr>
                <w:rFonts w:ascii="Arial" w:cs="Arial" w:eastAsia="Arial" w:hAnsi="Arial"/>
                <w:sz w:val="18"/>
                <w:szCs w:val="18"/>
                <w:b w:val="1"/>
                <w:bCs w:val="1"/>
                <w:color w:val="auto"/>
                <w:w w:val="96"/>
              </w:rPr>
              <w:t>AND SUBSIDIARIES</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6"/>
              </w:rPr>
              <w:t>CONDENSED CONSOLIDATED STATEMENT OF OPERATIONS</w:t>
            </w: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80" w:type="dxa"/>
            <w:vAlign w:val="bottom"/>
          </w:tcPr>
          <w:p>
            <w:pPr>
              <w:jc w:val="center"/>
              <w:ind w:right="812"/>
              <w:spacing w:after="0"/>
              <w:rPr>
                <w:sz w:val="20"/>
                <w:szCs w:val="20"/>
                <w:color w:val="auto"/>
              </w:rPr>
            </w:pPr>
            <w:r>
              <w:rPr>
                <w:rFonts w:ascii="Arial" w:cs="Arial" w:eastAsia="Arial" w:hAnsi="Arial"/>
                <w:sz w:val="18"/>
                <w:szCs w:val="18"/>
                <w:b w:val="1"/>
                <w:bCs w:val="1"/>
                <w:color w:val="auto"/>
                <w:w w:val="89"/>
              </w:rPr>
              <w:t>(Unaudited)</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8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Quarter Ended June 30,</w:t>
            </w:r>
          </w:p>
        </w:tc>
        <w:tc>
          <w:tcPr>
            <w:tcW w:w="0" w:type="dxa"/>
            <w:vAlign w:val="bottom"/>
          </w:tcPr>
          <w:p>
            <w:pPr>
              <w:spacing w:after="0"/>
              <w:rPr>
                <w:sz w:val="1"/>
                <w:szCs w:val="1"/>
                <w:color w:val="auto"/>
              </w:rPr>
            </w:pPr>
          </w:p>
        </w:tc>
      </w:tr>
      <w:tr>
        <w:trPr>
          <w:trHeight w:val="149"/>
        </w:trPr>
        <w:tc>
          <w:tcPr>
            <w:tcW w:w="8300" w:type="dxa"/>
            <w:vAlign w:val="bottom"/>
            <w:gridSpan w:val="5"/>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2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2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Product sales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10,823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15,076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Costs, Expenses and Other:</w:t>
            </w:r>
          </w:p>
        </w:tc>
        <w:tc>
          <w:tcPr>
            <w:tcW w:w="1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Cost of products sold</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8,099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Cost of services sold</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Other income, net</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Interest expense, net</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Income tax expense</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300" w:type="dxa"/>
            <w:vAlign w:val="bottom"/>
            <w:gridSpan w:val="5"/>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gridSpan w:val="5"/>
            <w:vMerge w:val="continue"/>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6"/>
              </w:rPr>
              <w:t>Diluted</w:t>
            </w:r>
          </w:p>
        </w:tc>
        <w:tc>
          <w:tcPr>
            <w:tcW w:w="2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8"/>
                <w:szCs w:val="18"/>
                <w:color w:val="auto"/>
              </w:rPr>
              <w:t>Weighted average number of shares outstanding:</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Basic shares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Diluted shares</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909.8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925.4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18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9"/>
        </w:trPr>
        <w:tc>
          <w:tcPr>
            <w:tcW w:w="95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5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20,168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28,420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Expenses and Other:</w:t>
            </w: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Cost of products sold</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15,051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services sold</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shares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Diluted shares</w:t>
            </w:r>
          </w:p>
        </w:tc>
        <w:tc>
          <w:tcPr>
            <w:tcW w:w="1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912.4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927.4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4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5"/>
        </w:trPr>
        <w:tc>
          <w:tcPr>
            <w:tcW w:w="7400" w:type="dxa"/>
            <w:vAlign w:val="bottom"/>
            <w:gridSpan w:val="7"/>
            <w:vMerge w:val="continue"/>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93"/>
              <w:spacing w:after="0" w:line="148"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25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b w:val="1"/>
                <w:bCs w:val="1"/>
                <w:color w:val="auto"/>
                <w:w w:val="81"/>
              </w:rPr>
              <w:t>Assets</w:t>
            </w:r>
          </w:p>
        </w:tc>
        <w:tc>
          <w:tcPr>
            <w:tcW w:w="26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5,396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9,801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Inventories and contracts in progress,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8,795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 current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Other assets, current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880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26,429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23,510</w:t>
            </w:r>
          </w:p>
        </w:tc>
        <w:tc>
          <w:tcPr>
            <w:tcW w:w="0" w:type="dxa"/>
            <w:vAlign w:val="bottom"/>
          </w:tcPr>
          <w:p>
            <w:pPr>
              <w:spacing w:after="0"/>
              <w:rPr>
                <w:sz w:val="1"/>
                <w:szCs w:val="1"/>
                <w:color w:val="auto"/>
              </w:rPr>
            </w:pPr>
          </w:p>
        </w:tc>
      </w:tr>
      <w:tr>
        <w:trPr>
          <w:trHeight w:val="20"/>
        </w:trPr>
        <w:tc>
          <w:tcPr>
            <w:tcW w:w="7400" w:type="dxa"/>
            <w:vAlign w:val="bottom"/>
            <w:gridSpan w:val="7"/>
            <w:vMerge w:val="restart"/>
          </w:tcPr>
          <w:p>
            <w:pPr>
              <w:spacing w:after="0"/>
              <w:rPr>
                <w:sz w:val="20"/>
                <w:szCs w:val="20"/>
                <w:color w:val="auto"/>
              </w:rPr>
            </w:pPr>
            <w:r>
              <w:rPr>
                <w:rFonts w:ascii="Arial" w:cs="Arial" w:eastAsia="Arial" w:hAnsi="Arial"/>
                <w:sz w:val="18"/>
                <w:szCs w:val="18"/>
                <w:color w:val="auto"/>
              </w:rPr>
              <w:t>Customer financing assets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7"/>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1,059</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Fixed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16,365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Less: Accumulated depreciation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(10,036)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6"/>
            <w:vMerge w:val="restart"/>
          </w:tcPr>
          <w:p>
            <w:pPr>
              <w:ind w:left="860"/>
              <w:spacing w:after="0"/>
              <w:rPr>
                <w:sz w:val="20"/>
                <w:szCs w:val="20"/>
                <w:color w:val="auto"/>
              </w:rPr>
            </w:pPr>
            <w:r>
              <w:rPr>
                <w:rFonts w:ascii="Arial" w:cs="Arial" w:eastAsia="Arial" w:hAnsi="Arial"/>
                <w:sz w:val="18"/>
                <w:szCs w:val="18"/>
                <w:color w:val="auto"/>
              </w:rPr>
              <w:t>Fixed assets, net</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6"/>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6,329</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18,309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Intangible assets,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4,141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4,156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6"/>
            <w:vMerge w:val="restart"/>
          </w:tcPr>
          <w:p>
            <w:pPr>
              <w:ind w:left="420"/>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6"/>
            <w:vMerge w:val="continue"/>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62,147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5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w w:val="91"/>
              </w:rPr>
              <w:t>Liabilities and Equity</w:t>
            </w:r>
          </w:p>
        </w:tc>
        <w:tc>
          <w:tcPr>
            <w:tcW w:w="202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Short-term borrowings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1,270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5,686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Accrued liabilities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12,622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6"/>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6"/>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20,214</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17,732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9,492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3,528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4,826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6"/>
            <w:vMerge w:val="restart"/>
          </w:tcPr>
          <w:p>
            <w:pPr>
              <w:ind w:left="860"/>
              <w:spacing w:after="0"/>
              <w:rPr>
                <w:sz w:val="20"/>
                <w:szCs w:val="20"/>
                <w:color w:val="auto"/>
              </w:rPr>
            </w:pPr>
            <w:r>
              <w:rPr>
                <w:rFonts w:ascii="Arial" w:cs="Arial" w:eastAsia="Arial" w:hAnsi="Arial"/>
                <w:sz w:val="18"/>
                <w:szCs w:val="18"/>
                <w:color w:val="auto"/>
              </w:rPr>
              <w:t>Total Liabilities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6"/>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38,060</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35,844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Shareowners’ Equity:</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Common Stock</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13,036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ind w:left="860"/>
              <w:spacing w:after="0"/>
              <w:rPr>
                <w:sz w:val="20"/>
                <w:szCs w:val="20"/>
                <w:color w:val="auto"/>
              </w:rPr>
            </w:pPr>
            <w:r>
              <w:rPr>
                <w:rFonts w:ascii="Arial" w:cs="Arial" w:eastAsia="Arial" w:hAnsi="Arial"/>
                <w:sz w:val="18"/>
                <w:szCs w:val="18"/>
                <w:color w:val="auto"/>
              </w:rPr>
              <w:t>Treasury Stock</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(18,960)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31,701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ind w:left="860"/>
              <w:spacing w:after="0"/>
              <w:rPr>
                <w:sz w:val="20"/>
                <w:szCs w:val="20"/>
                <w:color w:val="auto"/>
              </w:rPr>
            </w:pPr>
            <w:r>
              <w:rPr>
                <w:rFonts w:ascii="Arial" w:cs="Arial" w:eastAsia="Arial" w:hAnsi="Arial"/>
                <w:sz w:val="18"/>
                <w:szCs w:val="18"/>
                <w:color w:val="auto"/>
              </w:rPr>
              <w:t>Unearned ESOP shares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Accumulated other comprehensive loss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180" w:type="dxa"/>
            <w:vAlign w:val="bottom"/>
            <w:gridSpan w:val="5"/>
            <w:vMerge w:val="restart"/>
          </w:tcPr>
          <w:p>
            <w:pPr>
              <w:ind w:left="80"/>
              <w:spacing w:after="0"/>
              <w:rPr>
                <w:sz w:val="20"/>
                <w:szCs w:val="20"/>
                <w:color w:val="auto"/>
              </w:rPr>
            </w:pPr>
            <w:r>
              <w:rPr>
                <w:rFonts w:ascii="Arial" w:cs="Arial" w:eastAsia="Arial" w:hAnsi="Arial"/>
                <w:sz w:val="18"/>
                <w:szCs w:val="18"/>
                <w:color w:val="auto"/>
              </w:rPr>
              <w:t>Total Shareowners’ Equity</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180" w:type="dxa"/>
            <w:vAlign w:val="bottom"/>
            <w:gridSpan w:val="5"/>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22,723</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21,385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6"/>
            <w:vMerge w:val="restart"/>
          </w:tcPr>
          <w:p>
            <w:pPr>
              <w:ind w:left="860"/>
              <w:spacing w:after="0"/>
              <w:rPr>
                <w:sz w:val="20"/>
                <w:szCs w:val="20"/>
                <w:color w:val="auto"/>
              </w:rPr>
            </w:pPr>
            <w:r>
              <w:rPr>
                <w:rFonts w:ascii="Arial" w:cs="Arial" w:eastAsia="Arial" w:hAnsi="Arial"/>
                <w:sz w:val="18"/>
                <w:szCs w:val="18"/>
                <w:color w:val="auto"/>
              </w:rPr>
              <w:t>Total Equity</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6"/>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23,739</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22,332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62,147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29"/>
        </w:trPr>
        <w:tc>
          <w:tcPr>
            <w:tcW w:w="802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Operating Activities:</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2,330</w:t>
            </w:r>
          </w:p>
        </w:tc>
        <w:tc>
          <w:tcPr>
            <w:tcW w:w="4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 in subsidiaries’ earnings</w:t>
            </w:r>
          </w:p>
        </w:tc>
        <w:tc>
          <w:tcPr>
            <w:tcW w:w="1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2,531</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 provision</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0" w:type="dxa"/>
            <w:vAlign w:val="bottom"/>
          </w:tcPr>
          <w:p>
            <w:pPr>
              <w:ind w:left="80"/>
              <w:spacing w:after="0"/>
              <w:rPr>
                <w:sz w:val="20"/>
                <w:szCs w:val="20"/>
                <w:color w:val="auto"/>
              </w:rPr>
            </w:pPr>
            <w:r>
              <w:rPr>
                <w:rFonts w:ascii="Arial" w:cs="Arial" w:eastAsia="Arial" w:hAnsi="Arial"/>
                <w:sz w:val="18"/>
                <w:szCs w:val="18"/>
                <w:color w:val="auto"/>
              </w:rPr>
              <w:t>Stock compensation cost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and contracts in progress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0" w:type="dxa"/>
            <w:vAlign w:val="bottom"/>
          </w:tcPr>
          <w:p>
            <w:pPr>
              <w:ind w:left="80"/>
              <w:spacing w:after="0"/>
              <w:rPr>
                <w:sz w:val="20"/>
                <w:szCs w:val="20"/>
                <w:color w:val="auto"/>
              </w:rPr>
            </w:pPr>
            <w:r>
              <w:rPr>
                <w:rFonts w:ascii="Arial" w:cs="Arial" w:eastAsia="Arial" w:hAnsi="Arial"/>
                <w:sz w:val="18"/>
                <w:szCs w:val="18"/>
                <w:color w:val="auto"/>
              </w:rPr>
              <w:t>Other current assets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Global pension contributions*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operating activities, net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0" w:type="dxa"/>
            <w:vAlign w:val="bottom"/>
          </w:tcPr>
          <w:p>
            <w:pPr>
              <w:ind w:left="80"/>
              <w:spacing w:after="0"/>
              <w:rPr>
                <w:sz w:val="20"/>
                <w:szCs w:val="20"/>
                <w:color w:val="auto"/>
              </w:rPr>
            </w:pPr>
            <w:r>
              <w:rPr>
                <w:rFonts w:ascii="Arial" w:cs="Arial" w:eastAsia="Arial" w:hAnsi="Arial"/>
                <w:sz w:val="18"/>
                <w:szCs w:val="18"/>
                <w:color w:val="auto"/>
              </w:rPr>
              <w:t>Net cash flows provided by operating activities</w:t>
            </w:r>
          </w:p>
        </w:tc>
        <w:tc>
          <w:tcPr>
            <w:tcW w:w="1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businesses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Dispositions of businesses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(increase) in customer financing assets, net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Other investing activities, net</w:t>
            </w:r>
          </w:p>
        </w:tc>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used in investing activities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330"/>
        </w:trPr>
        <w:tc>
          <w:tcPr>
            <w:tcW w:w="802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1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issuance of long-term debt, net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Increase in short-term borrowings, net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(781)</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Other financing activities, net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(used in) provided by financing activities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(1,109)</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80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020" w:type="dxa"/>
            <w:vAlign w:val="bottom"/>
            <w:gridSpan w:val="3"/>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increase in cash and cash equivalents</w:t>
            </w: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020" w:type="dxa"/>
            <w:vAlign w:val="bottom"/>
            <w:gridSpan w:val="3"/>
          </w:tcPr>
          <w:p>
            <w:pPr>
              <w:spacing w:after="0"/>
              <w:rPr>
                <w:sz w:val="20"/>
                <w:szCs w:val="20"/>
                <w:color w:val="auto"/>
              </w:rPr>
            </w:pPr>
            <w:r>
              <w:rPr>
                <w:rFonts w:ascii="Arial" w:cs="Arial" w:eastAsia="Arial" w:hAnsi="Arial"/>
                <w:sz w:val="18"/>
                <w:szCs w:val="18"/>
                <w:color w:val="auto"/>
              </w:rPr>
              <w:t>Cash and cash equivalents, beginning of year</w:t>
            </w: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w:t>
            </w:r>
          </w:p>
        </w:tc>
        <w:tc>
          <w:tcPr>
            <w:tcW w:w="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right="42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Non-cash activities include contributions of UTC common stock of $250 million to domestic defined benefit pension plans in the second quarter of 2010. There were no contributions of UTC common stock in 2011.</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Condensed Consolidated Financial Statements at June 30, 2011 and for the quarters and six months ended June 30, 2011 and 2010 are unaudited, but in the opinion of management include all adjustments (consisting only of normal recurring adjustments) necessary for a fair presentation of the results for the interim periods. Certain reclassifications have been made to the prior period amounts to conform to the current year presentation. We previously reported “Other income, net,” which included “Interest income,” as a component of “Revenues.” “Other income, net,” excluding “Interest income,” is now reflected as a component of “Costs, Expenses and Other,” while “Interest income” is now netted with “Interest expense” for financial statement presentation.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(2010 Annual Report) incorporated by reference to our Annual Report on Form 10-K for calendar year 2010 (2010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ind w:right="300"/>
        <w:spacing w:after="0" w:line="310" w:lineRule="auto"/>
        <w:rPr>
          <w:sz w:val="20"/>
          <w:szCs w:val="20"/>
          <w:color w:val="auto"/>
        </w:rPr>
      </w:pPr>
      <w:r>
        <w:rPr>
          <w:rFonts w:ascii="Arial" w:cs="Arial" w:eastAsia="Arial" w:hAnsi="Arial"/>
          <w:sz w:val="16"/>
          <w:szCs w:val="16"/>
          <w:b w:val="1"/>
          <w:bCs w:val="1"/>
          <w:color w:val="auto"/>
        </w:rPr>
        <w:t xml:space="preserve">Business Acquisitions and Dispositions. </w:t>
      </w:r>
      <w:r>
        <w:rPr>
          <w:rFonts w:ascii="Arial" w:cs="Arial" w:eastAsia="Arial" w:hAnsi="Arial"/>
          <w:sz w:val="16"/>
          <w:szCs w:val="16"/>
          <w:color w:val="auto"/>
        </w:rPr>
        <w:t>During the first six months of 2011, our investment in business acquisitions was $184 million and consisted of a</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smaller acquisitions in both the aerospace and commercial businesses. As a result of Sikorsky’s contribution of a business into a new venture in the United Arab Emirates, we recognized a gain of approximately $73 million in the second quarter of 2011.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first six months of 2011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700" w:type="dxa"/>
            <w:vAlign w:val="bottom"/>
            <w:gridSpan w:val="3"/>
          </w:tcPr>
          <w:p>
            <w:pPr>
              <w:jc w:val="right"/>
              <w:ind w:right="860"/>
              <w:spacing w:after="0" w:line="149" w:lineRule="exact"/>
              <w:rPr>
                <w:sz w:val="20"/>
                <w:szCs w:val="20"/>
                <w:color w:val="auto"/>
              </w:rPr>
            </w:pPr>
            <w:r>
              <w:rPr>
                <w:rFonts w:ascii="Arial" w:cs="Arial" w:eastAsia="Arial" w:hAnsi="Arial"/>
                <w:sz w:val="14"/>
                <w:szCs w:val="14"/>
                <w:b w:val="1"/>
                <w:bCs w:val="1"/>
                <w:color w:val="auto"/>
                <w:w w:val="90"/>
              </w:rPr>
              <w:t>Balance as of</w:t>
            </w: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Goodwill resulting from</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June</w:t>
            </w:r>
          </w:p>
        </w:tc>
        <w:tc>
          <w:tcPr>
            <w:tcW w:w="0" w:type="dxa"/>
            <w:vAlign w:val="bottom"/>
          </w:tcPr>
          <w:p>
            <w:pPr>
              <w:spacing w:after="0"/>
              <w:rPr>
                <w:sz w:val="1"/>
                <w:szCs w:val="1"/>
                <w:color w:val="auto"/>
              </w:rPr>
            </w:pPr>
          </w:p>
        </w:tc>
      </w:tr>
      <w:tr>
        <w:trPr>
          <w:trHeight w:val="168"/>
        </w:trPr>
        <w:tc>
          <w:tcPr>
            <w:tcW w:w="3740" w:type="dxa"/>
            <w:vAlign w:val="bottom"/>
            <w:gridSpan w:val="3"/>
            <w:vMerge w:val="continue"/>
          </w:tcPr>
          <w:p>
            <w:pPr>
              <w:spacing w:after="0"/>
              <w:rPr>
                <w:sz w:val="14"/>
                <w:szCs w:val="14"/>
                <w:color w:val="auto"/>
              </w:rPr>
            </w:pPr>
          </w:p>
        </w:tc>
        <w:tc>
          <w:tcPr>
            <w:tcW w:w="17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January 1, 2011</w:t>
            </w:r>
          </w:p>
        </w:tc>
        <w:tc>
          <w:tcPr>
            <w:tcW w:w="1820" w:type="dxa"/>
            <w:vAlign w:val="bottom"/>
            <w:gridSpan w:val="3"/>
          </w:tcPr>
          <w:p>
            <w:pPr>
              <w:jc w:val="right"/>
              <w:ind w:right="480"/>
              <w:spacing w:after="0" w:line="148" w:lineRule="exact"/>
              <w:rPr>
                <w:sz w:val="20"/>
                <w:szCs w:val="20"/>
                <w:color w:val="auto"/>
              </w:rPr>
            </w:pPr>
            <w:r>
              <w:rPr>
                <w:rFonts w:ascii="Arial" w:cs="Arial" w:eastAsia="Arial" w:hAnsi="Arial"/>
                <w:sz w:val="14"/>
                <w:szCs w:val="14"/>
                <w:b w:val="1"/>
                <w:bCs w:val="1"/>
                <w:color w:val="auto"/>
                <w:w w:val="84"/>
              </w:rPr>
              <w:t>business combinations</w:t>
            </w:r>
          </w:p>
        </w:tc>
        <w:tc>
          <w:tcPr>
            <w:tcW w:w="380" w:type="dxa"/>
            <w:vAlign w:val="bottom"/>
          </w:tcPr>
          <w:p>
            <w:pPr>
              <w:spacing w:after="0"/>
              <w:rPr>
                <w:sz w:val="14"/>
                <w:szCs w:val="14"/>
                <w:color w:val="auto"/>
              </w:rPr>
            </w:pPr>
          </w:p>
        </w:tc>
        <w:tc>
          <w:tcPr>
            <w:tcW w:w="20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translation and other</w:t>
            </w:r>
          </w:p>
        </w:tc>
        <w:tc>
          <w:tcPr>
            <w:tcW w:w="120" w:type="dxa"/>
            <w:vAlign w:val="bottom"/>
          </w:tcPr>
          <w:p>
            <w:pPr>
              <w:spacing w:after="0"/>
              <w:rPr>
                <w:sz w:val="14"/>
                <w:szCs w:val="14"/>
                <w:color w:val="auto"/>
              </w:rPr>
            </w:pPr>
          </w:p>
        </w:tc>
        <w:tc>
          <w:tcPr>
            <w:tcW w:w="640" w:type="dxa"/>
            <w:vAlign w:val="bottom"/>
          </w:tcPr>
          <w:p>
            <w:pPr>
              <w:jc w:val="right"/>
              <w:ind w:right="56"/>
              <w:spacing w:after="0" w:line="148" w:lineRule="exact"/>
              <w:rPr>
                <w:sz w:val="20"/>
                <w:szCs w:val="20"/>
                <w:color w:val="auto"/>
              </w:rPr>
            </w:pPr>
            <w:r>
              <w:rPr>
                <w:rFonts w:ascii="Arial" w:cs="Arial" w:eastAsia="Arial" w:hAnsi="Arial"/>
                <w:sz w:val="14"/>
                <w:szCs w:val="14"/>
                <w:b w:val="1"/>
                <w:bCs w:val="1"/>
                <w:color w:val="auto"/>
                <w:w w:val="88"/>
              </w:rPr>
              <w:t>30, 2011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2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1,470</w:t>
            </w:r>
          </w:p>
        </w:tc>
        <w:tc>
          <w:tcPr>
            <w:tcW w:w="7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w:t>
            </w: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w:t>
            </w: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1,573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3,171</w:t>
            </w:r>
          </w:p>
        </w:tc>
        <w:tc>
          <w:tcPr>
            <w:tcW w:w="6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6,646</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1,224</w:t>
            </w:r>
          </w:p>
        </w:tc>
        <w:tc>
          <w:tcPr>
            <w:tcW w:w="6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4,491</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330</w:t>
            </w:r>
          </w:p>
        </w:tc>
        <w:tc>
          <w:tcPr>
            <w:tcW w:w="6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17,332</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389</w:t>
            </w:r>
          </w:p>
        </w:tc>
        <w:tc>
          <w:tcPr>
            <w:tcW w:w="6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17,721</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the six months ended June 30, 2011, we recorded an additional $254 million of goodwill, reflected within “Eliminations and other” in the above table, related to the finalization of purchase accounting associated with the December 2010 acquisition of Clipper Windpower Plc (Clipper).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8"/>
              </w:rPr>
              <w:t>June 30, 2011</w:t>
            </w: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0"/>
              </w:rPr>
              <w:t>December 31, 2010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060" w:type="dxa"/>
            <w:vAlign w:val="bottom"/>
            <w:vMerge w:val="restart"/>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0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Gross Amount</w:t>
            </w:r>
          </w:p>
        </w:tc>
        <w:tc>
          <w:tcPr>
            <w:tcW w:w="320" w:type="dxa"/>
            <w:vAlign w:val="bottom"/>
          </w:tcPr>
          <w:p>
            <w:pPr>
              <w:spacing w:after="0"/>
              <w:rPr>
                <w:sz w:val="14"/>
                <w:szCs w:val="14"/>
                <w:color w:val="auto"/>
              </w:rPr>
            </w:pPr>
          </w:p>
        </w:tc>
        <w:tc>
          <w:tcPr>
            <w:tcW w:w="14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Amortization</w:t>
            </w:r>
          </w:p>
        </w:tc>
        <w:tc>
          <w:tcPr>
            <w:tcW w:w="8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Gross Amount</w:t>
            </w:r>
          </w:p>
        </w:tc>
        <w:tc>
          <w:tcPr>
            <w:tcW w:w="620" w:type="dxa"/>
            <w:vAlign w:val="bottom"/>
          </w:tcPr>
          <w:p>
            <w:pPr>
              <w:spacing w:after="0"/>
              <w:rPr>
                <w:sz w:val="14"/>
                <w:szCs w:val="14"/>
                <w:color w:val="auto"/>
              </w:rPr>
            </w:pPr>
          </w:p>
        </w:tc>
        <w:tc>
          <w:tcPr>
            <w:tcW w:w="9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0"/>
        </w:trPr>
        <w:tc>
          <w:tcPr>
            <w:tcW w:w="4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Amortized:</w:t>
            </w:r>
          </w:p>
        </w:tc>
        <w:tc>
          <w:tcPr>
            <w:tcW w:w="9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Service portfolios</w:t>
            </w:r>
          </w:p>
        </w:tc>
        <w:tc>
          <w:tcPr>
            <w:tcW w:w="12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2,095</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(1,059)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1,950</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Patents and trademarks</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Other, principally customer relationships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(1,366)</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3,229</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(1,222)</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(2,599)</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(2,317)</w:t>
            </w:r>
          </w:p>
        </w:tc>
        <w:tc>
          <w:tcPr>
            <w:tcW w:w="0" w:type="dxa"/>
            <w:vAlign w:val="bottom"/>
          </w:tcPr>
          <w:p>
            <w:pPr>
              <w:spacing w:after="0"/>
              <w:rPr>
                <w:sz w:val="1"/>
                <w:szCs w:val="1"/>
                <w:color w:val="auto"/>
              </w:rPr>
            </w:pPr>
          </w:p>
        </w:tc>
      </w:tr>
      <w:tr>
        <w:trPr>
          <w:trHeight w:val="330"/>
        </w:trPr>
        <w:tc>
          <w:tcPr>
            <w:tcW w:w="4260" w:type="dxa"/>
            <w:vAlign w:val="bottom"/>
            <w:gridSpan w:val="2"/>
          </w:tcPr>
          <w:p>
            <w:pPr>
              <w:spacing w:after="0"/>
              <w:rPr>
                <w:sz w:val="20"/>
                <w:szCs w:val="20"/>
                <w:color w:val="auto"/>
              </w:rPr>
            </w:pPr>
            <w:r>
              <w:rPr>
                <w:rFonts w:ascii="Arial" w:cs="Arial" w:eastAsia="Arial" w:hAnsi="Arial"/>
                <w:sz w:val="18"/>
                <w:szCs w:val="18"/>
                <w:color w:val="auto"/>
              </w:rPr>
              <w:t>Unamortized:</w:t>
            </w:r>
          </w:p>
        </w:tc>
        <w:tc>
          <w:tcPr>
            <w:tcW w:w="9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Trademarks and other</w:t>
            </w:r>
          </w:p>
        </w:tc>
        <w:tc>
          <w:tcPr>
            <w:tcW w:w="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26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6,740</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(2,599)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6,377</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(2,317)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2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20" w:type="dxa"/>
            <w:vAlign w:val="bottom"/>
            <w:gridSpan w:val="2"/>
          </w:tcPr>
          <w:p>
            <w:pPr>
              <w:ind w:left="96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Amortization of intangible assets for the quarter and six months ended June 30, 2011 was $103 million and $203 million, respectively, compared with $90 million and $179 million for the same periods of 2010. Average amortization of these intangible assets for 2011 through 2015 is expected to approximate $315 million per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(Dollars in millions, except per share amounts; shares in millions)</w:t>
            </w: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4"/>
                <w:szCs w:val="14"/>
                <w:b w:val="1"/>
                <w:bCs w:val="1"/>
                <w:color w:val="auto"/>
              </w:rPr>
              <w:t>Quarter Ended June 30,</w:t>
            </w:r>
          </w:p>
        </w:tc>
        <w:tc>
          <w:tcPr>
            <w:tcW w:w="18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Borders>
              <w:top w:val="single" w:sz="8" w:color="auto"/>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common shareowners</w:t>
            </w:r>
          </w:p>
        </w:tc>
        <w:tc>
          <w:tcPr>
            <w:tcW w:w="28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1,110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2,330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1,976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020" w:type="dxa"/>
            <w:vAlign w:val="bottom"/>
            <w:gridSpan w:val="2"/>
          </w:tcPr>
          <w:p>
            <w:pPr>
              <w:spacing w:after="0"/>
              <w:rPr>
                <w:sz w:val="20"/>
                <w:szCs w:val="20"/>
                <w:color w:val="auto"/>
              </w:rPr>
            </w:pPr>
            <w:r>
              <w:rPr>
                <w:rFonts w:ascii="Arial" w:cs="Arial" w:eastAsia="Arial" w:hAnsi="Arial"/>
                <w:sz w:val="18"/>
                <w:szCs w:val="18"/>
                <w:color w:val="auto"/>
                <w:w w:val="92"/>
              </w:rPr>
              <w:t>Basic weighted average number of shares outstanding</w:t>
            </w:r>
          </w:p>
        </w:tc>
        <w:tc>
          <w:tcPr>
            <w:tcW w:w="2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892.9</w:t>
            </w:r>
          </w:p>
        </w:tc>
        <w:tc>
          <w:tcPr>
            <w:tcW w:w="14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910.4</w:t>
            </w:r>
          </w:p>
        </w:tc>
        <w:tc>
          <w:tcPr>
            <w:tcW w:w="16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895.9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912.1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w w:val="89"/>
              </w:rPr>
              <w:t>Diluted weighted average number of shares outstanding</w:t>
            </w:r>
          </w:p>
        </w:tc>
        <w:tc>
          <w:tcPr>
            <w:tcW w:w="2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909.8</w:t>
            </w:r>
          </w:p>
        </w:tc>
        <w:tc>
          <w:tcPr>
            <w:tcW w:w="14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925.4</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912.4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Basic</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For the quarter and six months ended June 30, 2011, there were no antidilutive stock awards excluded from the computation. The number of stock awards excluded from the computation was 12.7 million for the quarter and six months ended June 30,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 and Contracts in Progress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(Dollars in millions)</w:t>
            </w:r>
          </w:p>
        </w:tc>
        <w:tc>
          <w:tcPr>
            <w:tcW w:w="4020" w:type="dxa"/>
            <w:vAlign w:val="bottom"/>
          </w:tcPr>
          <w:p>
            <w:pPr>
              <w:spacing w:after="0"/>
              <w:rPr>
                <w:sz w:val="15"/>
                <w:szCs w:val="15"/>
                <w:color w:val="auto"/>
              </w:rPr>
            </w:pPr>
          </w:p>
        </w:tc>
        <w:tc>
          <w:tcPr>
            <w:tcW w:w="1800" w:type="dxa"/>
            <w:vAlign w:val="bottom"/>
            <w:gridSpan w:val="4"/>
          </w:tcPr>
          <w:p>
            <w:pPr>
              <w:ind w:left="520"/>
              <w:spacing w:after="0"/>
              <w:rPr>
                <w:sz w:val="20"/>
                <w:szCs w:val="20"/>
                <w:color w:val="auto"/>
              </w:rPr>
            </w:pPr>
            <w:r>
              <w:rPr>
                <w:rFonts w:ascii="Arial" w:cs="Arial" w:eastAsia="Arial" w:hAnsi="Arial"/>
                <w:sz w:val="14"/>
                <w:szCs w:val="14"/>
                <w:b w:val="1"/>
                <w:bCs w:val="1"/>
                <w:color w:val="auto"/>
              </w:rPr>
              <w:t>June 30, 2011</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2010</w:t>
            </w:r>
          </w:p>
        </w:tc>
      </w:tr>
      <w:tr>
        <w:trPr>
          <w:trHeight w:val="203"/>
        </w:trPr>
        <w:tc>
          <w:tcPr>
            <w:tcW w:w="5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1,361</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1,221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3,709</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3,259</w:t>
            </w:r>
          </w:p>
        </w:tc>
        <w:tc>
          <w:tcPr>
            <w:tcW w:w="12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20" w:type="dxa"/>
            <w:vAlign w:val="bottom"/>
            <w:shd w:val="clear" w:color="auto" w:fill="CCEEFF"/>
          </w:tcPr>
          <w:p>
            <w:pPr>
              <w:spacing w:after="0"/>
              <w:rPr>
                <w:sz w:val="18"/>
                <w:szCs w:val="18"/>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Contracts in progress</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6,795</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19"/>
                <w:szCs w:val="19"/>
                <w:color w:val="auto"/>
              </w:rPr>
            </w:pPr>
          </w:p>
        </w:tc>
      </w:tr>
      <w:tr>
        <w:trPr>
          <w:trHeight w:val="216"/>
        </w:trPr>
        <w:tc>
          <w:tcPr>
            <w:tcW w:w="12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13,846</w:t>
            </w:r>
          </w:p>
        </w:tc>
        <w:tc>
          <w:tcPr>
            <w:tcW w:w="120" w:type="dxa"/>
            <w:vAlign w:val="bottom"/>
            <w:shd w:val="clear" w:color="auto" w:fill="CCEEFF"/>
          </w:tcPr>
          <w:p>
            <w:pPr>
              <w:spacing w:after="0"/>
              <w:rPr>
                <w:sz w:val="18"/>
                <w:szCs w:val="18"/>
                <w:color w:val="auto"/>
              </w:rPr>
            </w:pPr>
          </w:p>
        </w:tc>
      </w:tr>
      <w:tr>
        <w:trPr>
          <w:trHeight w:val="322"/>
        </w:trPr>
        <w:tc>
          <w:tcPr>
            <w:tcW w:w="5220" w:type="dxa"/>
            <w:vAlign w:val="bottom"/>
            <w:gridSpan w:val="2"/>
          </w:tcPr>
          <w:p>
            <w:pPr>
              <w:spacing w:after="0"/>
              <w:rPr>
                <w:sz w:val="20"/>
                <w:szCs w:val="20"/>
                <w:color w:val="auto"/>
              </w:rPr>
            </w:pPr>
            <w:r>
              <w:rPr>
                <w:rFonts w:ascii="Arial" w:cs="Arial" w:eastAsia="Arial" w:hAnsi="Arial"/>
                <w:sz w:val="18"/>
                <w:szCs w:val="18"/>
                <w:color w:val="auto"/>
              </w:rPr>
              <w:t>Less: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Progress payments, secured by lien, on U.S. Government contracts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(394)</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Billings on contracts in progress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(6,102)</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(5,805)</w:t>
            </w:r>
          </w:p>
        </w:tc>
      </w:tr>
      <w:tr>
        <w:trPr>
          <w:trHeight w:val="27"/>
        </w:trPr>
        <w:tc>
          <w:tcPr>
            <w:tcW w:w="12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120" w:type="dxa"/>
            <w:vAlign w:val="bottom"/>
            <w:shd w:val="clear" w:color="auto" w:fill="CCEEFF"/>
          </w:tcPr>
          <w:p>
            <w:pPr>
              <w:spacing w:after="0"/>
              <w:rPr>
                <w:sz w:val="18"/>
                <w:szCs w:val="18"/>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June 30, 2011 and December 31, 2010, the above inventory balances include capitalized contract development costs of $843 million and $804 million, respectively, related to certain aerospace programs. These capitalized costs are liquidated as production units are delivered to the customer. The capitalized contract development costs within inventory principally relate to costs capitalized on Sikorsky’s CH-148 contract with the Canadian government. The CH-148 is a derivative of the H-92, a military variant of the S-92.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 and Lines of Credit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34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2011</w:t>
            </w:r>
          </w:p>
        </w:tc>
        <w:tc>
          <w:tcPr>
            <w:tcW w:w="2100" w:type="dxa"/>
            <w:vAlign w:val="bottom"/>
            <w:gridSpan w:val="4"/>
          </w:tcPr>
          <w:p>
            <w:pPr>
              <w:ind w:left="900"/>
              <w:spacing w:after="0"/>
              <w:rPr>
                <w:sz w:val="20"/>
                <w:szCs w:val="20"/>
                <w:color w:val="auto"/>
              </w:rPr>
            </w:pPr>
            <w:r>
              <w:rPr>
                <w:rFonts w:ascii="Arial" w:cs="Arial" w:eastAsia="Arial" w:hAnsi="Arial"/>
                <w:sz w:val="14"/>
                <w:szCs w:val="14"/>
                <w:b w:val="1"/>
                <w:bCs w:val="1"/>
                <w:color w:val="auto"/>
                <w:w w:val="93"/>
              </w:rPr>
              <w:t>December 31, 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26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1,060</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2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9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borrowings</w:t>
            </w:r>
          </w:p>
        </w:tc>
        <w:tc>
          <w:tcPr>
            <w:tcW w:w="29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1339"/>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At June 30, 2011, we had committed credit agreements from banks permitting aggregate borrowings of up to $3.0 billion under a $1.6 billion revolving credit agreement and a $1.4 billion multicurrency revolving credit agreement, both of which are available for general funding purposes, including acquisitions. As of June 30, 2011, there were no borrowings under either of these revolving credit agreements, which expire in November 2014 and December 2014, respectively. The undrawn portions under both of these agreements are also available to serve as backup facilities for the issuance of commercial paper. We generally use our commercial paper borrowings for general corporate purposes, including the funding of potential acquisitions and repurchases of our common stock.</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(Dollars in millions)</w:t>
            </w:r>
          </w:p>
        </w:tc>
        <w:tc>
          <w:tcPr>
            <w:tcW w:w="3040" w:type="dxa"/>
            <w:vAlign w:val="bottom"/>
          </w:tcPr>
          <w:p>
            <w:pPr>
              <w:spacing w:after="0"/>
              <w:rPr>
                <w:sz w:val="15"/>
                <w:szCs w:val="15"/>
                <w:color w:val="auto"/>
              </w:rPr>
            </w:pPr>
          </w:p>
        </w:tc>
        <w:tc>
          <w:tcPr>
            <w:tcW w:w="32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June 30, 2011</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5"/>
              </w:rPr>
              <w:t>December 31, 2010</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6.100% notes due 2012*</w:t>
            </w:r>
          </w:p>
        </w:tc>
        <w:tc>
          <w:tcPr>
            <w:tcW w:w="1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w:t>
            </w:r>
          </w:p>
        </w:tc>
        <w:tc>
          <w:tcPr>
            <w:tcW w:w="8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4.875% notes due 2015*</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1,200</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5.375% notes due 2017*</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6.125% notes due 2019*</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1,250</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8.875% notes due 2019</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4.500% notes due 2020*</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1,250</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8.750% notes due 2021</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6.700% notes due 2028</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7.500% notes due 2029*</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5.400% notes due 2035*</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6.050% notes due 2036*</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6.125% notes due 2038*</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5.700% notes due 2040*</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Project financing obligations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(including capitalized leases)</w:t>
            </w:r>
          </w:p>
        </w:tc>
        <w:tc>
          <w:tcPr>
            <w:tcW w:w="1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4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10,128</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(636)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Long-term debt, net of current portion</w:t>
            </w:r>
          </w:p>
        </w:tc>
        <w:tc>
          <w:tcPr>
            <w:tcW w:w="1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2"/>
            <w:vMerge w:val="continue"/>
          </w:tcPr>
          <w:p>
            <w:pPr>
              <w:spacing w:after="0"/>
              <w:rPr>
                <w:sz w:val="19"/>
                <w:szCs w:val="19"/>
                <w:color w:val="auto"/>
              </w:rPr>
            </w:pPr>
          </w:p>
        </w:tc>
        <w:tc>
          <w:tcPr>
            <w:tcW w:w="17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9,492</w:t>
            </w:r>
          </w:p>
        </w:tc>
        <w:tc>
          <w:tcPr>
            <w:tcW w:w="860" w:type="dxa"/>
            <w:vAlign w:val="bottom"/>
          </w:tcPr>
          <w:p>
            <w:pPr>
              <w:spacing w:after="0"/>
              <w:rPr>
                <w:sz w:val="19"/>
                <w:szCs w:val="19"/>
                <w:color w:val="auto"/>
              </w:rPr>
            </w:pPr>
          </w:p>
        </w:tc>
        <w:tc>
          <w:tcPr>
            <w:tcW w:w="360" w:type="dxa"/>
            <w:vAlign w:val="bottom"/>
            <w:gridSpan w:val="2"/>
          </w:tcPr>
          <w:p>
            <w:pPr>
              <w:jc w:val="right"/>
              <w:ind w:right="18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820" w:right="80" w:hanging="448"/>
        <w:spacing w:after="0" w:line="254"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redeem some or all of these series of notes at any time at a redemption price in U.S. dollars equal to the greater of 100% of the principal amount outstanding of the applicable series of notes to be redeemed, or the sum of the present values of the remaining scheduled payments of principal and interest on the applicable series of notes to be redeemed. The discounts applied on such redemptions are based on a semiannual calculation at an adjusted treasury rate plus 10-50 basis points, depending on the particular series. The redemption price will also include interest accrued to the date of redemption on the principal balance of the notes being redeemed.</w:t>
      </w:r>
    </w:p>
    <w:p>
      <w:pPr>
        <w:spacing w:after="0" w:line="144"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96"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South Korea, Singapore, Spain, the United Kingdom and the United States. With few exceptions, we are no longer subject to U.S. federal, state and local, or non-U.S. income tax examinations for years before 1998.</w:t>
      </w:r>
    </w:p>
    <w:p>
      <w:pPr>
        <w:spacing w:after="0" w:line="9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has also been recognized. Interest accrued in relation to unrecognized tax benefits is recorded in interest expense. Penalties, if incurred, would be recognized as a component of income tax expense.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It is reasonably possible that a net reduction within a range of $90 million to $280 million of unrecognized tax benefits may occur within the next twelve months as a result of additional worldwide uncertain tax positions, the revaluation of current uncertain tax positions arising from developments in examinations, in appeals or in the courts, or the closure of tax statutes. A portion of this net reduction may impact the Company’s 2011 or 2012 income tax expense. Not included in the range is €197 million (approximately $280 million) of tax benefits that we have claimed related to a 1998 German reorganization. These tax benefits are currently being reviewed by the German Tax Office in the course of an audit of tax years 1999 to 2000. In 2008 the German Federal Tax Court denied benefits to another taxpayer in a case involving a German tax law relevant to our reorganization. The determination of the German Federal Tax Court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German Federal Tax Court for further consideration of certain related issues. In May 2010, the German Federal Tax Court released its decision, in which it resolved certain tax issues that may be relevant to our audit and remanded the case to a lower court for further development. After consideration of the ECJ decision and the latest German Federal Tax Court decision, we continue to believe that it is more likely than not that the relevant German tax law is violative of EU principles and we have not accrued tax expense for this matter. As we continue to monitor developments related to this matter, it may become necessary for us to accrue tax expense and related interest.</w:t>
      </w:r>
    </w:p>
    <w:p>
      <w:pPr>
        <w:spacing w:after="0" w:line="12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Tax years 2004 and 2005 are currently before the Appeals Division of the Internal Revenue Service (IRS) for resolution discussions regarding certain proposed tax adjustments with which the Company does not agree. The Company expects that the Appeals Division’s consideration will continue into 2012 and be completed within the next 12 months. Tax years 2006, 2007 and 2008 are under review by the Examination Division of the IRS, which review is expected to continue into 2012 and be completed within the next 12 months. Additionally, the Company has two refund claims pending for years prior to 2004. The Company expects that a final determination will be made with respect to these claims during 2011. These claims are included within the range of unrecognized tax benefits disclosed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these plans were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820" w:type="dxa"/>
            <w:vAlign w:val="bottom"/>
            <w:vMerge w:val="restart"/>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w w:val="94"/>
              </w:rPr>
              <w:t>Quarter Ended June 30,</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w w:val="83"/>
              </w:rPr>
              <w:t>2011</w:t>
            </w: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w w:val="96"/>
              </w:rPr>
              <w:t>2010</w:t>
            </w:r>
          </w:p>
        </w:tc>
        <w:tc>
          <w:tcPr>
            <w:tcW w:w="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Defined Benefit Plans</w:t>
            </w:r>
          </w:p>
        </w:tc>
        <w:tc>
          <w:tcPr>
            <w:tcW w:w="20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469</w:t>
            </w: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Defined Contribution Plans</w:t>
            </w: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gridSpan w:val="2"/>
            <w:vMerge w:val="continue"/>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There were no contributions to our domestic defined benefit pension plans in the first six months of 2011. In the first six months of 2010, we made contributions of $451 million to our domestic defined benefit pension plans, almost entirely in the second quarter, including a $250 million contribution of UTC common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components of net periodic benefit cost for our defined pension and other postretirement benefit plans: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4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84"/>
              </w:rPr>
              <w:t>Pension Benefits</w:t>
            </w:r>
          </w:p>
        </w:tc>
        <w:tc>
          <w:tcPr>
            <w:tcW w:w="140" w:type="dxa"/>
            <w:vAlign w:val="bottom"/>
          </w:tcPr>
          <w:p>
            <w:pPr>
              <w:spacing w:after="0"/>
              <w:rPr>
                <w:sz w:val="14"/>
                <w:szCs w:val="14"/>
                <w:color w:val="auto"/>
              </w:rPr>
            </w:pPr>
          </w:p>
        </w:tc>
        <w:tc>
          <w:tcPr>
            <w:tcW w:w="21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9"/>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40" w:type="dxa"/>
            <w:vAlign w:val="bottom"/>
            <w:gridSpan w:val="6"/>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40" w:type="dxa"/>
            <w:vAlign w:val="bottom"/>
          </w:tcPr>
          <w:p>
            <w:pPr>
              <w:spacing w:after="0"/>
              <w:rPr>
                <w:sz w:val="12"/>
                <w:szCs w:val="12"/>
                <w:color w:val="auto"/>
              </w:rPr>
            </w:pPr>
          </w:p>
        </w:tc>
        <w:tc>
          <w:tcPr>
            <w:tcW w:w="14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Quarter 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83"/>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3"/>
            <w:vMerge w:val="continue"/>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9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6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$ 111</w:t>
            </w:r>
          </w:p>
        </w:tc>
        <w:tc>
          <w:tcPr>
            <w:tcW w:w="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w:t>
            </w: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326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320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5"/>
              </w:rPr>
              <w:t>(428)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settlement and curtailment loss</w:t>
            </w:r>
          </w:p>
        </w:tc>
        <w:tc>
          <w:tcPr>
            <w:tcW w:w="23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2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$ 105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772"/>
              <w:spacing w:after="0"/>
              <w:rPr>
                <w:sz w:val="20"/>
                <w:szCs w:val="20"/>
                <w:color w:val="auto"/>
              </w:rPr>
            </w:pPr>
            <w:r>
              <w:rPr>
                <w:rFonts w:ascii="Arial" w:cs="Arial" w:eastAsia="Arial" w:hAnsi="Arial"/>
                <w:sz w:val="18"/>
                <w:szCs w:val="18"/>
                <w:color w:val="auto"/>
              </w:rPr>
              <w:t>10</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4"/>
              </w:rPr>
              <w:t>Pension Benefits</w:t>
            </w:r>
          </w:p>
        </w:tc>
        <w:tc>
          <w:tcPr>
            <w:tcW w:w="140" w:type="dxa"/>
            <w:vAlign w:val="bottom"/>
          </w:tcPr>
          <w:p>
            <w:pPr>
              <w:spacing w:after="0"/>
              <w:rPr>
                <w:sz w:val="14"/>
                <w:szCs w:val="14"/>
                <w:color w:val="auto"/>
              </w:rPr>
            </w:pPr>
          </w:p>
        </w:tc>
        <w:tc>
          <w:tcPr>
            <w:tcW w:w="21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9"/>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4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Six Months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Six Months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5"/>
              </w:rPr>
              <w:t>Ended June 30,</w:t>
            </w:r>
          </w:p>
        </w:tc>
        <w:tc>
          <w:tcPr>
            <w:tcW w:w="14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0" w:type="dxa"/>
            <w:vAlign w:val="bottom"/>
            <w:gridSpan w:val="3"/>
            <w:vMerge w:val="continue"/>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8"/>
              <w:spacing w:after="0" w:line="129"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50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$ 222</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$ 198</w:t>
            </w: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650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(914)</w:t>
            </w: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(859)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280" w:type="dxa"/>
            <w:vAlign w:val="bottom"/>
            <w:gridSpan w:val="2"/>
          </w:tcPr>
          <w:p>
            <w:pPr>
              <w:jc w:val="right"/>
              <w:ind w:right="59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Net settlement and curtailment loss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$ 196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and Other Costs</w:t>
      </w:r>
    </w:p>
    <w:p>
      <w:pPr>
        <w:spacing w:after="0" w:line="96" w:lineRule="exact"/>
        <w:rPr>
          <w:sz w:val="20"/>
          <w:szCs w:val="20"/>
          <w:color w:val="auto"/>
        </w:rPr>
      </w:pPr>
    </w:p>
    <w:p>
      <w:pPr>
        <w:jc w:val="both"/>
        <w:ind w:right="500" w:firstLine="456"/>
        <w:spacing w:after="0" w:line="268" w:lineRule="auto"/>
        <w:rPr>
          <w:sz w:val="20"/>
          <w:szCs w:val="20"/>
          <w:color w:val="auto"/>
        </w:rPr>
      </w:pPr>
      <w:r>
        <w:rPr>
          <w:rFonts w:ascii="Arial" w:cs="Arial" w:eastAsia="Arial" w:hAnsi="Arial"/>
          <w:sz w:val="18"/>
          <w:szCs w:val="18"/>
          <w:color w:val="auto"/>
        </w:rPr>
        <w:t>During the first six months of 2011, we recorded net pre-tax restructuring and other costs in our business segments totaling $103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6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22"/>
        </w:trPr>
        <w:tc>
          <w:tcPr>
            <w:tcW w:w="734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net costs included $69 million recorded in cost of sales, $32 million in selling, general and administrative expenses and $2 million in other income, net. As described below, these costs primarily relate to actions initiated during 2011 and 2010.</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2011 Actions. </w:t>
      </w:r>
      <w:r>
        <w:rPr>
          <w:rFonts w:ascii="Arial" w:cs="Arial" w:eastAsia="Arial" w:hAnsi="Arial"/>
          <w:sz w:val="18"/>
          <w:szCs w:val="18"/>
          <w:color w:val="auto"/>
        </w:rPr>
        <w:t>During the first six months of 2011, we initiated restructuring actions relating to ongoing cost reduction efforts, including workforce reductions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consolidation of field operations. We recorded net pre-tax restructuring and other costs totaling $69 million, including $46 million in cost of sales, $21 million in selling, general and administrative expenses and $2 million in other income, net.</w:t>
      </w:r>
    </w:p>
    <w:p>
      <w:pPr>
        <w:spacing w:after="0" w:line="13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expect the actions initiated in the first six months of 2011 to result in net workforce reductions of approximately 1,200 hourly and salaried employees, the exiting of approximately 120,000 net square feet of facilities and the disposal of assets associated with exited facilities. As of June 30, 2011, we have completed net workforce reductions of approximately 500 employees. We are targeting the majority of the remaining workforce and all facility related cost reduction actions for completion during 2011 and 2012. No specific plans for significant other actions have been finalized at this time.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2011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Facility Exit, Lease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84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w w:val="94"/>
              </w:rPr>
              <w:t>Asset</w:t>
            </w:r>
          </w:p>
        </w:tc>
        <w:tc>
          <w:tcPr>
            <w:tcW w:w="18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and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15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Write-Downs</w:t>
            </w:r>
          </w:p>
        </w:tc>
        <w:tc>
          <w:tcPr>
            <w:tcW w:w="140" w:type="dxa"/>
            <w:vAlign w:val="bottom"/>
          </w:tcPr>
          <w:p>
            <w:pPr>
              <w:spacing w:after="0"/>
              <w:rPr>
                <w:sz w:val="14"/>
                <w:szCs w:val="14"/>
                <w:color w:val="auto"/>
              </w:rPr>
            </w:pPr>
          </w:p>
        </w:tc>
        <w:tc>
          <w:tcPr>
            <w:tcW w:w="168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7"/>
              </w:rPr>
              <w:t>Other Costs</w:t>
            </w:r>
          </w:p>
        </w:tc>
        <w:tc>
          <w:tcPr>
            <w:tcW w:w="4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accruals at March 31, 2011</w:t>
            </w:r>
          </w:p>
        </w:tc>
        <w:tc>
          <w:tcPr>
            <w:tcW w:w="1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Net pre-tax restructuring costs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and foreign exchange</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Balance at June 30, 2011</w:t>
            </w: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40" w:type="dxa"/>
            <w:vAlign w:val="bottom"/>
            <w:gridSpan w:val="2"/>
            <w:vMerge w:val="continue"/>
          </w:tcPr>
          <w:p>
            <w:pPr>
              <w:spacing w:after="0"/>
              <w:rPr>
                <w:sz w:val="19"/>
                <w:szCs w:val="19"/>
                <w:color w:val="auto"/>
              </w:rPr>
            </w:pPr>
          </w:p>
        </w:tc>
        <w:tc>
          <w:tcPr>
            <w:tcW w:w="15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7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2011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Facility Exit, Lease</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160" w:type="dxa"/>
            <w:vAlign w:val="bottom"/>
            <w:vMerge w:val="restart"/>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Asset Write-</w:t>
            </w:r>
          </w:p>
        </w:tc>
        <w:tc>
          <w:tcPr>
            <w:tcW w:w="18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Termination and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Downs</w:t>
            </w:r>
          </w:p>
        </w:tc>
        <w:tc>
          <w:tcPr>
            <w:tcW w:w="140" w:type="dxa"/>
            <w:vAlign w:val="bottom"/>
          </w:tcPr>
          <w:p>
            <w:pPr>
              <w:spacing w:after="0"/>
              <w:rPr>
                <w:sz w:val="14"/>
                <w:szCs w:val="14"/>
                <w:color w:val="auto"/>
              </w:rPr>
            </w:pPr>
          </w:p>
        </w:tc>
        <w:tc>
          <w:tcPr>
            <w:tcW w:w="1700" w:type="dxa"/>
            <w:vAlign w:val="bottom"/>
            <w:gridSpan w:val="2"/>
          </w:tcPr>
          <w:p>
            <w:pPr>
              <w:jc w:val="right"/>
              <w:ind w:right="940"/>
              <w:spacing w:after="0" w:line="148" w:lineRule="exact"/>
              <w:rPr>
                <w:sz w:val="20"/>
                <w:szCs w:val="20"/>
                <w:color w:val="auto"/>
              </w:rPr>
            </w:pPr>
            <w:r>
              <w:rPr>
                <w:rFonts w:ascii="Arial" w:cs="Arial" w:eastAsia="Arial" w:hAnsi="Arial"/>
                <w:sz w:val="14"/>
                <w:szCs w:val="14"/>
                <w:b w:val="1"/>
                <w:bCs w:val="1"/>
                <w:color w:val="auto"/>
                <w:w w:val="92"/>
              </w:rPr>
              <w:t>Other Costs</w:t>
            </w:r>
          </w:p>
        </w:tc>
        <w:tc>
          <w:tcPr>
            <w:tcW w:w="440" w:type="dxa"/>
            <w:vAlign w:val="bottom"/>
            <w:gridSpan w:val="3"/>
          </w:tcPr>
          <w:p>
            <w:pPr>
              <w:jc w:val="right"/>
              <w:ind w:right="12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costs</w:t>
            </w:r>
          </w:p>
        </w:tc>
        <w:tc>
          <w:tcPr>
            <w:tcW w:w="10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7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$ 88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2011</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June 30, 2011</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Balance at June 30, 2011</w:t>
            </w:r>
          </w:p>
        </w:tc>
        <w:tc>
          <w:tcPr>
            <w:tcW w:w="1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$ 19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2011 restructuring actions by segment: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12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Expected</w:t>
            </w:r>
          </w:p>
        </w:tc>
        <w:tc>
          <w:tcPr>
            <w:tcW w:w="720" w:type="dxa"/>
            <w:vAlign w:val="bottom"/>
          </w:tcPr>
          <w:p>
            <w:pPr>
              <w:spacing w:after="0"/>
              <w:rPr>
                <w:sz w:val="12"/>
                <w:szCs w:val="12"/>
                <w:color w:val="auto"/>
              </w:rPr>
            </w:pP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53"/>
        </w:trPr>
        <w:tc>
          <w:tcPr>
            <w:tcW w:w="1200" w:type="dxa"/>
            <w:vAlign w:val="bottom"/>
            <w:tcBorders>
              <w:bottom w:val="single" w:sz="8" w:color="auto"/>
            </w:tcBorders>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14"/>
              <w:spacing w:after="0" w:line="148" w:lineRule="exact"/>
              <w:rPr>
                <w:sz w:val="20"/>
                <w:szCs w:val="20"/>
                <w:color w:val="auto"/>
              </w:rPr>
            </w:pPr>
            <w:r>
              <w:rPr>
                <w:rFonts w:ascii="Arial" w:cs="Arial" w:eastAsia="Arial" w:hAnsi="Arial"/>
                <w:sz w:val="14"/>
                <w:szCs w:val="14"/>
                <w:b w:val="1"/>
                <w:bCs w:val="1"/>
                <w:color w:val="auto"/>
                <w:w w:val="82"/>
              </w:rPr>
              <w:t>Costs</w:t>
            </w:r>
          </w:p>
        </w:tc>
        <w:tc>
          <w:tcPr>
            <w:tcW w:w="720" w:type="dxa"/>
            <w:vAlign w:val="bottom"/>
          </w:tcPr>
          <w:p>
            <w:pPr>
              <w:spacing w:after="0"/>
              <w:rPr>
                <w:sz w:val="12"/>
                <w:szCs w:val="12"/>
                <w:color w:val="auto"/>
              </w:rPr>
            </w:pPr>
          </w:p>
        </w:tc>
        <w:tc>
          <w:tcPr>
            <w:tcW w:w="16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March 31, 2011</w:t>
            </w:r>
          </w:p>
        </w:tc>
        <w:tc>
          <w:tcPr>
            <w:tcW w:w="1660" w:type="dxa"/>
            <w:vAlign w:val="bottom"/>
            <w:gridSpan w:val="3"/>
          </w:tcPr>
          <w:p>
            <w:pPr>
              <w:jc w:val="right"/>
              <w:ind w:right="820"/>
              <w:spacing w:after="0" w:line="148" w:lineRule="exact"/>
              <w:rPr>
                <w:sz w:val="20"/>
                <w:szCs w:val="20"/>
                <w:color w:val="auto"/>
              </w:rPr>
            </w:pPr>
            <w:r>
              <w:rPr>
                <w:rFonts w:ascii="Arial" w:cs="Arial" w:eastAsia="Arial" w:hAnsi="Arial"/>
                <w:sz w:val="14"/>
                <w:szCs w:val="14"/>
                <w:b w:val="1"/>
                <w:bCs w:val="1"/>
                <w:color w:val="auto"/>
                <w:w w:val="90"/>
              </w:rPr>
              <w:t>June 30, 2011</w:t>
            </w:r>
          </w:p>
        </w:tc>
        <w:tc>
          <w:tcPr>
            <w:tcW w:w="8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4"/>
              </w:rPr>
              <w:t>June 30, 2011</w:t>
            </w: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1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vMerge w:val="continue"/>
            <w:shd w:val="clear" w:color="auto" w:fill="CCEEFF"/>
          </w:tcPr>
          <w:p>
            <w:pPr>
              <w:spacing w:after="0"/>
              <w:rPr>
                <w:sz w:val="17"/>
                <w:szCs w:val="17"/>
                <w:color w:val="auto"/>
              </w:rPr>
            </w:pPr>
          </w:p>
        </w:tc>
        <w:tc>
          <w:tcPr>
            <w:tcW w:w="1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7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c>
          <w:tcPr>
            <w:tcW w:w="7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2010 Actions. </w:t>
      </w:r>
      <w:r>
        <w:rPr>
          <w:rFonts w:ascii="Arial" w:cs="Arial" w:eastAsia="Arial" w:hAnsi="Arial"/>
          <w:sz w:val="18"/>
          <w:szCs w:val="18"/>
          <w:color w:val="auto"/>
        </w:rPr>
        <w:t>During the first six months of 2011, we recorded net pre-tax restructuring and other costs totaling $31 million for restructuring actions initiated in</w:t>
      </w:r>
      <w:r>
        <w:rPr>
          <w:rFonts w:ascii="Arial" w:cs="Arial" w:eastAsia="Arial" w:hAnsi="Arial"/>
          <w:sz w:val="18"/>
          <w:szCs w:val="18"/>
          <w:b w:val="1"/>
          <w:bCs w:val="1"/>
          <w:color w:val="auto"/>
        </w:rPr>
        <w:t xml:space="preserve"> </w:t>
      </w:r>
      <w:r>
        <w:rPr>
          <w:rFonts w:ascii="Arial" w:cs="Arial" w:eastAsia="Arial" w:hAnsi="Arial"/>
          <w:sz w:val="18"/>
          <w:szCs w:val="18"/>
          <w:color w:val="auto"/>
        </w:rPr>
        <w:t>2010, including $21 million in cost of sales and $10 million in selling, general and administrative expenses. The 2010 actions relate to ongoing cost reduction efforts, including workforce reductions and the consolidation of field operations.</w:t>
      </w:r>
    </w:p>
    <w:p>
      <w:pPr>
        <w:spacing w:after="0" w:line="13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June 30, 2011, we have completed net workforce reductions of approximately 3,000 employees of an expected 5,000 employees, and have exited approximately 700,000 net square feet of facilities of an expected 3.9 million net square feet. We are targeting the majority of the remaining workforce and facility related cost reduction actions for completion during 2011 and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2010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Facility Exit, Lease</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2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Asset Write-</w:t>
            </w:r>
          </w:p>
        </w:tc>
        <w:tc>
          <w:tcPr>
            <w:tcW w:w="1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Termination and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200" w:type="dxa"/>
            <w:vAlign w:val="bottom"/>
            <w:vMerge w:val="continue"/>
          </w:tcPr>
          <w:p>
            <w:pPr>
              <w:spacing w:after="0"/>
              <w:rPr>
                <w:sz w:val="14"/>
                <w:szCs w:val="14"/>
                <w:color w:val="auto"/>
              </w:rPr>
            </w:pPr>
          </w:p>
        </w:tc>
        <w:tc>
          <w:tcPr>
            <w:tcW w:w="10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Severance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Downs</w:t>
            </w:r>
          </w:p>
        </w:tc>
        <w:tc>
          <w:tcPr>
            <w:tcW w:w="140" w:type="dxa"/>
            <w:vAlign w:val="bottom"/>
          </w:tcPr>
          <w:p>
            <w:pPr>
              <w:spacing w:after="0"/>
              <w:rPr>
                <w:sz w:val="14"/>
                <w:szCs w:val="14"/>
                <w:color w:val="auto"/>
              </w:rPr>
            </w:pPr>
          </w:p>
        </w:tc>
        <w:tc>
          <w:tcPr>
            <w:tcW w:w="1680" w:type="dxa"/>
            <w:vAlign w:val="bottom"/>
            <w:gridSpan w:val="2"/>
          </w:tcPr>
          <w:p>
            <w:pPr>
              <w:jc w:val="right"/>
              <w:ind w:right="920"/>
              <w:spacing w:after="0" w:line="148" w:lineRule="exact"/>
              <w:rPr>
                <w:sz w:val="20"/>
                <w:szCs w:val="20"/>
                <w:color w:val="auto"/>
              </w:rPr>
            </w:pPr>
            <w:r>
              <w:rPr>
                <w:rFonts w:ascii="Arial" w:cs="Arial" w:eastAsia="Arial" w:hAnsi="Arial"/>
                <w:sz w:val="14"/>
                <w:szCs w:val="14"/>
                <w:b w:val="1"/>
                <w:bCs w:val="1"/>
                <w:color w:val="auto"/>
                <w:w w:val="92"/>
              </w:rPr>
              <w:t>Other Costs</w:t>
            </w:r>
          </w:p>
        </w:tc>
        <w:tc>
          <w:tcPr>
            <w:tcW w:w="20" w:type="dxa"/>
            <w:vAlign w:val="bottom"/>
          </w:tcPr>
          <w:p>
            <w:pPr>
              <w:spacing w:after="0"/>
              <w:rPr>
                <w:sz w:val="14"/>
                <w:szCs w:val="14"/>
                <w:color w:val="auto"/>
              </w:rPr>
            </w:pPr>
          </w:p>
        </w:tc>
        <w:tc>
          <w:tcPr>
            <w:tcW w:w="460" w:type="dxa"/>
            <w:vAlign w:val="bottom"/>
            <w:gridSpan w:val="3"/>
          </w:tcPr>
          <w:p>
            <w:pPr>
              <w:jc w:val="right"/>
              <w:ind w:right="14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accruals at March 31, 2011</w:t>
            </w: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133</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7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$152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Net pre-tax restructuring costs</w:t>
            </w:r>
          </w:p>
        </w:tc>
        <w:tc>
          <w:tcPr>
            <w:tcW w:w="22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and foreign exchange</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Balance at June 30, 2011</w:t>
            </w: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19"/>
                <w:szCs w:val="19"/>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2010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Facility Exit, Lease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Asset Write-</w:t>
            </w:r>
          </w:p>
        </w:tc>
        <w:tc>
          <w:tcPr>
            <w:tcW w:w="340" w:type="dxa"/>
            <w:vAlign w:val="bottom"/>
          </w:tcPr>
          <w:p>
            <w:pPr>
              <w:spacing w:after="0"/>
              <w:rPr>
                <w:sz w:val="12"/>
                <w:szCs w:val="12"/>
                <w:color w:val="auto"/>
              </w:rPr>
            </w:pPr>
          </w:p>
        </w:tc>
        <w:tc>
          <w:tcPr>
            <w:tcW w:w="14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Termination and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22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87"/>
              </w:rPr>
              <w:t>Downs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Other Costs</w:t>
            </w:r>
          </w:p>
        </w:tc>
        <w:tc>
          <w:tcPr>
            <w:tcW w:w="340" w:type="dxa"/>
            <w:vAlign w:val="bottom"/>
          </w:tcPr>
          <w:p>
            <w:pPr>
              <w:spacing w:after="0"/>
              <w:rPr>
                <w:sz w:val="14"/>
                <w:szCs w:val="14"/>
                <w:color w:val="auto"/>
              </w:rPr>
            </w:pPr>
          </w:p>
        </w:tc>
        <w:tc>
          <w:tcPr>
            <w:tcW w:w="520" w:type="dxa"/>
            <w:vAlign w:val="bottom"/>
            <w:gridSpan w:val="3"/>
          </w:tcPr>
          <w:p>
            <w:pPr>
              <w:jc w:val="right"/>
              <w:ind w:right="1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Expected costs</w:t>
            </w:r>
          </w:p>
        </w:tc>
        <w:tc>
          <w:tcPr>
            <w:tcW w:w="30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329</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109</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2010</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2011</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Costs incurred - quarter ended June 30, 2011</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costs at June 30, 2011</w:t>
            </w:r>
          </w:p>
        </w:tc>
        <w:tc>
          <w:tcPr>
            <w:tcW w:w="13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2010 restructuring actions by segment: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6"/>
              </w:rPr>
              <w:t>Costs Incurred</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Costs Incurred</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0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through</w:t>
            </w: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53"/>
        </w:trPr>
        <w:tc>
          <w:tcPr>
            <w:tcW w:w="1200" w:type="dxa"/>
            <w:vAlign w:val="bottom"/>
            <w:tcBorders>
              <w:bottom w:val="single" w:sz="8" w:color="auto"/>
            </w:tcBorders>
            <w:vMerge w:val="continue"/>
          </w:tcPr>
          <w:p>
            <w:pPr>
              <w:spacing w:after="0"/>
              <w:rPr>
                <w:sz w:val="12"/>
                <w:szCs w:val="12"/>
                <w:color w:val="auto"/>
              </w:rPr>
            </w:pPr>
          </w:p>
        </w:tc>
        <w:tc>
          <w:tcPr>
            <w:tcW w:w="2000" w:type="dxa"/>
            <w:vAlign w:val="bottom"/>
            <w:vMerge w:val="continue"/>
          </w:tcPr>
          <w:p>
            <w:pPr>
              <w:spacing w:after="0"/>
              <w:rPr>
                <w:sz w:val="12"/>
                <w:szCs w:val="12"/>
                <w:color w:val="auto"/>
              </w:rPr>
            </w:pPr>
          </w:p>
        </w:tc>
        <w:tc>
          <w:tcPr>
            <w:tcW w:w="15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Expected Costs</w:t>
            </w:r>
          </w:p>
        </w:tc>
        <w:tc>
          <w:tcPr>
            <w:tcW w:w="17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December 31, 2010</w:t>
            </w:r>
          </w:p>
        </w:tc>
        <w:tc>
          <w:tcPr>
            <w:tcW w:w="15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March 31, 2011</w:t>
            </w:r>
          </w:p>
        </w:tc>
        <w:tc>
          <w:tcPr>
            <w:tcW w:w="1560" w:type="dxa"/>
            <w:vAlign w:val="bottom"/>
            <w:gridSpan w:val="3"/>
          </w:tcPr>
          <w:p>
            <w:pPr>
              <w:jc w:val="right"/>
              <w:ind w:right="720"/>
              <w:spacing w:after="0" w:line="148" w:lineRule="exact"/>
              <w:rPr>
                <w:sz w:val="20"/>
                <w:szCs w:val="20"/>
                <w:color w:val="auto"/>
              </w:rPr>
            </w:pPr>
            <w:r>
              <w:rPr>
                <w:rFonts w:ascii="Arial" w:cs="Arial" w:eastAsia="Arial" w:hAnsi="Arial"/>
                <w:sz w:val="14"/>
                <w:szCs w:val="14"/>
                <w:b w:val="1"/>
                <w:bCs w:val="1"/>
                <w:color w:val="auto"/>
                <w:w w:val="90"/>
              </w:rPr>
              <w:t>June 30, 2011</w:t>
            </w:r>
          </w:p>
        </w:tc>
        <w:tc>
          <w:tcPr>
            <w:tcW w:w="8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4"/>
              </w:rPr>
              <w:t>June 30, 2011</w:t>
            </w: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(87)</w:t>
            </w:r>
          </w:p>
        </w:tc>
        <w:tc>
          <w:tcPr>
            <w:tcW w:w="66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6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6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36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461</w:t>
            </w:r>
          </w:p>
        </w:tc>
        <w:tc>
          <w:tcPr>
            <w:tcW w:w="6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(371)</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2009 Actions. </w:t>
      </w:r>
      <w:r>
        <w:rPr>
          <w:rFonts w:ascii="Arial" w:cs="Arial" w:eastAsia="Arial" w:hAnsi="Arial"/>
          <w:sz w:val="18"/>
          <w:szCs w:val="18"/>
          <w:color w:val="auto"/>
        </w:rPr>
        <w:t>As of June 30, 2011, we have approximately $82 million of accrual balances remaining related to 2009 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enter into derivative instruments for risk management purposes only, including derivatives designated as hedging instruments under the Derivatives and Hedging Topic of the Financial Accounting Standards Board (FASB) Accounting Standards Codification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By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0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Foreign Currency Forward Contracts. </w:t>
      </w:r>
      <w:r>
        <w:rPr>
          <w:rFonts w:ascii="Arial" w:cs="Arial" w:eastAsia="Arial" w:hAnsi="Arial"/>
          <w:sz w:val="16"/>
          <w:szCs w:val="16"/>
          <w:color w:val="auto"/>
        </w:rPr>
        <w:t>We manage our foreign currency transaction risks to acceptable limits through the use of derivatives that hedge</w:t>
      </w:r>
      <w:r>
        <w:rPr>
          <w:rFonts w:ascii="Arial" w:cs="Arial" w:eastAsia="Arial" w:hAnsi="Arial"/>
          <w:sz w:val="16"/>
          <w:szCs w:val="16"/>
          <w:b w:val="1"/>
          <w:bCs w:val="1"/>
          <w:color w:val="auto"/>
        </w:rPr>
        <w:t xml:space="preserve"> </w:t>
      </w:r>
      <w:r>
        <w:rPr>
          <w:rFonts w:ascii="Arial" w:cs="Arial" w:eastAsia="Arial" w:hAnsi="Arial"/>
          <w:sz w:val="16"/>
          <w:szCs w:val="16"/>
          <w:color w:val="auto"/>
        </w:rPr>
        <w:t>forecasted cash flows associated with foreign currency transaction exposures, which are accounted for as cash flow hedges, as we deem appropriate. To the extent these derivatives are effective in offsetting the variability of the hedged cash flows, and otherwise meet the hedge accounting criteria of the Derivatives and Hedging Topic of the FASB ASC, the changes in the derivatives’ fair values are not included in current earnings but are included in “Accumulated other comprehensive loss.”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in which it occurs.</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(e.g. payables, receivables) and other economic hedges where the hedge accounting criteria were not met.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$9.6 billion and $8.5 billion at June 30, 2011 and December 31, 2010, respectively.</w:t>
      </w:r>
    </w:p>
    <w:p>
      <w:pPr>
        <w:spacing w:after="0" w:line="12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Commodity Forward Contracts. </w:t>
      </w:r>
      <w:r>
        <w:rPr>
          <w:rFonts w:ascii="Arial" w:cs="Arial" w:eastAsia="Arial" w:hAnsi="Arial"/>
          <w:sz w:val="16"/>
          <w:szCs w:val="16"/>
          <w:color w:val="auto"/>
        </w:rPr>
        <w:t>We enter into commodity forward contracts to reduce the risk of fluctuations in the price we pay for certain commodities (e.g.,</w:t>
      </w:r>
      <w:r>
        <w:rPr>
          <w:rFonts w:ascii="Arial" w:cs="Arial" w:eastAsia="Arial" w:hAnsi="Arial"/>
          <w:sz w:val="16"/>
          <w:szCs w:val="16"/>
          <w:b w:val="1"/>
          <w:bCs w:val="1"/>
          <w:color w:val="auto"/>
        </w:rPr>
        <w:t xml:space="preserve"> </w:t>
      </w:r>
      <w:r>
        <w:rPr>
          <w:rFonts w:ascii="Arial" w:cs="Arial" w:eastAsia="Arial" w:hAnsi="Arial"/>
          <w:sz w:val="16"/>
          <w:szCs w:val="16"/>
          <w:color w:val="auto"/>
        </w:rPr>
        <w:t>nickel) which are used directly in the production of our products, or are components of the products we procure to use in the production of our products. These hedges are economic hedges and the changes in fair value of these contracts are recorded currently in earnings in the period in which they occur. The fair value and outstanding notional amount of contracts hedging commodity exposures were insignificant at June 30, 2011 and December 31, 2010, respectively.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of derivative instruments as of June 30, 2011 and December 31,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480" w:type="dxa"/>
            <w:vAlign w:val="bottom"/>
            <w:gridSpan w:val="3"/>
          </w:tcPr>
          <w:p>
            <w:pPr>
              <w:ind w:left="340"/>
              <w:spacing w:after="0"/>
              <w:rPr>
                <w:sz w:val="20"/>
                <w:szCs w:val="20"/>
                <w:color w:val="auto"/>
              </w:rPr>
            </w:pPr>
            <w:r>
              <w:rPr>
                <w:rFonts w:ascii="Arial" w:cs="Arial" w:eastAsia="Arial" w:hAnsi="Arial"/>
                <w:sz w:val="14"/>
                <w:szCs w:val="14"/>
                <w:b w:val="1"/>
                <w:bCs w:val="1"/>
                <w:color w:val="auto"/>
              </w:rPr>
              <w:t>Balance Sheet Asset Location</w:t>
            </w:r>
          </w:p>
        </w:tc>
        <w:tc>
          <w:tcPr>
            <w:tcW w:w="17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2010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Derivatives designated as hedging instruments:</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480" w:type="dxa"/>
            <w:vAlign w:val="bottom"/>
            <w:gridSpan w:val="3"/>
          </w:tcPr>
          <w:p>
            <w:pPr>
              <w:ind w:left="340"/>
              <w:spacing w:after="0"/>
              <w:rPr>
                <w:sz w:val="20"/>
                <w:szCs w:val="20"/>
                <w:color w:val="auto"/>
              </w:rPr>
            </w:pPr>
            <w:r>
              <w:rPr>
                <w:rFonts w:ascii="Arial" w:cs="Arial" w:eastAsia="Arial" w:hAnsi="Arial"/>
                <w:sz w:val="18"/>
                <w:szCs w:val="18"/>
                <w:color w:val="auto"/>
              </w:rPr>
              <w:t>Other assets, current</w:t>
            </w:r>
          </w:p>
        </w:tc>
        <w:tc>
          <w:tcPr>
            <w:tcW w:w="208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144</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163</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hedging</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480" w:type="dxa"/>
            <w:vAlign w:val="bottom"/>
            <w:gridSpan w:val="3"/>
          </w:tcPr>
          <w:p>
            <w:pPr>
              <w:ind w:left="340"/>
              <w:spacing w:after="0"/>
              <w:rPr>
                <w:sz w:val="20"/>
                <w:szCs w:val="20"/>
                <w:color w:val="auto"/>
              </w:rPr>
            </w:pPr>
            <w:r>
              <w:rPr>
                <w:rFonts w:ascii="Arial" w:cs="Arial" w:eastAsia="Arial" w:hAnsi="Arial"/>
                <w:sz w:val="18"/>
                <w:szCs w:val="18"/>
                <w:color w:val="auto"/>
              </w:rPr>
              <w:t>Other assets, current</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 Derivative Contracts</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gridSpan w:val="3"/>
            <w:vMerge w:val="restart"/>
          </w:tcPr>
          <w:p>
            <w:pPr>
              <w:ind w:left="340"/>
              <w:spacing w:after="0"/>
              <w:rPr>
                <w:sz w:val="20"/>
                <w:szCs w:val="20"/>
                <w:color w:val="auto"/>
              </w:rPr>
            </w:pPr>
            <w:r>
              <w:rPr>
                <w:rFonts w:ascii="Arial" w:cs="Arial" w:eastAsia="Arial" w:hAnsi="Arial"/>
                <w:sz w:val="14"/>
                <w:szCs w:val="14"/>
                <w:b w:val="1"/>
                <w:bCs w:val="1"/>
                <w:color w:val="auto"/>
                <w:w w:val="98"/>
              </w:rPr>
              <w:t>Balance Sheet Liability Location</w:t>
            </w:r>
          </w:p>
        </w:tc>
        <w:tc>
          <w:tcPr>
            <w:tcW w:w="1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80" w:type="dxa"/>
            <w:vAlign w:val="bottom"/>
            <w:gridSpan w:val="3"/>
            <w:vMerge w:val="continue"/>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Derivatives designated as hedging instruments:</w:t>
            </w:r>
          </w:p>
        </w:tc>
        <w:tc>
          <w:tcPr>
            <w:tcW w:w="340" w:type="dxa"/>
            <w:vAlign w:val="bottom"/>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480" w:type="dxa"/>
            <w:vAlign w:val="bottom"/>
            <w:gridSpan w:val="3"/>
          </w:tcPr>
          <w:p>
            <w:pPr>
              <w:ind w:left="340"/>
              <w:spacing w:after="0"/>
              <w:rPr>
                <w:sz w:val="20"/>
                <w:szCs w:val="20"/>
                <w:color w:val="auto"/>
              </w:rPr>
            </w:pPr>
            <w:r>
              <w:rPr>
                <w:rFonts w:ascii="Arial" w:cs="Arial" w:eastAsia="Arial" w:hAnsi="Arial"/>
                <w:sz w:val="18"/>
                <w:szCs w:val="18"/>
                <w:color w:val="auto"/>
              </w:rPr>
              <w:t>Accrued liabilities</w:t>
            </w:r>
          </w:p>
        </w:tc>
        <w:tc>
          <w:tcPr>
            <w:tcW w:w="208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93</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hedging</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480" w:type="dxa"/>
            <w:vAlign w:val="bottom"/>
            <w:gridSpan w:val="3"/>
          </w:tcPr>
          <w:p>
            <w:pPr>
              <w:ind w:left="340"/>
              <w:spacing w:after="0"/>
              <w:rPr>
                <w:sz w:val="20"/>
                <w:szCs w:val="20"/>
                <w:color w:val="auto"/>
              </w:rPr>
            </w:pPr>
            <w:r>
              <w:rPr>
                <w:rFonts w:ascii="Arial" w:cs="Arial" w:eastAsia="Arial" w:hAnsi="Arial"/>
                <w:sz w:val="18"/>
                <w:szCs w:val="18"/>
                <w:color w:val="auto"/>
              </w:rPr>
              <w:t>Accrued liabilities</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Liability Derivative Contracts</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impact from foreign exchange derivative instruments that qualified as cash flow hedges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06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518"/>
              <w:spacing w:after="0"/>
              <w:rPr>
                <w:sz w:val="20"/>
                <w:szCs w:val="20"/>
                <w:color w:val="auto"/>
              </w:rPr>
            </w:pPr>
            <w:r>
              <w:rPr>
                <w:rFonts w:ascii="Arial" w:cs="Arial" w:eastAsia="Arial" w:hAnsi="Arial"/>
                <w:sz w:val="14"/>
                <w:szCs w:val="14"/>
                <w:b w:val="1"/>
                <w:bCs w:val="1"/>
                <w:color w:val="auto"/>
                <w:w w:val="95"/>
              </w:rPr>
              <w:t>Quarter Ended June 30,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0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w w:val="83"/>
              </w:rPr>
              <w:t>2011</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42"/>
              <w:spacing w:after="0" w:line="129" w:lineRule="exact"/>
              <w:rPr>
                <w:sz w:val="20"/>
                <w:szCs w:val="20"/>
                <w:color w:val="auto"/>
              </w:rPr>
            </w:pPr>
            <w:r>
              <w:rPr>
                <w:rFonts w:ascii="Arial" w:cs="Arial" w:eastAsia="Arial" w:hAnsi="Arial"/>
                <w:sz w:val="14"/>
                <w:szCs w:val="14"/>
                <w:b w:val="1"/>
                <w:bCs w:val="1"/>
                <w:color w:val="auto"/>
                <w:w w:val="96"/>
              </w:rPr>
              <w:t>2011</w:t>
            </w: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60" w:type="dxa"/>
            <w:vAlign w:val="bottom"/>
            <w:tcBorders>
              <w:top w:val="single" w:sz="8" w:color="CCEEFF"/>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Gain (loss) recorded in Accumulated other comprehensive loss</w:t>
            </w: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w:t>
            </w:r>
          </w:p>
        </w:tc>
        <w:tc>
          <w:tcPr>
            <w:tcW w:w="360" w:type="dxa"/>
            <w:vAlign w:val="bottom"/>
            <w:tcBorders>
              <w:top w:val="single" w:sz="8" w:color="CCEEFF"/>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w w:val="99"/>
              </w:rPr>
              <w:t>Gain reclassified from Accumulated other comprehensive loss into</w:t>
            </w: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60" w:type="dxa"/>
            <w:vAlign w:val="bottom"/>
            <w:gridSpan w:val="2"/>
            <w:vMerge w:val="continue"/>
          </w:tcPr>
          <w:p>
            <w:pPr>
              <w:spacing w:after="0"/>
              <w:rPr>
                <w:sz w:val="17"/>
                <w:szCs w:val="17"/>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278"/>
              <w:spacing w:after="0"/>
              <w:rPr>
                <w:sz w:val="20"/>
                <w:szCs w:val="20"/>
                <w:color w:val="auto"/>
              </w:rPr>
            </w:pPr>
            <w:r>
              <w:rPr>
                <w:rFonts w:ascii="Arial" w:cs="Arial" w:eastAsia="Arial" w:hAnsi="Arial"/>
                <w:sz w:val="18"/>
                <w:szCs w:val="18"/>
                <w:color w:val="auto"/>
              </w:rPr>
              <w:t>18</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680" w:type="dxa"/>
            <w:vAlign w:val="bottom"/>
          </w:tcPr>
          <w:p>
            <w:pPr>
              <w:spacing w:after="0"/>
              <w:rPr>
                <w:sz w:val="17"/>
                <w:szCs w:val="17"/>
                <w:color w:val="auto"/>
              </w:rPr>
            </w:pPr>
          </w:p>
        </w:tc>
        <w:tc>
          <w:tcPr>
            <w:tcW w:w="140" w:type="dxa"/>
            <w:vAlign w:val="bottom"/>
            <w:gridSpan w:val="2"/>
            <w:vMerge w:val="restart"/>
          </w:tcPr>
          <w:p>
            <w:pPr>
              <w:jc w:val="right"/>
              <w:ind w:right="11"/>
              <w:spacing w:after="0"/>
              <w:rPr>
                <w:sz w:val="20"/>
                <w:szCs w:val="20"/>
                <w:color w:val="auto"/>
              </w:rPr>
            </w:pPr>
            <w:r>
              <w:rPr>
                <w:rFonts w:ascii="Arial" w:cs="Arial" w:eastAsia="Arial" w:hAnsi="Arial"/>
                <w:sz w:val="15"/>
                <w:szCs w:val="15"/>
                <w:color w:val="auto"/>
                <w:w w:val="71"/>
              </w:rPr>
              <w:t>$</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60" w:type="dxa"/>
            <w:vAlign w:val="bottom"/>
            <w:gridSpan w:val="2"/>
          </w:tcPr>
          <w:p>
            <w:pPr>
              <w:ind w:left="220"/>
              <w:spacing w:after="0"/>
              <w:rPr>
                <w:sz w:val="20"/>
                <w:szCs w:val="20"/>
                <w:color w:val="auto"/>
              </w:rPr>
            </w:pPr>
            <w:r>
              <w:rPr>
                <w:rFonts w:ascii="Arial" w:cs="Arial" w:eastAsia="Arial" w:hAnsi="Arial"/>
                <w:sz w:val="18"/>
                <w:szCs w:val="18"/>
                <w:color w:val="auto"/>
              </w:rPr>
              <w:t>Product sales (effective portion)</w:t>
            </w:r>
          </w:p>
        </w:tc>
        <w:tc>
          <w:tcPr>
            <w:tcW w:w="66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Assuming current market conditions continue, a $91 million pre-tax gain is expected to be reclassified from Accumulated other comprehensive loss into Product sales to reflect the fixed prices obtained from foreign exchange hedging within the next 12 months. At June 30, 2011, all derivative contracts accounted for as cash flow hedges will mature by May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effect on the Condensed Consolidated Statement of Operations from foreign exchange contracts not designated as hedging instruments was as follows:</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5"/>
              </w:rPr>
              <w:t>Quarter Ended June 30,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36"/>
        </w:trPr>
        <w:tc>
          <w:tcPr>
            <w:tcW w:w="5860" w:type="dxa"/>
            <w:vAlign w:val="bottom"/>
            <w:tcBorders>
              <w:bottom w:val="single" w:sz="8" w:color="auto"/>
            </w:tcBorders>
            <w:gridSpan w:val="2"/>
            <w:vMerge w:val="continue"/>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6"/>
              <w:spacing w:after="0" w:line="129" w:lineRule="exact"/>
              <w:rPr>
                <w:sz w:val="20"/>
                <w:szCs w:val="20"/>
                <w:color w:val="auto"/>
              </w:rPr>
            </w:pPr>
            <w:r>
              <w:rPr>
                <w:rFonts w:ascii="Arial" w:cs="Arial" w:eastAsia="Arial" w:hAnsi="Arial"/>
                <w:sz w:val="14"/>
                <w:szCs w:val="14"/>
                <w:b w:val="1"/>
                <w:bCs w:val="1"/>
                <w:color w:val="auto"/>
                <w:w w:val="83"/>
              </w:rPr>
              <w:t>2011</w:t>
            </w:r>
          </w:p>
        </w:tc>
        <w:tc>
          <w:tcPr>
            <w:tcW w:w="3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6"/>
              <w:spacing w:after="0" w:line="129" w:lineRule="exact"/>
              <w:rPr>
                <w:sz w:val="20"/>
                <w:szCs w:val="20"/>
                <w:color w:val="auto"/>
              </w:rPr>
            </w:pPr>
            <w:r>
              <w:rPr>
                <w:rFonts w:ascii="Arial" w:cs="Arial" w:eastAsia="Arial" w:hAnsi="Arial"/>
                <w:sz w:val="14"/>
                <w:szCs w:val="14"/>
                <w:b w:val="1"/>
                <w:bCs w:val="1"/>
                <w:color w:val="auto"/>
                <w:w w:val="89"/>
              </w:rPr>
              <w:t>2011</w:t>
            </w: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Gain (loss) recognized in Other income,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Fair Value Disclosure. </w:t>
      </w:r>
      <w:r>
        <w:rPr>
          <w:rFonts w:ascii="Arial" w:cs="Arial" w:eastAsia="Arial" w:hAnsi="Arial"/>
          <w:sz w:val="18"/>
          <w:szCs w:val="18"/>
          <w:color w:val="auto"/>
        </w:rPr>
        <w:t>The Fair Value Measurements and Disclosures Topic of the FASB ASC defines fair value, establishes a framework for measuring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and expands the related disclosure requirements. The Topic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also defines fair value based upon an exit price model.</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Valuation Hierarchy. </w:t>
      </w:r>
      <w:r>
        <w:rPr>
          <w:rFonts w:ascii="Arial" w:cs="Arial" w:eastAsia="Arial" w:hAnsi="Arial"/>
          <w:sz w:val="18"/>
          <w:szCs w:val="18"/>
          <w:color w:val="auto"/>
        </w:rPr>
        <w:t>The Fair Value Measurements and Disclosure Topic of the FASB ASC establishes a valuation hierarchy for disclosure of the inputs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valuations used to measure fair value. A financial asset or liability’s classification within the hierarchy is determined based on the lowest level input that is significant to the fair value measurement. The following table provides the assets and liabilities carried at fair value measured on a recurring basis as of June 30, 2011 and December 31, 2010:</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0"/>
              </w:rPr>
              <w:t>Total Carrying</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Quoted price in</w:t>
            </w:r>
          </w:p>
        </w:tc>
        <w:tc>
          <w:tcPr>
            <w:tcW w:w="8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 other</w:t>
            </w:r>
          </w:p>
        </w:tc>
        <w:tc>
          <w:tcPr>
            <w:tcW w:w="7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0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Value at</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8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 inputs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3"/>
              </w:rPr>
              <w:t>June 30, 2011</w:t>
            </w:r>
          </w:p>
        </w:tc>
        <w:tc>
          <w:tcPr>
            <w:tcW w:w="140" w:type="dxa"/>
            <w:vAlign w:val="bottom"/>
          </w:tcPr>
          <w:p>
            <w:pPr>
              <w:spacing w:after="0"/>
              <w:rPr>
                <w:sz w:val="14"/>
                <w:szCs w:val="14"/>
                <w:color w:val="auto"/>
              </w:rPr>
            </w:pPr>
          </w:p>
        </w:tc>
        <w:tc>
          <w:tcPr>
            <w:tcW w:w="760" w:type="dxa"/>
            <w:vAlign w:val="bottom"/>
          </w:tcPr>
          <w:p>
            <w:pPr>
              <w:jc w:val="center"/>
              <w:ind w:right="37"/>
              <w:spacing w:after="0" w:line="148" w:lineRule="exact"/>
              <w:rPr>
                <w:sz w:val="20"/>
                <w:szCs w:val="20"/>
                <w:color w:val="auto"/>
              </w:rPr>
            </w:pPr>
            <w:r>
              <w:rPr>
                <w:rFonts w:ascii="Arial" w:cs="Arial" w:eastAsia="Arial" w:hAnsi="Arial"/>
                <w:sz w:val="14"/>
                <w:szCs w:val="14"/>
                <w:b w:val="1"/>
                <w:bCs w:val="1"/>
                <w:color w:val="auto"/>
                <w:w w:val="91"/>
              </w:rPr>
              <w:t>(Level 1)</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97"/>
              <w:spacing w:after="0" w:line="148" w:lineRule="exact"/>
              <w:rPr>
                <w:sz w:val="20"/>
                <w:szCs w:val="20"/>
                <w:color w:val="auto"/>
              </w:rPr>
            </w:pPr>
            <w:r>
              <w:rPr>
                <w:rFonts w:ascii="Arial" w:cs="Arial" w:eastAsia="Arial" w:hAnsi="Arial"/>
                <w:sz w:val="14"/>
                <w:szCs w:val="14"/>
                <w:b w:val="1"/>
                <w:bCs w:val="1"/>
                <w:color w:val="auto"/>
                <w:w w:val="91"/>
              </w:rPr>
              <w:t>(Level 2)</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Available-for-sale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1,047</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w w:val="79"/>
              </w:rPr>
              <w:t>1,047</w:t>
            </w: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6"/>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w w:val="86"/>
              </w:rPr>
              <w:t>226</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6"/>
              </w:rPr>
              <w:t>131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2"/>
        </w:trPr>
        <w:tc>
          <w:tcPr>
            <w:tcW w:w="1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0"/>
              </w:rPr>
              <w:t>Total Carrying</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Quoted price in</w:t>
            </w:r>
          </w:p>
        </w:tc>
        <w:tc>
          <w:tcPr>
            <w:tcW w:w="80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 other</w:t>
            </w:r>
          </w:p>
        </w:tc>
        <w:tc>
          <w:tcPr>
            <w:tcW w:w="780" w:type="dxa"/>
            <w:vAlign w:val="bottom"/>
          </w:tcPr>
          <w:p>
            <w:pPr>
              <w:spacing w:after="0"/>
              <w:rPr>
                <w:sz w:val="24"/>
                <w:szCs w:val="2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0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Value at</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8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 inputs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1840" w:type="dxa"/>
            <w:vAlign w:val="bottom"/>
            <w:gridSpan w:val="3"/>
          </w:tcPr>
          <w:p>
            <w:pPr>
              <w:jc w:val="center"/>
              <w:ind w:right="760"/>
              <w:spacing w:after="0" w:line="148" w:lineRule="exact"/>
              <w:rPr>
                <w:sz w:val="20"/>
                <w:szCs w:val="20"/>
                <w:color w:val="auto"/>
              </w:rPr>
            </w:pPr>
            <w:r>
              <w:rPr>
                <w:rFonts w:ascii="Arial" w:cs="Arial" w:eastAsia="Arial" w:hAnsi="Arial"/>
                <w:sz w:val="14"/>
                <w:szCs w:val="14"/>
                <w:b w:val="1"/>
                <w:bCs w:val="1"/>
                <w:color w:val="auto"/>
                <w:w w:val="85"/>
              </w:rPr>
              <w:t>December 31, 2010</w:t>
            </w:r>
          </w:p>
        </w:tc>
        <w:tc>
          <w:tcPr>
            <w:tcW w:w="140" w:type="dxa"/>
            <w:vAlign w:val="bottom"/>
          </w:tcPr>
          <w:p>
            <w:pPr>
              <w:spacing w:after="0"/>
              <w:rPr>
                <w:sz w:val="14"/>
                <w:szCs w:val="14"/>
                <w:color w:val="auto"/>
              </w:rPr>
            </w:pPr>
          </w:p>
        </w:tc>
        <w:tc>
          <w:tcPr>
            <w:tcW w:w="760" w:type="dxa"/>
            <w:vAlign w:val="bottom"/>
          </w:tcPr>
          <w:p>
            <w:pPr>
              <w:jc w:val="center"/>
              <w:ind w:right="37"/>
              <w:spacing w:after="0" w:line="148" w:lineRule="exact"/>
              <w:rPr>
                <w:sz w:val="20"/>
                <w:szCs w:val="20"/>
                <w:color w:val="auto"/>
              </w:rPr>
            </w:pPr>
            <w:r>
              <w:rPr>
                <w:rFonts w:ascii="Arial" w:cs="Arial" w:eastAsia="Arial" w:hAnsi="Arial"/>
                <w:sz w:val="14"/>
                <w:szCs w:val="14"/>
                <w:b w:val="1"/>
                <w:bCs w:val="1"/>
                <w:color w:val="auto"/>
                <w:w w:val="91"/>
              </w:rPr>
              <w:t>(Level 1)</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97"/>
              <w:spacing w:after="0" w:line="148" w:lineRule="exact"/>
              <w:rPr>
                <w:sz w:val="20"/>
                <w:szCs w:val="20"/>
                <w:color w:val="auto"/>
              </w:rPr>
            </w:pPr>
            <w:r>
              <w:rPr>
                <w:rFonts w:ascii="Arial" w:cs="Arial" w:eastAsia="Arial" w:hAnsi="Arial"/>
                <w:sz w:val="14"/>
                <w:szCs w:val="14"/>
                <w:b w:val="1"/>
                <w:bCs w:val="1"/>
                <w:color w:val="auto"/>
                <w:w w:val="91"/>
              </w:rPr>
              <w:t>(Level 2)</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Available-for-sale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829</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w w:val="79"/>
              </w:rPr>
              <w:t>829</w:t>
            </w: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6"/>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w w:val="86"/>
              </w:rPr>
              <w:t>133</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53</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 They</w:t>
      </w:r>
      <w:r>
        <w:rPr>
          <w:rFonts w:ascii="Arial" w:cs="Arial" w:eastAsia="Arial" w:hAnsi="Arial"/>
          <w:sz w:val="16"/>
          <w:szCs w:val="16"/>
          <w:b w:val="1"/>
          <w:bCs w:val="1"/>
          <w:color w:val="auto"/>
        </w:rPr>
        <w:t xml:space="preserve"> </w:t>
      </w:r>
      <w:r>
        <w:rPr>
          <w:rFonts w:ascii="Arial" w:cs="Arial" w:eastAsia="Arial" w:hAnsi="Arial"/>
          <w:sz w:val="16"/>
          <w:szCs w:val="16"/>
          <w:color w:val="auto"/>
        </w:rPr>
        <w:t>are measured at fair value using closing stock prices from active markets and are classified within Level 1 of the valuation hierarchy.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 As of June 30, 2011, there were no significant transfers in and out of Level 1 and Level 2.</w:t>
      </w:r>
    </w:p>
    <w:p>
      <w:pPr>
        <w:spacing w:after="0" w:line="11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June 30, 2011,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carrying amounts and fair values of financial instruments that are not carried at fair value at June 30, 2011 and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2011</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660" w:type="dxa"/>
            <w:vAlign w:val="bottom"/>
            <w:vMerge w:val="restart"/>
          </w:tcPr>
          <w:p>
            <w:pPr>
              <w:spacing w:after="0"/>
              <w:rPr>
                <w:sz w:val="11"/>
                <w:szCs w:val="11"/>
                <w:color w:val="auto"/>
              </w:rPr>
            </w:pPr>
          </w:p>
        </w:tc>
        <w:tc>
          <w:tcPr>
            <w:tcW w:w="1300" w:type="dxa"/>
            <w:vAlign w:val="bottom"/>
            <w:tcBorders>
              <w:top w:val="single" w:sz="8" w:color="auto"/>
            </w:tcBorders>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Borders>
              <w:top w:val="single" w:sz="8" w:color="auto"/>
            </w:tcBorders>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740"/>
              <w:spacing w:after="0" w:line="148"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90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1300" w:type="dxa"/>
            <w:vAlign w:val="bottom"/>
            <w:gridSpan w:val="3"/>
          </w:tcPr>
          <w:p>
            <w:pPr>
              <w:jc w:val="right"/>
              <w:ind w:right="740"/>
              <w:spacing w:after="0" w:line="148"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receivables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282</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Customer financing notes receivable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(excluding capitalized leases)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(10,068)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(11,428)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(10,117)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(11,500)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above fair values were computed based on comparable transactions, quoted market prices, discounted future cash flows or an estimate of the amount to be received or paid to terminate or settle the agreement, as applicable. Differences between carrying amounts and fair value are attributable to interest and or credit rate changes subsequent to when the transaction occurred. The fair values of Cash and cash equivalents, Accounts receivable, net, Short-term borrowings, and Accounts payable approximate the carrying amounts due to the short-term maturities of these instruments.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had outstanding commercial aerospace financing and other contractual commitments totaling approximately $2.5 billion and $2.0 billion at June 30, 2011 and December 31, 2010, respectively.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 commitment itself is not readily determinable and is not considered significant.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Credit Quality of Long-Term Receivables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July 2010, the FASB issued Accounting Standards Update (ASU) No. 2010-20, “Disclosure about the Credit Quality of Financing Receivables and the Allowance for Credit Losses.” This ASU is intended to enhance a financial statement user’s ability to evaluate the entity’s credit risk exposures and adequacy of its allowance for credit losses by requiring additional disclosure about the nature of credit risk inherent in the portfolio of receivables, factors and methodologies used in estimating the allowance for credit losses and activity that occurs during a period for both financing receivables and allowance for credit losses. The scope of this ASU is limited to financing receivables, as defined by the ASU, and excludes short-term trade accounts receivable and receivables measured at fair value or lower of cost or fair value. We adopted the disclosures under this ASU for the reporting period ended December 31, 2010, with the exception of disclosures about activity that occurs during a reporting period, which became effective for interim and annual periods beginning on or after December 15, 2010. We adopted the interim disclosures required under this ASU during the quarter ended March 31, 2011.</w:t>
      </w:r>
    </w:p>
    <w:p>
      <w:pPr>
        <w:spacing w:after="0" w:line="118"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 long-term or financing receivable represents a contractual right to receive money on demand or on fixed and determinable dates, including trade receivable balances with maturity dates greater than one year. Our long-term and financing receivables primarily represent balances related to the aerospace businesses such as long-term trade accounts receivable, leases, and notes receivable. We also have other long-term receivables in our commercial businesses; however, both the individual and aggregate amounts are not significant.</w:t>
      </w:r>
    </w:p>
    <w:p>
      <w:pPr>
        <w:spacing w:after="0" w:line="143"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Our classes within aerospace long-term receivables are comprised of long-term trade accounts receivable and notes and leases receivable. Long-term trade accounts receivable represent amounts arising from the sale of goods and services with a contractual maturity date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long-term receivables as of June 30, 2011 and December 31, 2010:</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3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2011</w:t>
            </w:r>
          </w:p>
        </w:tc>
        <w:tc>
          <w:tcPr>
            <w:tcW w:w="2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 2010</w:t>
            </w: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trade accounts receivable</w:t>
            </w:r>
          </w:p>
        </w:tc>
        <w:tc>
          <w:tcPr>
            <w:tcW w:w="16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203</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Notes and leases receivable</w:t>
            </w:r>
          </w:p>
        </w:tc>
        <w:tc>
          <w:tcPr>
            <w:tcW w:w="1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9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receivables</w:t>
            </w:r>
          </w:p>
        </w:tc>
        <w:tc>
          <w:tcPr>
            <w:tcW w:w="190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420" w:type="dxa"/>
            <w:vAlign w:val="bottom"/>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Economic conditions and air travel influence the operating environment for most airlines, and the financial performance of our aerospace businesses is directly tied to the economic conditions of the commercial aerospace and defense industries. Additionally, the value of the collateral is also closely tied to commercial airline performance and may be subject to exposure of reduced valuation as a result of market declines. We determine a receivable is impaired when, based on current information and events, it is probable that we will be unable to collect amounts due according to the contractual terms of the receivable agreement. Factors considered in assessing collectability and risk include, but are not limited to, examination of credit quality indicators and other evaluation measures, underlying value of any collateral or security interests, significant past due balances, historical losses, and existing economic conditions.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Long-term receivables can be considered delinquent if payment has not been received in accordance with the underlying agreement. If determined delinquent, long-term trade accounts receivable and notes and leases receivable balances accruing interest may be placed on nonaccrual status. We record potential losses related to long-term receivables when identified. The reserve for credit losses on these receivables relates to specifically identified receivables that are evaluated individually for impairment. For notes and leases receivable, we determine a specific reserve for exposure based on the difference between the carrying value of the receivable and the estimated fair value of the related collateral in connection with the evaluation of credit risk and collectability. For long-term trade accounts receivable, we evaluate credit risk and collectability individually to determine if an allowance is necessary. Uncollectible long-term receivables are written-off when collection of the indebtedness has been pursued for a reasonable period of time without collection; the customer is no longer in operation; or judgment has been levied, but the underlying assets are not adequate to satisfy the indebtedness. At both June 30, 2011 and December 31, 2010, we do not have any significant balances that are considered to be delinquent, on non-accrual status, past due 90 days or more, or considered to be impaired.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provides the balance of aerospace long-term receivables at June 30, 2011, and summarizes the associated changes in the reserve for estimated credit losses and exposure for the quarter ended June 30, 2011:</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0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of the reserve for credit losses and exposure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Charge-offs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gridSpan w:val="3"/>
          </w:tcPr>
          <w:p>
            <w:pPr>
              <w:spacing w:after="0"/>
              <w:rPr>
                <w:sz w:val="20"/>
                <w:szCs w:val="20"/>
                <w:color w:val="auto"/>
              </w:rPr>
            </w:pPr>
            <w:r>
              <w:rPr>
                <w:rFonts w:ascii="Arial" w:cs="Arial" w:eastAsia="Arial" w:hAnsi="Arial"/>
                <w:sz w:val="18"/>
                <w:szCs w:val="18"/>
                <w:color w:val="auto"/>
                <w:w w:val="96"/>
              </w:rPr>
              <w:t>Ending balance of the reserve for credit losses and exposure: individually evaluated for</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8"/>
                <w:szCs w:val="18"/>
                <w:color w:val="auto"/>
              </w:rPr>
              <w:t>impairment</w:t>
            </w:r>
          </w:p>
        </w:tc>
        <w:tc>
          <w:tcPr>
            <w:tcW w:w="68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of long-term receivables: individually evaluated for impairment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determine credit ratings for each customer in the portfolio based upon public information and information obtained directly from our customers. We conduct a review of customer credit ratings, published historical credit default rates for different rating categories, and multiple third party aircraft value publications as a basis to validate the reasonableness of the allowance for losses on these balances quarterly or when events and circumstances warrant. The credit ratings listed below range from “A” which indicates an extremely strong capacity to meet financial obligations and the receivable is either collateralized or uncollateralized, to “D” which indicates that payment is in default and the receivable is uncollateralized. There can be no assurance that actual results will not differ from estimates or that consideration of these factors in the future will not result in an increase or decrease to the allowance for credit losses on long-term receivables.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credit risk profile by creditworthiness category for aerospace long-term receivable balances at June 30,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85"/>
              </w:rPr>
              <w:t>June 30, 2011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5"/>
              </w:rPr>
              <w:t>December 31, 2010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Long-term</w:t>
            </w:r>
          </w:p>
        </w:tc>
        <w:tc>
          <w:tcPr>
            <w:tcW w:w="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Notes and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Long-term</w:t>
            </w:r>
          </w:p>
        </w:tc>
        <w:tc>
          <w:tcPr>
            <w:tcW w:w="64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Notes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16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trade accounts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leases</w:t>
            </w:r>
          </w:p>
        </w:tc>
        <w:tc>
          <w:tcPr>
            <w:tcW w:w="6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trade accounts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receivable</w:t>
            </w:r>
          </w:p>
        </w:tc>
        <w:tc>
          <w:tcPr>
            <w:tcW w:w="20" w:type="dxa"/>
            <w:vAlign w:val="bottom"/>
          </w:tcPr>
          <w:p>
            <w:pPr>
              <w:spacing w:after="0"/>
              <w:rPr>
                <w:sz w:val="14"/>
                <w:szCs w:val="14"/>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receivable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receivable</w:t>
            </w:r>
          </w:p>
        </w:tc>
        <w:tc>
          <w:tcPr>
            <w:tcW w:w="640" w:type="dxa"/>
            <w:vAlign w:val="bottom"/>
          </w:tcPr>
          <w:p>
            <w:pPr>
              <w:spacing w:after="0"/>
              <w:rPr>
                <w:sz w:val="14"/>
                <w:szCs w:val="14"/>
                <w:color w:val="auto"/>
              </w:rPr>
            </w:pPr>
          </w:p>
        </w:tc>
        <w:tc>
          <w:tcPr>
            <w:tcW w:w="68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1"/>
              </w:rPr>
              <w:t>receivable</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 - (low risk, collateralized/uncollateralized)</w:t>
            </w:r>
          </w:p>
        </w:tc>
        <w:tc>
          <w:tcPr>
            <w:tcW w:w="1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w w:val="79"/>
              </w:rPr>
              <w:t>197</w:t>
            </w:r>
          </w:p>
        </w:tc>
        <w:tc>
          <w:tcPr>
            <w:tcW w:w="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w w:val="79"/>
              </w:rPr>
              <w:t>193</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B - (moderate risk, collateralized/uncollateralized)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660"/>
              <w:spacing w:after="0"/>
              <w:rPr>
                <w:sz w:val="20"/>
                <w:szCs w:val="20"/>
                <w:color w:val="auto"/>
              </w:rPr>
            </w:pPr>
            <w:r>
              <w:rPr>
                <w:rFonts w:ascii="Arial" w:cs="Arial" w:eastAsia="Arial" w:hAnsi="Arial"/>
                <w:sz w:val="18"/>
                <w:szCs w:val="18"/>
                <w:color w:val="auto"/>
                <w:w w:val="79"/>
              </w:rPr>
              <w:t>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316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660"/>
              <w:spacing w:after="0"/>
              <w:rPr>
                <w:sz w:val="20"/>
                <w:szCs w:val="20"/>
                <w:color w:val="auto"/>
              </w:rPr>
            </w:pPr>
            <w:r>
              <w:rPr>
                <w:rFonts w:ascii="Arial" w:cs="Arial" w:eastAsia="Arial" w:hAnsi="Arial"/>
                <w:sz w:val="18"/>
                <w:szCs w:val="18"/>
                <w:color w:val="auto"/>
                <w:w w:val="79"/>
              </w:rPr>
              <w:t>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 (high risk, collateralized/uncollateralized)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76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D - (in default, uncollateralized)</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203</w:t>
            </w:r>
          </w:p>
        </w:tc>
        <w:tc>
          <w:tcPr>
            <w:tcW w:w="6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392</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198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192"/>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2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Shareowners’ Equity and Noncontrolling Interest</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summary of the changes in shareowners’ equity and noncontrolling interest (excluding redeemable noncontrolling interest) comprising total equity for the quarters and six months ended June 30, 2011 and 2010 is provided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w w:val="91"/>
              </w:rPr>
              <w:t>Quarter Ended June 30,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w w:val="96"/>
              </w:rPr>
              <w:t>2010</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2"/>
              </w:rPr>
              <w:t>(Dollars in millions)</w:t>
            </w:r>
          </w:p>
        </w:tc>
        <w:tc>
          <w:tcPr>
            <w:tcW w:w="3760" w:type="dxa"/>
            <w:vAlign w:val="bottom"/>
            <w:vMerge w:val="restart"/>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6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58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20" w:type="dxa"/>
            <w:vAlign w:val="bottom"/>
            <w:tcBorders>
              <w:bottom w:val="single" w:sz="8" w:color="auto"/>
            </w:tcBorders>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4"/>
                <w:szCs w:val="14"/>
                <w:color w:val="auto"/>
              </w:rPr>
            </w:pPr>
          </w:p>
        </w:tc>
        <w:tc>
          <w:tcPr>
            <w:tcW w:w="8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11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98"/>
              </w:rPr>
              <w:t>Interest</w:t>
            </w: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beginning of period</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22,126</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$23,126</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19,964</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960</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$20,924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Comprehensive income for the period: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4980" w:type="dxa"/>
            <w:vAlign w:val="bottom"/>
            <w:gridSpan w:val="2"/>
          </w:tcPr>
          <w:p>
            <w:pPr>
              <w:ind w:left="88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currency translation, net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w w:val="97"/>
              </w:rPr>
              <w:t>Increases (decreases) in unrealized gains from</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available-for-sale securities, net</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7"/>
        </w:trPr>
        <w:tc>
          <w:tcPr>
            <w:tcW w:w="1220" w:type="dxa"/>
            <w:vAlign w:val="bottom"/>
            <w:shd w:val="clear" w:color="auto" w:fill="CCEEFF"/>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 hedging losses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w w:val="98"/>
              </w:rPr>
              <w:t>Change in pension and post-retirement benefit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220" w:type="dxa"/>
            <w:vAlign w:val="bottom"/>
          </w:tcPr>
          <w:p>
            <w:pPr>
              <w:spacing w:after="0"/>
              <w:rPr>
                <w:sz w:val="20"/>
                <w:szCs w:val="20"/>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plans, net</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comprehensive income for the period</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7"/>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contributed to pension plans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Dividends on Common Stock</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on ESOP Common Stock</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Purchase of subsidiary shares from noncontrolling interest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Sale of subsidiary shares in noncontrolling interest</w:t>
            </w: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4"/>
              </w:rPr>
              <w:t>Redeemable noncontrolling interest in subsidiaries’ earnings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Redeemable noncontrolling interest in total other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66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 in redemption value of put options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980" w:type="dxa"/>
            <w:vAlign w:val="bottom"/>
            <w:gridSpan w:val="2"/>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22,723</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23,739</w:t>
            </w:r>
          </w:p>
        </w:tc>
        <w:tc>
          <w:tcPr>
            <w:tcW w:w="220" w:type="dxa"/>
            <w:vAlign w:val="bottom"/>
          </w:tcPr>
          <w:p>
            <w:pPr>
              <w:spacing w:after="0"/>
              <w:rPr>
                <w:sz w:val="24"/>
                <w:szCs w:val="24"/>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19,933</w:t>
            </w:r>
          </w:p>
        </w:tc>
        <w:tc>
          <w:tcPr>
            <w:tcW w:w="3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982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20,915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w w:val="93"/>
              </w:rPr>
              <w:t>Six Months Ended June 30,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w w:val="96"/>
              </w:rPr>
              <w:t>2010</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6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58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2"/>
                <w:szCs w:val="12"/>
                <w:color w:val="auto"/>
              </w:rPr>
            </w:pPr>
          </w:p>
        </w:tc>
        <w:tc>
          <w:tcPr>
            <w:tcW w:w="11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98"/>
              </w:rPr>
              <w:t>Interest</w:t>
            </w: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beginning of period</w:t>
            </w: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21,385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947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$22,332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20,066</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933</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$20,999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Comprehensive income for the period: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86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currency translation, net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rPr>
              <w:t>Increases in unrealized gains from available-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for-sale securities, net</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 hedging gains (losses)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w w:val="98"/>
              </w:rPr>
              <w:t>Change in pension and post-retirement benefit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plans, net</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comprehensive income for the period</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135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(1,160)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contributed to pension plans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Dividends on Common Stock</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on ESOP Common Stock</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(147)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Purchase of subsidiary shares from noncontrolling interest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Sale of subsidiary shares in noncontrolling interest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 of noncontrolling interest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w w:val="94"/>
              </w:rPr>
              <w:t>Redeemable noncontrolling interest in subsidiaries’ earnings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Redeemable noncontrolling interest in total other</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22,723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23,739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Consistent with the requirements under the Business Combinations Topic of the FASB ASC and the accounting for redeemable equity instruments, 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summary of the changes in redeemable noncontrolling interest recorded in the mezzanine section of the Condensed Consolidated Balance Sheet for the quarters and six months ended June 30, 2011 and 2010 is provided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6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w w:val="95"/>
              </w:rPr>
              <w:t>Quarter Ended June 30,</w:t>
            </w:r>
          </w:p>
        </w:tc>
        <w:tc>
          <w:tcPr>
            <w:tcW w:w="140" w:type="dxa"/>
            <w:vAlign w:val="bottom"/>
          </w:tcPr>
          <w:p>
            <w:pPr>
              <w:spacing w:after="0"/>
              <w:rPr>
                <w:sz w:val="14"/>
                <w:szCs w:val="14"/>
                <w:color w:val="auto"/>
              </w:rPr>
            </w:pPr>
          </w:p>
        </w:tc>
        <w:tc>
          <w:tcPr>
            <w:tcW w:w="20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60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89"/>
              </w:rPr>
              <w:t>2011</w:t>
            </w: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w w:val="89"/>
              </w:rPr>
              <w:t>2010</w:t>
            </w:r>
          </w:p>
        </w:tc>
        <w:tc>
          <w:tcPr>
            <w:tcW w:w="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96"/>
              </w:rPr>
              <w:t>2011</w:t>
            </w: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Redeemable noncontrolling interest,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319</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377</w:t>
            </w: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79"/>
              </w:rPr>
              <w:t>317</w:t>
            </w:r>
          </w:p>
        </w:tc>
        <w:tc>
          <w:tcPr>
            <w:tcW w:w="7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translation, net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800" w:type="dxa"/>
            <w:vAlign w:val="bottom"/>
            <w:gridSpan w:val="2"/>
          </w:tcPr>
          <w:p>
            <w:pPr>
              <w:ind w:left="440"/>
              <w:spacing w:after="0"/>
              <w:rPr>
                <w:sz w:val="20"/>
                <w:szCs w:val="20"/>
                <w:color w:val="auto"/>
              </w:rPr>
            </w:pPr>
            <w:r>
              <w:rPr>
                <w:rFonts w:ascii="Arial" w:cs="Arial" w:eastAsia="Arial" w:hAnsi="Arial"/>
                <w:sz w:val="18"/>
                <w:szCs w:val="18"/>
                <w:color w:val="auto"/>
              </w:rPr>
              <w:t>Dividends attributable to noncontrolling interest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 of subsidiary shares from noncontrolling interest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800" w:type="dxa"/>
            <w:vAlign w:val="bottom"/>
            <w:gridSpan w:val="2"/>
          </w:tcPr>
          <w:p>
            <w:pPr>
              <w:ind w:left="440"/>
              <w:spacing w:after="0"/>
              <w:rPr>
                <w:sz w:val="20"/>
                <w:szCs w:val="20"/>
                <w:color w:val="auto"/>
              </w:rPr>
            </w:pPr>
            <w:r>
              <w:rPr>
                <w:rFonts w:ascii="Arial" w:cs="Arial" w:eastAsia="Arial" w:hAnsi="Arial"/>
                <w:sz w:val="18"/>
                <w:szCs w:val="18"/>
                <w:color w:val="auto"/>
              </w:rPr>
              <w:t>Change in redemption value of put options</w:t>
            </w:r>
          </w:p>
        </w:tc>
        <w:tc>
          <w:tcPr>
            <w:tcW w:w="120" w:type="dxa"/>
            <w:vAlign w:val="bottom"/>
          </w:tcPr>
          <w:p>
            <w:pPr>
              <w:spacing w:after="0"/>
              <w:rPr>
                <w:sz w:val="18"/>
                <w:szCs w:val="18"/>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changes in redeemable noncontrolling interest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Redeemable noncontrolling interest, end of period</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348</w:t>
            </w:r>
          </w:p>
        </w:tc>
        <w:tc>
          <w:tcPr>
            <w:tcW w:w="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348</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Consistent with the requirements under the Business Combinations Topic of the FASB ASC and the accounting for noncontrolling interests in consolidated financial statements, changes in noncontrolling interests that do not result in a change of control and where there is a difference between fair value and carrying value are accounted for as equity transactions. A summary of these changes in ownership interests in subsidiaries and the effect on shareowners’ equity for the quarters and six months ended June 30, 2011 and 2010 is provided below:</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4"/>
                <w:szCs w:val="14"/>
                <w:color w:val="auto"/>
              </w:rPr>
            </w:pPr>
          </w:p>
        </w:tc>
        <w:tc>
          <w:tcPr>
            <w:tcW w:w="17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29"/>
        </w:trPr>
        <w:tc>
          <w:tcPr>
            <w:tcW w:w="608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96"/>
              </w:rPr>
              <w:t>2010</w:t>
            </w:r>
          </w:p>
        </w:tc>
        <w:tc>
          <w:tcPr>
            <w:tcW w:w="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common shareowners</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center"/>
              <w:ind w:left="36"/>
              <w:spacing w:after="0" w:line="203" w:lineRule="exact"/>
              <w:rPr>
                <w:sz w:val="20"/>
                <w:szCs w:val="20"/>
                <w:color w:val="auto"/>
              </w:rPr>
            </w:pPr>
            <w:r>
              <w:rPr>
                <w:rFonts w:ascii="Arial" w:cs="Arial" w:eastAsia="Arial" w:hAnsi="Arial"/>
                <w:sz w:val="18"/>
                <w:szCs w:val="18"/>
                <w:color w:val="auto"/>
                <w:w w:val="84"/>
              </w:rPr>
              <w:t>1,110</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2,330</w:t>
            </w:r>
          </w:p>
        </w:tc>
        <w:tc>
          <w:tcPr>
            <w:tcW w:w="4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80" w:type="dxa"/>
            <w:vAlign w:val="bottom"/>
            <w:gridSpan w:val="3"/>
          </w:tcPr>
          <w:p>
            <w:pPr>
              <w:spacing w:after="0"/>
              <w:rPr>
                <w:sz w:val="20"/>
                <w:szCs w:val="20"/>
                <w:color w:val="auto"/>
              </w:rPr>
            </w:pPr>
            <w:r>
              <w:rPr>
                <w:rFonts w:ascii="Arial" w:cs="Arial" w:eastAsia="Arial" w:hAnsi="Arial"/>
                <w:sz w:val="18"/>
                <w:szCs w:val="18"/>
                <w:color w:val="auto"/>
              </w:rPr>
              <w:t>Transfers to noncontrolling interests: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common stock for sale of subsidiary shares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Decrease in common stock for purchase of subsidiary shares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Change from net income attributable to common shareowners and transfers to</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1,318</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8"/>
                <w:szCs w:val="18"/>
                <w:color w:val="auto"/>
                <w:w w:val="84"/>
              </w:rPr>
              <w:t>1,110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68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Guarantees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2010.</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six months ended June 30, 2011 and 2010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4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w:t>
            </w:r>
          </w:p>
        </w:tc>
        <w:tc>
          <w:tcPr>
            <w:tcW w:w="19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$1,136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$1,072</w:t>
            </w: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Warranties and performance guarantees issued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2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30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jc w:val="center"/>
        <w:ind w:left="400" w:right="300"/>
        <w:spacing w:after="0" w:line="440" w:lineRule="auto"/>
        <w:rPr>
          <w:sz w:val="20"/>
          <w:szCs w:val="20"/>
          <w:color w:val="auto"/>
        </w:rPr>
      </w:pPr>
      <w:r>
        <w:rPr>
          <w:rFonts w:ascii="Arial" w:cs="Arial" w:eastAsia="Arial" w:hAnsi="Arial"/>
          <w:sz w:val="18"/>
          <w:szCs w:val="18"/>
          <w:color w:val="auto"/>
        </w:rPr>
        <w:t>The increase reflected in “Other” in the above table primarily reflects the impact of finalizing purchase accounting on the recent acquisition of Clipper. 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Collaborative Arrangements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view of the risks and costs associated with developing new engines, Pratt &amp; Whitney has entered into certain collaboration arrangements in which costs, sales and risks are shared. Sales generated from engine programs, spare parts, and aftermarket business under collaboration arrangements are recorded as earned in our financial statements. Amounts attributable to our collaborative partners for their share of sales are recorded as an expense in our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to Pratt &amp; Whitney for shared or joint program costs. The reimbursement of the collaborators’ share of program costs is recorded as a reduction of the related expense item at that time. As of June 30, 2011, the collaborators’ interests in all commercial engine programs ranged from 12% to 48%. Pratt &amp; Whitney directs those programs and is the principal participant in all existing collaborative arrangements. There are no individually significant collaborative arrangements, and none of the individual partners’ shares exceed 31% of an individual program.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Contingent Liabilities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2010 Annual Report, incorporated by reference in our 2010 Form 10-K, updated as applicable.</w:t>
      </w:r>
    </w:p>
    <w:p>
      <w:pPr>
        <w:spacing w:after="0" w:line="12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regulatory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We accrue for the costs of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1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are now, and believe that in light of the current U.S. government contracting environment we will continue to be, the subject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1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As previously disclosed, the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the 1983 offer. In the absence of actual damages, the trial court judge awarded the DOJ the maximum civil penalty of $7.09 million, or $10,000 for each of the 709 invoices Pratt &amp; Whitney submitted in 1989 and</w:t>
      </w:r>
    </w:p>
    <w:p>
      <w:pPr>
        <w:spacing w:after="0" w:line="6"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later under the contracts. In September 2008, both the DOJ and UTC appealed the decision to the Sixth Circuit Court of Appeals. In November 2010, the Sixth Circuit affirmed Pratt &amp; Whitney’s liability under the False Claims Act and remanded the case to the U.S. District Court for further proceedings on the question of damages. Should the government ultimately prevail, the outcome of this matter could result in a material effect on our results of operations in the period in which a liability would be recognized or cash flows for the period in which damages would be paid.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previously disclosed, in December 2008, the Department of Defense (DOD) issued a contract claim against Sikorsky to recover overpayments the DOD alleges it has incurred since January 2003 in connection with cost accounting changes approved by the DOD and implemented by Sikorsky in 1999 and 2006. These changes relate to the calculation of material overhead rates in government contracts. The DOD claims that Sikorsky’s liability is approximately $89 million (including interest through June 2011). We believe this claim is without merit and Sikorsky filed an appeal in December 2009 with the U.S. Court of Federal Claims, which is pending.</w:t>
      </w:r>
    </w:p>
    <w:p>
      <w:pPr>
        <w:spacing w:after="0" w:line="13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As previously disclosed, on August 27, 2010, Rolls-Royce plc (Rolls-Royce) sued Pratt &amp; Whitney in the U.S. District Court for the Eastern District of</w:t>
      </w:r>
      <w:r>
        <w:rPr>
          <w:rFonts w:ascii="Arial" w:cs="Arial" w:eastAsia="Arial" w:hAnsi="Arial"/>
          <w:sz w:val="16"/>
          <w:szCs w:val="16"/>
          <w:b w:val="1"/>
          <w:bCs w:val="1"/>
          <w:color w:val="auto"/>
        </w:rPr>
        <w:t xml:space="preserve"> </w:t>
      </w:r>
      <w:r>
        <w:rPr>
          <w:rFonts w:ascii="Arial" w:cs="Arial" w:eastAsia="Arial" w:hAnsi="Arial"/>
          <w:sz w:val="16"/>
          <w:szCs w:val="16"/>
          <w:color w:val="auto"/>
        </w:rPr>
        <w:t>Virginia, alleging that fan blades on certain engines manufactured by Pratt &amp; Whitney infringe a U.S. patent held by Rolls-Royce. Rolls-Royce sought damages plus interest, an injunction, attorney’s fees, and a finding of willful infringement. On May 20, 2011, the Court granted Pratt &amp; Whitney’s motion for summary judgment of non-infringement and denied Rolls-Royce’s cross motion in which it alleged Pratt &amp; Whitney had infringed the patent. Further, as previously disclosed, in November 2010, Pratt &amp; Whitney filed complaints against Rolls-Royce in the High Court of Justice, Chancery Division, Patent Court (HCJ) in the United Kingdom (UK), with the U.S. International Trade Commission (ITC), and against Rolls-Royce and its parent, Rolls-Royce Group plc (Rolls-Royce Group) in the U.S. District Court for the District of Connecticut. The HCJ action alleged that certain turbomachinery blades, engines and components manufactured by Rolls-Royce infringe a UK patent held by Pratt &amp; Whitney and sought damages plus interest and all other relief to which Pratt &amp; Whitney is entitled, including attorney’s fees, expenses, and a permanent order preventing further infringements. The ITC complaint sought a permanent exclusion order barring the importation into the U.S. of infringing turbomachinery blades, engines and engine components manufactured by Rolls-Royce and Rolls-Royce Group, and requested a permanent cease-and-desist order against Rolls-Royce and Rolls-Royce Group preventing further importing, marketing, advertising, demonstrating, testing, distributing, licensing, offering for sale, or use of such infringing turbomachinery blades, engines and engine components. In the Connecticut District Court action, Pratt &amp; Whitney alleged similar infringement claims based on a U.S. patent held by Pratt &amp; Whitney and sought an injunction, damages, interest, attorney’s fees and other relief. On July 14, 2011, the parties entered into an amicable, confidential settlement agreement to dismiss all of the foregoing matters, resulting in no adverse impact to UTC.</w:t>
      </w:r>
    </w:p>
    <w:p>
      <w:pPr>
        <w:spacing w:after="0" w:line="12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85"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also subject to a number of routine lawsuits, investigations and claims (some of which involve substantial amounts) arising out of the ordinary course of our business. We do not believe that these matters will have a material adverse effect upon our competitive position, results of operations, cash flows or financial condition.</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otherwise noted above, we do not believe that resolution of any of these matters will have a material adverse effect upon our competitive position, results of operations, cash flows or financial condition. All forward-looking statements concerning the possible or anticipated outcome of environmental, investigatory and litigation matters involve risks and uncertainties that could cause actual results to differ materially from those expressed or implied in the forward-looking statements. For further information as to these risks and uncertainties, see “Cautionary Note Concerning Factors That May Affect Future Results” and Part II, Item 1A, “Risk Factors” in this Form 10-Q.</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operations are classified into six principal segments: Otis, Carrier, UTC Fire &amp; Security, Pratt &amp; Whitney, Hamilton Sundstrand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and six months ended June 30, 2011 and 2010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Sales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Operating Profits</w:t>
            </w:r>
          </w:p>
        </w:tc>
        <w:tc>
          <w:tcPr>
            <w:tcW w:w="20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Operating Profit Margins</w:t>
            </w:r>
          </w:p>
        </w:tc>
        <w:tc>
          <w:tcPr>
            <w:tcW w:w="0" w:type="dxa"/>
            <w:vAlign w:val="bottom"/>
          </w:tcPr>
          <w:p>
            <w:pPr>
              <w:spacing w:after="0"/>
              <w:rPr>
                <w:sz w:val="1"/>
                <w:szCs w:val="1"/>
                <w:color w:val="auto"/>
              </w:rPr>
            </w:pPr>
          </w:p>
        </w:tc>
      </w:tr>
      <w:tr>
        <w:trPr>
          <w:trHeight w:val="129"/>
        </w:trPr>
        <w:tc>
          <w:tcPr>
            <w:tcW w:w="4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1"/>
                <w:szCs w:val="11"/>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2010</w:t>
            </w:r>
          </w:p>
        </w:tc>
        <w:tc>
          <w:tcPr>
            <w:tcW w:w="520" w:type="dxa"/>
            <w:vAlign w:val="bottom"/>
          </w:tcPr>
          <w:p>
            <w:pPr>
              <w:spacing w:after="0"/>
              <w:rPr>
                <w:sz w:val="11"/>
                <w:szCs w:val="11"/>
                <w:color w:val="auto"/>
              </w:rPr>
            </w:pPr>
          </w:p>
        </w:tc>
        <w:tc>
          <w:tcPr>
            <w:tcW w:w="56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29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3,192</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2,838</w:t>
            </w: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743</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641</w:t>
            </w:r>
          </w:p>
        </w:tc>
        <w:tc>
          <w:tcPr>
            <w:tcW w:w="5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23.3%</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3,393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3,093</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333</w:t>
            </w:r>
          </w:p>
        </w:tc>
        <w:tc>
          <w:tcPr>
            <w:tcW w:w="5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13.5%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3,452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3,279</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522</w:t>
            </w:r>
          </w:p>
        </w:tc>
        <w:tc>
          <w:tcPr>
            <w:tcW w:w="5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13.2%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1,692</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169</w:t>
            </w:r>
          </w:p>
        </w:tc>
        <w:tc>
          <w:tcPr>
            <w:tcW w:w="5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15.5%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13,896</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2,037</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(94)</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(62)</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1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15,076</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13,802</w:t>
            </w: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2,220</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1,882</w:t>
            </w:r>
          </w:p>
        </w:tc>
        <w:tc>
          <w:tcPr>
            <w:tcW w:w="520" w:type="dxa"/>
            <w:vAlign w:val="bottom"/>
          </w:tcPr>
          <w:p>
            <w:pPr>
              <w:spacing w:after="0"/>
              <w:rPr>
                <w:sz w:val="24"/>
                <w:szCs w:val="2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14.7%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418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Sales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Operating Profits</w:t>
            </w:r>
          </w:p>
        </w:tc>
        <w:tc>
          <w:tcPr>
            <w:tcW w:w="20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Operating Profit Margins</w:t>
            </w:r>
          </w:p>
        </w:tc>
        <w:tc>
          <w:tcPr>
            <w:tcW w:w="0" w:type="dxa"/>
            <w:vAlign w:val="bottom"/>
          </w:tcPr>
          <w:p>
            <w:pPr>
              <w:spacing w:after="0"/>
              <w:rPr>
                <w:sz w:val="1"/>
                <w:szCs w:val="1"/>
                <w:color w:val="auto"/>
              </w:rPr>
            </w:pPr>
          </w:p>
        </w:tc>
      </w:tr>
      <w:tr>
        <w:trPr>
          <w:trHeight w:val="129"/>
        </w:trPr>
        <w:tc>
          <w:tcPr>
            <w:tcW w:w="4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1"/>
                <w:szCs w:val="11"/>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2010</w:t>
            </w:r>
          </w:p>
        </w:tc>
        <w:tc>
          <w:tcPr>
            <w:tcW w:w="520" w:type="dxa"/>
            <w:vAlign w:val="bottom"/>
          </w:tcPr>
          <w:p>
            <w:pPr>
              <w:spacing w:after="0"/>
              <w:rPr>
                <w:sz w:val="11"/>
                <w:szCs w:val="11"/>
                <w:color w:val="auto"/>
              </w:rPr>
            </w:pPr>
          </w:p>
        </w:tc>
        <w:tc>
          <w:tcPr>
            <w:tcW w:w="56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29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5,964</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5,564</w:t>
            </w: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$1,373</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1,237</w:t>
            </w:r>
          </w:p>
        </w:tc>
        <w:tc>
          <w:tcPr>
            <w:tcW w:w="5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23.0%</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6,159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5,560</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472</w:t>
            </w:r>
          </w:p>
        </w:tc>
        <w:tc>
          <w:tcPr>
            <w:tcW w:w="5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6,120</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958</w:t>
            </w:r>
          </w:p>
        </w:tc>
        <w:tc>
          <w:tcPr>
            <w:tcW w:w="5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14.1%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3,368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3,050</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314</w:t>
            </w:r>
          </w:p>
        </w:tc>
        <w:tc>
          <w:tcPr>
            <w:tcW w:w="5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28,384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26,029</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3,697</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(187)</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(122)</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1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28,420</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25,842</w:t>
            </w: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3,999</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3,405</w:t>
            </w:r>
          </w:p>
        </w:tc>
        <w:tc>
          <w:tcPr>
            <w:tcW w:w="520" w:type="dxa"/>
            <w:vAlign w:val="bottom"/>
          </w:tcPr>
          <w:p>
            <w:pPr>
              <w:spacing w:after="0"/>
              <w:rPr>
                <w:sz w:val="24"/>
                <w:szCs w:val="2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14.1%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7 to the Condensed Consolidated Financial Statements for a discussion of restructuring and other costs included in segment operating results.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Accounting Pronouncements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May 2011, the FASB issued ASU No. 2011-04, “Fair Value Measurement.” This ASU clarifies the concepts related to highest and best use and valuation premise, blockage factors and other premiums and discounts, the fair value measurement of financial instruments held in a portfolio and of those instruments classified as a component of shareowners’ equity. The guidance includes enhanced disclosure requirements about recurring Level 3 fair value measurements, the use of nonfinancial assets, and the level in the fair value hierarchy of assets and liabilities not recorded at fair value. The provisions of this ASU are effective prospectively for interim and annual periods beginning on or after December 15, 2011. Early application is prohibited. We are currently evaluating the impact of this new ASU.</w:t>
      </w:r>
    </w:p>
    <w:p>
      <w:pPr>
        <w:spacing w:after="0" w:line="144"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In June 2011, the FASB issued ASU No. 2011-05, “Comprehensive Income.” This ASU intends to enhance comparability and transparency of other comprehensive income components. The guidance provides an option to present total comprehensive income, the components of net income and the components of other comprehensive income in a single continuous statement or two separate but consecutive statements. This ASU eliminates the option to present other comprehensive income components as part of the statement of changes in shareowners’ equity. The provisions of this ASU will be applied retrospectively for interim and annual periods beginning after December 15, 2011. Early application is permitted. We are currently evaluating the impact of this new ASU.</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and six months ended June 30, 2011 and 2010, PricewaterhouseCoopers LLP (PricewaterhouseCoopers) reported that it has applied limited procedures in accordance with professional standards for a review of such information. However, its report dated July 25, 2011,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74"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(the “Corporation”) as of June 30, 2011, and the related condensed consolidated statement of operations for the three-month and six-month periods ended June 30, 2011 and 2010 and the condensed consolidated statement of cash flows for the six-month periods ended June 30, 2011 and 2010. This interim financial information is the responsibility of the Corporation’s management.</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2010, and the related consolidated statements of operations, of cash flows and of changes in equity for the year then ended (not presented herein), and in our report dated February 10, 2011 (which included an explanatory paragraph with respect to the Corporation’s change in the manner of accounting for business combinations and noncontrolling interests)</w:t>
      </w:r>
      <w:r>
        <w:rPr>
          <w:rFonts w:ascii="Arial" w:cs="Arial" w:eastAsia="Arial" w:hAnsi="Arial"/>
          <w:sz w:val="16"/>
          <w:szCs w:val="16"/>
          <w:i w:val="1"/>
          <w:iCs w:val="1"/>
          <w:color w:val="auto"/>
        </w:rPr>
        <w:t>,</w:t>
      </w:r>
      <w:r>
        <w:rPr>
          <w:rFonts w:ascii="Arial" w:cs="Arial" w:eastAsia="Arial" w:hAnsi="Arial"/>
          <w:sz w:val="16"/>
          <w:szCs w:val="16"/>
          <w:color w:val="auto"/>
        </w:rPr>
        <w:t xml:space="preserve"> we expressed an unqualified opinion on those consolidated financial statements. In our opinion, the information set forth in the accompanying condensed consolidated balance sheet as of December 31, 2010, is fairly stated in all material respects in relation to the consolidated balance sheet from which it has been derived.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25,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are a global provider of high technology products and services to the building systems and aerospace industries. Our operations are classified into six principal business segments: Otis, Carrier, UTC Fire &amp; Security, Pratt &amp; Whitney, Hamilton Sundstrand and Sikorsky. Otis, Carrier and UTC Fire &amp; Security are collectively referred to as the “commercial businesses,” while Pratt &amp; Whitney, Hamilton Sundstrand and Sikorsky are collectively referred to as the “aerospace businesses.” Certain reclassifications have been made to the prior year amounts to conform to the current year presentation. We previously reported “Other income, net,” which included “Interest income,” as a component of “Revenues.” “Other income, net,” excluding “Interest income,” is now reflected as a component of “Costs, Expenses and Other,” while “Interest income” is now netted with “Interest expense” for financial statement presentation. The current status of significant factors impacting our business environment in 2011 is discussed below. For additional discussion, refer to the “Business Overview” section in Management’s Discussion and Analysis of Financial Condition and Results of Operations in our 2010 Annual Report, which is incorporated by reference in our 2010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With worldwide operations, our businesses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businesses include both commercial and aerospace operations, original equipment manufacturing (OEM) and extensive related aftermarket parts and services businesses, as well as the combination of shorter cycles at Carrier and in our commercial aerospace aftermarket businesses, and longer cycles at Otis and at our aerospace OEM businesses. Our customers include companies in the private sector and governments, and our businesses reflect an extensive geographic diversification that has evolved with the continued globalization of world economies.</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Although the global economy improved as compared with 2010, many economic indicators continue to point to a slow and uneven recovery. High unemployment and a weak housing sector in the United States (U.S.) continue to dampen consumer sentiment domestically, while concerns over European sovereign debt issues and the deficit debate in Washington, D.C. continue to plague financial markets and constrain government spending in certain countries. In contrast, certain emerging markets continue to grow despite measures by various governments to control inflation in these markets. Notwithstanding these uneven economic conditions, we continue to see sales and order rate growth consistent with our full year expectations for most of our businesses. Carrier’s Transicold business remains exceptionally strong, more than offsetting the softer U.S. residential heating, ventilating, and air conditioning (HVAC) market. Otis new equipment orders and Carrier global commercial HVAC equipment orders also grew in the second quarter of 2011, as compared with the same period of 2010. Similarly, orders in emerging markets continue to grow across the commercial businesses, with particular strength in China, Russia, and India. We also continue to see strong order trends in the aerospace aftermarket businesses within both Pratt &amp; Whitney and Hamilton Sundstrand. These improvements contributed to improved organic sales growth in the second quarter of 2011.</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Consolidated net sales increased 9% in the second quarter of 2011, as compared to the same period of 2010. This reflects organic sales growth (6%) and the benefit from foreign currency translation (4%), partially offset by the impact from net dispositions (1%), as further discussed below within “Results of Continuing Operations.” Along with the consolidated net sales increase, consolidated operating profit increased 18% in the second quarter of 2011, as compared with the same period of 2010. This year-over-year improvement reflects an increase in operational profit (6%), driven by higher volumes partially offset by higher research and development and commodity costs, favorable foreign exchange (5%), lower year-over-year restructuring costs (1%), and the beneficial year-over-year impact from non-recurring items (8%), less the net year-over-year impact from business divestiture activity (2%). The year-over-year impact from non-recurring items reflects a gain of approximately $73 million recognized at Sikorsky from the contribution of a business into a new venture in the United Arab Emirates in the second quarter of 2011 and the absence of net charges recorded in the second quarter of 2010. These prior year net charges consisted of an approximately $47 million net charge recorded at Carrier from dispositions associated with its ongoing portfolio transformation and approximately $28 million of asset impairment charges recorded at Hamilton Sundstrand related primarily to the disposition of an aerospace business. We now expect an adverse impact on operating profits for the full year of 2011 from incremental research and development investment of at least $275 million as we ramp up multiple next generation aerospace product platforms.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commercial businesses generally serve customers in the worldwide commercial and residential property industries, although Carrier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 other global and political factors. Carrier’s financial performance can also be influenced by production and utilization of transport equipment, and, in the case of its residential business, weather conditions. To ensure adequate supply of Carrier products in the distribution channel, Carrier customarily offers its customers incentives to purchase products. The principal incentive program provides reimbursements to distributors for offering promotional pricing on Carrier products. We account for incentive payments made as a reduction to sales.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Within the Otis segment, sales increased 12% in the second quarter of 2011, compared with the same period of 2010, primarily due to the favorable impact of foreign currency translation (8%). Organic sales growth of 3% reflects an increase in new equipment sales and continued growth in contractual maintenance and repair volume. New equipment orders in the second quarter of 2011 increased 23% (including 8% attributable to foreign exchange) compared with the same period of 2010, driven principally by order growth in China, Russia and North America. Pricing remained under pressure in most markets.</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Within Carrier, the continued rebound of the transport refrigeration market drove 11% organic sales growth during the second quarter of 2011. Carrier’s Transicold business demonstrated strong performance across all products and geographies, with sales up organically more than 40%, led by the refrigerated container business. North America residential shipments moderated in the second quarter of 2011, after a strong start to the year.</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UTC Fire &amp; Security experienced 4% organic sales growth in the second quarter of 2011, led by growth within the products businesses driven by the petroleum, oil and gas sectors and infrastructure spending. Organic sales growth within the service and install businesses, primarily in Asia and Australia, was partially offset by organic sales contraction within the U.K. businesses.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aerospace businesses serve both commercial and government aerospace customers. In addition, elements of Pratt &amp; Whitney and Hamilton Sundstrand also serve customers in the industrial markets.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commercial airline industry rebounded in 2010 and remained generally strong through the first half of 2011. However, while airlines have maintained pricing and capacity discipline, higher oil prices have recently led to reduced airline profitability forecasts for 2011, and could lead to further capacity reductions and lower commercial aerospace aftermarket demand. Despite these potential future adverse impacts, we continue to see strong aerospace aftermarket order trends. Commercial aerospace spares orders at Pratt &amp; Whitney’s large commercial engine business and at Hamilton Sundstrand increased 23% and 25% in the second quarter of 2011, respectively, as compared with the same period of 2010. These increases in order rates have led to a corresponding increase in commercial aerospace aftermarket volume at both Pratt &amp; Whitney and Hamilton Sundstrand. Accordingly, consolidated commercial aerospace aftermarket sales, including Sikorsky, increased 14% in the second quarter of 2011, as compared with the same period of 2010.</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Total sales at Sikorsky increased 6% in the second quarter of 2011, as compared to the same period of 2010, driven by increased aftermarket volumes and higher commercial aircraft deliveries, partially offset by lower international military aircraft deliveries. Sikorsky continued to benefit from U.S. government spending, although deficit reduction measures by the U.S. government are expected to pressure the U.S. Department of Defense budget in coming years, resulting in a decline in U.S. Department of Defense spending. Notwithstanding these expected pressures, Sikorsky’s military backlog remains very strong.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and Disposition Activity</w:t>
      </w:r>
    </w:p>
    <w:p>
      <w:pPr>
        <w:spacing w:after="0" w:line="90"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During the first six months of 2011, our investment in business acquisitions was $184 million, and consisted primarily of a number of smaller acquisitions in both our commercial and aerospace businesses. We recorded the excess of the purchase price over the estimated fair value of the assets acquired as an increase in goodwill. As a result of acquisition activity, goodwill increased approximately $320 million, primarily related to the finalization of purchase accounting associated with the December 2010 acquisition of Clipper Windpower Plc (Clipper), in the first six months of 2011. We expect to invest less than $1.5 billion in acquisitions in 2011, including those investments made during the first six months of 2011, although this will depend upon the timing, availability and the appropriate value of potential acquisition opportunities.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the first six months of 2011, we have not experienced any significant disruptions in our businesses as a result of the earthquake and related events that occurred in Japan during March 2011. We have assessed our operations and supply chain and do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not anticipate that any potential impacts will have a significant effect on our cash flows, competitive position, financial condition or results of operations. Of principal focus in our assessments were electronics, including microprocessors, capacitors, and other such components which are included in many of our products and across many of our businesses. In light of these circumstances, we have also evaluated our self-insurance reserves and believe we have adequately provided for current estimates of potential exposure.</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Commercial airline financial distress and consolidation, global economic conditions, changes in raw material and commodity prices, interest rates, foreign currency exchange rates, energy costs, and the impact from natural disasters and weather conditions create uncertainties that could impact our earnings outlook for the remainder of 2011. See Part II, Item 1A, “Risk Factors” in this Form 10-Q for further discussion.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2010 Annual Report, incorporated by reference in our 2010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first six months of 2011.</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CONTINUING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980" w:type="dxa"/>
            <w:vAlign w:val="bottom"/>
            <w:vMerge w:val="restart"/>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6"/>
              </w:rPr>
              <w:t>Quarter Ended June 30,</w:t>
            </w:r>
          </w:p>
        </w:tc>
        <w:tc>
          <w:tcPr>
            <w:tcW w:w="20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98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64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$15,076</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$13,802</w:t>
            </w: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$ 28,420</w:t>
            </w:r>
          </w:p>
        </w:tc>
        <w:tc>
          <w:tcPr>
            <w:tcW w:w="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$ 25,842</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Percentage change year-over-year</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5.7%</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9% increase in net sales for the second quarter of 2011, as compared with the same period of 2010, reflects organic sales growth (6%), and the beneficial impact of foreign currency translation (4%), partially offset by the impact of net dispositions (1%). During the second quarter of 2011, all six business segments experienced organic sales growth in the quarter, led by Carrier which experienced 11% organic sales growth. This is the first time since the second quarter of 2008 in which all six of our business segments reported organic sales growth. The organic growth at Carrier was led by the continued rebound of the transport refrigeration market. Organic growth at Pratt &amp; Whitney was driven by higher overall aerospace aftermarket sales, while organic growth at Hamilton Sundstrand was driven by continuing strength in the aerospace aftermarket and industrial businesses. Growth at Otis was due to an increase in new equipment sales and continued growth in contractual maintenance and repair volume.</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10% increase in net sales for the first six months of 2011, as compared with the same period of 2010, reflects organic sales growth (7%) and the beneficial impact of foreign currency translation (3%). All six business segments experienced organic sales growth for the first six months of 2011, led by Carrier which reported 14% organic sales growth. While the strong organic growth partially reflects favorable comparisons to a weaker first six months of 2010, it is also evidence of a broader improvement in our end markets as noted above. The organic growth at Carrier was driven primarily by the transport refrigeration markets, while Sikorsky’s organic growth reflects higher sales driven by increased international development aircraft and higher aftermarket volumes. Higher commercial aerospace aftermarket sales volumes led the organic growth at both Pratt &amp; Whitney and Hamilton Sundstrand in the first six months of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9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0"/>
              </w:rPr>
              <w:t>Quarter Ended June 30,</w:t>
            </w:r>
          </w:p>
        </w:tc>
        <w:tc>
          <w:tcPr>
            <w:tcW w:w="120" w:type="dxa"/>
            <w:vAlign w:val="bottom"/>
          </w:tcPr>
          <w:p>
            <w:pPr>
              <w:spacing w:after="0"/>
              <w:rPr>
                <w:sz w:val="14"/>
                <w:szCs w:val="14"/>
                <w:color w:val="auto"/>
              </w:rPr>
            </w:pPr>
          </w:p>
        </w:tc>
        <w:tc>
          <w:tcPr>
            <w:tcW w:w="19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9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w w:val="96"/>
              </w:rPr>
              <w:t>2010</w:t>
            </w: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4"/>
                <w:szCs w:val="14"/>
                <w:b w:val="1"/>
                <w:bCs w:val="1"/>
                <w:color w:val="auto"/>
                <w:w w:val="96"/>
              </w:rPr>
              <w:t>2011</w:t>
            </w: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products sold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8,099</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7,466</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15,051</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13,825</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Percentage of product sales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 sold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Percentage of service sales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products and services sold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10,905</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3"/>
              </w:rPr>
              <w:t>10,015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0"/>
              </w:rPr>
              <w:t>20,546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Percentage change year-over-year</w:t>
            </w: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factors contributing to the total percentage change year-over-year for the quarter and six months ended June 30, 2011 in total cost of products and services sold are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040" w:type="dxa"/>
            <w:vAlign w:val="bottom"/>
            <w:gridSpan w:val="3"/>
          </w:tcPr>
          <w:p>
            <w:pPr>
              <w:jc w:val="right"/>
              <w:ind w:right="592"/>
              <w:spacing w:after="0"/>
              <w:rPr>
                <w:sz w:val="20"/>
                <w:szCs w:val="20"/>
                <w:color w:val="auto"/>
              </w:rPr>
            </w:pPr>
            <w:r>
              <w:rPr>
                <w:rFonts w:ascii="Arial" w:cs="Arial" w:eastAsia="Arial" w:hAnsi="Arial"/>
                <w:sz w:val="14"/>
                <w:szCs w:val="14"/>
                <w:b w:val="1"/>
                <w:bCs w:val="1"/>
                <w:color w:val="auto"/>
              </w:rPr>
              <w:t>Quarter Ended</w:t>
            </w:r>
          </w:p>
        </w:tc>
        <w:tc>
          <w:tcPr>
            <w:tcW w:w="182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gridSpan w:val="2"/>
          </w:tcPr>
          <w:p>
            <w:pPr>
              <w:jc w:val="right"/>
              <w:ind w:right="652"/>
              <w:spacing w:after="0"/>
              <w:rPr>
                <w:sz w:val="20"/>
                <w:szCs w:val="20"/>
                <w:color w:val="auto"/>
              </w:rPr>
            </w:pPr>
            <w:r>
              <w:rPr>
                <w:rFonts w:ascii="Arial" w:cs="Arial" w:eastAsia="Arial" w:hAnsi="Arial"/>
                <w:sz w:val="14"/>
                <w:szCs w:val="14"/>
                <w:b w:val="1"/>
                <w:bCs w:val="1"/>
                <w:color w:val="auto"/>
                <w:w w:val="87"/>
              </w:rPr>
              <w:t>June 30, 2011</w:t>
            </w:r>
          </w:p>
        </w:tc>
        <w:tc>
          <w:tcPr>
            <w:tcW w:w="500" w:type="dxa"/>
            <w:vAlign w:val="bottom"/>
          </w:tcPr>
          <w:p>
            <w:pPr>
              <w:spacing w:after="0"/>
              <w:rPr>
                <w:sz w:val="14"/>
                <w:szCs w:val="14"/>
                <w:color w:val="auto"/>
              </w:rPr>
            </w:pPr>
          </w:p>
        </w:tc>
        <w:tc>
          <w:tcPr>
            <w:tcW w:w="13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w w:val="96"/>
              </w:rPr>
              <w:t>June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Organic volume</w:t>
            </w:r>
          </w:p>
        </w:tc>
        <w:tc>
          <w:tcPr>
            <w:tcW w:w="1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60" w:type="dxa"/>
            <w:vAlign w:val="bottom"/>
            <w:tcBorders>
              <w:top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w w:val="74"/>
              </w:rPr>
              <w:t>%</w:t>
            </w:r>
          </w:p>
        </w:tc>
        <w:tc>
          <w:tcPr>
            <w:tcW w:w="5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3040" w:type="dxa"/>
            <w:vAlign w:val="bottom"/>
            <w:gridSpan w:val="3"/>
          </w:tcPr>
          <w:p>
            <w:pPr>
              <w:jc w:val="right"/>
              <w:ind w:right="432"/>
              <w:spacing w:after="0"/>
              <w:rPr>
                <w:sz w:val="20"/>
                <w:szCs w:val="20"/>
                <w:color w:val="auto"/>
              </w:rPr>
            </w:pPr>
            <w:r>
              <w:rPr>
                <w:rFonts w:ascii="Arial" w:cs="Arial" w:eastAsia="Arial" w:hAnsi="Arial"/>
                <w:sz w:val="18"/>
                <w:szCs w:val="18"/>
                <w:color w:val="auto"/>
              </w:rPr>
              <w:t>4 %</w:t>
            </w:r>
          </w:p>
        </w:tc>
        <w:tc>
          <w:tcPr>
            <w:tcW w:w="1820" w:type="dxa"/>
            <w:vAlign w:val="bottom"/>
            <w:gridSpan w:val="3"/>
          </w:tcPr>
          <w:p>
            <w:pPr>
              <w:jc w:val="right"/>
              <w:ind w:right="32"/>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30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8"/>
                <w:szCs w:val="18"/>
                <w:color w:val="auto"/>
              </w:rPr>
            </w:pPr>
          </w:p>
        </w:tc>
        <w:tc>
          <w:tcPr>
            <w:tcW w:w="1560" w:type="dxa"/>
            <w:vAlign w:val="bottom"/>
            <w:gridSpan w:val="2"/>
          </w:tcPr>
          <w:p>
            <w:pPr>
              <w:jc w:val="right"/>
              <w:ind w:right="392"/>
              <w:spacing w:after="0"/>
              <w:rPr>
                <w:sz w:val="20"/>
                <w:szCs w:val="20"/>
                <w:color w:val="auto"/>
              </w:rPr>
            </w:pPr>
            <w:r>
              <w:rPr>
                <w:rFonts w:ascii="Arial" w:cs="Arial" w:eastAsia="Arial" w:hAnsi="Arial"/>
                <w:sz w:val="18"/>
                <w:szCs w:val="18"/>
                <w:color w:val="auto"/>
              </w:rPr>
              <w:t>(1)%</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1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9 %</w:t>
            </w:r>
          </w:p>
        </w:tc>
        <w:tc>
          <w:tcPr>
            <w:tcW w:w="18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both the second quarter and first six months of 2011, both total cost of products and services sold and overall sales volumes increased, as compared with the same periods of 2010. For the second quarter of 2011, total cost of products and services sold grew 7% organically at a rate in line with the 6% organic sales growth, and for the first six months of 2011 total cost of products and services sold grew 8% organically at a rate in line with the 7% organic sales growth for the same period. For both the second quarter and first six months of 2011, the organic change in total cost of products and services sold was principally driven by increased sales volumes. The organic volume change of total cost of product and services sold in both the second quarter and first six months of 2011 include the adverse impact of higher gross commodity costs (1%). The decrease contributed by “other” primarily reflects the absence of asset impairment charges recorded in the second quarter of 2010 at both Carrier and Hamilton Sundstrand. For the first six months of 2011, the year-over-year increase in cost of services sold, as a percentage of service sales, was primarily attributable to the timing of long-term aerospace service contracts.</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720" w:type="dxa"/>
            <w:vAlign w:val="bottom"/>
            <w:vMerge w:val="restart"/>
          </w:tcPr>
          <w:p>
            <w:pPr>
              <w:spacing w:after="0"/>
              <w:rPr>
                <w:sz w:val="14"/>
                <w:szCs w:val="14"/>
                <w:color w:val="auto"/>
              </w:rPr>
            </w:pPr>
          </w:p>
        </w:tc>
        <w:tc>
          <w:tcPr>
            <w:tcW w:w="2300" w:type="dxa"/>
            <w:vAlign w:val="bottom"/>
          </w:tcPr>
          <w:p>
            <w:pPr>
              <w:spacing w:after="0"/>
              <w:rPr>
                <w:sz w:val="14"/>
                <w:szCs w:val="14"/>
                <w:color w:val="auto"/>
              </w:rPr>
            </w:pPr>
          </w:p>
        </w:tc>
        <w:tc>
          <w:tcPr>
            <w:tcW w:w="2020" w:type="dxa"/>
            <w:vAlign w:val="bottom"/>
            <w:gridSpan w:val="5"/>
          </w:tcPr>
          <w:p>
            <w:pPr>
              <w:ind w:left="140"/>
              <w:spacing w:after="0"/>
              <w:rPr>
                <w:sz w:val="20"/>
                <w:szCs w:val="20"/>
                <w:color w:val="auto"/>
              </w:rPr>
            </w:pPr>
            <w:r>
              <w:rPr>
                <w:rFonts w:ascii="Arial" w:cs="Arial" w:eastAsia="Arial" w:hAnsi="Arial"/>
                <w:sz w:val="14"/>
                <w:szCs w:val="14"/>
                <w:b w:val="1"/>
                <w:bCs w:val="1"/>
                <w:color w:val="auto"/>
              </w:rPr>
              <w:t>Quarter Ended June 30,</w:t>
            </w:r>
          </w:p>
        </w:tc>
        <w:tc>
          <w:tcPr>
            <w:tcW w:w="200" w:type="dxa"/>
            <w:vAlign w:val="bottom"/>
          </w:tcPr>
          <w:p>
            <w:pPr>
              <w:spacing w:after="0"/>
              <w:rPr>
                <w:sz w:val="14"/>
                <w:szCs w:val="14"/>
                <w:color w:val="auto"/>
              </w:rPr>
            </w:pPr>
          </w:p>
        </w:tc>
        <w:tc>
          <w:tcPr>
            <w:tcW w:w="20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ind w:right="106"/>
              <w:spacing w:after="0" w:line="129"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2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$ 4,171</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$ 3,787</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7,874</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7,095</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3200" w:type="dxa"/>
            <w:vAlign w:val="bottom"/>
            <w:gridSpan w:val="3"/>
          </w:tcPr>
          <w:p>
            <w:pPr>
              <w:jc w:val="right"/>
              <w:ind w:right="200"/>
              <w:spacing w:after="0"/>
              <w:rPr>
                <w:sz w:val="20"/>
                <w:szCs w:val="20"/>
                <w:color w:val="auto"/>
              </w:rPr>
            </w:pPr>
            <w:r>
              <w:rPr>
                <w:rFonts w:ascii="Arial" w:cs="Arial" w:eastAsia="Arial" w:hAnsi="Arial"/>
                <w:sz w:val="18"/>
                <w:szCs w:val="18"/>
                <w:color w:val="auto"/>
              </w:rPr>
              <w:t>27.7%</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27.4%</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27.7%</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increase in gross margin as a percentage of sales for both the second quarter and first six months of 2011, as compared to the same period of 2010, reflects the benefit from increased sales volumes of higher margin products and services, continued focus on cost reduction, savings from previously initiated restructuring actions, and net operational efficiencies. The increase also reflects the beneficial impact from the absence of approximately $86 million of asset impairment charges recorded in the second quarter of 2010 at Carrier and Hamilton Sundstrand. These improvements were partially offset by higher year-over-year net commodity costs for the second quarter and first six months of the year.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6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2"/>
              </w:rPr>
              <w:t>Quarter Ended June 30,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62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2011</w:t>
            </w: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Company-funded</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526</w:t>
            </w: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459</w:t>
            </w: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1,011</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856</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Customer-funded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12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in both the quarter ended and the first six months of 2011, as compared to the same periods of 2010, primarily reflects an increase at Pratt &amp; Whitney to further advance the development of multiple geared turbo fan platforms. The amount of company-funded research and development for the full year 2011 is now expected to increase at least $275 million, as compared with 2010, as we ramp up multiple next generation aerospace platforms.</w:t>
      </w:r>
    </w:p>
    <w:p>
      <w:pPr>
        <w:spacing w:after="0" w:line="14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decrease in customer-funded research and development in the second quarter and first six months of 2011, compared to the same periods of 2010, was primarily driven by a decrease at Pratt &amp; Whitney related to a reduction in development spending on the Joint Strike Fighter engine program.</w:t>
      </w: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ectPr>
          <w:pgSz w:w="11900" w:h="16838" w:orient="portrait"/>
          <w:cols w:equalWidth="0" w:num="1">
            <w:col w:w="11320"/>
          </w:cols>
          <w:pgMar w:left="240" w:top="459" w:right="339" w:bottom="1440" w:gutter="0" w:footer="0" w:header="0"/>
        </w:sectPr>
      </w:pPr>
    </w:p>
    <w:p>
      <w:pPr>
        <w:spacing w:after="0" w:line="356"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(Dollars in millions)</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Selling, general and administrative expenses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of net sales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gridSpan w:val="5"/>
          </w:tcPr>
          <w:p>
            <w:pPr>
              <w:ind w:left="120"/>
              <w:spacing w:after="0"/>
              <w:rPr>
                <w:sz w:val="20"/>
                <w:szCs w:val="20"/>
                <w:color w:val="auto"/>
              </w:rPr>
            </w:pPr>
            <w:r>
              <w:rPr>
                <w:rFonts w:ascii="Arial" w:cs="Arial" w:eastAsia="Arial" w:hAnsi="Arial"/>
                <w:sz w:val="14"/>
                <w:szCs w:val="14"/>
                <w:b w:val="1"/>
                <w:bCs w:val="1"/>
                <w:color w:val="auto"/>
              </w:rPr>
              <w:t>Quarter Ended June 30,</w:t>
            </w:r>
          </w:p>
        </w:tc>
        <w:tc>
          <w:tcPr>
            <w:tcW w:w="200" w:type="dxa"/>
            <w:vAlign w:val="bottom"/>
          </w:tcPr>
          <w:p>
            <w:pPr>
              <w:spacing w:after="0"/>
              <w:rPr>
                <w:sz w:val="14"/>
                <w:szCs w:val="14"/>
                <w:color w:val="auto"/>
              </w:rPr>
            </w:pPr>
          </w:p>
        </w:tc>
        <w:tc>
          <w:tcPr>
            <w:tcW w:w="20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2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$ 1,644</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3"/>
              </w:rPr>
              <w:t>$ 1,491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  3,187</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  2,915</w:t>
            </w:r>
          </w:p>
        </w:tc>
        <w:tc>
          <w:tcPr>
            <w:tcW w:w="140" w:type="dxa"/>
            <w:vAlign w:val="bottom"/>
          </w:tcPr>
          <w:p>
            <w:pPr>
              <w:spacing w:after="0"/>
              <w:rPr>
                <w:sz w:val="17"/>
                <w:szCs w:val="17"/>
                <w:color w:val="auto"/>
              </w:rPr>
            </w:pPr>
          </w:p>
        </w:tc>
      </w:tr>
      <w:tr>
        <w:trPr>
          <w:trHeight w:val="222"/>
        </w:trPr>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10.9%</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10.8%</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11.2%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-281305</wp:posOffset>
            </wp:positionV>
            <wp:extent cx="666369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5960" w:space="720"/>
            <w:col w:w="4640"/>
          </w:cols>
          <w:pgMar w:left="240" w:top="459" w:right="339" w:bottom="1440" w:gutter="0" w:footer="0" w:header="0"/>
          <w:type w:val="continuous"/>
        </w:sectPr>
      </w:pPr>
    </w:p>
    <w:p>
      <w:pPr>
        <w:ind w:right="120" w:firstLine="456"/>
        <w:spacing w:after="0" w:line="306" w:lineRule="auto"/>
        <w:rPr>
          <w:sz w:val="20"/>
          <w:szCs w:val="20"/>
          <w:color w:val="auto"/>
        </w:rPr>
      </w:pPr>
      <w:r>
        <w:rPr>
          <w:rFonts w:ascii="Arial" w:cs="Arial" w:eastAsia="Arial" w:hAnsi="Arial"/>
          <w:sz w:val="16"/>
          <w:szCs w:val="16"/>
          <w:color w:val="auto"/>
        </w:rPr>
        <w:t>The increase in selling, general and administrative expenses in the second quarter of 2011, as compared to the same period of 2010, was due primarily to the impact of adverse foreign exchange translation, higher pension related costs, and acquisitions completed over the preceding twelve months, including the acquisition of Clipper in December 2010. These adverse impacts were partially offset by lower year-over-year restructuring costs.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increase in selling, general and administrative expenses in the first six months of 2011, as compared to the same period of 2010, was due primarily to the impact of acquisitions completed over the preceding twelve months, including the acquisition of the GE Security business in March 2010 and the acquisition of Clipper in December 2010, adverse foreign exchange translation, and higher pension related costs, partially offset by lower year-over-year restructuring costs. As a percentage of sales, the 10 basis point year-over-year decrease primarily reflects the beneficial impact from increased sales, Carrier’s ongoing portfolio transformation and the impact of lower year-over-year restructuring costs, partially offset by the impact from recent acquisitions.</w:t>
      </w: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9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 Ended June 30,</w:t>
            </w:r>
          </w:p>
        </w:tc>
        <w:tc>
          <w:tcPr>
            <w:tcW w:w="140" w:type="dxa"/>
            <w:vAlign w:val="bottom"/>
          </w:tcPr>
          <w:p>
            <w:pPr>
              <w:spacing w:after="0"/>
              <w:rPr>
                <w:sz w:val="14"/>
                <w:szCs w:val="14"/>
                <w:color w:val="auto"/>
              </w:rPr>
            </w:pPr>
          </w:p>
        </w:tc>
        <w:tc>
          <w:tcPr>
            <w:tcW w:w="1880" w:type="dxa"/>
            <w:vAlign w:val="bottom"/>
            <w:gridSpan w:val="5"/>
          </w:tcPr>
          <w:p>
            <w:pPr>
              <w:ind w:left="6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6"/>
              <w:spacing w:after="0" w:line="129"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219</w:t>
            </w: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45</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323</w:t>
            </w: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Other income, net includes the operational impact of equity earnings in unconsolidated entities, royalty income, foreign exchange gains and losses as well as other ongoing and non-recurring items. The year-over-year change in other income, net in the second quarter of 2011, as compared with the same period of 2010, largely reflects a gain of approximately $73 million recognized at Sikorsky from the contribution of a business into a new venture in the United Arab Emirates, approximately $25 million from the favorable resolution of litigation at UTC Fire &amp; Security, and higher joint venture income across the business including approximately $15 million of earnings improvement in Carrier’s Japan joint venture. The year-over-year increase also reflects the absence of charges related to the early redemption of long-term debt in the second quarter of 2010.</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year-over-year change in other income, net in the first six months of 2011, as compared with the same period of 2010, largely reflects divestiture related activity, including a gain of approximately $73 million recognized in the second quarter of 2011 at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Sikorsky from the contribution of a business into a new venture in the United Arab Emirates, and gains in the first quarter of 2011 at Pratt &amp; Whitney and UTC Fire &amp; Security (combined $30 million). The gain at Pratt &amp; Whitney resulted from the sale of an equity interest in a venture and the gain at UTC Fire &amp; Security related to the disposition of the U.K. Guarding business. The year-over-year change also includes approximately $25 million from the favorable resolution of litigation at UTC Fire &amp; Security, higher joint venture income across the business including approximately $35 million of earnings improvement in Carrier’s Japan joint venture, and the absence of charges related to the early redemption of long-term debt in the second quarter of 2010.</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22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5"/>
              </w:rPr>
              <w:t>Quarter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9"/>
        </w:trPr>
        <w:tc>
          <w:tcPr>
            <w:tcW w:w="56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w w:val="83"/>
              </w:rPr>
              <w:t>2011</w:t>
            </w: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89"/>
              </w:rPr>
              <w:t>2010</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w w:val="89"/>
              </w:rPr>
              <w:t>2011</w:t>
            </w: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7"/>
              </w:rPr>
              <w:t>Interest expense</w:t>
            </w:r>
          </w:p>
        </w:tc>
        <w:tc>
          <w:tcPr>
            <w:tcW w:w="4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165</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192</w:t>
            </w: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331</w:t>
            </w:r>
          </w:p>
        </w:tc>
        <w:tc>
          <w:tcPr>
            <w:tcW w:w="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Average interest expense rate</w:t>
            </w: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decrease in interest expense, net in both the second quarter and first six months of 2011, as compared with the same periods of 2010, was led by the impact from lower average long-term debt balances and lower average interest expense rates year-over-year. Interest expense also reflects the low cost associated with our commercial paper borrowings. The decline in interest income in both the second quarter and first six months of 2011, as compared with the same periods of 2010, reflects the absence of a favorable pre-tax interest adjustment of approximately $24 million associated with the resolution of an uncertain tax item in the second quarter of 2010.</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64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Quarter Ended June 30,</w:t>
            </w:r>
          </w:p>
        </w:tc>
        <w:tc>
          <w:tcPr>
            <w:tcW w:w="22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2"/>
        </w:trPr>
        <w:tc>
          <w:tcPr>
            <w:tcW w:w="56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31.2%</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30.0%</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bl>
    <w:p>
      <w:pPr>
        <w:spacing w:after="0" w:line="154"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The effective tax rate for the quarter ended June 30, 2011 increased as compared to the same period of 2010 primarily reflecting an increase to the annual effective tax rate as a result of 2010 U.S. tax legislation, partially offset by the absence of the tax impacts of impairment charges recorded in 2010. The effective tax rate for the six months ended June 30, 2011 increased as compared to the same period of 2010, primarily reflecting an increase to the annual effective tax rate, as noted above, partially offset by the absence of the tax impact from health care legislation related to the Medicare Part D program in the first quarter of 2010. We expect our full year annual effective income tax rate in 2011 to be approximately 31%, before the impact of non-recurring items. As a result of 2010 U.S. tax legislation and the impact on our tax rate, we anticipate variability in the tax rate quarter to quarter. This is due to the tax impacts associated with planned internal legal entity reorganizations that have occurred in the second quarter of 2011 and are expected to occur during the remaining six months of the year.</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Net Income and Earnings Per Share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80" w:type="dxa"/>
            <w:vAlign w:val="bottom"/>
          </w:tcPr>
          <w:p>
            <w:pPr>
              <w:spacing w:after="0"/>
              <w:rPr>
                <w:sz w:val="14"/>
                <w:szCs w:val="14"/>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7"/>
              </w:rPr>
              <w:t>Quarter Ended June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9"/>
        </w:trPr>
        <w:tc>
          <w:tcPr>
            <w:tcW w:w="678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9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1,430</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1,212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2,531</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2,159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Less: Noncontrolling interest in subsidiaries’ earnings</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5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80" w:type="dxa"/>
            <w:vAlign w:val="bottom"/>
            <w:gridSpan w:val="3"/>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2.55</w:t>
            </w:r>
          </w:p>
        </w:tc>
        <w:tc>
          <w:tcPr>
            <w:tcW w:w="5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Diluted earnings per share for the second quarter of 2011 includes $.05 per share of restructuring charges, offset by a $.05 per share benefit from non-recurring items. The results for the second quarter of 2010 included a net charge for restructuring and non-recurring items of $.12 per share. For the first six months of 2011, diluted earnings per share includes a net charge for restructuring and non-recurring items of $.02 per share compared with a $.17 per share net charge for the same period of 2010. The impact of foreign currency generated a positive impact of $.06 and $.07 per diluted share on our operational performance in the second quarter and first six months of 2011, respectively. This year-over-year impact also includes the beneficial impact of foreign currency hedging, which was more than offset by the net adverse foreign currency translation impact at Pratt &amp; Whitney Canada (P&amp;WC). At P&amp;WC, the weakness of the U.S. dollar in the second quarter of 2011 generated an adverse foreign currency translation impact as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majority of P&amp;WC’s sales are denominated in U.S. dollars, while a significant portion of its costs are incurred in local currencies. To help mitigate the volatility of foreign currency exchange rates on our operating results, we maintain foreign currency hedging programs, the majority of which are entered into by P&amp;WC. As a result of hedging programs currently in place, P&amp;WC’s 2011 full year operating results are expected to include a net adverse impact of foreign currency translation and hedging of approximately $75 million, of which approximately $15 million has impacted our operating results in the first six months of 2011. For additional discussion of hedging, refer to Note 8 to the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Costs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first six months of 2011, we recorded net pre-tax restructuring and other costs totaling $103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6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22"/>
        </w:trPr>
        <w:tc>
          <w:tcPr>
            <w:tcW w:w="734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net costs included $69 million recorded in cost of sales, $32 million in selling, general and administrative expenses and $2 million in other income, net. As described below, these costs primarily relate to actions initiated during 2011 and 2010.</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2011 Actions. </w:t>
      </w:r>
      <w:r>
        <w:rPr>
          <w:rFonts w:ascii="Arial" w:cs="Arial" w:eastAsia="Arial" w:hAnsi="Arial"/>
          <w:sz w:val="18"/>
          <w:szCs w:val="18"/>
          <w:color w:val="auto"/>
        </w:rPr>
        <w:t>During the first six months of 2011, we initiated restructuring actions relating to ongoing cost reduction efforts, including workforce reductions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consolidation of field operations. We recorded net pre-tax restructuring and other costs totaling $69 million as follows: Otis $7 million, Carrier $12 million, UTC Fire &amp; Security $9 million, Pratt &amp; Whitney $33 million, Hamilton Sundstrand $4 million, Sikorsky $3 million, and Eliminations and other $1 million. The charges included $46 million in cost of sales, $21 million in selling, general and administrative expenses and $2 million in other income, net. These costs include $65 million for severance and related employee termination costs, $3 million for asset write-downs and $1 million for facility exit, lease termination costs and other related costs.</w:t>
      </w:r>
    </w:p>
    <w:p>
      <w:pPr>
        <w:spacing w:after="0" w:line="1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the 2011 actions that were initiated in the first six months to result in net workforce reductions of approximately 1,200 hourly and salaried employees, the exiting of approximately 120,000 net square feet and the disposal of assets associated with exited facilities. As of June 30, 2011, we have completed net workforce reductions of approximately 500 employees. We are targeting the majority of the remaining workforce and all facility related cost reduction actions for completion during 2011 and 2012. Approximately 95% of the total pre-tax charge will require cash payments, which we will fund with cash generated from operations. During the first six months of 2011, we had cash outflows of approximately $12 million related to the 2011 actions. We expect to incur additional restructuring and other costs of $19 million to complete these actions. We expect recurring pre-tax savings to increase over the two-year period subsequent to initiating these actions to approximately $90 million annually.</w:t>
      </w:r>
    </w:p>
    <w:p>
      <w:pPr>
        <w:spacing w:after="0" w:line="1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2010 Actions. </w:t>
      </w:r>
      <w:r>
        <w:rPr>
          <w:rFonts w:ascii="Arial" w:cs="Arial" w:eastAsia="Arial" w:hAnsi="Arial"/>
          <w:sz w:val="18"/>
          <w:szCs w:val="18"/>
          <w:color w:val="auto"/>
        </w:rPr>
        <w:t>During the first six months of 2011, we recorded net pre-tax restructuring and other costs totaling $31 million for restructuring actions initiated in</w:t>
      </w:r>
      <w:r>
        <w:rPr>
          <w:rFonts w:ascii="Arial" w:cs="Arial" w:eastAsia="Arial" w:hAnsi="Arial"/>
          <w:sz w:val="18"/>
          <w:szCs w:val="18"/>
          <w:b w:val="1"/>
          <w:bCs w:val="1"/>
          <w:color w:val="auto"/>
        </w:rPr>
        <w:t xml:space="preserve"> </w:t>
      </w:r>
      <w:r>
        <w:rPr>
          <w:rFonts w:ascii="Arial" w:cs="Arial" w:eastAsia="Arial" w:hAnsi="Arial"/>
          <w:sz w:val="18"/>
          <w:szCs w:val="18"/>
          <w:color w:val="auto"/>
        </w:rPr>
        <w:t>2010. The 2010 actions relate to ongoing cost reduction efforts, including workforce reductions and the consolidation of field operations. We recorded the charges for the first six months of 2011 as follows: Otis $1 million, Carrier $17 million, UTC Fire &amp; Security $7 million, Pratt &amp; Whitney $5 million, and Hamilton Sundstrand $1 million. The charges included $21 million in cost of sales and $10 million in selling, general and administrative expenses. Those costs included $10 million for severance and related employee termination costs, $4 million for asset write-downs and $17 million for facility exit, lease termination costs and other related costs.</w:t>
      </w:r>
    </w:p>
    <w:p>
      <w:pPr>
        <w:spacing w:after="0" w:line="14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expect the 2010 actions to result in net workforce reductions of approximately 5,000 hourly and salaried employees, the exiting of approximately 3.9 million net square feet of facilities and the disposal of assets associated with the exited facilities. As of June 30, 2011, we completed net workforce reductions of approximately 3,000 employees and exited approximately 700,000 net square feet of facilities. We are targeting the majority of the remaining workforce and facility related cost reduction actions for completion during 2011 and 2012. Approximately 80% of the total pre-tax charge will require cash payments, which we will fund with cash generated from operations. During the first six months of 2011, we had cash outflows of approximately $138 million related to the 2010 actions. We expect to incur additional restructuring and other costs of $59 million to complete these actions. We expect recurring pre-tax savings to increase over the two-year period subsequent to initiating these actions to approximately $350 million annually.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color w:val="auto"/>
        </w:rPr>
        <w:t xml:space="preserve">Additional 2011 Actions. </w:t>
      </w:r>
      <w:r>
        <w:rPr>
          <w:rFonts w:ascii="Arial" w:cs="Arial" w:eastAsia="Arial" w:hAnsi="Arial"/>
          <w:sz w:val="16"/>
          <w:szCs w:val="16"/>
          <w:color w:val="auto"/>
        </w:rPr>
        <w:t>We expect to initiate additional restructuring actions during the remainder of 2011. Including trailing costs related to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initiated actions, we expect full year 2011 restructuring costs of approximately $200 million, including the $103 million of charges incurred during the first six months of 2011. The expected adverse impact on full year earnings in 2011 from anticipated restructuring costs is expected to be offset by the beneficial impact from non-recurring items. Except for those actions described above, no specific plans for significant other actions have been finalized at this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and six months ended June 30, 2011 and 2010 are included in “Eliminations and other” below, which also includes certain smaller subsidiaries.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June 30, 2011 and 2010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4"/>
              </w:rPr>
              <w:t>Operating Profits</w:t>
            </w:r>
          </w:p>
        </w:tc>
        <w:tc>
          <w:tcPr>
            <w:tcW w:w="1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Operating Profit Margins</w:t>
            </w:r>
          </w:p>
        </w:tc>
        <w:tc>
          <w:tcPr>
            <w:tcW w:w="0" w:type="dxa"/>
            <w:vAlign w:val="bottom"/>
          </w:tcPr>
          <w:p>
            <w:pPr>
              <w:spacing w:after="0"/>
              <w:rPr>
                <w:sz w:val="1"/>
                <w:szCs w:val="1"/>
                <w:color w:val="auto"/>
              </w:rPr>
            </w:pPr>
          </w:p>
        </w:tc>
      </w:tr>
      <w:tr>
        <w:trPr>
          <w:trHeight w:val="129"/>
        </w:trPr>
        <w:tc>
          <w:tcPr>
            <w:tcW w:w="498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1"/>
                <w:szCs w:val="11"/>
                <w:color w:val="auto"/>
              </w:rPr>
            </w:pPr>
          </w:p>
        </w:tc>
        <w:tc>
          <w:tcPr>
            <w:tcW w:w="5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37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3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3,192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2,838</w:t>
            </w:r>
          </w:p>
        </w:tc>
        <w:tc>
          <w:tcPr>
            <w:tcW w:w="2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743</w:t>
            </w:r>
          </w:p>
        </w:tc>
        <w:tc>
          <w:tcPr>
            <w:tcW w:w="2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641</w:t>
            </w:r>
          </w:p>
        </w:tc>
        <w:tc>
          <w:tcPr>
            <w:tcW w:w="36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23.3%</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3,393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333</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522</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169</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2,405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2,037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(62)</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15,076</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13,802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2,220</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1,882</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Second quarter 2011 and 2010 restructuring and other costs included in consolidated operating profit totaled $72 million and $85 million, respectively,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1720" w:type="dxa"/>
            <w:vAlign w:val="bottom"/>
            <w:vMerge w:val="restart"/>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160"/>
              <w:spacing w:after="0"/>
              <w:rPr>
                <w:sz w:val="20"/>
                <w:szCs w:val="20"/>
                <w:color w:val="auto"/>
              </w:rPr>
            </w:pPr>
            <w:r>
              <w:rPr>
                <w:rFonts w:ascii="Arial" w:cs="Arial" w:eastAsia="Arial" w:hAnsi="Arial"/>
                <w:sz w:val="14"/>
                <w:szCs w:val="14"/>
                <w:b w:val="1"/>
                <w:bCs w:val="1"/>
                <w:color w:val="auto"/>
              </w:rPr>
              <w:t>Quarter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89"/>
              </w:rPr>
              <w:t>2011</w:t>
            </w: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3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3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60" w:type="dxa"/>
            <w:vAlign w:val="bottom"/>
            <w:vMerge w:val="restart"/>
          </w:tcPr>
          <w:p>
            <w:pPr>
              <w:jc w:val="right"/>
              <w:ind w:right="2172"/>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six months ended June 30, 2011 and 2010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Operating Profits</w:t>
            </w:r>
          </w:p>
        </w:tc>
        <w:tc>
          <w:tcPr>
            <w:tcW w:w="1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Operating Profit Margins</w:t>
            </w:r>
          </w:p>
        </w:tc>
        <w:tc>
          <w:tcPr>
            <w:tcW w:w="0" w:type="dxa"/>
            <w:vAlign w:val="bottom"/>
          </w:tcPr>
          <w:p>
            <w:pPr>
              <w:spacing w:after="0"/>
              <w:rPr>
                <w:sz w:val="1"/>
                <w:szCs w:val="1"/>
                <w:color w:val="auto"/>
              </w:rPr>
            </w:pPr>
          </w:p>
        </w:tc>
      </w:tr>
      <w:tr>
        <w:trPr>
          <w:trHeight w:val="129"/>
        </w:trPr>
        <w:tc>
          <w:tcPr>
            <w:tcW w:w="498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1"/>
                <w:szCs w:val="11"/>
                <w:color w:val="auto"/>
              </w:rPr>
            </w:pPr>
          </w:p>
        </w:tc>
        <w:tc>
          <w:tcPr>
            <w:tcW w:w="5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37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3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5,964</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5,564</w:t>
            </w:r>
          </w:p>
        </w:tc>
        <w:tc>
          <w:tcPr>
            <w:tcW w:w="2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$1,373</w:t>
            </w:r>
          </w:p>
        </w:tc>
        <w:tc>
          <w:tcPr>
            <w:tcW w:w="2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$1,237</w:t>
            </w:r>
          </w:p>
        </w:tc>
        <w:tc>
          <w:tcPr>
            <w:tcW w:w="36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23.0%</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6,159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5,560</w:t>
            </w:r>
          </w:p>
        </w:tc>
        <w:tc>
          <w:tcPr>
            <w:tcW w:w="2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768</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472</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291</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6,547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6,120</w:t>
            </w:r>
          </w:p>
        </w:tc>
        <w:tc>
          <w:tcPr>
            <w:tcW w:w="2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925</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958</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425</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3,368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3,050</w:t>
            </w:r>
          </w:p>
        </w:tc>
        <w:tc>
          <w:tcPr>
            <w:tcW w:w="2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418</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314</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28,384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26,029</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4,363</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3,697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(171)</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(122)</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28,420</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25,842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3,999</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3,405</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the first six months of 2011 and 2010, restructuring and other costs included in consolidated operating profit totaled $103 million and $152 million, respectively,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880" w:type="dxa"/>
            <w:vAlign w:val="bottom"/>
            <w:vMerge w:val="restart"/>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w w:val="96"/>
              </w:rPr>
              <w:t>2011</w:t>
            </w: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2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2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and segment discussions that follow address the factors that contributed to the year-over-year changes in net sales and operating profits: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4"/>
                <w:szCs w:val="14"/>
                <w:b w:val="1"/>
                <w:bCs w:val="1"/>
                <w:color w:val="auto"/>
                <w:w w:val="92"/>
              </w:rPr>
              <w:t>Factors Contributing to Total % Change Year-Over-Year in:</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3160" w:type="dxa"/>
            <w:vAlign w:val="bottom"/>
            <w:gridSpan w:val="5"/>
          </w:tcPr>
          <w:p>
            <w:pPr>
              <w:jc w:val="right"/>
              <w:ind w:right="1072"/>
              <w:spacing w:after="0" w:line="142" w:lineRule="exact"/>
              <w:rPr>
                <w:sz w:val="20"/>
                <w:szCs w:val="20"/>
                <w:color w:val="auto"/>
              </w:rPr>
            </w:pPr>
            <w:r>
              <w:rPr>
                <w:rFonts w:ascii="Arial" w:cs="Arial" w:eastAsia="Arial" w:hAnsi="Arial"/>
                <w:sz w:val="14"/>
                <w:szCs w:val="14"/>
                <w:b w:val="1"/>
                <w:bCs w:val="1"/>
                <w:color w:val="auto"/>
              </w:rPr>
              <w:t>Quarter Ended June 30, 2011</w:t>
            </w:r>
          </w:p>
        </w:tc>
        <w:tc>
          <w:tcPr>
            <w:tcW w:w="2480" w:type="dxa"/>
            <w:vAlign w:val="bottom"/>
            <w:gridSpan w:val="3"/>
          </w:tcPr>
          <w:p>
            <w:pPr>
              <w:jc w:val="right"/>
              <w:ind w:right="217"/>
              <w:spacing w:after="0" w:line="142" w:lineRule="exact"/>
              <w:rPr>
                <w:sz w:val="20"/>
                <w:szCs w:val="20"/>
                <w:color w:val="auto"/>
              </w:rPr>
            </w:pPr>
            <w:r>
              <w:rPr>
                <w:rFonts w:ascii="Arial" w:cs="Arial" w:eastAsia="Arial" w:hAnsi="Arial"/>
                <w:sz w:val="14"/>
                <w:szCs w:val="14"/>
                <w:b w:val="1"/>
                <w:bCs w:val="1"/>
                <w:color w:val="auto"/>
                <w:w w:val="99"/>
              </w:rPr>
              <w:t>Six Months Ended June 30, 2011</w:t>
            </w:r>
          </w:p>
        </w:tc>
        <w:tc>
          <w:tcPr>
            <w:tcW w:w="200" w:type="dxa"/>
            <w:vAlign w:val="bottom"/>
          </w:tcPr>
          <w:p>
            <w:pPr>
              <w:spacing w:after="0"/>
              <w:rPr>
                <w:sz w:val="12"/>
                <w:szCs w:val="12"/>
                <w:color w:val="auto"/>
              </w:rPr>
            </w:pPr>
          </w:p>
        </w:tc>
      </w:tr>
      <w:tr>
        <w:trPr>
          <w:trHeight w:val="129"/>
        </w:trPr>
        <w:tc>
          <w:tcPr>
            <w:tcW w:w="46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9"/>
              </w:rPr>
              <w:t>Operating</w:t>
            </w:r>
          </w:p>
        </w:tc>
        <w:tc>
          <w:tcPr>
            <w:tcW w:w="8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1"/>
                <w:szCs w:val="11"/>
                <w:color w:val="auto"/>
              </w:rPr>
            </w:pPr>
          </w:p>
        </w:tc>
      </w:tr>
      <w:tr>
        <w:trPr>
          <w:trHeight w:val="161"/>
        </w:trPr>
        <w:tc>
          <w:tcPr>
            <w:tcW w:w="4660" w:type="dxa"/>
            <w:vAlign w:val="bottom"/>
          </w:tcPr>
          <w:p>
            <w:pPr>
              <w:spacing w:after="0"/>
              <w:rPr>
                <w:sz w:val="14"/>
                <w:szCs w:val="14"/>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w w:val="88"/>
              </w:rPr>
              <w:t>Net Sales</w:t>
            </w:r>
          </w:p>
        </w:tc>
        <w:tc>
          <w:tcPr>
            <w:tcW w:w="600" w:type="dxa"/>
            <w:vAlign w:val="bottom"/>
          </w:tcPr>
          <w:p>
            <w:pPr>
              <w:spacing w:after="0"/>
              <w:rPr>
                <w:sz w:val="14"/>
                <w:szCs w:val="14"/>
                <w:color w:val="auto"/>
              </w:rPr>
            </w:pPr>
          </w:p>
        </w:tc>
        <w:tc>
          <w:tcPr>
            <w:tcW w:w="1620" w:type="dxa"/>
            <w:vAlign w:val="bottom"/>
            <w:gridSpan w:val="2"/>
          </w:tcPr>
          <w:p>
            <w:pPr>
              <w:jc w:val="right"/>
              <w:ind w:right="952"/>
              <w:spacing w:after="0"/>
              <w:rPr>
                <w:sz w:val="20"/>
                <w:szCs w:val="20"/>
                <w:color w:val="auto"/>
              </w:rPr>
            </w:pPr>
            <w:r>
              <w:rPr>
                <w:rFonts w:ascii="Arial" w:cs="Arial" w:eastAsia="Arial" w:hAnsi="Arial"/>
                <w:sz w:val="14"/>
                <w:szCs w:val="14"/>
                <w:b w:val="1"/>
                <w:bCs w:val="1"/>
                <w:color w:val="auto"/>
              </w:rPr>
              <w:t>Profits</w:t>
            </w:r>
          </w:p>
        </w:tc>
        <w:tc>
          <w:tcPr>
            <w:tcW w:w="1660" w:type="dxa"/>
            <w:vAlign w:val="bottom"/>
            <w:gridSpan w:val="2"/>
          </w:tcPr>
          <w:p>
            <w:pPr>
              <w:jc w:val="right"/>
              <w:ind w:right="952"/>
              <w:spacing w:after="0"/>
              <w:rPr>
                <w:sz w:val="20"/>
                <w:szCs w:val="20"/>
                <w:color w:val="auto"/>
              </w:rPr>
            </w:pPr>
            <w:r>
              <w:rPr>
                <w:rFonts w:ascii="Arial" w:cs="Arial" w:eastAsia="Arial" w:hAnsi="Arial"/>
                <w:sz w:val="14"/>
                <w:szCs w:val="14"/>
                <w:b w:val="1"/>
                <w:bCs w:val="1"/>
                <w:color w:val="auto"/>
                <w:w w:val="95"/>
              </w:rPr>
              <w:t>Net Sales</w:t>
            </w:r>
          </w:p>
        </w:tc>
        <w:tc>
          <w:tcPr>
            <w:tcW w:w="10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Profits</w:t>
            </w: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Organic sales / Operational operating profit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4"/>
              </w:rPr>
              <w:t>%</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tcBorders>
              <w:top w:val="single" w:sz="8" w:color="CCEEFF"/>
            </w:tcBorders>
            <w:shd w:val="clear" w:color="auto" w:fill="CCEEFF"/>
          </w:tcPr>
          <w:p>
            <w:pPr>
              <w:jc w:val="right"/>
              <w:ind w:right="632"/>
              <w:spacing w:after="0"/>
              <w:rPr>
                <w:sz w:val="20"/>
                <w:szCs w:val="20"/>
                <w:color w:val="auto"/>
              </w:rPr>
            </w:pPr>
            <w:r>
              <w:rPr>
                <w:rFonts w:ascii="Arial" w:cs="Arial" w:eastAsia="Arial" w:hAnsi="Arial"/>
                <w:sz w:val="18"/>
                <w:szCs w:val="18"/>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40" w:type="dxa"/>
            <w:vAlign w:val="bottom"/>
            <w:tcBorders>
              <w:top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gridSpan w:val="2"/>
          </w:tcPr>
          <w:p>
            <w:pPr>
              <w:jc w:val="right"/>
              <w:ind w:right="52"/>
              <w:spacing w:after="0"/>
              <w:rPr>
                <w:sz w:val="20"/>
                <w:szCs w:val="20"/>
                <w:color w:val="auto"/>
              </w:rPr>
            </w:pPr>
            <w:r>
              <w:rPr>
                <w:rFonts w:ascii="Arial" w:cs="Arial" w:eastAsia="Arial" w:hAnsi="Arial"/>
                <w:sz w:val="18"/>
                <w:szCs w:val="18"/>
                <w:color w:val="auto"/>
              </w:rPr>
              <w:t>8 %</w:t>
            </w:r>
          </w:p>
        </w:tc>
        <w:tc>
          <w:tcPr>
            <w:tcW w:w="2220" w:type="dxa"/>
            <w:vAlign w:val="bottom"/>
            <w:gridSpan w:val="3"/>
          </w:tcPr>
          <w:p>
            <w:pPr>
              <w:jc w:val="right"/>
              <w:ind w:right="632"/>
              <w:spacing w:after="0"/>
              <w:rPr>
                <w:sz w:val="20"/>
                <w:szCs w:val="20"/>
                <w:color w:val="auto"/>
              </w:rPr>
            </w:pPr>
            <w:r>
              <w:rPr>
                <w:rFonts w:ascii="Arial" w:cs="Arial" w:eastAsia="Arial" w:hAnsi="Arial"/>
                <w:sz w:val="18"/>
                <w:szCs w:val="18"/>
                <w:color w:val="auto"/>
              </w:rPr>
              <w:t>10 %</w:t>
            </w:r>
          </w:p>
        </w:tc>
        <w:tc>
          <w:tcPr>
            <w:tcW w:w="1660" w:type="dxa"/>
            <w:vAlign w:val="bottom"/>
            <w:gridSpan w:val="2"/>
          </w:tcPr>
          <w:p>
            <w:pPr>
              <w:jc w:val="right"/>
              <w:ind w:right="712"/>
              <w:spacing w:after="0"/>
              <w:rPr>
                <w:sz w:val="20"/>
                <w:szCs w:val="20"/>
                <w:color w:val="auto"/>
              </w:rPr>
            </w:pPr>
            <w:r>
              <w:rPr>
                <w:rFonts w:ascii="Arial" w:cs="Arial" w:eastAsia="Arial" w:hAnsi="Arial"/>
                <w:sz w:val="18"/>
                <w:szCs w:val="18"/>
                <w:color w:val="auto"/>
              </w:rPr>
              <w:t>5 %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9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1 %</w:t>
            </w:r>
          </w:p>
        </w:tc>
        <w:tc>
          <w:tcPr>
            <w:tcW w:w="6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1 %</w:t>
            </w:r>
          </w:p>
        </w:tc>
        <w:tc>
          <w:tcPr>
            <w:tcW w:w="10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94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220" w:type="dxa"/>
            <w:vAlign w:val="bottom"/>
            <w:gridSpan w:val="3"/>
          </w:tcPr>
          <w:p>
            <w:pPr>
              <w:jc w:val="right"/>
              <w:ind w:right="632"/>
              <w:spacing w:after="0"/>
              <w:rPr>
                <w:sz w:val="20"/>
                <w:szCs w:val="20"/>
                <w:color w:val="auto"/>
              </w:rPr>
            </w:pPr>
            <w:r>
              <w:rPr>
                <w:rFonts w:ascii="Arial" w:cs="Arial" w:eastAsia="Arial" w:hAnsi="Arial"/>
                <w:sz w:val="18"/>
                <w:szCs w:val="18"/>
                <w:color w:val="auto"/>
              </w:rPr>
              <w:t>2 %</w:t>
            </w:r>
          </w:p>
        </w:tc>
        <w:tc>
          <w:tcPr>
            <w:tcW w:w="1660" w:type="dxa"/>
            <w:vAlign w:val="bottom"/>
            <w:gridSpan w:val="2"/>
          </w:tcPr>
          <w:p>
            <w:pPr>
              <w:jc w:val="right"/>
              <w:ind w:right="93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1 %</w:t>
            </w:r>
          </w:p>
        </w:tc>
        <w:tc>
          <w:tcPr>
            <w:tcW w:w="166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4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 % change</w:t>
            </w:r>
          </w:p>
        </w:tc>
        <w:tc>
          <w:tcPr>
            <w:tcW w:w="940" w:type="dxa"/>
            <w:vAlign w:val="bottom"/>
            <w:gridSpan w:val="2"/>
          </w:tcPr>
          <w:p>
            <w:pPr>
              <w:jc w:val="right"/>
              <w:ind w:right="52"/>
              <w:spacing w:after="0"/>
              <w:rPr>
                <w:sz w:val="20"/>
                <w:szCs w:val="20"/>
                <w:color w:val="auto"/>
              </w:rPr>
            </w:pPr>
            <w:r>
              <w:rPr>
                <w:rFonts w:ascii="Arial" w:cs="Arial" w:eastAsia="Arial" w:hAnsi="Arial"/>
                <w:sz w:val="18"/>
                <w:szCs w:val="18"/>
                <w:color w:val="auto"/>
              </w:rPr>
              <w:t>12 %</w:t>
            </w:r>
          </w:p>
        </w:tc>
        <w:tc>
          <w:tcPr>
            <w:tcW w:w="2220" w:type="dxa"/>
            <w:vAlign w:val="bottom"/>
            <w:gridSpan w:val="3"/>
          </w:tcPr>
          <w:p>
            <w:pPr>
              <w:jc w:val="right"/>
              <w:ind w:right="632"/>
              <w:spacing w:after="0"/>
              <w:rPr>
                <w:sz w:val="20"/>
                <w:szCs w:val="20"/>
                <w:color w:val="auto"/>
              </w:rPr>
            </w:pPr>
            <w:r>
              <w:rPr>
                <w:rFonts w:ascii="Arial" w:cs="Arial" w:eastAsia="Arial" w:hAnsi="Arial"/>
                <w:sz w:val="18"/>
                <w:szCs w:val="18"/>
                <w:color w:val="auto"/>
              </w:rPr>
              <w:t>16 %</w:t>
            </w:r>
          </w:p>
        </w:tc>
        <w:tc>
          <w:tcPr>
            <w:tcW w:w="1660" w:type="dxa"/>
            <w:vAlign w:val="bottom"/>
            <w:gridSpan w:val="2"/>
          </w:tcPr>
          <w:p>
            <w:pPr>
              <w:jc w:val="right"/>
              <w:ind w:right="712"/>
              <w:spacing w:after="0"/>
              <w:rPr>
                <w:sz w:val="20"/>
                <w:szCs w:val="20"/>
                <w:color w:val="auto"/>
              </w:rPr>
            </w:pPr>
            <w:r>
              <w:rPr>
                <w:rFonts w:ascii="Arial" w:cs="Arial" w:eastAsia="Arial" w:hAnsi="Arial"/>
                <w:sz w:val="18"/>
                <w:szCs w:val="18"/>
                <w:color w:val="auto"/>
              </w:rPr>
              <w:t>7 %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4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2011 Compared with Quarter ended June 30, 2010</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Sales increased $354 million (12%) in the second quarter of 2011, compared with the same period of 2010. The organic sales increase in the quarter was due to an increase in new equipment sales, led by China and Russia, and continued growth in contractual maintenance and repair volume.</w:t>
      </w:r>
    </w:p>
    <w:p>
      <w:pPr>
        <w:spacing w:after="0" w:line="7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Operating profits increased $102 million (16%) in the second quarter of 2011, compared with the same period of 2010. Operational profit improvement in the quarter was primarily due to benefits from higher volume. Ongoing cost reduction initiatives helped to mitigate the impact of lower new equipment pricing.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2011 Compared with Six months ended June 30, 2010</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Sales increased $400 million (7%) in the first six months of 2011, compared with the same period of 2010. The organic sales increase in the period was principally due to an increase in service sales, driven by contractual maintenance and repair volume across all regions.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Operating profits increased $136 million (11%) in the first six months of 2011, compared with the same period of 2010. Operational profit improvement in the period was due primarily to benefits from higher service volume. Ongoing cost reduction initiatives helped to mitigate the impact of lower new equipment pricing.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Carrier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14"/>
                <w:szCs w:val="14"/>
                <w:b w:val="1"/>
                <w:bCs w:val="1"/>
                <w:color w:val="auto"/>
                <w:w w:val="91"/>
              </w:rPr>
              <w:t>Factors Contributing to Total % Change Year-Over-Year in:</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3200" w:type="dxa"/>
            <w:vAlign w:val="bottom"/>
            <w:gridSpan w:val="5"/>
          </w:tcPr>
          <w:p>
            <w:pPr>
              <w:jc w:val="right"/>
              <w:ind w:right="1112"/>
              <w:spacing w:after="0" w:line="142" w:lineRule="exact"/>
              <w:rPr>
                <w:sz w:val="20"/>
                <w:szCs w:val="20"/>
                <w:color w:val="auto"/>
              </w:rPr>
            </w:pPr>
            <w:r>
              <w:rPr>
                <w:rFonts w:ascii="Arial" w:cs="Arial" w:eastAsia="Arial" w:hAnsi="Arial"/>
                <w:sz w:val="14"/>
                <w:szCs w:val="14"/>
                <w:b w:val="1"/>
                <w:bCs w:val="1"/>
                <w:color w:val="auto"/>
              </w:rPr>
              <w:t>Quarter Ended June 30, 2011</w:t>
            </w:r>
          </w:p>
        </w:tc>
        <w:tc>
          <w:tcPr>
            <w:tcW w:w="2460" w:type="dxa"/>
            <w:vAlign w:val="bottom"/>
            <w:gridSpan w:val="3"/>
          </w:tcPr>
          <w:p>
            <w:pPr>
              <w:jc w:val="right"/>
              <w:ind w:right="217"/>
              <w:spacing w:after="0" w:line="142" w:lineRule="exact"/>
              <w:rPr>
                <w:sz w:val="20"/>
                <w:szCs w:val="20"/>
                <w:color w:val="auto"/>
              </w:rPr>
            </w:pPr>
            <w:r>
              <w:rPr>
                <w:rFonts w:ascii="Arial" w:cs="Arial" w:eastAsia="Arial" w:hAnsi="Arial"/>
                <w:sz w:val="14"/>
                <w:szCs w:val="14"/>
                <w:b w:val="1"/>
                <w:bCs w:val="1"/>
                <w:color w:val="auto"/>
                <w:w w:val="98"/>
              </w:rPr>
              <w:t>Six Months Ended June 30, 2011</w:t>
            </w:r>
          </w:p>
        </w:tc>
        <w:tc>
          <w:tcPr>
            <w:tcW w:w="260" w:type="dxa"/>
            <w:vAlign w:val="bottom"/>
          </w:tcPr>
          <w:p>
            <w:pPr>
              <w:spacing w:after="0"/>
              <w:rPr>
                <w:sz w:val="12"/>
                <w:szCs w:val="12"/>
                <w:color w:val="auto"/>
              </w:rPr>
            </w:pPr>
          </w:p>
        </w:tc>
      </w:tr>
      <w:tr>
        <w:trPr>
          <w:trHeight w:val="129"/>
        </w:trPr>
        <w:tc>
          <w:tcPr>
            <w:tcW w:w="45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Operating</w:t>
            </w:r>
          </w:p>
        </w:tc>
        <w:tc>
          <w:tcPr>
            <w:tcW w:w="9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1"/>
                <w:szCs w:val="11"/>
                <w:color w:val="auto"/>
              </w:rPr>
            </w:pPr>
          </w:p>
        </w:tc>
      </w:tr>
      <w:tr>
        <w:trPr>
          <w:trHeight w:val="161"/>
        </w:trPr>
        <w:tc>
          <w:tcPr>
            <w:tcW w:w="4580" w:type="dxa"/>
            <w:vAlign w:val="bottom"/>
          </w:tcPr>
          <w:p>
            <w:pPr>
              <w:spacing w:after="0"/>
              <w:rPr>
                <w:sz w:val="14"/>
                <w:szCs w:val="14"/>
                <w:color w:val="auto"/>
              </w:rPr>
            </w:pPr>
          </w:p>
        </w:tc>
        <w:tc>
          <w:tcPr>
            <w:tcW w:w="9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w w:val="88"/>
              </w:rPr>
              <w:t>Net Sales</w:t>
            </w:r>
          </w:p>
        </w:tc>
        <w:tc>
          <w:tcPr>
            <w:tcW w:w="620" w:type="dxa"/>
            <w:vAlign w:val="bottom"/>
          </w:tcPr>
          <w:p>
            <w:pPr>
              <w:spacing w:after="0"/>
              <w:rPr>
                <w:sz w:val="14"/>
                <w:szCs w:val="14"/>
                <w:color w:val="auto"/>
              </w:rPr>
            </w:pPr>
          </w:p>
        </w:tc>
        <w:tc>
          <w:tcPr>
            <w:tcW w:w="1620" w:type="dxa"/>
            <w:vAlign w:val="bottom"/>
            <w:gridSpan w:val="2"/>
          </w:tcPr>
          <w:p>
            <w:pPr>
              <w:jc w:val="right"/>
              <w:ind w:right="972"/>
              <w:spacing w:after="0"/>
              <w:rPr>
                <w:sz w:val="20"/>
                <w:szCs w:val="20"/>
                <w:color w:val="auto"/>
              </w:rPr>
            </w:pPr>
            <w:r>
              <w:rPr>
                <w:rFonts w:ascii="Arial" w:cs="Arial" w:eastAsia="Arial" w:hAnsi="Arial"/>
                <w:sz w:val="14"/>
                <w:szCs w:val="14"/>
                <w:b w:val="1"/>
                <w:bCs w:val="1"/>
                <w:color w:val="auto"/>
              </w:rPr>
              <w:t>Profits</w:t>
            </w:r>
          </w:p>
        </w:tc>
        <w:tc>
          <w:tcPr>
            <w:tcW w:w="1660" w:type="dxa"/>
            <w:vAlign w:val="bottom"/>
            <w:gridSpan w:val="2"/>
          </w:tcPr>
          <w:p>
            <w:pPr>
              <w:jc w:val="right"/>
              <w:ind w:right="972"/>
              <w:spacing w:after="0"/>
              <w:rPr>
                <w:sz w:val="20"/>
                <w:szCs w:val="20"/>
                <w:color w:val="auto"/>
              </w:rPr>
            </w:pPr>
            <w:r>
              <w:rPr>
                <w:rFonts w:ascii="Arial" w:cs="Arial" w:eastAsia="Arial" w:hAnsi="Arial"/>
                <w:sz w:val="14"/>
                <w:szCs w:val="14"/>
                <w:b w:val="1"/>
                <w:bCs w:val="1"/>
                <w:color w:val="auto"/>
                <w:w w:val="91"/>
              </w:rPr>
              <w:t>Net Sales</w:t>
            </w:r>
          </w:p>
        </w:tc>
        <w:tc>
          <w:tcPr>
            <w:tcW w:w="106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Profits</w:t>
            </w: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Organic sales / Operational operating profit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top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900" w:type="dxa"/>
            <w:vAlign w:val="bottom"/>
            <w:tcBorders>
              <w:top w:val="single" w:sz="8" w:color="CCEEFF"/>
            </w:tcBorders>
            <w:shd w:val="clear" w:color="auto" w:fill="CCEEFF"/>
          </w:tcPr>
          <w:p>
            <w:pPr>
              <w:jc w:val="right"/>
              <w:ind w:right="672"/>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80" w:type="dxa"/>
            <w:vAlign w:val="bottom"/>
            <w:tcBorders>
              <w:top w:val="single" w:sz="8" w:color="CCEEFF"/>
            </w:tcBorders>
            <w:shd w:val="clear" w:color="auto" w:fill="CCEEFF"/>
          </w:tcPr>
          <w:p>
            <w:pPr>
              <w:jc w:val="right"/>
              <w:ind w:right="752"/>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5 %</w:t>
            </w:r>
          </w:p>
        </w:tc>
        <w:tc>
          <w:tcPr>
            <w:tcW w:w="2240" w:type="dxa"/>
            <w:vAlign w:val="bottom"/>
            <w:gridSpan w:val="3"/>
          </w:tcPr>
          <w:p>
            <w:pPr>
              <w:jc w:val="right"/>
              <w:ind w:right="672"/>
              <w:spacing w:after="0"/>
              <w:rPr>
                <w:sz w:val="20"/>
                <w:szCs w:val="20"/>
                <w:color w:val="auto"/>
              </w:rPr>
            </w:pPr>
            <w:r>
              <w:rPr>
                <w:rFonts w:ascii="Arial" w:cs="Arial" w:eastAsia="Arial" w:hAnsi="Arial"/>
                <w:sz w:val="18"/>
                <w:szCs w:val="18"/>
                <w:color w:val="auto"/>
              </w:rPr>
              <w:t>5 %</w:t>
            </w:r>
          </w:p>
        </w:tc>
        <w:tc>
          <w:tcPr>
            <w:tcW w:w="1660" w:type="dxa"/>
            <w:vAlign w:val="bottom"/>
            <w:gridSpan w:val="2"/>
          </w:tcPr>
          <w:p>
            <w:pPr>
              <w:jc w:val="right"/>
              <w:ind w:right="752"/>
              <w:spacing w:after="0"/>
              <w:rPr>
                <w:sz w:val="20"/>
                <w:szCs w:val="20"/>
                <w:color w:val="auto"/>
              </w:rPr>
            </w:pPr>
            <w:r>
              <w:rPr>
                <w:rFonts w:ascii="Arial" w:cs="Arial" w:eastAsia="Arial" w:hAnsi="Arial"/>
                <w:sz w:val="18"/>
                <w:szCs w:val="18"/>
                <w:color w:val="auto"/>
              </w:rPr>
              <w:t>3 %</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4 %</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224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(5)%</w:t>
            </w:r>
          </w:p>
        </w:tc>
        <w:tc>
          <w:tcPr>
            <w:tcW w:w="16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96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2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1 %</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11 %</w:t>
            </w:r>
          </w:p>
        </w:tc>
        <w:tc>
          <w:tcPr>
            <w:tcW w:w="166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11 %</w:t>
            </w:r>
          </w:p>
        </w:tc>
      </w:tr>
      <w:tr>
        <w:trPr>
          <w:trHeight w:val="20"/>
        </w:trPr>
        <w:tc>
          <w:tcPr>
            <w:tcW w:w="4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Total % change</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10 %</w:t>
            </w:r>
          </w:p>
        </w:tc>
        <w:tc>
          <w:tcPr>
            <w:tcW w:w="2240" w:type="dxa"/>
            <w:vAlign w:val="bottom"/>
            <w:gridSpan w:val="3"/>
          </w:tcPr>
          <w:p>
            <w:pPr>
              <w:jc w:val="right"/>
              <w:ind w:right="672"/>
              <w:spacing w:after="0"/>
              <w:rPr>
                <w:sz w:val="20"/>
                <w:szCs w:val="20"/>
                <w:color w:val="auto"/>
              </w:rPr>
            </w:pPr>
            <w:r>
              <w:rPr>
                <w:rFonts w:ascii="Arial" w:cs="Arial" w:eastAsia="Arial" w:hAnsi="Arial"/>
                <w:sz w:val="18"/>
                <w:szCs w:val="18"/>
                <w:color w:val="auto"/>
              </w:rPr>
              <w:t>38 %</w:t>
            </w:r>
          </w:p>
        </w:tc>
        <w:tc>
          <w:tcPr>
            <w:tcW w:w="1660" w:type="dxa"/>
            <w:vAlign w:val="bottom"/>
            <w:gridSpan w:val="2"/>
          </w:tcPr>
          <w:p>
            <w:pPr>
              <w:jc w:val="right"/>
              <w:ind w:right="752"/>
              <w:spacing w:after="0"/>
              <w:rPr>
                <w:sz w:val="20"/>
                <w:szCs w:val="20"/>
                <w:color w:val="auto"/>
              </w:rPr>
            </w:pPr>
            <w:r>
              <w:rPr>
                <w:rFonts w:ascii="Arial" w:cs="Arial" w:eastAsia="Arial" w:hAnsi="Arial"/>
                <w:sz w:val="18"/>
                <w:szCs w:val="18"/>
                <w:color w:val="auto"/>
              </w:rPr>
              <w:t>11 %</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63 %</w:t>
            </w:r>
          </w:p>
        </w:tc>
      </w:tr>
      <w:tr>
        <w:trPr>
          <w:trHeight w:val="20"/>
        </w:trPr>
        <w:tc>
          <w:tcPr>
            <w:tcW w:w="4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2011 Compared with Quarter ended June 30, 2010</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Sales increased $300 million (10%) in the second quarter of 2011, compared with the same period of 2010. Organic sales growth of 11% was driven primarily by improvement in the transport refrigeration markets. The 6% decrease in “Acquisitions and divestitures, net” reflects the net year-over-year impact from acquisitions and divestitures completed in the preceding twelve months.</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Operating profit increased $125 million (38%) in the second quarter of 2011, compared with the same period of 2010. Operational profit improvement of 27% was driven by volume, strong conversion from continued productivity and cost reduction, and $15 million earnings improvement in Carrier’s Japan joint venture. This was partly offset by higher net commodity costs (7%). The 11% increase in “Other” primarily reflects the net year-over-year impact of items associated with Carrier’s ongoing portfolio transformation. Included in “Other” is the absence of an asset impairment charge of approximately $58 million associated with the disposition of a business, partially offset by a gain on the sale of another business, both of which were recorded in the second quarter of 2010.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2011 Compared with Six months ended June 30, 2010</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Sales increased $599 million (11%) in the first six months of 2011, compared with the same period of 2010. Organic sales growth of 14% was driven primarily by improvements in the transport refrigeration markets. The 6% decrease in “Acquisitions and divestitures, net” reflects the net year-over-year impact from acquisitions and divestitures completed in the preceding twelve months.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Operating profit increased $296 million (63%) in the first six months of 2011, compared with the same period of 2010. Operational profit improvement of 52% was driven by volume, strong conversion from continued productivity and cost reduction and approximately $35 million of earnings improvement in Carrier’s Japan joint venture. This was partly offset by higher net commodity costs (14%). The 11% increase in “Other” primarily reflects the net year-over-year impact of items associated with Carrier’s ongoing portfolio transformation. Included in “Other” is the absence of an asset impairment charge of approximately $58 million associated with the disposition of a business, partially offset by a gain on the sale of another business, both of which were recorded in the second quarter of 2010.</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Fire &amp; Security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4"/>
                <w:szCs w:val="14"/>
                <w:b w:val="1"/>
                <w:bCs w:val="1"/>
                <w:color w:val="auto"/>
                <w:w w:val="91"/>
              </w:rPr>
              <w:t>Factors Contributing to Total % Change Year-Over-Year in:</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3200" w:type="dxa"/>
            <w:vAlign w:val="bottom"/>
            <w:gridSpan w:val="5"/>
          </w:tcPr>
          <w:p>
            <w:pPr>
              <w:jc w:val="right"/>
              <w:ind w:right="1200"/>
              <w:spacing w:after="0" w:line="142" w:lineRule="exact"/>
              <w:rPr>
                <w:sz w:val="20"/>
                <w:szCs w:val="20"/>
                <w:color w:val="auto"/>
              </w:rPr>
            </w:pPr>
            <w:r>
              <w:rPr>
                <w:rFonts w:ascii="Arial" w:cs="Arial" w:eastAsia="Arial" w:hAnsi="Arial"/>
                <w:sz w:val="14"/>
                <w:szCs w:val="14"/>
                <w:b w:val="1"/>
                <w:bCs w:val="1"/>
                <w:color w:val="auto"/>
              </w:rPr>
              <w:t>Quarter Ended June 30, 2011</w:t>
            </w:r>
          </w:p>
        </w:tc>
        <w:tc>
          <w:tcPr>
            <w:tcW w:w="248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99"/>
              </w:rPr>
              <w:t>Six Months Ended June 30, 2011</w:t>
            </w:r>
          </w:p>
        </w:tc>
        <w:tc>
          <w:tcPr>
            <w:tcW w:w="200" w:type="dxa"/>
            <w:vAlign w:val="bottom"/>
          </w:tcPr>
          <w:p>
            <w:pPr>
              <w:spacing w:after="0"/>
              <w:rPr>
                <w:sz w:val="12"/>
                <w:szCs w:val="12"/>
                <w:color w:val="auto"/>
              </w:rPr>
            </w:pPr>
          </w:p>
        </w:tc>
      </w:tr>
      <w:tr>
        <w:trPr>
          <w:trHeight w:val="129"/>
        </w:trPr>
        <w:tc>
          <w:tcPr>
            <w:tcW w:w="46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Operating</w:t>
            </w:r>
          </w:p>
        </w:tc>
        <w:tc>
          <w:tcPr>
            <w:tcW w:w="9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Operating</w:t>
            </w:r>
          </w:p>
        </w:tc>
        <w:tc>
          <w:tcPr>
            <w:tcW w:w="200" w:type="dxa"/>
            <w:vAlign w:val="bottom"/>
          </w:tcPr>
          <w:p>
            <w:pPr>
              <w:spacing w:after="0"/>
              <w:rPr>
                <w:sz w:val="11"/>
                <w:szCs w:val="11"/>
                <w:color w:val="auto"/>
              </w:rPr>
            </w:pPr>
          </w:p>
        </w:tc>
      </w:tr>
      <w:tr>
        <w:trPr>
          <w:trHeight w:val="161"/>
        </w:trPr>
        <w:tc>
          <w:tcPr>
            <w:tcW w:w="46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Net Sales</w:t>
            </w:r>
          </w:p>
        </w:tc>
        <w:tc>
          <w:tcPr>
            <w:tcW w:w="3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Profits</w:t>
            </w:r>
          </w:p>
        </w:tc>
        <w:tc>
          <w:tcPr>
            <w:tcW w:w="9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Net Sales</w:t>
            </w:r>
          </w:p>
        </w:tc>
        <w:tc>
          <w:tcPr>
            <w:tcW w:w="9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Profits</w:t>
            </w:r>
          </w:p>
        </w:tc>
        <w:tc>
          <w:tcPr>
            <w:tcW w:w="200" w:type="dxa"/>
            <w:vAlign w:val="bottom"/>
            <w:tcBorders>
              <w:bottom w:val="single" w:sz="8" w:color="CCEEFF"/>
            </w:tcBorders>
          </w:tcPr>
          <w:p>
            <w:pPr>
              <w:spacing w:after="0"/>
              <w:rPr>
                <w:sz w:val="14"/>
                <w:szCs w:val="14"/>
                <w:color w:val="auto"/>
              </w:rPr>
            </w:pPr>
          </w:p>
        </w:tc>
      </w:tr>
      <w:tr>
        <w:trPr>
          <w:trHeight w:val="210"/>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Organic sales / Operational operating profit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4"/>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8 %</w:t>
            </w:r>
          </w:p>
        </w:tc>
        <w:tc>
          <w:tcPr>
            <w:tcW w:w="2240" w:type="dxa"/>
            <w:vAlign w:val="bottom"/>
            <w:gridSpan w:val="3"/>
          </w:tcPr>
          <w:p>
            <w:pPr>
              <w:jc w:val="right"/>
              <w:ind w:right="760"/>
              <w:spacing w:after="0"/>
              <w:rPr>
                <w:sz w:val="20"/>
                <w:szCs w:val="20"/>
                <w:color w:val="auto"/>
              </w:rPr>
            </w:pPr>
            <w:r>
              <w:rPr>
                <w:rFonts w:ascii="Arial" w:cs="Arial" w:eastAsia="Arial" w:hAnsi="Arial"/>
                <w:sz w:val="18"/>
                <w:szCs w:val="18"/>
                <w:color w:val="auto"/>
              </w:rPr>
              <w:t>8 %</w:t>
            </w:r>
          </w:p>
        </w:tc>
        <w:tc>
          <w:tcPr>
            <w:tcW w:w="1680" w:type="dxa"/>
            <w:vAlign w:val="bottom"/>
            <w:gridSpan w:val="2"/>
          </w:tcPr>
          <w:p>
            <w:pPr>
              <w:jc w:val="right"/>
              <w:ind w:right="752"/>
              <w:spacing w:after="0"/>
              <w:rPr>
                <w:sz w:val="20"/>
                <w:szCs w:val="20"/>
                <w:color w:val="auto"/>
              </w:rPr>
            </w:pPr>
            <w:r>
              <w:rPr>
                <w:rFonts w:ascii="Arial" w:cs="Arial" w:eastAsia="Arial" w:hAnsi="Arial"/>
                <w:sz w:val="18"/>
                <w:szCs w:val="18"/>
                <w:color w:val="auto"/>
              </w:rPr>
              <w:t>5 %</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22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16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4 %</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1 %</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96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2240" w:type="dxa"/>
            <w:vAlign w:val="bottom"/>
            <w:gridSpan w:val="3"/>
          </w:tcPr>
          <w:p>
            <w:pPr>
              <w:jc w:val="right"/>
              <w:ind w:right="760"/>
              <w:spacing w:after="0"/>
              <w:rPr>
                <w:sz w:val="20"/>
                <w:szCs w:val="20"/>
                <w:color w:val="auto"/>
              </w:rPr>
            </w:pPr>
            <w:r>
              <w:rPr>
                <w:rFonts w:ascii="Arial" w:cs="Arial" w:eastAsia="Arial" w:hAnsi="Arial"/>
                <w:sz w:val="18"/>
                <w:szCs w:val="18"/>
                <w:color w:val="auto"/>
              </w:rPr>
              <w:t>6 %</w:t>
            </w:r>
          </w:p>
        </w:tc>
        <w:tc>
          <w:tcPr>
            <w:tcW w:w="1680" w:type="dxa"/>
            <w:vAlign w:val="bottom"/>
            <w:gridSpan w:val="2"/>
          </w:tcPr>
          <w:p>
            <w:pPr>
              <w:jc w:val="right"/>
              <w:ind w:right="99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2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18 %</w:t>
            </w:r>
          </w:p>
        </w:tc>
        <w:tc>
          <w:tcPr>
            <w:tcW w:w="168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15 %</w:t>
            </w:r>
          </w:p>
        </w:tc>
      </w:tr>
      <w:tr>
        <w:trPr>
          <w:trHeight w:val="20"/>
        </w:trPr>
        <w:tc>
          <w:tcPr>
            <w:tcW w:w="4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 % change</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8 %</w:t>
            </w:r>
          </w:p>
        </w:tc>
        <w:tc>
          <w:tcPr>
            <w:tcW w:w="2240" w:type="dxa"/>
            <w:vAlign w:val="bottom"/>
            <w:gridSpan w:val="3"/>
          </w:tcPr>
          <w:p>
            <w:pPr>
              <w:jc w:val="right"/>
              <w:ind w:right="760"/>
              <w:spacing w:after="0"/>
              <w:rPr>
                <w:sz w:val="20"/>
                <w:szCs w:val="20"/>
                <w:color w:val="auto"/>
              </w:rPr>
            </w:pPr>
            <w:r>
              <w:rPr>
                <w:rFonts w:ascii="Arial" w:cs="Arial" w:eastAsia="Arial" w:hAnsi="Arial"/>
                <w:sz w:val="18"/>
                <w:szCs w:val="18"/>
                <w:color w:val="auto"/>
              </w:rPr>
              <w:t>23 %</w:t>
            </w:r>
          </w:p>
        </w:tc>
        <w:tc>
          <w:tcPr>
            <w:tcW w:w="1680" w:type="dxa"/>
            <w:vAlign w:val="bottom"/>
            <w:gridSpan w:val="2"/>
          </w:tcPr>
          <w:p>
            <w:pPr>
              <w:jc w:val="right"/>
              <w:ind w:right="752"/>
              <w:spacing w:after="0"/>
              <w:rPr>
                <w:sz w:val="20"/>
                <w:szCs w:val="20"/>
                <w:color w:val="auto"/>
              </w:rPr>
            </w:pPr>
            <w:r>
              <w:rPr>
                <w:rFonts w:ascii="Arial" w:cs="Arial" w:eastAsia="Arial" w:hAnsi="Arial"/>
                <w:sz w:val="18"/>
                <w:szCs w:val="18"/>
                <w:color w:val="auto"/>
              </w:rPr>
              <w:t>11 %</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26 %</w:t>
            </w:r>
          </w:p>
        </w:tc>
      </w:tr>
      <w:tr>
        <w:trPr>
          <w:trHeight w:val="20"/>
        </w:trPr>
        <w:tc>
          <w:tcPr>
            <w:tcW w:w="4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2011 Compared with Quarter ended June 30, 2010</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Sales increased $131 million (8%) in the second quarter of 2011, compared with the same period of 2010. The 4% organic sales growth reflects increases within both the products businesses (3%) and the service and install businesses (1%). Among the service and install businesses, the organic growth was driven by stronger volume in Asia and Australia, partially offset by declines in the U.K. The decrease contributed by “Acquisitions and divestitures, net” in the second quarter of 2011 reflects the net year-over-year impact from acquisitions and divestitures completed in the preceding twelve months, primarily due to the divestiture in March 2011 of the U.K. Guarding business.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Operating profits increased $38 million (23%) in the second quarter of 2011, as compared with the same period of 2010. The 8% operational profit decline reflects lower results in the U.K. due to a decline in sales and productivity, partially offset by the benefits of higher sales volume across other businesses. The decrease contributed by “Acquisitions and divestitures, net” in the second quarter of 2011 reflects the net year-over-year impact from acquisitions and divestitures completed in the preceding twelve months, primarily due to the divestiture in March 2011 of the U.K. Guarding business. The increase contributed by “Other” is primarily related to the favorable resolution of litigation.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2011 Compared with Six months ended June 30, 2010</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Sales increased $344 million (11%) in the first six months of 2011, compared with the same period of 2010. Organically, the sales increase reflects growth in the products businesses (2%) and the service and install businesses (1%). Among the service and install businesses, the organic growth was driven by stronger volume in Asia and Australia, partially offset by declines in the U.K. The increase contributed by “Acquisitions and divestitures, net” in the first six months of 2011 reflects the net year-over-year impact from acquisitions and divestitures completed in the preceding twelve months.</w:t>
      </w:r>
    </w:p>
    <w:p>
      <w:pPr>
        <w:spacing w:after="0" w:line="11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Operating profits increased $77 million (26%) for the first six months of 2011, compared with the same period of 2010. Operational profit was flat year-over-year, reflecting the benefits of higher sales volume across most businesses, offset by lower results in the U.K. due to lower sales and productivity. The increase contributed by “Acquisitions and divestitures, net” in the first six months of 2011 reflects the net year-over-year impact from acquisitions and divestitures completed in the preceding twelve months. The increase contributed by “Other” was primarily related to the favorable resolution of litigation in the second quarter of 2011 combined with the gain in the first quarter of 2011 on the disposition of the U.K. Guarding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14"/>
                <w:szCs w:val="14"/>
                <w:b w:val="1"/>
                <w:bCs w:val="1"/>
                <w:color w:val="auto"/>
                <w:w w:val="91"/>
              </w:rPr>
              <w:t>Factors Contributing to Total % Change Year-Over-Year in:</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00" w:type="dxa"/>
            <w:vAlign w:val="bottom"/>
            <w:gridSpan w:val="5"/>
          </w:tcPr>
          <w:p>
            <w:pPr>
              <w:jc w:val="right"/>
              <w:ind w:right="1200"/>
              <w:spacing w:after="0" w:line="142" w:lineRule="exact"/>
              <w:rPr>
                <w:sz w:val="20"/>
                <w:szCs w:val="20"/>
                <w:color w:val="auto"/>
              </w:rPr>
            </w:pPr>
            <w:r>
              <w:rPr>
                <w:rFonts w:ascii="Arial" w:cs="Arial" w:eastAsia="Arial" w:hAnsi="Arial"/>
                <w:sz w:val="14"/>
                <w:szCs w:val="14"/>
                <w:b w:val="1"/>
                <w:bCs w:val="1"/>
                <w:color w:val="auto"/>
              </w:rPr>
              <w:t>Quarter Ended June 30, 2011</w:t>
            </w:r>
          </w:p>
        </w:tc>
        <w:tc>
          <w:tcPr>
            <w:tcW w:w="246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98"/>
              </w:rPr>
              <w:t>Six Months Ended June 30, 2011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Operating</w:t>
            </w:r>
          </w:p>
        </w:tc>
        <w:tc>
          <w:tcPr>
            <w:tcW w:w="9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Net Sales</w:t>
            </w:r>
          </w:p>
        </w:tc>
        <w:tc>
          <w:tcPr>
            <w:tcW w:w="3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Profits</w:t>
            </w:r>
          </w:p>
        </w:tc>
        <w:tc>
          <w:tcPr>
            <w:tcW w:w="9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Net Sales</w:t>
            </w:r>
          </w:p>
        </w:tc>
        <w:tc>
          <w:tcPr>
            <w:tcW w:w="9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Profits</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Organic sales* / Operational operating profit*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4"/>
              </w:rPr>
              <w:t>%</w:t>
            </w: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8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4"/>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Foreign currency (including P&amp;WC net hedging)*</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(1)%</w:t>
            </w:r>
          </w:p>
        </w:tc>
        <w:tc>
          <w:tcPr>
            <w:tcW w:w="2240" w:type="dxa"/>
            <w:vAlign w:val="bottom"/>
            <w:gridSpan w:val="3"/>
          </w:tcPr>
          <w:p>
            <w:pPr>
              <w:jc w:val="right"/>
              <w:ind w:right="700"/>
              <w:spacing w:after="0"/>
              <w:rPr>
                <w:sz w:val="20"/>
                <w:szCs w:val="20"/>
                <w:color w:val="auto"/>
              </w:rPr>
            </w:pPr>
            <w:r>
              <w:rPr>
                <w:rFonts w:ascii="Arial" w:cs="Arial" w:eastAsia="Arial" w:hAnsi="Arial"/>
                <w:sz w:val="18"/>
                <w:szCs w:val="18"/>
                <w:color w:val="auto"/>
              </w:rPr>
              <w:t>(1)%</w:t>
            </w:r>
          </w:p>
        </w:tc>
        <w:tc>
          <w:tcPr>
            <w:tcW w:w="1660" w:type="dxa"/>
            <w:vAlign w:val="bottom"/>
            <w:gridSpan w:val="2"/>
          </w:tcPr>
          <w:p>
            <w:pPr>
              <w:jc w:val="right"/>
              <w:ind w:right="692"/>
              <w:spacing w:after="0"/>
              <w:rPr>
                <w:sz w:val="20"/>
                <w:szCs w:val="20"/>
                <w:color w:val="auto"/>
              </w:rPr>
            </w:pPr>
            <w:r>
              <w:rPr>
                <w:rFonts w:ascii="Arial" w:cs="Arial" w:eastAsia="Arial" w:hAnsi="Arial"/>
                <w:sz w:val="18"/>
                <w:szCs w:val="18"/>
                <w:color w:val="auto"/>
              </w:rPr>
              <w:t>(1)%</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costs</w:t>
            </w:r>
          </w:p>
        </w:tc>
        <w:tc>
          <w:tcPr>
            <w:tcW w:w="9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2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w:t>
            </w:r>
          </w:p>
        </w:tc>
        <w:tc>
          <w:tcPr>
            <w:tcW w:w="166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9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5 %</w:t>
            </w:r>
          </w:p>
        </w:tc>
        <w:tc>
          <w:tcPr>
            <w:tcW w:w="22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(13)%</w:t>
            </w:r>
          </w:p>
        </w:tc>
        <w:tc>
          <w:tcPr>
            <w:tcW w:w="16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7 %</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right="100" w:hanging="212"/>
        <w:spacing w:after="0" w:line="256"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As discussed further in the “Business Overview” and “Results of Operations” sections of Management’s Discussion and Analysis of Financial Condition and Results of Operations, for Pratt &amp; Whitney only, the transactional impact of foreign exchange hedging at P&amp;WC has been netted against the translational foreign exchange impact for presentation purposes in the above table. For all other segments, these foreign exchange transactional impacts are included within the organic sales/operational operating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right="260"/>
        <w:spacing w:after="0" w:line="268" w:lineRule="auto"/>
        <w:rPr>
          <w:sz w:val="20"/>
          <w:szCs w:val="20"/>
          <w:color w:val="auto"/>
        </w:rPr>
      </w:pPr>
      <w:r>
        <w:rPr>
          <w:rFonts w:ascii="Arial" w:cs="Arial" w:eastAsia="Arial" w:hAnsi="Arial"/>
          <w:sz w:val="18"/>
          <w:szCs w:val="18"/>
          <w:i w:val="1"/>
          <w:iCs w:val="1"/>
          <w:color w:val="auto"/>
        </w:rPr>
        <w:t>profit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2011 Compared with Quarter ended June 30, 2010</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Sales increased $173 million (5%) in the second quarter of 2011, compared with the same period of 2010. Organic sales growth in the quarter was primarily attributable to higher overall aftermarket volumes.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Operating profits decreased $68 million (13%) in the second quarter of 2011, compared with the same period of 2010. The 6% operational profit decrease was primarily driven by higher research and development costs (13%) and unfavorable engine mix (14%) partially offset by the benefit from higher sales volumes (21%), driven by higher overall aftermarket volume.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2011 Compared with Six months ended June 30, 2010</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Sales increased $427 million (7%) in the first six months of 2011, compared with the same period of 2010. The organic sales growth was primarily attributable to an increase in the large commercial engine business (7%) and P&amp;WC (3%) driven by higher overall aftermarket volumes. These increases were partially offset by a decline in the military engine business (2%) driven by lower military engine deliveries.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Operating profits decreased $33 million (3%) in the first six months of 2011, compared with the same period of 2010. The operational profit decline (3%) was primarily driven by the unfavorable impact of higher research and development cost (15%) and unfavorable engine mix (8%), mostly offset by the benefit from higher overall sales volumes (20%), led by increased commercial spares and aftermarket volumes. The 2% contributed by “Other” reflects a gain on the sale of an equity interest in a venture in the first quarter of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4"/>
                <w:szCs w:val="14"/>
                <w:b w:val="1"/>
                <w:bCs w:val="1"/>
                <w:color w:val="auto"/>
                <w:w w:val="92"/>
              </w:rPr>
              <w:t>Factors Contributing to Total % Change Year-Over-Year in:</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160" w:type="dxa"/>
            <w:vAlign w:val="bottom"/>
            <w:gridSpan w:val="5"/>
          </w:tcPr>
          <w:p>
            <w:pPr>
              <w:jc w:val="right"/>
              <w:ind w:right="1072"/>
              <w:spacing w:after="0" w:line="142" w:lineRule="exact"/>
              <w:rPr>
                <w:sz w:val="20"/>
                <w:szCs w:val="20"/>
                <w:color w:val="auto"/>
              </w:rPr>
            </w:pPr>
            <w:r>
              <w:rPr>
                <w:rFonts w:ascii="Arial" w:cs="Arial" w:eastAsia="Arial" w:hAnsi="Arial"/>
                <w:sz w:val="14"/>
                <w:szCs w:val="14"/>
                <w:b w:val="1"/>
                <w:bCs w:val="1"/>
                <w:color w:val="auto"/>
              </w:rPr>
              <w:t>Quarter Ended June 30, 2011</w:t>
            </w:r>
          </w:p>
        </w:tc>
        <w:tc>
          <w:tcPr>
            <w:tcW w:w="2480" w:type="dxa"/>
            <w:vAlign w:val="bottom"/>
            <w:gridSpan w:val="3"/>
          </w:tcPr>
          <w:p>
            <w:pPr>
              <w:jc w:val="right"/>
              <w:ind w:right="218"/>
              <w:spacing w:after="0" w:line="142" w:lineRule="exact"/>
              <w:rPr>
                <w:sz w:val="20"/>
                <w:szCs w:val="20"/>
                <w:color w:val="auto"/>
              </w:rPr>
            </w:pPr>
            <w:r>
              <w:rPr>
                <w:rFonts w:ascii="Arial" w:cs="Arial" w:eastAsia="Arial" w:hAnsi="Arial"/>
                <w:sz w:val="14"/>
                <w:szCs w:val="14"/>
                <w:b w:val="1"/>
                <w:bCs w:val="1"/>
                <w:color w:val="auto"/>
                <w:w w:val="99"/>
              </w:rPr>
              <w:t>Six Months Ended June 30,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w w:val="99"/>
              </w:rPr>
              <w:t>Operating</w:t>
            </w:r>
          </w:p>
        </w:tc>
        <w:tc>
          <w:tcPr>
            <w:tcW w:w="8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w w:val="88"/>
              </w:rPr>
              <w:t>Net Sales</w:t>
            </w:r>
          </w:p>
        </w:tc>
        <w:tc>
          <w:tcPr>
            <w:tcW w:w="600" w:type="dxa"/>
            <w:vAlign w:val="bottom"/>
          </w:tcPr>
          <w:p>
            <w:pPr>
              <w:spacing w:after="0"/>
              <w:rPr>
                <w:sz w:val="14"/>
                <w:szCs w:val="14"/>
                <w:color w:val="auto"/>
              </w:rPr>
            </w:pPr>
          </w:p>
        </w:tc>
        <w:tc>
          <w:tcPr>
            <w:tcW w:w="1620" w:type="dxa"/>
            <w:vAlign w:val="bottom"/>
            <w:gridSpan w:val="2"/>
          </w:tcPr>
          <w:p>
            <w:pPr>
              <w:jc w:val="right"/>
              <w:ind w:right="952"/>
              <w:spacing w:after="0"/>
              <w:rPr>
                <w:sz w:val="20"/>
                <w:szCs w:val="20"/>
                <w:color w:val="auto"/>
              </w:rPr>
            </w:pPr>
            <w:r>
              <w:rPr>
                <w:rFonts w:ascii="Arial" w:cs="Arial" w:eastAsia="Arial" w:hAnsi="Arial"/>
                <w:sz w:val="14"/>
                <w:szCs w:val="14"/>
                <w:b w:val="1"/>
                <w:bCs w:val="1"/>
                <w:color w:val="auto"/>
              </w:rPr>
              <w:t>Profits</w:t>
            </w:r>
          </w:p>
        </w:tc>
        <w:tc>
          <w:tcPr>
            <w:tcW w:w="1660" w:type="dxa"/>
            <w:vAlign w:val="bottom"/>
            <w:gridSpan w:val="2"/>
          </w:tcPr>
          <w:p>
            <w:pPr>
              <w:jc w:val="right"/>
              <w:ind w:right="952"/>
              <w:spacing w:after="0"/>
              <w:rPr>
                <w:sz w:val="20"/>
                <w:szCs w:val="20"/>
                <w:color w:val="auto"/>
              </w:rPr>
            </w:pPr>
            <w:r>
              <w:rPr>
                <w:rFonts w:ascii="Arial" w:cs="Arial" w:eastAsia="Arial" w:hAnsi="Arial"/>
                <w:sz w:val="14"/>
                <w:szCs w:val="14"/>
                <w:b w:val="1"/>
                <w:bCs w:val="1"/>
                <w:color w:val="auto"/>
                <w:w w:val="95"/>
              </w:rPr>
              <w:t>Net Sales</w:t>
            </w:r>
          </w:p>
        </w:tc>
        <w:tc>
          <w:tcPr>
            <w:tcW w:w="10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Profits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Organic sales / Operational operating profit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top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4"/>
              </w:rPr>
              <w:t>%</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60" w:type="dxa"/>
            <w:vAlign w:val="bottom"/>
            <w:tcBorders>
              <w:top w:val="single" w:sz="8" w:color="CCEEFF"/>
            </w:tcBorders>
            <w:shd w:val="clear" w:color="auto" w:fill="CCEEFF"/>
          </w:tcPr>
          <w:p>
            <w:pPr>
              <w:jc w:val="right"/>
              <w:ind w:right="632"/>
              <w:spacing w:after="0"/>
              <w:rPr>
                <w:sz w:val="20"/>
                <w:szCs w:val="20"/>
                <w:color w:val="auto"/>
              </w:rPr>
            </w:pPr>
            <w:r>
              <w:rPr>
                <w:rFonts w:ascii="Arial" w:cs="Arial" w:eastAsia="Arial" w:hAnsi="Arial"/>
                <w:sz w:val="18"/>
                <w:szCs w:val="18"/>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40" w:type="dxa"/>
            <w:vAlign w:val="bottom"/>
            <w:tcBorders>
              <w:top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gridSpan w:val="2"/>
          </w:tcPr>
          <w:p>
            <w:pPr>
              <w:jc w:val="right"/>
              <w:ind w:right="52"/>
              <w:spacing w:after="0"/>
              <w:rPr>
                <w:sz w:val="20"/>
                <w:szCs w:val="20"/>
                <w:color w:val="auto"/>
              </w:rPr>
            </w:pPr>
            <w:r>
              <w:rPr>
                <w:rFonts w:ascii="Arial" w:cs="Arial" w:eastAsia="Arial" w:hAnsi="Arial"/>
                <w:sz w:val="18"/>
                <w:szCs w:val="18"/>
                <w:color w:val="auto"/>
              </w:rPr>
              <w:t>3 %</w:t>
            </w:r>
          </w:p>
        </w:tc>
        <w:tc>
          <w:tcPr>
            <w:tcW w:w="2220" w:type="dxa"/>
            <w:vAlign w:val="bottom"/>
            <w:gridSpan w:val="3"/>
          </w:tcPr>
          <w:p>
            <w:pPr>
              <w:jc w:val="right"/>
              <w:ind w:right="632"/>
              <w:spacing w:after="0"/>
              <w:rPr>
                <w:sz w:val="20"/>
                <w:szCs w:val="20"/>
                <w:color w:val="auto"/>
              </w:rPr>
            </w:pPr>
            <w:r>
              <w:rPr>
                <w:rFonts w:ascii="Arial" w:cs="Arial" w:eastAsia="Arial" w:hAnsi="Arial"/>
                <w:sz w:val="18"/>
                <w:szCs w:val="18"/>
                <w:color w:val="auto"/>
              </w:rPr>
              <w:t>3 %</w:t>
            </w:r>
          </w:p>
        </w:tc>
        <w:tc>
          <w:tcPr>
            <w:tcW w:w="1660" w:type="dxa"/>
            <w:vAlign w:val="bottom"/>
            <w:gridSpan w:val="2"/>
          </w:tcPr>
          <w:p>
            <w:pPr>
              <w:jc w:val="right"/>
              <w:ind w:right="712"/>
              <w:spacing w:after="0"/>
              <w:rPr>
                <w:sz w:val="20"/>
                <w:szCs w:val="20"/>
                <w:color w:val="auto"/>
              </w:rPr>
            </w:pPr>
            <w:r>
              <w:rPr>
                <w:rFonts w:ascii="Arial" w:cs="Arial" w:eastAsia="Arial" w:hAnsi="Arial"/>
                <w:sz w:val="18"/>
                <w:szCs w:val="18"/>
                <w:color w:val="auto"/>
              </w:rPr>
              <w:t>1 %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costs</w:t>
            </w:r>
          </w:p>
        </w:tc>
        <w:tc>
          <w:tcPr>
            <w:tcW w:w="9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22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2 %</w:t>
            </w:r>
          </w:p>
        </w:tc>
        <w:tc>
          <w:tcPr>
            <w:tcW w:w="166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gridSpan w:val="2"/>
          </w:tcPr>
          <w:p>
            <w:pPr>
              <w:jc w:val="right"/>
              <w:ind w:right="632"/>
              <w:spacing w:after="0"/>
              <w:rPr>
                <w:sz w:val="20"/>
                <w:szCs w:val="20"/>
                <w:color w:val="auto"/>
              </w:rPr>
            </w:pPr>
            <w:r>
              <w:rPr>
                <w:rFonts w:ascii="Arial" w:cs="Arial" w:eastAsia="Arial" w:hAnsi="Arial"/>
                <w:sz w:val="18"/>
                <w:szCs w:val="18"/>
                <w:color w:val="auto"/>
              </w:rPr>
              <w:t>12 %</w:t>
            </w:r>
          </w:p>
        </w:tc>
        <w:tc>
          <w:tcPr>
            <w:tcW w:w="1660" w:type="dxa"/>
            <w:vAlign w:val="bottom"/>
            <w:gridSpan w:val="2"/>
          </w:tcPr>
          <w:p>
            <w:pPr>
              <w:jc w:val="right"/>
              <w:ind w:right="93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9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11 %</w:t>
            </w:r>
          </w:p>
        </w:tc>
        <w:tc>
          <w:tcPr>
            <w:tcW w:w="222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31 %</w:t>
            </w:r>
          </w:p>
        </w:tc>
        <w:tc>
          <w:tcPr>
            <w:tcW w:w="16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10 %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2011 Compared with Quarter ended June 30, 2010</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Sales increased $145 million (11%) in the second quarter of 2011, compared with the same period of 2010. The organic sales growth reflects higher volumes in both the aerospace (5%) and industrial (3%) businesses. The increase within aerospace was primarily attributed to higher aftermarket volume (6%), driven by commercial spares, partially offset by a decline in OEM sales volume (1%). The industrial business increase was led by the compressor business attributable to general increases in the manufacturing and energy sectors.</w:t>
      </w:r>
    </w:p>
    <w:p>
      <w:pPr>
        <w:spacing w:after="0" w:line="143"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Operating profits increased $63 million (31%) in the second quarter of 2011, compared with the same period of 2010. The increase in operational profit was driven by higher volume and also includes the benefit of lower research and development costs (3%), partially offset by higher aerospace program costs (5%), including warranty. The increase contributed by “Other” reflects the impact from the absence of approximately $28 million of asset impairment charges recorded in the second quarter of 2010. These charges related primarily to the disposition of an aerospace business as part of Hamilton Sundstrand’s efforts to implement low cost sourcing initiatives.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2011 Compared with Six months ended June 30, 2010</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Sales increased $267 million (10%) in the first six months of 2011, compared with the same period of 2010. The organic sales growth primarily reflects volume increases in the aerospace (6%) and industrial (3%) businesses. The increase within the aerospace business was primarily attributable to higher aftermarket volume (5%), driven by commercial spares, and within the industrials business was primarily due to the compressor business.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Operating profits increased $86 million (20%) in the first six months of 2011, compared with the same period of 2010. The increase in operational profit was driven by higher volume and was partially offset by both higher research and development costs (1%) and aerospace program costs (5%), including warranty. The increase contributed by “Other” reflects the impact from the absence of approximately $28 million of asset impairment charges recorded in the second quarter of 2010. These charges were related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primarily to the disposition of an aerospace business as part of Hamilton Sundstrand’s efforts to implement low cost sourcing initiatives.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4"/>
                <w:szCs w:val="14"/>
                <w:b w:val="1"/>
                <w:bCs w:val="1"/>
                <w:color w:val="auto"/>
                <w:w w:val="92"/>
              </w:rPr>
              <w:t>Factors Contributing to Total % Change Year-Over-Year in:</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160" w:type="dxa"/>
            <w:vAlign w:val="bottom"/>
            <w:gridSpan w:val="5"/>
          </w:tcPr>
          <w:p>
            <w:pPr>
              <w:jc w:val="right"/>
              <w:ind w:right="1072"/>
              <w:spacing w:after="0" w:line="142" w:lineRule="exact"/>
              <w:rPr>
                <w:sz w:val="20"/>
                <w:szCs w:val="20"/>
                <w:color w:val="auto"/>
              </w:rPr>
            </w:pPr>
            <w:r>
              <w:rPr>
                <w:rFonts w:ascii="Arial" w:cs="Arial" w:eastAsia="Arial" w:hAnsi="Arial"/>
                <w:sz w:val="14"/>
                <w:szCs w:val="14"/>
                <w:b w:val="1"/>
                <w:bCs w:val="1"/>
                <w:color w:val="auto"/>
              </w:rPr>
              <w:t>Quarter Ended June 30, 2011</w:t>
            </w:r>
          </w:p>
        </w:tc>
        <w:tc>
          <w:tcPr>
            <w:tcW w:w="2480" w:type="dxa"/>
            <w:vAlign w:val="bottom"/>
            <w:gridSpan w:val="3"/>
          </w:tcPr>
          <w:p>
            <w:pPr>
              <w:jc w:val="right"/>
              <w:ind w:right="218"/>
              <w:spacing w:after="0" w:line="142" w:lineRule="exact"/>
              <w:rPr>
                <w:sz w:val="20"/>
                <w:szCs w:val="20"/>
                <w:color w:val="auto"/>
              </w:rPr>
            </w:pPr>
            <w:r>
              <w:rPr>
                <w:rFonts w:ascii="Arial" w:cs="Arial" w:eastAsia="Arial" w:hAnsi="Arial"/>
                <w:sz w:val="14"/>
                <w:szCs w:val="14"/>
                <w:b w:val="1"/>
                <w:bCs w:val="1"/>
                <w:color w:val="auto"/>
                <w:w w:val="99"/>
              </w:rPr>
              <w:t>Six Months Ended June 30,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w w:val="99"/>
              </w:rPr>
              <w:t>Operating</w:t>
            </w:r>
          </w:p>
        </w:tc>
        <w:tc>
          <w:tcPr>
            <w:tcW w:w="8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w w:val="88"/>
              </w:rPr>
              <w:t>Net Sales</w:t>
            </w:r>
          </w:p>
        </w:tc>
        <w:tc>
          <w:tcPr>
            <w:tcW w:w="600" w:type="dxa"/>
            <w:vAlign w:val="bottom"/>
          </w:tcPr>
          <w:p>
            <w:pPr>
              <w:spacing w:after="0"/>
              <w:rPr>
                <w:sz w:val="14"/>
                <w:szCs w:val="14"/>
                <w:color w:val="auto"/>
              </w:rPr>
            </w:pPr>
          </w:p>
        </w:tc>
        <w:tc>
          <w:tcPr>
            <w:tcW w:w="1620" w:type="dxa"/>
            <w:vAlign w:val="bottom"/>
            <w:gridSpan w:val="2"/>
          </w:tcPr>
          <w:p>
            <w:pPr>
              <w:jc w:val="right"/>
              <w:ind w:right="952"/>
              <w:spacing w:after="0"/>
              <w:rPr>
                <w:sz w:val="20"/>
                <w:szCs w:val="20"/>
                <w:color w:val="auto"/>
              </w:rPr>
            </w:pPr>
            <w:r>
              <w:rPr>
                <w:rFonts w:ascii="Arial" w:cs="Arial" w:eastAsia="Arial" w:hAnsi="Arial"/>
                <w:sz w:val="14"/>
                <w:szCs w:val="14"/>
                <w:b w:val="1"/>
                <w:bCs w:val="1"/>
                <w:color w:val="auto"/>
              </w:rPr>
              <w:t>Profits</w:t>
            </w:r>
          </w:p>
        </w:tc>
        <w:tc>
          <w:tcPr>
            <w:tcW w:w="1660" w:type="dxa"/>
            <w:vAlign w:val="bottom"/>
            <w:gridSpan w:val="2"/>
          </w:tcPr>
          <w:p>
            <w:pPr>
              <w:jc w:val="right"/>
              <w:ind w:right="952"/>
              <w:spacing w:after="0"/>
              <w:rPr>
                <w:sz w:val="20"/>
                <w:szCs w:val="20"/>
                <w:color w:val="auto"/>
              </w:rPr>
            </w:pPr>
            <w:r>
              <w:rPr>
                <w:rFonts w:ascii="Arial" w:cs="Arial" w:eastAsia="Arial" w:hAnsi="Arial"/>
                <w:sz w:val="14"/>
                <w:szCs w:val="14"/>
                <w:b w:val="1"/>
                <w:bCs w:val="1"/>
                <w:color w:val="auto"/>
                <w:w w:val="95"/>
              </w:rPr>
              <w:t>Net Sales</w:t>
            </w:r>
          </w:p>
        </w:tc>
        <w:tc>
          <w:tcPr>
            <w:tcW w:w="10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Profits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Organic sales / Operational operating profit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4"/>
              </w:rPr>
              <w:t>%</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60" w:type="dxa"/>
            <w:vAlign w:val="bottom"/>
            <w:tcBorders>
              <w:top w:val="single" w:sz="8" w:color="CCEEFF"/>
            </w:tcBorders>
            <w:shd w:val="clear" w:color="auto" w:fill="CCEEFF"/>
          </w:tcPr>
          <w:p>
            <w:pPr>
              <w:jc w:val="right"/>
              <w:ind w:right="632"/>
              <w:spacing w:after="0"/>
              <w:rPr>
                <w:sz w:val="20"/>
                <w:szCs w:val="20"/>
                <w:color w:val="auto"/>
              </w:rPr>
            </w:pPr>
            <w:r>
              <w:rPr>
                <w:rFonts w:ascii="Arial" w:cs="Arial" w:eastAsia="Arial" w:hAnsi="Arial"/>
                <w:sz w:val="18"/>
                <w:szCs w:val="18"/>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40" w:type="dxa"/>
            <w:vAlign w:val="bottom"/>
            <w:tcBorders>
              <w:top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Acquisitions and divestitures, net</w:t>
            </w:r>
          </w:p>
        </w:tc>
        <w:tc>
          <w:tcPr>
            <w:tcW w:w="940" w:type="dxa"/>
            <w:vAlign w:val="bottom"/>
            <w:gridSpan w:val="2"/>
          </w:tcPr>
          <w:p>
            <w:pPr>
              <w:jc w:val="right"/>
              <w:ind w:right="52"/>
              <w:spacing w:after="0"/>
              <w:rPr>
                <w:sz w:val="20"/>
                <w:szCs w:val="20"/>
                <w:color w:val="auto"/>
              </w:rPr>
            </w:pPr>
            <w:r>
              <w:rPr>
                <w:rFonts w:ascii="Arial" w:cs="Arial" w:eastAsia="Arial" w:hAnsi="Arial"/>
                <w:sz w:val="18"/>
                <w:szCs w:val="18"/>
                <w:color w:val="auto"/>
              </w:rPr>
              <w:t>1 %</w:t>
            </w:r>
          </w:p>
        </w:tc>
        <w:tc>
          <w:tcPr>
            <w:tcW w:w="2220" w:type="dxa"/>
            <w:vAlign w:val="bottom"/>
            <w:gridSpan w:val="3"/>
          </w:tcPr>
          <w:p>
            <w:pPr>
              <w:jc w:val="right"/>
              <w:ind w:right="632"/>
              <w:spacing w:after="0"/>
              <w:rPr>
                <w:sz w:val="20"/>
                <w:szCs w:val="20"/>
                <w:color w:val="auto"/>
              </w:rPr>
            </w:pPr>
            <w:r>
              <w:rPr>
                <w:rFonts w:ascii="Arial" w:cs="Arial" w:eastAsia="Arial" w:hAnsi="Arial"/>
                <w:sz w:val="18"/>
                <w:szCs w:val="18"/>
                <w:color w:val="auto"/>
              </w:rPr>
              <w:t>1 %</w:t>
            </w:r>
          </w:p>
        </w:tc>
        <w:tc>
          <w:tcPr>
            <w:tcW w:w="1660" w:type="dxa"/>
            <w:vAlign w:val="bottom"/>
            <w:gridSpan w:val="2"/>
          </w:tcPr>
          <w:p>
            <w:pPr>
              <w:jc w:val="right"/>
              <w:ind w:right="712"/>
              <w:spacing w:after="0"/>
              <w:rPr>
                <w:sz w:val="20"/>
                <w:szCs w:val="20"/>
                <w:color w:val="auto"/>
              </w:rPr>
            </w:pPr>
            <w:r>
              <w:rPr>
                <w:rFonts w:ascii="Arial" w:cs="Arial" w:eastAsia="Arial" w:hAnsi="Arial"/>
                <w:sz w:val="18"/>
                <w:szCs w:val="18"/>
                <w:color w:val="auto"/>
              </w:rPr>
              <w:t>1 %</w:t>
            </w:r>
          </w:p>
        </w:tc>
        <w:tc>
          <w:tcPr>
            <w:tcW w:w="102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costs</w:t>
            </w:r>
          </w:p>
        </w:tc>
        <w:tc>
          <w:tcPr>
            <w:tcW w:w="9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22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3 %</w:t>
            </w:r>
          </w:p>
        </w:tc>
        <w:tc>
          <w:tcPr>
            <w:tcW w:w="166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gridSpan w:val="2"/>
          </w:tcPr>
          <w:p>
            <w:pPr>
              <w:jc w:val="right"/>
              <w:ind w:right="632"/>
              <w:spacing w:after="0"/>
              <w:rPr>
                <w:sz w:val="20"/>
                <w:szCs w:val="20"/>
                <w:color w:val="auto"/>
              </w:rPr>
            </w:pPr>
            <w:r>
              <w:rPr>
                <w:rFonts w:ascii="Arial" w:cs="Arial" w:eastAsia="Arial" w:hAnsi="Arial"/>
                <w:sz w:val="18"/>
                <w:szCs w:val="18"/>
                <w:color w:val="auto"/>
              </w:rPr>
              <w:t>43 %</w:t>
            </w:r>
          </w:p>
        </w:tc>
        <w:tc>
          <w:tcPr>
            <w:tcW w:w="1660" w:type="dxa"/>
            <w:vAlign w:val="bottom"/>
            <w:gridSpan w:val="2"/>
          </w:tcPr>
          <w:p>
            <w:pPr>
              <w:jc w:val="right"/>
              <w:ind w:right="93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9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6 %</w:t>
            </w:r>
          </w:p>
        </w:tc>
        <w:tc>
          <w:tcPr>
            <w:tcW w:w="222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64 %</w:t>
            </w:r>
          </w:p>
        </w:tc>
        <w:tc>
          <w:tcPr>
            <w:tcW w:w="16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10 %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2011 Compared with Quarter ended June 30, 2010</w:t>
      </w:r>
    </w:p>
    <w:p>
      <w:pPr>
        <w:spacing w:after="0" w:line="171"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Sales increased $94 million (6%) in the second quarter of 2011, as compared with the same period in 2010. The organic sales growth was primarily attributable to increased aftermarket support (3%), due primarily to higher military aftermarket volume and increased aircraft deliveries from commercial operations (2%). Net sales from military operations were essentially flat year-over-year as fewer aircraft deliveries were offset by the impact from favorable aircraft configuration mix.</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Operating profits increased $108 million (64%) in the second quarter of 2011, as compared with the same period in 2010. The operational profit improvement primarily reflects the benefits from higher aftermarket volumes, lower manufacturing costs, and favorable configuration mix from U.S. government programs (combined 17%) and lower year-over-year research and development costs (5%). These increases more than offset the adverse impact on operating profit from losses (5%) associated with international development aircraft sales. The 43% increase in “Other” reflects the gain recognized on contribution of a business to a venture in the United Arab Emirates.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2011 Compared with Six months ended June 30, 2010</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Sales increased $318 million (10%) in the first six months of 2011 as compared with the same period in 2010. The organic sales growth was primarily driven by higher international development aircraft sales (including Canadian Maritime helicopters) and favorable configuration mix from U.S. government programs (combined 7%). Increased aftermarket support (4%) was partially offset by lower sales from commercial operations (1%) due to unfavorable aircraft configuration mix.</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Operating profits increased $104 million (33%) in the first six months of 2011 as compared to the same period in 2010. The operational profit improvement was primarily attributable to increased aftermarket support and favorable configuration mix from U.S. government programs (combined 9%). Lower profit within commercial operations, primarily due to unfavorable mix of aircraft and the impact of losses associated with international development aircraft sales (combined 8%) was mostly offset by the beneficial impact from lower research and development costs and increased volume on customer funded development. The 23% increase in “Other” reflects the gain recognized on contribution of a business to a venture in the United Arab Emirates.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Eliminations and other reflects the elimination of sales, other income and operating profit transacted between segments, as well as the operating results of certain smaller businesses such as UTC Power and Clipper. The year-over-year change in sales for both the second quarter and first six months of 2011, as compared with the same period of 2010, primarily reflects the impact from the acquisition of Clipper. The year-over-year change in operating profit for the second quarter of 2011, as compared with the same period of 2010, primarily reflects the impact from the acquisition of Clipper and higher legal costs, partially offset by the absence of costs related to the early redemption of debt in the second quarter of 2010. The year-over-year change in operating profit for the first six months of 2011, as compared with the same period of 2010, primarily reflects the impact from the acquisition of Clipper, and higher self-insurance reserves and legal costs.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1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2"/>
              </w:rPr>
              <w:t>June 30,</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122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88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$ 5,396</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4,083</w:t>
            </w:r>
          </w:p>
        </w:tc>
        <w:tc>
          <w:tcPr>
            <w:tcW w:w="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$ 4,997</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11,398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10,289</w:t>
            </w: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12,065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 and cash equivalents)</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6,002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23,739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22,332</w:t>
            </w: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20,915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 (debt plus equity)</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35,137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32,621</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w w:val="99"/>
              </w:rPr>
              <w:t>Net capitalization (debt plus equity less cash and cash equivalents)</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29,741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28,538</w:t>
            </w: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27,983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to total capitalization</w:t>
            </w:r>
          </w:p>
        </w:tc>
        <w:tc>
          <w:tcPr>
            <w:tcW w:w="19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Net debt to net capitalization</w:t>
            </w:r>
          </w:p>
        </w:tc>
        <w:tc>
          <w:tcPr>
            <w:tcW w:w="1960" w:type="dxa"/>
            <w:vAlign w:val="bottom"/>
            <w:gridSpan w:val="3"/>
          </w:tcPr>
          <w:p>
            <w:pPr>
              <w:jc w:val="right"/>
              <w:ind w:right="60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which, after netting out capital expenditures, we target to equal or exceed net income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the global economy has improved as compared with 2010, most measures are pointing to a slow and uneven recovery. High unemployment and a weak housing sector in the U.S. continue to dampen consumer sentiment domestically, while concerns over European sovereign debt issues and the deficit debate in Washington, D.C. continue to plague financial markets and constrain government spending in certain countries. In light of these circumstances, we continue to assess our current business and closely monitor the impact on our customers and suppliers, and have determined that overall there has not been a significant effect on our financial position, results of operations or liquidity during the first six months of 2011. Due to the continued improvement in equity markets during the first six months of 2011, our domestic pension funds experienced a positive return on assets of approximately 6%. The continued recognition of prior pension losses and the impact of a lower discount rate, partially offset by additional funding and the positive returns experienced during 2010, are expected to increase pension expense in 2011 by approximately $150 million as compared to 2010.</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Approximately 88% of our domestic pension plans are invested in readily-liquid investments, including equity, fixed income, asset-backed receivables and structured products. The balance of our domestic pension plans (12%) is invested in less-liquid but market-valued investments, including real estate and private equity.</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strong debt ratings and financial position have historically enabled us to issue long-term debt at favorable market rates, including our issuance of $2.25 billion of long-term debt in February 2010. Our ability to obtain debt financing at comparable risk-based interest rates is partly a function of our existing debt-to-total-capitalization level as well as our current credit standing.</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At June 30, 2011, we had committed revolving credit agreements from banks permitting aggregate borrowings of up to $3.0 billion under a $1.6 billion revolving credit agreement and a $1.4 billion multicurrency revolving credit agreement, which expire in November 2014 and December 2014, respectively. As of June 30, 2011, there were no borrowings under these revolving credit agreements. The undrawn portions of our revolving credit agreements are also available to serve as backup facilities for the issuance of commercial paper. As of June 30, 2011, our maximum commercial paper borrowing authority was $3 billion.</w:t>
      </w:r>
    </w:p>
    <w:p>
      <w:pPr>
        <w:spacing w:after="0" w:line="11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continue to have access to the commercial paper markets and our existing credit facilities, and expect to continue to generate strong operating cash flows. While the impact of market volatility cannot be predicted, we believe we have sufficient operating flexibility, cash reserves and funding sources to maintain adequate amounts of liquidity and to meet our future operating cash needs.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Given our extensive international operations, most of our cash is denominated in foreign currencies.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Restricted cash as of June 30, 2011 and 2010 was not significant.</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820" w:type="dxa"/>
            <w:vAlign w:val="bottom"/>
            <w:vMerge w:val="restart"/>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gridSpan w:val="5"/>
          </w:tcPr>
          <w:p>
            <w:pPr>
              <w:ind w:left="1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82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680" w:type="dxa"/>
            <w:vAlign w:val="bottom"/>
            <w:tcBorders>
              <w:top w:val="single" w:sz="8" w:color="auto"/>
            </w:tcBorders>
          </w:tcPr>
          <w:p>
            <w:pPr>
              <w:jc w:val="right"/>
              <w:ind w:right="146"/>
              <w:spacing w:after="0" w:line="129"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flows provided by operating activities</w:t>
            </w:r>
          </w:p>
        </w:tc>
        <w:tc>
          <w:tcPr>
            <w:tcW w:w="17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2,619</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2,554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The increase in cash generated from operating activities in the first six months of 2011 as compared with the same period in 2010 was due largely to the increase in net income attributable to common shareowners as a result of higher sales volumes and to lower global pension cash contributions. These benefits were partially offset by higher working capital cash requirements. During the first six months of 2011, the net increase in working capital resulted in a cash outflow of $936 million compared to a cash outflow of $397 million during the first six months of 2010. This increase of $539 million was primarily driven by the higher working capital requirements associated with increased sales volumes, as well as the timing of cash receipts, disbursements and product shipments.</w:t>
      </w:r>
    </w:p>
    <w:p>
      <w:pPr>
        <w:spacing w:after="0" w:line="10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funded status of our defined benefit pension plans is dependent upon many factors, including returns on invested assets and the level of market interest rates. We can contribute cash or company stock to our plans at our discretion, subject to applicable regulations. Total cash contributions to our global defined benefit pension plans during the first six months of 2011 and 2010 were $70 million and $261 million, respectively. During the first six months of 2010, we also contributed $250 million in UTC common stock to our defined benefit pension plans. We did not contribute any UTC common stock to our defined benefit pension plans in the first six months of 2011. Improved investment returns and additional voluntary pension contributions during 2010 improved the funded status of all plans, helping to minimize future funding requirements. Contributions to our defined benefit pension plans in 2011 are expected to meet or exceed the current funding requirements.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560" w:type="dxa"/>
            <w:vAlign w:val="bottom"/>
            <w:vMerge w:val="restart"/>
          </w:tcPr>
          <w:p>
            <w:pPr>
              <w:spacing w:after="0"/>
              <w:rPr>
                <w:sz w:val="14"/>
                <w:szCs w:val="14"/>
                <w:color w:val="auto"/>
              </w:rPr>
            </w:pPr>
          </w:p>
        </w:tc>
        <w:tc>
          <w:tcPr>
            <w:tcW w:w="1820" w:type="dxa"/>
            <w:vAlign w:val="bottom"/>
          </w:tcPr>
          <w:p>
            <w:pPr>
              <w:spacing w:after="0"/>
              <w:rPr>
                <w:sz w:val="14"/>
                <w:szCs w:val="14"/>
                <w:color w:val="auto"/>
              </w:rPr>
            </w:pPr>
          </w:p>
        </w:tc>
        <w:tc>
          <w:tcPr>
            <w:tcW w:w="2100" w:type="dxa"/>
            <w:vAlign w:val="bottom"/>
            <w:gridSpan w:val="5"/>
          </w:tcPr>
          <w:p>
            <w:pPr>
              <w:jc w:val="right"/>
              <w:ind w:right="238"/>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56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580" w:type="dxa"/>
            <w:vAlign w:val="bottom"/>
            <w:tcBorders>
              <w:top w:val="single" w:sz="8" w:color="auto"/>
            </w:tcBorders>
          </w:tcPr>
          <w:p>
            <w:pPr>
              <w:jc w:val="right"/>
              <w:ind w:right="86"/>
              <w:spacing w:after="0" w:line="129"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82"/>
              <w:spacing w:after="0" w:line="129"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flows used in investing activities</w:t>
            </w:r>
          </w:p>
        </w:tc>
        <w:tc>
          <w:tcPr>
            <w:tcW w:w="18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(307</w:t>
            </w:r>
          </w:p>
        </w:tc>
        <w:tc>
          <w:tcPr>
            <w:tcW w:w="620" w:type="dxa"/>
            <w:vAlign w:val="bottom"/>
            <w:tcBorders>
              <w:top w:val="single" w:sz="8" w:color="CCEEFF"/>
              <w:bottom w:val="single" w:sz="8" w:color="CCEEFF"/>
            </w:tcBorders>
            <w:shd w:val="clear" w:color="auto" w:fill="CCEEFF"/>
          </w:tcPr>
          <w:p>
            <w:pPr>
              <w:jc w:val="right"/>
              <w:ind w:right="47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(2,359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decrease in cash used in investing activities was largely a result of a decrease in acquisition activity in the first six months of 2011, as compared with the same period of 2010. Investments in businesses in the first six months of 2011 consisted of a number of small acquisitions in both our commercial and aerospace businesses. Investments in businesses in the first six months of 2010 primarily reflected the acquisition of the GE Security business for approximately $1.8 billion and the acquisition of a 49.9% equity stake in Clipper for approximately $270 million. We expect total investments in businesses in 2011 to be less than $1.5 billion, including acquisitions completed during the first six months of 2011, however, actual acquisition spending may vary depending upon the timing, availability and appropriate value of acquisition opportunities. Capital expenditures increased $88 million primarily at Carrier and Hamilton Sundstrand, which included expenditures related to new product launches and investment in low-cost manufacturing facilities.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Customer financing activities were a net source of cash of $29 million for the first six months of 2011, compared to a net use of cash of $28 million for the same period in 2010. While we expect that 2011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$2.5 billion and $2.0 billion related to commercial aircraft and certain contractual rights to provide product on new aircraft platforms at June 30, 2011 and December 31, 2010, respectively, of which as much as $261 million may be required to be disbursed during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100" w:type="dxa"/>
            <w:vAlign w:val="bottom"/>
            <w:vMerge w:val="restart"/>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10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06"/>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flows (used in) provided by financing activities</w:t>
            </w: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(1,109</w:t>
            </w:r>
          </w:p>
        </w:tc>
        <w:tc>
          <w:tcPr>
            <w:tcW w:w="340" w:type="dxa"/>
            <w:vAlign w:val="bottom"/>
            <w:tcBorders>
              <w:top w:val="single" w:sz="8" w:color="CCEEFF"/>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405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timing and levels of certain cash flow activities, such as acquisitions and repurchases of our stock, have resulted in the issuance of both long-term and short-term debt. Commercial paper borrowings and revolving credit facilities provide short-term liquidity to supplement operating cash flows and are used for general corporate purposes, including the funding of potential acquisitions and repurchases of our stock. We had $1,060 million of commercial paper outstanding at June 30, 2011.</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repurchased $1.5 billion of our common stock in the first six months of 2011, under an existing 60 million share repurchase program. Share repurchases in the first six months of 2011 represented approximately 17.8 million shares. In addition to management’s view that the repurchase of our common stock is a beneficial investment, we also repurchase to offset the dilutive effect of the issuance of stock and options under the stock-based employee benefit programs. At June 30, 2011, approximately 16 million shares remain available for repurchase under the share repurchase program. We expect total share repurchases in 2011 of more than $2.5 billion; however, total repurchases may vary depending upon various factors including the level of other investing activities.</w:t>
      </w:r>
    </w:p>
    <w:p>
      <w:pPr>
        <w:spacing w:after="0" w:line="10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paid dividends on Common Stock of $0.425 per share in the first quarter of 2011 totaling $368 million in the aggregate and $0.48 per share in the second quarter of 2011 totaling $413 million in the aggregate. On June 8, 2011, the Board of Directors declared, effective as of July 5, 2011, a dividend of $0.48 per share payable September 10, 2011 to shareowners of record at the close of business on August 19, 2011.</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 our 2010 Annual Report, incorporated by reference in our 2010 Form 10-K, we disclosed our off-balance sheet arrangements and contractual obligations. At June 30, 2011, there have been no material changes to these off-balance sheet arrangements and contractual obligations outside the ordinary course of business except as otherwise disclosed.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has been no significant change in our exposure to market risk during the first six months of 2011. For discussion of our exposure to market risk, refer to Part II, Item 7A, “Quantitative and Qualitative Disclosures About Market Risk,” contained in our 2010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As required by Rule 13a-15 under the Securities Exchange Act of 1934, as amended (Exchange Act), we carried out an evaluation under the supervision and with the participation of our management, including the Chairman &amp; Chief Executive Officer (CEO), the Senior Vice President and Chief Financial Officer (CFO) and the Vice President, Controller (Controller), of the effectiveness of the design and operation of our disclosure controls and procedures as of June 30, 2011.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June 30, 2011,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0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2011 that has materially affected, or is reasonably likely to materially affect, our internal control over financial reporting.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“plans,” “strategy,” “prospects,” “estimate,” “project,” “target,” “anticipate,” “will,” “should,” “see,” “guidance,” “confident” and other words of similar meaning in connection with a discussion of future operating or financial performance. These include, among others, statements relating to:</w:t>
      </w:r>
    </w:p>
    <w:p>
      <w:pPr>
        <w:spacing w:after="0" w:line="3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earnings, cash flow, results of operations, uses of cash and other measures of financial performance;</w:t>
      </w:r>
    </w:p>
    <w:p>
      <w:pPr>
        <w:spacing w:after="0" w:line="90" w:lineRule="exact"/>
        <w:rPr>
          <w:rFonts w:ascii="Arial" w:cs="Arial" w:eastAsia="Arial" w:hAnsi="Arial"/>
          <w:sz w:val="18"/>
          <w:szCs w:val="18"/>
          <w:color w:val="auto"/>
        </w:rPr>
      </w:pPr>
    </w:p>
    <w:p>
      <w:pPr>
        <w:ind w:left="900" w:right="60" w:hanging="325"/>
        <w:spacing w:after="0" w:line="323"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effect of economic conditions in the markets in which we operate in the United States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difficulties (including bankruptcy) of commercial airlines, the impact of weather conditions and natural disasters and the financial condition of our customers and suppliers;</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reduction efforts and restructuring costs and savings and other consequences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scope, nature or impact of acquisition and divestiture activity, including integration of acquired businesses into our existing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development, production, delivery, support, performance and anticipated benefits of advanced technologies and new products and services;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legal proceedings and other 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repurchases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levels of indebtedness and capital research and development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availability of credit;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changes in tax, environmental and other laws and regulations or political conditions in the United States and other countries in which we operate.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forward-looking statements involve risks and uncertainties that may cause actual results to differ materially from those expressed or implied in the forward-looking statements. This Form 10-Q includes important information as to factors that may cause actual results to vary materially from those stated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 Accounting Estimates,” “Results of Continuing Operations,” and “Liquidity and Financial Condition” and the section titled “Risk Factors” in our 2010 Form 10-K. Our 2010 Form 10-K also includes important information as to these risk factors in the “Business” section under the headings “General,” “Description of Business by Segment” and “Other Matters Relating to Our Business as a Whole,” and in the “Legal Proceedings” section. Additional important information as to these factors is included in our 2010 Annual Report in the section titled “Management’s Discussion and Analysis of Financial Condition and Results of Operations” under the headings “Environmental Matters” and “Restructuring and Other Costs.” For additional information identifying factors that may cause actual results to vary materially from those stated in the forward-looking statements, see our reports on Forms 10-K, 10-Q and 8-K filed with the SEC from time to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previously disclosed, on August 27, 2010, Rolls-Royce plc (Rolls-Royce) sued Pratt &amp; Whitney in the U.S. District Court for the Eastern District of Virginia, alleging that fan blades on certain engines manufactured by Pratt &amp; Whitney infringe a U.S. patent held by Rolls-Royce. Rolls-Royce sought damages plus interest, an injunction, attorney’s fees, and a finding of willful infringement. On May 20, 2011, the Court granted Pratt &amp; Whitney’s motion for summary judgment of non-infringement and denied Rolls-Royce’s cross motion in which it alleged Pratt &amp; Whitney had infringed the patent. Further, as previously disclosed, in November 2010, Pratt &amp; Whitney filed complaints against Rolls-Royce in the High Court of Justice, Chancery Division, Patent Court (HCJ) in the United Kingdom (UK), with the U.S. International Trade Commission (ITC), and against Rolls-Royce and its parent, Rolls-Royce Group plc (Rolls-Royce Group) in the U.S. District Court for the District of Connecticut. The HCJ action alleged that certain turbomachinery blades, engines and components manufactured by Rolls-Royce infringe a UK patent held by Pratt &amp; Whitney and sought damages plus interest and all other relief to which Pratt &amp; Whitney is entitled, including attorney’s fees, expenses, and a permanent order preventing further infringements. The ITC complaint sought a permanent exclusion order barring the importation into the U.S. of infringing turbomachinery blades, engines and engine components manufactured by Rolls-Royce and Rolls-Royce Group, and requested a permanent cease-and-desist order against Rolls-Royce and Rolls-Royce Group preventing further importing, marketing, advertising, demonstrating, testing, distributing, licensing, offering for sale, or use of such infringing turbomachinery blades, engines and engine components. In the Connecticut District Court action, Pratt &amp; Whitney alleged similar infringement claims based on a U.S. patent held by Pratt &amp; Whitney and sought an injunction, damages, interest, attorney’s fees and other relief. On July 14, 2011, the parties entered into an amicable, confidential settlement agreement to dismiss all of the foregoing matters, resulting in no adverse impact to UTC.</w:t>
      </w:r>
    </w:p>
    <w:p>
      <w:pPr>
        <w:spacing w:after="0" w:line="12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previously disclosed, on February 21, 2007, the European Commission’s Competition Directorate ruled that Otis’ subsidiaries in Belgium, Luxembourg and the Netherlands, and a portion of the business of Otis’ German subsidiary, violated European Union (EU) competition rules and assessed a €225 million (approximately $300 million) civil fine against Otis, its relevant local entities, and UTC, which was paid during 2007. In May 2007, we filed an appeal of the decision with the General Court of the European Court of Justice (General Court). On July 13, 2011, the General Court rejected our appeal. We intend to file an appeal of the judgment with the European Court of Justice.</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Except as noted above, there have been no material developments in legal proceedings. For a description of previously reported legal proceedings refer to Part I, Item 3, “Legal Proceedings,” of our 2010 Form 10-K and Part II, Item 1, “Legal Proceedings,” of our 2011 Form 10-Q for the quarter ended March 31,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business, financial condition, operating results and cash flows can be impacted by the factors set forth below, any one of which could cause our actual results to vary materially from recent results or from our anticipated future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Over the first six months of 2011, the global economy continued to show signs of gradual recovery from the significant downturn of 2008 and 2009, when the global economy experienced widespread recessionary conditions, record levels of unemployment, significant distress of financial institutions, extreme volatility in security prices, severely diminished liquidity and credit availability, rating downgrades of certain investments and declining valuations of others. However, despite some recent positive economic indicators, uncertainty continues to exist as to the overall rate and stability of the recovery. Global gross domestic</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product growth continues to be led by emerging markets, particularly in Brazil, Russia, India and China, while in the developed economies, particularly in Europe, the recovery remains sluggish due to the unwinding of fiscal stimuli, lingering high unemployment, concerns over European sovereign debt issues and the tightening of government budgets. As a result, further disruptions in Europe or in other economies could affect our revenues or liquidity.</w:t>
      </w:r>
    </w:p>
    <w:p>
      <w:pPr>
        <w:spacing w:after="0" w:line="107"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Although consumer confidence in the U.S. has improved since the economic downturn, it still remains low, while unemployment remains high and the housing market remains depressed. There can be no assurance that any of the recent economic improvements will be broad-based and sustainable, or that they will enhance conditions in markets relevant to us. Further, there can be no assurance that we will not experience further adverse effects that may be material to our cash flows, competitive position, financial condition, results of operations, or our ability to access capital. While these economic developments have not impaired our ability to access credit markets and finance our operations to date, there can be no assurance that there will not be a further deterioration in financial markets and confidence in major economies. These economic developments affect businesses such as ours in a number of ways. The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 spending, air travel, construction activity, the financial strength of airline customers and business jet operators, and government procurement. Strengthening of the rate of exchange for the</w:t>
      </w:r>
    </w:p>
    <w:p>
      <w:pPr>
        <w:spacing w:after="0" w:line="4" w:lineRule="exact"/>
        <w:rPr>
          <w:sz w:val="20"/>
          <w:szCs w:val="20"/>
          <w:color w:val="auto"/>
        </w:rPr>
      </w:pPr>
    </w:p>
    <w:p>
      <w:pPr>
        <w:ind w:right="1780"/>
        <w:spacing w:after="0" w:line="489" w:lineRule="auto"/>
        <w:rPr>
          <w:sz w:val="20"/>
          <w:szCs w:val="20"/>
          <w:color w:val="auto"/>
        </w:rPr>
      </w:pPr>
      <w:r>
        <w:rPr>
          <w:rFonts w:ascii="Arial" w:cs="Arial" w:eastAsia="Arial" w:hAnsi="Arial"/>
          <w:sz w:val="16"/>
          <w:szCs w:val="16"/>
          <w:color w:val="auto"/>
        </w:rPr>
        <w:t xml:space="preserve">U.S. Dollar against certain major currencies such as the Euro, the Canadian Dollar and other currencies also adversely affects our results. </w:t>
      </w:r>
      <w:r>
        <w:rPr>
          <w:rFonts w:ascii="Arial" w:cs="Arial" w:eastAsia="Arial" w:hAnsi="Arial"/>
          <w:sz w:val="16"/>
          <w:szCs w:val="16"/>
          <w:b w:val="1"/>
          <w:bCs w:val="1"/>
          <w:i w:val="1"/>
          <w:iCs w:val="1"/>
          <w:color w:val="auto"/>
        </w:rPr>
        <w:t>Our Financial Performance Is Dependent on the Conditions of the Construction and Aerospace Industries</w:t>
      </w:r>
    </w:p>
    <w:p>
      <w:pPr>
        <w:ind w:right="80" w:firstLine="456"/>
        <w:spacing w:after="0" w:line="294" w:lineRule="auto"/>
        <w:rPr>
          <w:sz w:val="20"/>
          <w:szCs w:val="20"/>
          <w:color w:val="auto"/>
        </w:rPr>
      </w:pPr>
      <w:r>
        <w:rPr>
          <w:rFonts w:ascii="Arial" w:cs="Arial" w:eastAsia="Arial" w:hAnsi="Arial"/>
          <w:sz w:val="16"/>
          <w:szCs w:val="16"/>
          <w:color w:val="auto"/>
        </w:rPr>
        <w:t>The results of our commercial and industrial businesses, which generated approximately 57% of our consolidated net sales in 2010, are influenced by a number of external factors including fluctuations in residential and commercial construction activity, regulatory changes, interest rates, labor costs, foreign currency exchange rates, customer attrition, raw material and energy costs, the tightening of the U.S. credit markets and other global and political factors. For example, a slowdown in building and remodeling activity can adversely affect Carrier’s business. In addition to these factors, Carrier’s financial performance can also be influenced by production and utilization of transport equipment and, particularly in its residential business, weather conditions.</w:t>
      </w:r>
    </w:p>
    <w:p>
      <w:pPr>
        <w:spacing w:after="0" w:line="11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results of our commercial and military aerospace businesses, which generated approximately 43% of our consolidated net sales in 2010, are directly tied to the economic conditions in the commercial aviation and defense industries, which are cyclical in nature. Although the operating environment currently faced by commercial airlines has shown signs of gradual improvement in 2010 and over the first six months of 2011, uncertainty continues to exist. As a result, financial difficulties, including bankruptcy, of one or more of the major commercial airlines could result in significant cancellations of orders, reductions in our aerospace sales and losses under existing contracts. In addition, capital spending and demand for aircraft engine and component aftermarket parts and service by commercial airlines, aircraft operators and aircraft manufacturers are influenced by a wide variety of factors, including current and predicted traffic levels, load factors, aircraft fuel pricing, labor issues, worldwide airline profits, airline consolidation, competition, the retirement of older aircraft, regulatory changes, terrorism and related safety concerns, general economic conditions, corporate profitability, and backlog levels, all of which could reduce both the demand for air travel and the aftermarket sales and margins of our aerospace businesses. Future terrorist actions, pandemic health issues or major natural disasters could dramatically reduce both the demand for air travel and our aerospace businesses aftermarket sales and margins. Also, since a substantial portion of the backlog for commercial aerospace customers is scheduled for delivery beyond 2011,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 material adverse effect on our cash flows, competitive position, financial condition or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relating to certain of our U.S. government contracts. If we or one of our business units were charged with wrongdoing as a result of any U.S. government investigation (including violation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 In addition, we are also sensitive to U.S. military budgets, which may fluctuate based on the policies of a new administration or Congress.</w:t>
      </w:r>
    </w:p>
    <w:p>
      <w:pPr>
        <w:spacing w:after="0" w:line="11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Foreign Currency Fluctuations, Economic Conditions and Changes in Local Government Regulation</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conduct our business on a global basis, with approximately 60% of our total 2010 segment sales derived from international operations, including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 we pay suppliers for materials used in our products. As a result, our operating margins may also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sales are non-U.S. based, a strengthening of the U.S. dollar against other major foreign currencies could adversely affect our results of operations.</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majority of sales in the aerospace businesses are transacted in U.S. dollars, consistent with established industry practice, while the majority of costs at locations outside the United States are incurred in the applicable local currency (principally the Euro and the Canadian Dollar). For operating units with</w:t>
      </w:r>
    </w:p>
    <w:p>
      <w:pPr>
        <w:ind w:right="80"/>
        <w:spacing w:after="0" w:line="254" w:lineRule="auto"/>
        <w:rPr>
          <w:sz w:val="20"/>
          <w:szCs w:val="20"/>
          <w:color w:val="auto"/>
        </w:rPr>
      </w:pPr>
      <w:r>
        <w:rPr>
          <w:rFonts w:ascii="Arial" w:cs="Arial" w:eastAsia="Arial" w:hAnsi="Arial"/>
          <w:sz w:val="18"/>
          <w:szCs w:val="18"/>
          <w:color w:val="auto"/>
        </w:rPr>
        <w:t>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sales. See Note 1 and Note 13 to the Consolidated Financial Statements in our 2010 Annual Report and Note 8 to the Condensed Consolidated Financial Statements in this Form 10-Q for a discussion of our hedging strategies.</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international sales and operations are subject to risks associated with changes in local government laws, regulations and policies, including those related to tariffs and trade barriers, investments, taxation, exchange controls, capital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w:t>
      </w:r>
    </w:p>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addition, as part of our globalization strategy, we have invested in certain countries, including Argentina, Brazil, China, India, Mexico, Russia, South Africa and countries in the Middle East, that carry high levels of currency, political and economic risk. We expect that sales to emerging markets will continue to account for a significant portion of our sales as our business evolves and as these and other developing nations and regions around the world increase their demand for our products. Emerging market operations can present many risks, including civil disturbances, health concerns, cultural differences (such as employment and business practices), volatility in gross domestic product, economic and government instability, and the imposition of exchange controls and capital controls. While these factors and their impact are difficult to predict, any one or more of them could have a material adverse effect on our cash flows, competitive position, financial condition or results of operations.</w:t>
      </w:r>
    </w:p>
    <w:p>
      <w:pPr>
        <w:spacing w:after="0" w:line="1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reliance on suppliers, third party contract manufacturing and commodity markets to secure raw materials, parts, components and sub-systems used in our products exposes us to volatility in the prices and availability of these materials. In many instances, we depend upon a single source of supply, manufacturing or assembly or participate in commodity markets that may be subject to allocations of limited supplies by suppliers. A disruption in deliveries from our suppliers or third party contract manufacturers, supplier capacity constraints, supplier and third party contract manufacturer production disruptions, closing or bankruptcy of our suppliers, price increases, or decreased availability of raw materials or commodities, could have a material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 material adverse effect on our cash flows, competitive position, financial condition or results of operations.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b w:val="1"/>
          <w:bCs w:val="1"/>
          <w:i w:val="1"/>
          <w:iCs w:val="1"/>
          <w:color w:val="auto"/>
        </w:rPr>
        <w:t>We Engage in Acquisitions and Divestitures, and May Encounter Difficulties Integrating Acquired Businesses with, or Disposing of Divested Businesses from, Our Current Operations; Therefore, We May Not Realize the Anticipated Benefits of these Acquisitions and Divestitures</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We seek to grow through strategic acquisitions in addition to internal growth. In the past several years, we have made various acquisitions and have entered into joint venture arrangements intended to complement and expand our businesses, and expect to do so in the future. The success of these transactions will depend on our ability to integrate assets and personnel acquired in connection with these transactions, apply our internal controls processes to these acquired businesses, and cooperate with our strategic partners. However, our due diligence reviews may not identify all of the material issues necessary to accurately estimate the cost and potential loss contingencies of a particular transaction, including potential exposure to regulatory sanctions resulting from an acquisition target’s previous activities. We may incur unanticipated costs or expenses, including post-closing asset impairment charges, expenses associated with eliminating duplicate facilities, litigation, and other liabilities. We also may encounter difficulties in integrating acquisitions with our operations, applying our internal controls processes to these acquisitions, or in managing strategic investments. Additionally, we may not realize the degree or timing of benefits we anticipate when we first enter into a transaction. Any of the foregoing could adversely affect our business and results of operations. In addition, accounting requirements relating to business combinations, including the requirement to expense certain acquisition costs as incurred, may cause us to incur greater earnings volatility and generally lower earnings during periods in which we acquire new businesses. Furthermore, we make strategic divestitures from time to time. These divestitures may result in continued financial involvement in the divested businesses, such as through guarantees or other financial arrangements, following the transaction. Under these arrangements, nonperformance by those divested businesses could result in obligations imposed on us and could affect our future financial results.</w:t>
      </w:r>
    </w:p>
    <w:p>
      <w:pPr>
        <w:spacing w:after="0" w:line="11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The product, program and service needs of our customers change and evolve regularly, and we invest substantial amounts in research and development efforts to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supplier- and internally-produced parts and materials; performance of suppliers and subcontractors; hiring and training of qualified personnel; achieving cost and production efficiencies; identification of emerging technological trends in our target end-markets; validation of innovative technologies; the level of customer interest in new technologies and products; and customer acceptance of our products and products that incorporate technologies we develop. These factors involve significant risks and uncertainties. Any development efforts divert resources from other potential investments in our businesses, and these efforts may not lead to the development of new technologies or products on a timely basis or meet the needs of our customers as fully as competitive offerings. In addition, the markets for our products or products that incorporate our technologies may not develop or grow as we anticipate. We or our suppliers and subcontractors may encounter difficulties in developing and producing these new products and services, and may not realize the degree or timing of benefits initially anticipated. Due to the design complexity of our products, we may in the future experience delays in completing the development and introduction of new products. Any delays could result in increased development costs or deflect resources from other projects. In particular, we cannot predict with certainty whether, when and in what quantities our aerospace businesses will produce and sell aircraft engines, helicopters, aircraft systems and components and other products currently in development or pending required certifications. Our contracts are typically awarded on a competitive basis. Our bids are based upon, among other items, the cost to provide the services. To generate an acceptable return on our investment in these contracts we must be able to accurately estimate our costs to provide the services required by the contract and to be able to complete the contracts in a timely manner. If we fail to accurately estimate our costs or the time required to complete a contract, the profitability of our contracts may be materially and adversely affected. Some of our contracts provide for liquidated damages in the event that we are unable to perform and deliver in accordance with the contractual specifications and schedule. Furthermore, we cannot be sure that our competitors will not develop competing technologies which gain market acceptance in advance of or instead of our products. The possibility exists that our competitors might develop new technology or offerings that might cause our existing technology and offerings to become obsolete. Any of the foregoing could have a material adverse effect on our cash flows, competitive position, financial condition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Tax, Environmental and Other Legal Compliance Risks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are subject to a variety of litigation, tax and legal compliance risks. These risks include, among other things, possible liability relating to product liability matters, personal injuries, intellectual property rights, government contracts, taxes, environmental matters and compliance with U.S. and foreign export laws, competition laws and laws governing improper business practices. We or one of our business units could be charged with wrongdoing as a result of such matters. If convicted or found liable, we could be subject to significant fines, penalties, repayments, other damages (in certain cases, treble damages), or suspension or debarment from government contracts. Independently, failure of us or one of our business units to comply with applicable export and trade practice laws could result in civil or criminal penalties and suspension or termination of export privileges. As a global business, we are subject to complex laws and regulations in the U.S. and other countries in which we operate. Those laws and regulations may be interpreted in different ways. They may also change from time to time, as may related interpretations and other guidance. Changes in laws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regulations could result in higher expenses and payments, and uncertainty relating to laws or regulations may also affect how we conduct our operations and structure our investments and could limit our ability to enforce our rights. Changes in environmental and climate change laws or regulations, including laws relating to greenhouse gas emissions, could lead to new or additional investment in product designs and could increase environmental compliance expenditures. Changes in climate change concerns, or in the regulation of such concerns, including greenhouse gas emissions, could subject us to additional costs and restrictions, including increased energy and raw materials costs.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area of taxes, changes in tax laws and regulations, as well as changes in related interpretations and other tax guidance could materially impact our tax receivables and liabilities and our deferred tax assets and deferred tax liabilities. Additionally, in the ordinary course of business we are subject to examinations by various authorities, including tax authorities. In addition to ongoing investigations, there could be additional investigations launched in the future by governmental authorities in various jurisdictions and existing investigations could be expanded.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an adverse effect on our results of operations in the period in which a liability would be recognized or cash flows for the period in which damages would be paid. For a description of current legal proceedings, see Part I, Item 3 “Legal Proceedings,” in our 2010 Form 10-K, as updated from time to time in subsequent filings, including this Form 10-Q. For income tax risks, we recognize tax benefits based on our assessment that a tax benefit has a greater than 50% likelihood of being sustained upon ultimate settlement with the applicable taxing authority that has full knowledge of all relevant facts. For those income tax positions where we assess that there is not a greater than 50% likelihood that such tax benefits will be sustained, we do not recognize a tax benefit in our financial statements. Subsequent events may cause us to change our assessment of the likelihood of sustaining a previously-recognized benefit which could result in a material adverse effect on our financial condition or results of operations in the period in which any such event occurs or on our cash flows in the period in which the ultimate settlement with the applicable taxing authority occurs.</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Be Unable to Realize Expected Benefits From Our Cost Reduction and Restructuring Efforts and Our Profitability May Be Hurt or Our Business Otherwise Might Be Adversely Affected</w:t>
      </w:r>
    </w:p>
    <w:p>
      <w:pPr>
        <w:spacing w:after="0" w:line="132"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In order to operate more efficiently and control costs, we announce from time to time restructuring plans, which include workforce reductions as well as global facility consolidations and other cost reduction initiatives. These plans are intended to generate operating expense savings through direct and indirect overhead expense reductions as well as other savings. We may undertake further workforce reductions or restructuring actions in the future. These types of cost reduction and restructuring activities are complex. If we do not successfully manage our current restructuring activities, or any other restructuring activities that we may undertake in the future, expected efficiencies and benefits might be delayed or not realized, and our operations and business could be disrupted. Risks associated with these actions and other workforce management issues include delays in implementation of anticipated workforce reductions, additional unexpected costs, changes in restructuring plans that increase or decrease the number of employees affected, adverse effects on employee morale and the failure to meet operational targets due to the loss of employees, any of which may impair our ability to achieve anticipated cost reductions or may otherwise harm our business, which could have a material adverse effect on our cash flows, competitive position, financial condition or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Business Disruptions</w:t>
      </w:r>
    </w:p>
    <w:p>
      <w:pPr>
        <w:spacing w:after="0" w:line="171"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Our business may be impacted by disruptions, including threats to physical security, information technology attacks or failures, damaging weather or other acts of nature, pandemics or other public health crises. Any of these disruptions could affect our internal operations or our ability to provide products and services to our customers. We believe that we have adopted appropriate measures to mitigate potential risks to our technology and our operations from such disruptions.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However, given the unpredictability of the timing, nature and scope of such disruptions, we could potentially be subject to production downtimes, operational delays, the compromising of confidential information, destruction of data, or the manipulation or improper use of our systems and networks, any of which could have a material adverse effect on our cash flows, competitive position, financial condition or results of operations.</w:t>
      </w:r>
    </w:p>
    <w:p>
      <w:pPr>
        <w:spacing w:after="0" w:line="10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Depend On Our Intellectual Property, and Infringement or Failure to Protect Intellectual Property Could Adversely Affect Our Future Growth and Success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be found to be valid or sufficiently broad to preclude our competitors from introducing technologies similar to those covered by our patents and patent applications. In addition, our ability to enforce and protect our intellectual property rights may be limited in certain countries outside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United States, which could make it easier for competitors to capture market position in such countries by utilizing technologies that are similar to those developed or licensed by us.</w:t>
      </w:r>
    </w:p>
    <w:p>
      <w:pPr>
        <w:spacing w:after="0" w:line="132"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Any of these events or factors could diminish or cause us to lose the competitive advantages associated with our intellectual property, subject us to judgments, penalties and significant litigation costs, and/or temporarily or permanently disrupt our sales and marketing of the affected products or services.</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information about our purchases during the quarter ended June 30, 2011 of equity securities that are registered by us pursuant to Section 12 of the Exchange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Total Number of Shares</w:t>
            </w:r>
          </w:p>
        </w:tc>
        <w:tc>
          <w:tcPr>
            <w:tcW w:w="860" w:type="dxa"/>
            <w:vAlign w:val="bottom"/>
          </w:tcPr>
          <w:p>
            <w:pPr>
              <w:spacing w:after="0"/>
              <w:rPr>
                <w:sz w:val="14"/>
                <w:szCs w:val="14"/>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Maximum Number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9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 as Part of a</w:t>
            </w:r>
          </w:p>
        </w:tc>
        <w:tc>
          <w:tcPr>
            <w:tcW w:w="86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Shares that may yet be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9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860" w:type="dxa"/>
            <w:vAlign w:val="bottom"/>
          </w:tcPr>
          <w:p>
            <w:pPr>
              <w:spacing w:after="0"/>
              <w:rPr>
                <w:sz w:val="12"/>
                <w:szCs w:val="12"/>
                <w:color w:val="auto"/>
              </w:rPr>
            </w:pPr>
          </w:p>
        </w:tc>
        <w:tc>
          <w:tcPr>
            <w:tcW w:w="13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2011</w:t>
            </w:r>
          </w:p>
        </w:tc>
        <w:tc>
          <w:tcPr>
            <w:tcW w:w="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9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3"/>
              </w:rPr>
              <w:t>Purchased</w:t>
            </w:r>
          </w:p>
        </w:tc>
        <w:tc>
          <w:tcPr>
            <w:tcW w:w="2000" w:type="dxa"/>
            <w:vAlign w:val="bottom"/>
            <w:gridSpan w:val="3"/>
          </w:tcPr>
          <w:p>
            <w:pPr>
              <w:jc w:val="right"/>
              <w:ind w:right="900"/>
              <w:spacing w:after="0" w:line="149" w:lineRule="exact"/>
              <w:rPr>
                <w:sz w:val="20"/>
                <w:szCs w:val="20"/>
                <w:color w:val="auto"/>
              </w:rPr>
            </w:pPr>
            <w:r>
              <w:rPr>
                <w:rFonts w:ascii="Arial" w:cs="Arial" w:eastAsia="Arial" w:hAnsi="Arial"/>
                <w:sz w:val="14"/>
                <w:szCs w:val="14"/>
                <w:b w:val="1"/>
                <w:bCs w:val="1"/>
                <w:color w:val="auto"/>
                <w:w w:val="85"/>
              </w:rPr>
              <w:t>Average Price Paid</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Program</w:t>
            </w:r>
          </w:p>
        </w:tc>
        <w:tc>
          <w:tcPr>
            <w:tcW w:w="86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Program</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0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85"/>
              </w:rPr>
              <w:t>(000’s)</w:t>
            </w:r>
          </w:p>
        </w:tc>
        <w:tc>
          <w:tcPr>
            <w:tcW w:w="180" w:type="dxa"/>
            <w:vAlign w:val="bottom"/>
          </w:tcPr>
          <w:p>
            <w:pPr>
              <w:spacing w:after="0"/>
              <w:rPr>
                <w:sz w:val="14"/>
                <w:szCs w:val="14"/>
                <w:color w:val="auto"/>
              </w:rPr>
            </w:pPr>
          </w:p>
        </w:tc>
        <w:tc>
          <w:tcPr>
            <w:tcW w:w="18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per Share</w:t>
            </w:r>
          </w:p>
        </w:tc>
        <w:tc>
          <w:tcPr>
            <w:tcW w:w="140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5"/>
              </w:rPr>
              <w:t>(000’s)</w:t>
            </w:r>
          </w:p>
        </w:tc>
        <w:tc>
          <w:tcPr>
            <w:tcW w:w="860" w:type="dxa"/>
            <w:vAlign w:val="bottom"/>
          </w:tcPr>
          <w:p>
            <w:pPr>
              <w:spacing w:after="0"/>
              <w:rPr>
                <w:sz w:val="14"/>
                <w:szCs w:val="14"/>
                <w:color w:val="auto"/>
              </w:rPr>
            </w:pPr>
          </w:p>
        </w:tc>
        <w:tc>
          <w:tcPr>
            <w:tcW w:w="138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85"/>
              </w:rPr>
              <w:t>(000’s)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29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April 1 - April 30</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1,751</w:t>
            </w: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85.68</w:t>
            </w:r>
          </w:p>
        </w:tc>
        <w:tc>
          <w:tcPr>
            <w:tcW w:w="9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1,751</w:t>
            </w: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23,001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May 1 - May 31</w:t>
            </w:r>
          </w:p>
        </w:tc>
        <w:tc>
          <w:tcPr>
            <w:tcW w:w="1000" w:type="dxa"/>
            <w:vAlign w:val="bottom"/>
          </w:tcPr>
          <w:p>
            <w:pPr>
              <w:jc w:val="right"/>
              <w:spacing w:after="0"/>
              <w:rPr>
                <w:sz w:val="20"/>
                <w:szCs w:val="20"/>
                <w:color w:val="auto"/>
              </w:rPr>
            </w:pPr>
            <w:r>
              <w:rPr>
                <w:rFonts w:ascii="Arial" w:cs="Arial" w:eastAsia="Arial" w:hAnsi="Arial"/>
                <w:sz w:val="18"/>
                <w:szCs w:val="18"/>
                <w:color w:val="auto"/>
              </w:rPr>
              <w:t>3,612</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87.91</w:t>
            </w:r>
          </w:p>
        </w:tc>
        <w:tc>
          <w:tcPr>
            <w:tcW w:w="9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3,607</w:t>
            </w:r>
          </w:p>
        </w:tc>
        <w:tc>
          <w:tcPr>
            <w:tcW w:w="2240" w:type="dxa"/>
            <w:vAlign w:val="bottom"/>
            <w:gridSpan w:val="3"/>
          </w:tcPr>
          <w:p>
            <w:pPr>
              <w:jc w:val="right"/>
              <w:ind w:right="60"/>
              <w:spacing w:after="0"/>
              <w:rPr>
                <w:sz w:val="20"/>
                <w:szCs w:val="20"/>
                <w:color w:val="auto"/>
              </w:rPr>
            </w:pPr>
            <w:r>
              <w:rPr>
                <w:rFonts w:ascii="Arial" w:cs="Arial" w:eastAsia="Arial" w:hAnsi="Arial"/>
                <w:sz w:val="18"/>
                <w:szCs w:val="18"/>
                <w:color w:val="auto"/>
              </w:rPr>
              <w:t>19,394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1 - June 30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9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2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16,034</w:t>
            </w:r>
          </w:p>
        </w:tc>
        <w:tc>
          <w:tcPr>
            <w:tcW w:w="0" w:type="dxa"/>
            <w:vAlign w:val="bottom"/>
          </w:tcPr>
          <w:p>
            <w:pPr>
              <w:spacing w:after="0"/>
              <w:rPr>
                <w:sz w:val="1"/>
                <w:szCs w:val="1"/>
                <w:color w:val="auto"/>
              </w:rPr>
            </w:pPr>
          </w:p>
        </w:tc>
      </w:tr>
      <w:tr>
        <w:trPr>
          <w:trHeight w:val="222"/>
        </w:trPr>
        <w:tc>
          <w:tcPr>
            <w:tcW w:w="342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8,724</w:t>
            </w:r>
          </w:p>
        </w:tc>
        <w:tc>
          <w:tcPr>
            <w:tcW w:w="90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86.04</w:t>
            </w:r>
          </w:p>
        </w:tc>
        <w:tc>
          <w:tcPr>
            <w:tcW w:w="900" w:type="dxa"/>
            <w:vAlign w:val="bottom"/>
          </w:tcPr>
          <w:p>
            <w:pPr>
              <w:spacing w:after="0"/>
              <w:rPr>
                <w:sz w:val="19"/>
                <w:szCs w:val="19"/>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8,718</w:t>
            </w: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repurchase shares under a program announced on March 10, 2010, which authorized the repurchase of up to 60 million shares of our common stock. Under the current program, shares may be purchased on the open market, in privately negotiated transactions and under plans complying with Rules 10b5-1 and 10b-18 under the Exchange Act. These repurchases are included within the scope of the overall repurchase program authorized in March 2010. We may also reacquire shares outside of the program from time to time in connection with the surrender of shares to cover taxes on vesting of restricted stock. Approximately 6,000 shares were reacquired in transactions outside the program during the quarter ended June 30, 2011.</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1"/>
              </w:rPr>
              <w:t>Item 6.</w:t>
            </w:r>
          </w:p>
        </w:tc>
        <w:tc>
          <w:tcPr>
            <w:tcW w:w="5060" w:type="dxa"/>
            <w:vAlign w:val="bottom"/>
            <w:gridSpan w:val="3"/>
          </w:tcPr>
          <w:p>
            <w:pPr>
              <w:ind w:left="42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3340" w:type="dxa"/>
            <w:vAlign w:val="bottom"/>
          </w:tcPr>
          <w:p>
            <w:pPr>
              <w:spacing w:after="0"/>
              <w:rPr>
                <w:sz w:val="14"/>
                <w:szCs w:val="14"/>
                <w:color w:val="auto"/>
              </w:rPr>
            </w:pPr>
          </w:p>
        </w:tc>
      </w:tr>
      <w:tr>
        <w:trPr>
          <w:trHeight w:val="316"/>
        </w:trPr>
        <w:tc>
          <w:tcPr>
            <w:tcW w:w="620" w:type="dxa"/>
            <w:vAlign w:val="bottom"/>
            <w:gridSpan w:val="2"/>
          </w:tcPr>
          <w:p>
            <w:pPr>
              <w:jc w:val="right"/>
              <w:ind w:right="272"/>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w w:val="88"/>
              </w:rPr>
              <w:t>Statement re: computation of ratio of earnings to fixed charges.*</w:t>
            </w:r>
          </w:p>
        </w:tc>
      </w:tr>
      <w:tr>
        <w:trPr>
          <w:trHeight w:val="324"/>
        </w:trPr>
        <w:tc>
          <w:tcPr>
            <w:tcW w:w="620" w:type="dxa"/>
            <w:vAlign w:val="bottom"/>
            <w:gridSpan w:val="2"/>
          </w:tcPr>
          <w:p>
            <w:pPr>
              <w:jc w:val="right"/>
              <w:ind w:right="272"/>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utx-20110630.xml)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utx-20110630.xsd)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utx-20110630_cal.xml)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utx-20110630_def.xml)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utx-20110630_lab.xml)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utx-20110630_pre.xml)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Attached as Exhibit 101 to this report are the following formatted in XBRL (Extensible Business Reporting Language): (i) Condensed Consolidated Statements of Operations for the quarters and six months ended June 30, 2011 and 2010, (ii) Condensed Consolidated Balance Sheet at June 30, 2011 and December 31, 2010,</w:t>
      </w:r>
    </w:p>
    <w:p>
      <w:pPr>
        <w:ind w:right="160" w:firstLine="8"/>
        <w:spacing w:after="0" w:line="295" w:lineRule="auto"/>
        <w:tabs>
          <w:tab w:leader="none" w:pos="307"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Condensed Consolidated Statement of Cash Flows for the six months ended June 30, 2011 and 2010 and (iv) Notes to Condensed Consolidated Financial Statements. 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(Registrant)</w:t>
      </w:r>
    </w:p>
    <w:p>
      <w:pPr>
        <w:spacing w:after="0" w:line="219" w:lineRule="exact"/>
        <w:rPr>
          <w:sz w:val="20"/>
          <w:szCs w:val="20"/>
          <w:color w:val="auto"/>
        </w:rPr>
      </w:pPr>
    </w:p>
    <w:p>
      <w:pPr>
        <w:spacing w:after="0"/>
        <w:tabs>
          <w:tab w:leader="none" w:pos="5600" w:val="left"/>
          <w:tab w:leader="none" w:pos="7620" w:val="left"/>
          <w:tab w:leader="none" w:pos="8000" w:val="left"/>
        </w:tabs>
        <w:rPr>
          <w:sz w:val="20"/>
          <w:szCs w:val="20"/>
          <w:color w:val="auto"/>
        </w:rPr>
      </w:pPr>
      <w:r>
        <w:rPr>
          <w:rFonts w:ascii="Arial" w:cs="Arial" w:eastAsia="Arial" w:hAnsi="Arial"/>
          <w:sz w:val="18"/>
          <w:szCs w:val="18"/>
          <w:color w:val="auto"/>
        </w:rPr>
        <w:t>Dated: July 25,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Gregory J. Hayes</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8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(on behalf of the Registrant and as the Registrant’s Principal Financial</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spacing w:after="0"/>
        <w:tabs>
          <w:tab w:leader="none" w:pos="5600" w:val="left"/>
          <w:tab w:leader="none" w:pos="7720" w:val="left"/>
          <w:tab w:leader="none" w:pos="8100" w:val="left"/>
        </w:tabs>
        <w:rPr>
          <w:sz w:val="20"/>
          <w:szCs w:val="20"/>
          <w:color w:val="auto"/>
        </w:rPr>
      </w:pPr>
      <w:r>
        <w:rPr>
          <w:rFonts w:ascii="Arial" w:cs="Arial" w:eastAsia="Arial" w:hAnsi="Arial"/>
          <w:sz w:val="18"/>
          <w:szCs w:val="18"/>
          <w:color w:val="auto"/>
        </w:rPr>
        <w:t>Dated: July 25,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F. L</w:t>
      </w:r>
      <w:r>
        <w:rPr>
          <w:rFonts w:ascii="Arial" w:cs="Arial" w:eastAsia="Arial" w:hAnsi="Arial"/>
          <w:sz w:val="13"/>
          <w:szCs w:val="13"/>
          <w:color w:val="auto"/>
        </w:rPr>
        <w:t>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Peter F. Longo</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Vice President, Controller</w:t>
      </w:r>
    </w:p>
    <w:p>
      <w:pPr>
        <w:spacing w:after="0" w:line="87"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(on behalf of the Registrant and as the Registrant’s Principal Accounting</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60"/>
          </w:cols>
          <w:pgMar w:left="240" w:top="459" w:right="5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60" w:type="dxa"/>
            <w:vAlign w:val="bottom"/>
            <w:gridSpan w:val="2"/>
          </w:tcPr>
          <w:p>
            <w:pPr>
              <w:ind w:left="2700"/>
              <w:spacing w:after="0"/>
              <w:rPr>
                <w:sz w:val="20"/>
                <w:szCs w:val="20"/>
                <w:color w:val="auto"/>
              </w:rPr>
            </w:pPr>
            <w:r>
              <w:rPr>
                <w:rFonts w:ascii="Arial" w:cs="Arial" w:eastAsia="Arial" w:hAnsi="Arial"/>
                <w:sz w:val="18"/>
                <w:szCs w:val="18"/>
                <w:b w:val="1"/>
                <w:bCs w:val="1"/>
                <w:color w:val="auto"/>
              </w:rPr>
              <w:t>EXHIBIT INDEX</w:t>
            </w:r>
          </w:p>
        </w:tc>
      </w:tr>
      <w:tr>
        <w:trPr>
          <w:trHeight w:val="35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4060" w:type="dxa"/>
            <w:vAlign w:val="bottom"/>
            <w:gridSpan w:val="2"/>
          </w:tcPr>
          <w:p>
            <w:pPr>
              <w:spacing w:after="0"/>
              <w:rPr>
                <w:sz w:val="14"/>
                <w:szCs w:val="14"/>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utx-20110630.xml)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utx-20110630.xsd)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utx-20110630_cal.xml)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utx-20110630_def.xml)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utx-20110630_lab.xml)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utx-20110630_pre.xml)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Attached as Exhibit 101 to this report are the following formatted in XBRL (Extensible Business Reporting Language): (i) Condensed Consolidated Statements of Operations for the quarters and six months ended June 30, 2011 and 2010, (ii) Condensed Consolidated Balance Sheet at June 30, 2011 and December 31, 2010,</w:t>
      </w:r>
    </w:p>
    <w:p>
      <w:pPr>
        <w:jc w:val="both"/>
        <w:ind w:right="160" w:firstLine="8"/>
        <w:spacing w:after="0" w:line="320" w:lineRule="auto"/>
        <w:tabs>
          <w:tab w:leader="none" w:pos="307"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Condensed Consolidated Statement of Cash Flows for the six months ended June 30, 2011 and 2010, and (iv) Notes to Condensed Consolidated Financial Statements. 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93"/>
              </w:rPr>
              <w:t>(Dollars in millions)</w:t>
            </w:r>
          </w:p>
        </w:tc>
        <w:tc>
          <w:tcPr>
            <w:tcW w:w="3260" w:type="dxa"/>
            <w:vAlign w:val="bottom"/>
            <w:vMerge w:val="restart"/>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49"/>
        </w:trPr>
        <w:tc>
          <w:tcPr>
            <w:tcW w:w="1240" w:type="dxa"/>
            <w:vAlign w:val="bottom"/>
            <w:tcBorders>
              <w:bottom w:val="single" w:sz="8" w:color="auto"/>
            </w:tcBorders>
            <w:vMerge w:val="continue"/>
          </w:tcPr>
          <w:p>
            <w:pPr>
              <w:spacing w:after="0"/>
              <w:rPr>
                <w:sz w:val="12"/>
                <w:szCs w:val="12"/>
                <w:color w:val="auto"/>
              </w:rPr>
            </w:pPr>
          </w:p>
        </w:tc>
        <w:tc>
          <w:tcPr>
            <w:tcW w:w="326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w w:val="96"/>
              </w:rPr>
              <w:t>2011</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Charges:</w:t>
            </w:r>
          </w:p>
        </w:tc>
        <w:tc>
          <w:tcPr>
            <w:tcW w:w="2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2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331</w:t>
            </w:r>
          </w:p>
        </w:tc>
        <w:tc>
          <w:tcPr>
            <w:tcW w:w="3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One-third of rents</w:t>
            </w:r>
            <w:r>
              <w:rPr>
                <w:rFonts w:ascii="Arial" w:cs="Arial" w:eastAsia="Arial" w:hAnsi="Arial"/>
                <w:sz w:val="11"/>
                <w:szCs w:val="11"/>
                <w:color w:val="auto"/>
              </w:rPr>
              <w:t>2</w:t>
            </w:r>
          </w:p>
        </w:tc>
        <w:tc>
          <w:tcPr>
            <w:tcW w:w="2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fixed charges</w:t>
            </w: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Earnings:</w:t>
            </w:r>
          </w:p>
        </w:tc>
        <w:tc>
          <w:tcPr>
            <w:tcW w:w="2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500" w:type="dxa"/>
            <w:vAlign w:val="bottom"/>
            <w:gridSpan w:val="2"/>
            <w:vMerge w:val="continue"/>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Fixed charges per above</w:t>
            </w:r>
          </w:p>
        </w:tc>
        <w:tc>
          <w:tcPr>
            <w:tcW w:w="2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Less: capitalized interest</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2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5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0"/>
                <w:szCs w:val="20"/>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interest capitalized</w:t>
            </w:r>
          </w:p>
        </w:tc>
        <w:tc>
          <w:tcPr>
            <w:tcW w:w="18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r>
      <w:tr>
        <w:trPr>
          <w:trHeight w:val="222"/>
        </w:trPr>
        <w:tc>
          <w:tcPr>
            <w:tcW w:w="4760" w:type="dxa"/>
            <w:vAlign w:val="bottom"/>
          </w:tcPr>
          <w:p>
            <w:pPr>
              <w:ind w:left="440"/>
              <w:spacing w:after="0"/>
              <w:rPr>
                <w:sz w:val="20"/>
                <w:szCs w:val="20"/>
                <w:color w:val="auto"/>
              </w:rPr>
            </w:pPr>
            <w:r>
              <w:rPr>
                <w:rFonts w:ascii="Arial" w:cs="Arial" w:eastAsia="Arial" w:hAnsi="Arial"/>
                <w:sz w:val="18"/>
                <w:szCs w:val="18"/>
                <w:color w:val="auto"/>
              </w:rPr>
              <w:t>Total earnings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  4,123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3,543</w:t>
            </w:r>
          </w:p>
        </w:tc>
        <w:tc>
          <w:tcPr>
            <w:tcW w:w="12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8"/>
                <w:szCs w:val="18"/>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77470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Pursuant to the guidance in the Income Taxes Topic of the FASB ASC, interest related to unrecognized tax benefits recorded was approximately $10 million and $15 million for the six months ended June 30, 2011 and 2010, respectively. The ratio of earnings to fixed charges would have been 10.13 and 7.98 for the six months ended June 30, 2011 and 2010, respectively, if such interest were excluded from the calculation. Reasonable approximation of the interest factor.</w:t>
      </w:r>
    </w:p>
    <w:p>
      <w:pPr>
        <w:sectPr>
          <w:pgSz w:w="11900" w:h="16838" w:orient="portrait"/>
          <w:cols w:equalWidth="0" w:num="2">
            <w:col w:w="60" w:space="400"/>
            <w:col w:w="10960"/>
          </w:cols>
          <w:pgMar w:left="240" w:top="125" w:right="2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25,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are aware that our report dated April 25, 2011 on our review of interim financial information of United Technologies Corporation (the “Corporation”) for the three-month periods ended March 31, 2011 and 2010 and included in the Corporation’s quarterly report on Form 10-Q for the quarter ended March 31, 2011 is incorporated by reference in its Registration Statement on Form S-3 (No. 333-167771), in the Registration Statement on Form S-4 (No. 333-77991) as amended by Post-Effective Amendment No. 1 on Form S-8 (No. 333-77991) and in the Registration Statements on Form S-8 (Nos. 333-163822, 333-156390, 333-150643, 333-125293, 333-110020, 333-100724, 333-100723, 333-100718, 333-82911, 333-77817, 333-21853, 333-21851, 033-57769 and 033-51385).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tc>
      </w:tr>
      <w:tr>
        <w:trPr>
          <w:trHeight w:val="29"/>
        </w:trPr>
        <w:tc>
          <w:tcPr>
            <w:tcW w:w="59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01"/>
        </w:trPr>
        <w:tc>
          <w:tcPr>
            <w:tcW w:w="5960" w:type="dxa"/>
            <w:vAlign w:val="bottom"/>
          </w:tcPr>
          <w:p>
            <w:pPr>
              <w:spacing w:after="0"/>
              <w:rPr>
                <w:sz w:val="17"/>
                <w:szCs w:val="17"/>
                <w:color w:val="auto"/>
              </w:rPr>
            </w:pPr>
          </w:p>
        </w:tc>
        <w:tc>
          <w:tcPr>
            <w:tcW w:w="5460" w:type="dxa"/>
            <w:vAlign w:val="bottom"/>
          </w:tcPr>
          <w:p>
            <w:pPr>
              <w:ind w:left="100"/>
              <w:spacing w:after="0" w:line="201" w:lineRule="exact"/>
              <w:rPr>
                <w:sz w:val="20"/>
                <w:szCs w:val="20"/>
                <w:color w:val="auto"/>
              </w:rPr>
            </w:pPr>
            <w:r>
              <w:rPr>
                <w:rFonts w:ascii="Arial" w:cs="Arial" w:eastAsia="Arial" w:hAnsi="Arial"/>
                <w:sz w:val="18"/>
                <w:szCs w:val="18"/>
                <w:color w:val="auto"/>
              </w:rPr>
              <w:t>Louis R. Chênevert</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Date: July 25, 2011</w:t>
            </w:r>
          </w:p>
        </w:tc>
        <w:tc>
          <w:tcPr>
            <w:tcW w:w="5460" w:type="dxa"/>
            <w:vAlign w:val="bottom"/>
          </w:tcPr>
          <w:p>
            <w:pPr>
              <w:ind w:left="100"/>
              <w:spacing w:after="0"/>
              <w:rPr>
                <w:sz w:val="20"/>
                <w:szCs w:val="20"/>
                <w:color w:val="auto"/>
              </w:rPr>
            </w:pPr>
            <w:r>
              <w:rPr>
                <w:rFonts w:ascii="Arial" w:cs="Arial" w:eastAsia="Arial" w:hAnsi="Arial"/>
                <w:sz w:val="18"/>
                <w:szCs w:val="18"/>
                <w:color w:val="auto"/>
              </w:rPr>
              <w:t>Chairman &amp; Chief Executive Officer</w:t>
            </w:r>
          </w:p>
        </w:tc>
      </w:tr>
    </w:tbl>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31.2</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tc>
      </w:tr>
      <w:tr>
        <w:trPr>
          <w:trHeight w:val="29"/>
        </w:trPr>
        <w:tc>
          <w:tcPr>
            <w:tcW w:w="59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01"/>
        </w:trPr>
        <w:tc>
          <w:tcPr>
            <w:tcW w:w="5960" w:type="dxa"/>
            <w:vAlign w:val="bottom"/>
          </w:tcPr>
          <w:p>
            <w:pPr>
              <w:spacing w:after="0"/>
              <w:rPr>
                <w:sz w:val="17"/>
                <w:szCs w:val="17"/>
                <w:color w:val="auto"/>
              </w:rPr>
            </w:pPr>
          </w:p>
        </w:tc>
        <w:tc>
          <w:tcPr>
            <w:tcW w:w="5460" w:type="dxa"/>
            <w:vAlign w:val="bottom"/>
          </w:tcPr>
          <w:p>
            <w:pPr>
              <w:ind w:left="100"/>
              <w:spacing w:after="0" w:line="201" w:lineRule="exact"/>
              <w:rPr>
                <w:sz w:val="20"/>
                <w:szCs w:val="20"/>
                <w:color w:val="auto"/>
              </w:rPr>
            </w:pPr>
            <w:r>
              <w:rPr>
                <w:rFonts w:ascii="Arial" w:cs="Arial" w:eastAsia="Arial" w:hAnsi="Arial"/>
                <w:sz w:val="18"/>
                <w:szCs w:val="18"/>
                <w:color w:val="auto"/>
              </w:rPr>
              <w:t>Gregory J. Hayes</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Date: July 25, 2011</w:t>
            </w:r>
          </w:p>
        </w:tc>
        <w:tc>
          <w:tcPr>
            <w:tcW w:w="546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27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31.3</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Peter F. Longo,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6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F. L</w:t>
            </w:r>
            <w:r>
              <w:rPr>
                <w:rFonts w:ascii="Arial" w:cs="Arial" w:eastAsia="Arial" w:hAnsi="Arial"/>
                <w:sz w:val="14"/>
                <w:szCs w:val="14"/>
                <w:color w:val="auto"/>
              </w:rPr>
              <w:t>ONGO</w:t>
            </w:r>
          </w:p>
        </w:tc>
      </w:tr>
      <w:tr>
        <w:trPr>
          <w:trHeight w:val="208"/>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Peter F. Longo</w:t>
            </w: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Date: July 25, 2011</w:t>
            </w:r>
          </w:p>
        </w:tc>
        <w:tc>
          <w:tcPr>
            <w:tcW w:w="5360" w:type="dxa"/>
            <w:vAlign w:val="bottom"/>
          </w:tcPr>
          <w:p>
            <w:pPr>
              <w:spacing w:after="0"/>
              <w:rPr>
                <w:sz w:val="20"/>
                <w:szCs w:val="20"/>
                <w:color w:val="auto"/>
              </w:rPr>
            </w:pPr>
            <w:r>
              <w:rPr>
                <w:rFonts w:ascii="Arial" w:cs="Arial" w:eastAsia="Arial" w:hAnsi="Arial"/>
                <w:sz w:val="18"/>
                <w:szCs w:val="18"/>
                <w:color w:val="auto"/>
              </w:rPr>
              <w:t>Vice President, Controller</w:t>
            </w:r>
          </w:p>
        </w:tc>
      </w:tr>
    </w:tbl>
    <w:p>
      <w:pPr>
        <w:sectPr>
          <w:pgSz w:w="11900" w:h="16838" w:orient="portrait"/>
          <w:cols w:equalWidth="0" w:num="1">
            <w:col w:w="11420"/>
          </w:cols>
          <w:pgMar w:left="240" w:top="27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Quarterly Report on Form 10-Q for the quarter ended June 30, 2011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Date: July 25, 2011</w:t>
            </w:r>
          </w:p>
        </w:tc>
        <w:tc>
          <w:tcPr>
            <w:tcW w:w="10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tc>
      </w:tr>
      <w:tr>
        <w:trPr>
          <w:trHeight w:val="202"/>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Louis R. Chênevert</w:t>
            </w:r>
          </w:p>
        </w:tc>
      </w:tr>
      <w:tr>
        <w:trPr>
          <w:trHeight w:val="222"/>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Chairman &amp; Chief Executive Officer</w:t>
            </w:r>
          </w:p>
        </w:tc>
      </w:tr>
      <w:tr>
        <w:trPr>
          <w:trHeight w:val="433"/>
        </w:trPr>
        <w:tc>
          <w:tcPr>
            <w:tcW w:w="5960" w:type="dxa"/>
            <w:vAlign w:val="bottom"/>
          </w:tcPr>
          <w:p>
            <w:pPr>
              <w:spacing w:after="0"/>
              <w:rPr>
                <w:sz w:val="20"/>
                <w:szCs w:val="20"/>
                <w:color w:val="auto"/>
              </w:rPr>
            </w:pPr>
            <w:r>
              <w:rPr>
                <w:rFonts w:ascii="Arial" w:cs="Arial" w:eastAsia="Arial" w:hAnsi="Arial"/>
                <w:sz w:val="18"/>
                <w:szCs w:val="18"/>
                <w:color w:val="auto"/>
              </w:rPr>
              <w:t>Date: July 25, 2011</w:t>
            </w:r>
          </w:p>
        </w:tc>
        <w:tc>
          <w:tcPr>
            <w:tcW w:w="1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tc>
      </w:tr>
      <w:tr>
        <w:trPr>
          <w:trHeight w:val="202"/>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Gregory J. Hayes</w:t>
            </w:r>
          </w:p>
        </w:tc>
      </w:tr>
      <w:tr>
        <w:trPr>
          <w:trHeight w:val="222"/>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433"/>
        </w:trPr>
        <w:tc>
          <w:tcPr>
            <w:tcW w:w="5960" w:type="dxa"/>
            <w:vAlign w:val="bottom"/>
          </w:tcPr>
          <w:p>
            <w:pPr>
              <w:spacing w:after="0"/>
              <w:rPr>
                <w:sz w:val="20"/>
                <w:szCs w:val="20"/>
                <w:color w:val="auto"/>
              </w:rPr>
            </w:pPr>
            <w:r>
              <w:rPr>
                <w:rFonts w:ascii="Arial" w:cs="Arial" w:eastAsia="Arial" w:hAnsi="Arial"/>
                <w:sz w:val="18"/>
                <w:szCs w:val="18"/>
                <w:color w:val="auto"/>
              </w:rPr>
              <w:t>Date: July 25, 2011</w:t>
            </w:r>
          </w:p>
        </w:tc>
        <w:tc>
          <w:tcPr>
            <w:tcW w:w="1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F. L</w:t>
            </w:r>
            <w:r>
              <w:rPr>
                <w:rFonts w:ascii="Arial" w:cs="Arial" w:eastAsia="Arial" w:hAnsi="Arial"/>
                <w:sz w:val="14"/>
                <w:szCs w:val="14"/>
                <w:color w:val="auto"/>
              </w:rPr>
              <w:t>ONGO</w:t>
            </w:r>
          </w:p>
        </w:tc>
      </w:tr>
      <w:tr>
        <w:trPr>
          <w:trHeight w:val="202"/>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Peter F. Longo</w:t>
            </w:r>
          </w:p>
        </w:tc>
      </w:tr>
      <w:tr>
        <w:trPr>
          <w:trHeight w:val="222"/>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 Controller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31"/>
    </w:lvl>
  </w:abstractNum>
  <w:abstractNum w:abstractNumId="7">
    <w:nsid w:val="216231B"/>
    <w:multiLevelType w:val="hybridMultilevel"/>
    <w:lvl w:ilvl="0">
      <w:lvlJc w:val="left"/>
      <w:lvlText w:val="(%1)"/>
      <w:numFmt w:val="lowerRoman"/>
      <w:start w:val="3"/>
    </w:lvl>
  </w:abstractNum>
  <w:abstractNum w:abstractNumId="8">
    <w:nsid w:val="1F16E9E8"/>
    <w:multiLevelType w:val="hybridMultilevel"/>
    <w:lvl w:ilvl="0">
      <w:lvlJc w:val="left"/>
      <w:lvlText w:val="%1"/>
      <w:numFmt w:val="decimal"/>
      <w:start w:val="31"/>
    </w:lvl>
  </w:abstractNum>
  <w:abstractNum w:abstractNumId="9">
    <w:nsid w:val="1190CDE7"/>
    <w:multiLevelType w:val="hybridMultilevel"/>
    <w:lvl w:ilvl="0">
      <w:lvlJc w:val="left"/>
      <w:lvlText w:val="(%1)"/>
      <w:numFmt w:val="lowerRoman"/>
      <w:start w:val="3"/>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2019-12-10T04:01:01Z</dcterms:created>
  <dcterms:modified xsi:type="dcterms:W3CDTF">2019-12-10T04:01:01Z</dcterms:modified>
</cp:coreProperties>
</file>