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347"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40" w:space="720"/>
            <w:col w:w="3120"/>
          </w:cols>
          <w:pgMar w:left="240" w:top="22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One Financial Plaza, Hartford, Connecticut 06103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34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540"/>
            <w:col w:w="5460" w:space="720"/>
            <w:col w:w="2000" w:space="720"/>
            <w:col w:w="28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5">
            <w:col w:w="1560" w:space="640"/>
            <w:col w:w="180" w:space="40"/>
            <w:col w:w="5240" w:space="720"/>
            <w:col w:w="2000" w:space="720"/>
            <w:col w:w="280"/>
          </w:cols>
          <w:pgMar w:left="240" w:top="229" w:right="279" w:bottom="1440" w:gutter="0" w:footer="0" w:header="0"/>
          <w:type w:val="continuous"/>
        </w:sectPr>
      </w:pPr>
    </w:p>
    <w:p>
      <w:pPr>
        <w:spacing w:after="0" w:line="43"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March 31, 2013 there were 919,300,710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2013</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480" w:type="dxa"/>
            <w:vAlign w:val="bottom"/>
            <w:gridSpan w:val="2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2"/>
        </w:trPr>
        <w:tc>
          <w:tcPr>
            <w:tcW w:w="140" w:type="dxa"/>
            <w:vAlign w:val="bottom"/>
            <w:tcBorders>
              <w:top w:val="single" w:sz="8" w:color="0000FF"/>
            </w:tcBorders>
          </w:tcPr>
          <w:p>
            <w:pPr>
              <w:spacing w:after="0"/>
              <w:rPr>
                <w:sz w:val="24"/>
                <w:szCs w:val="24"/>
                <w:color w:val="auto"/>
              </w:rPr>
            </w:pPr>
          </w:p>
        </w:tc>
        <w:tc>
          <w:tcPr>
            <w:tcW w:w="2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720" w:type="dxa"/>
            <w:vAlign w:val="bottom"/>
            <w:tcBorders>
              <w:top w:val="single" w:sz="8" w:color="0000FF"/>
            </w:tcBorders>
            <w:gridSpan w:val="3"/>
          </w:tcPr>
          <w:p>
            <w:pPr>
              <w:spacing w:after="0"/>
              <w:rPr>
                <w:sz w:val="24"/>
                <w:szCs w:val="24"/>
                <w:color w:val="auto"/>
              </w:rPr>
            </w:pPr>
          </w:p>
        </w:tc>
        <w:tc>
          <w:tcPr>
            <w:tcW w:w="752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 of Comprehensive Income for the quarters ended March 31, 2013 and 2012</w:t>
              </w:r>
            </w:hyperlink>
          </w:p>
        </w:tc>
        <w:tc>
          <w:tcPr>
            <w:tcW w:w="210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 at March 31, 2013 and December 31, 2012</w:t>
              </w:r>
            </w:hyperlink>
          </w:p>
        </w:tc>
        <w:tc>
          <w:tcPr>
            <w:tcW w:w="414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Cash Flows for the quarters ended March 31, 2013 and 2012</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top w:val="single" w:sz="8" w:color="0000FF"/>
            </w:tcBorders>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w:t>
              </w:r>
            </w:hyperlink>
          </w:p>
        </w:tc>
        <w:tc>
          <w:tcPr>
            <w:tcW w:w="29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Report of Independent Registered Public Accounting Firm</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34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 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4"/>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Item 3. Quantitative and Qualitative Disclosures About Market Risk</w:t>
              </w:r>
            </w:hyperlink>
          </w:p>
        </w:tc>
        <w:tc>
          <w:tcPr>
            <w:tcW w:w="2080" w:type="dxa"/>
            <w:vAlign w:val="bottom"/>
            <w:gridSpan w:val="2"/>
          </w:tcPr>
          <w:p>
            <w:pPr>
              <w:spacing w:after="0"/>
              <w:rPr>
                <w:sz w:val="24"/>
                <w:szCs w:val="24"/>
                <w:color w:val="auto"/>
              </w:rPr>
            </w:pPr>
          </w:p>
        </w:tc>
        <w:tc>
          <w:tcPr>
            <w:tcW w:w="33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440" w:type="dxa"/>
            <w:vAlign w:val="bottom"/>
            <w:tcBorders>
              <w:left w:val="single" w:sz="8" w:color="0000FF"/>
            </w:tcBorders>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8"/>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Item 4. Controls and Procedures</w:t>
              </w:r>
            </w:hyperlink>
          </w:p>
        </w:tc>
        <w:tc>
          <w:tcPr>
            <w:tcW w:w="2580" w:type="dxa"/>
            <w:vAlign w:val="bottom"/>
            <w:gridSpan w:val="6"/>
          </w:tcPr>
          <w:p>
            <w:pPr>
              <w:spacing w:after="0"/>
              <w:rPr>
                <w:sz w:val="24"/>
                <w:szCs w:val="24"/>
                <w:color w:val="auto"/>
              </w:rPr>
            </w:pPr>
          </w:p>
        </w:tc>
        <w:tc>
          <w:tcPr>
            <w:tcW w:w="544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10"/>
          </w:tcPr>
          <w:p>
            <w:pPr>
              <w:spacing w:after="0"/>
              <w:rPr>
                <w:rFonts w:ascii="Arial" w:cs="Arial" w:eastAsia="Arial" w:hAnsi="Arial"/>
                <w:sz w:val="18"/>
                <w:szCs w:val="18"/>
                <w:color w:val="0000FF"/>
                <w:w w:val="95"/>
              </w:rPr>
            </w:pPr>
            <w:hyperlink w:anchor="page46">
              <w:r>
                <w:rPr>
                  <w:rFonts w:ascii="Arial" w:cs="Arial" w:eastAsia="Arial" w:hAnsi="Arial"/>
                  <w:sz w:val="18"/>
                  <w:szCs w:val="18"/>
                  <w:color w:val="0000FF"/>
                  <w:w w:val="95"/>
                </w:rPr>
                <w:t>PART II – OTHER INFORMATION</w:t>
              </w:r>
            </w:hyperlink>
          </w:p>
        </w:tc>
        <w:tc>
          <w:tcPr>
            <w:tcW w:w="782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Legal Proceedings</w:t>
              </w:r>
            </w:hyperlink>
          </w:p>
        </w:tc>
        <w:tc>
          <w:tcPr>
            <w:tcW w:w="640" w:type="dxa"/>
            <w:vAlign w:val="bottom"/>
            <w:gridSpan w:val="3"/>
          </w:tcPr>
          <w:p>
            <w:pPr>
              <w:spacing w:after="0"/>
              <w:rPr>
                <w:sz w:val="24"/>
                <w:szCs w:val="24"/>
                <w:color w:val="auto"/>
              </w:rPr>
            </w:pPr>
          </w:p>
        </w:tc>
        <w:tc>
          <w:tcPr>
            <w:tcW w:w="782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46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2.</w:t>
              </w:r>
            </w:hyperlink>
          </w:p>
        </w:tc>
        <w:tc>
          <w:tcPr>
            <w:tcW w:w="4380" w:type="dxa"/>
            <w:vAlign w:val="bottom"/>
            <w:gridSpan w:val="12"/>
          </w:tcPr>
          <w:p>
            <w:pPr>
              <w:ind w:left="2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Unregistered Sales of Equity Securities and Use of Proceeds</w:t>
              </w:r>
            </w:hyperlink>
          </w:p>
        </w:tc>
        <w:tc>
          <w:tcPr>
            <w:tcW w:w="544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7"/>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3.</w:t>
              </w:r>
            </w:hyperlink>
          </w:p>
        </w:tc>
        <w:tc>
          <w:tcPr>
            <w:tcW w:w="4380" w:type="dxa"/>
            <w:vAlign w:val="bottom"/>
            <w:gridSpan w:val="12"/>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Defaults Upon Senior Securities</w:t>
              </w:r>
            </w:hyperlink>
          </w:p>
        </w:tc>
        <w:tc>
          <w:tcPr>
            <w:tcW w:w="544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7"/>
            <w:shd w:val="clear" w:color="auto" w:fill="0000FF"/>
          </w:tcPr>
          <w:p>
            <w:pPr>
              <w:spacing w:after="0" w:line="20" w:lineRule="exact"/>
              <w:rPr>
                <w:sz w:val="1"/>
                <w:szCs w:val="1"/>
                <w:color w:val="auto"/>
              </w:rPr>
            </w:pPr>
          </w:p>
        </w:tc>
        <w:tc>
          <w:tcPr>
            <w:tcW w:w="74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6.</w:t>
              </w:r>
            </w:hyperlink>
          </w:p>
        </w:tc>
        <w:tc>
          <w:tcPr>
            <w:tcW w:w="2340" w:type="dxa"/>
            <w:vAlign w:val="bottom"/>
            <w:gridSpan w:val="9"/>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Exhibits</w:t>
              </w:r>
            </w:hyperlink>
          </w:p>
        </w:tc>
        <w:tc>
          <w:tcPr>
            <w:tcW w:w="748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SIGNATURES</w:t>
              </w:r>
            </w:hyperlink>
          </w:p>
        </w:tc>
        <w:tc>
          <w:tcPr>
            <w:tcW w:w="938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r>
      <w:tr>
        <w:trPr>
          <w:trHeight w:val="20"/>
        </w:trPr>
        <w:tc>
          <w:tcPr>
            <w:tcW w:w="11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5"/>
          </w:tcPr>
          <w:p>
            <w:pPr>
              <w:spacing w:after="0"/>
              <w:rPr>
                <w:rFonts w:ascii="Arial" w:cs="Arial" w:eastAsia="Arial" w:hAnsi="Arial"/>
                <w:sz w:val="18"/>
                <w:szCs w:val="18"/>
                <w:color w:val="0000FF"/>
                <w:w w:val="95"/>
              </w:rPr>
            </w:pPr>
            <w:hyperlink w:anchor="page55">
              <w:r>
                <w:rPr>
                  <w:rFonts w:ascii="Arial" w:cs="Arial" w:eastAsia="Arial" w:hAnsi="Arial"/>
                  <w:sz w:val="18"/>
                  <w:szCs w:val="18"/>
                  <w:color w:val="0000FF"/>
                  <w:w w:val="95"/>
                </w:rPr>
                <w:t>EXHIBIT INDEX</w:t>
              </w:r>
            </w:hyperlink>
          </w:p>
        </w:tc>
        <w:tc>
          <w:tcPr>
            <w:tcW w:w="92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12,416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Less: Noncontrolling interest in subsidiaries' earnings from discontinued operations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67"/>
        </w:trPr>
        <w:tc>
          <w:tcPr>
            <w:tcW w:w="8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16"/>
                <w:szCs w:val="16"/>
                <w:color w:val="auto"/>
              </w:rPr>
            </w:pPr>
          </w:p>
        </w:tc>
        <w:tc>
          <w:tcPr>
            <w:tcW w:w="5040" w:type="dxa"/>
            <w:vAlign w:val="bottom"/>
            <w:gridSpan w:val="5"/>
            <w:shd w:val="clear" w:color="auto" w:fill="CCEEFF"/>
          </w:tcPr>
          <w:p>
            <w:pPr>
              <w:jc w:val="center"/>
              <w:ind w:right="3440"/>
              <w:spacing w:after="0" w:line="189" w:lineRule="exact"/>
              <w:rPr>
                <w:sz w:val="20"/>
                <w:szCs w:val="20"/>
                <w:color w:val="auto"/>
              </w:rPr>
            </w:pPr>
            <w:r>
              <w:rPr>
                <w:rFonts w:ascii="Arial" w:cs="Arial" w:eastAsia="Arial" w:hAnsi="Arial"/>
                <w:sz w:val="17"/>
                <w:szCs w:val="17"/>
                <w:b w:val="1"/>
                <w:bCs w:val="1"/>
                <w:color w:val="auto"/>
                <w:w w:val="78"/>
              </w:rPr>
              <w:t>Assets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3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4,767</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4,819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11,099</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10,161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9,537</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Future income tax benefits, current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Assets held for sale</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938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219"/>
        </w:trPr>
        <w:tc>
          <w:tcPr>
            <w:tcW w:w="8360" w:type="dxa"/>
            <w:vAlign w:val="bottom"/>
            <w:gridSpan w:val="6"/>
          </w:tcPr>
          <w:p>
            <w:pPr>
              <w:ind w:left="720"/>
              <w:spacing w:after="0"/>
              <w:rPr>
                <w:sz w:val="20"/>
                <w:szCs w:val="20"/>
                <w:color w:val="auto"/>
              </w:rPr>
            </w:pPr>
            <w:r>
              <w:rPr>
                <w:rFonts w:ascii="Arial" w:cs="Arial" w:eastAsia="Arial" w:hAnsi="Arial"/>
                <w:sz w:val="17"/>
                <w:szCs w:val="17"/>
                <w:color w:val="auto"/>
              </w:rPr>
              <w:t>Total Current Assets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29,161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29,610</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Future income tax benefits</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1,552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1,599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18,065</w:t>
            </w:r>
          </w:p>
        </w:tc>
        <w:tc>
          <w:tcPr>
            <w:tcW w:w="0" w:type="dxa"/>
            <w:vAlign w:val="bottom"/>
          </w:tcPr>
          <w:p>
            <w:pPr>
              <w:spacing w:after="0"/>
              <w:rPr>
                <w:sz w:val="1"/>
                <w:szCs w:val="1"/>
                <w:color w:val="auto"/>
              </w:rPr>
            </w:pPr>
          </w:p>
        </w:tc>
      </w:tr>
      <w:tr>
        <w:trPr>
          <w:trHeight w:val="239"/>
        </w:trPr>
        <w:tc>
          <w:tcPr>
            <w:tcW w:w="8360" w:type="dxa"/>
            <w:vAlign w:val="bottom"/>
            <w:gridSpan w:val="6"/>
          </w:tcPr>
          <w:p>
            <w:pPr>
              <w:ind w:left="720"/>
              <w:spacing w:after="0"/>
              <w:rPr>
                <w:sz w:val="20"/>
                <w:szCs w:val="20"/>
                <w:color w:val="auto"/>
              </w:rPr>
            </w:pPr>
            <w:r>
              <w:rPr>
                <w:rFonts w:ascii="Arial" w:cs="Arial" w:eastAsia="Arial" w:hAnsi="Arial"/>
                <w:sz w:val="17"/>
                <w:szCs w:val="17"/>
                <w:color w:val="auto"/>
              </w:rPr>
              <w:t>Less: Accumulated depreciation</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(9,547)</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Fixed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8,518</w:t>
            </w:r>
          </w:p>
        </w:tc>
        <w:tc>
          <w:tcPr>
            <w:tcW w:w="0" w:type="dxa"/>
            <w:vAlign w:val="bottom"/>
          </w:tcPr>
          <w:p>
            <w:pPr>
              <w:spacing w:after="0"/>
              <w:rPr>
                <w:sz w:val="1"/>
                <w:szCs w:val="1"/>
                <w:color w:val="auto"/>
              </w:rPr>
            </w:pPr>
          </w:p>
        </w:tc>
      </w:tr>
      <w:tr>
        <w:trPr>
          <w:trHeight w:val="21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Goodwill</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27,801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15,189</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5,626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89,409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line="20" w:lineRule="exact"/>
              <w:rPr>
                <w:sz w:val="1"/>
                <w:szCs w:val="1"/>
                <w:color w:val="auto"/>
              </w:rPr>
            </w:pPr>
          </w:p>
        </w:tc>
        <w:tc>
          <w:tcPr>
            <w:tcW w:w="5040" w:type="dxa"/>
            <w:vAlign w:val="bottom"/>
            <w:tcBorders>
              <w:top w:val="single" w:sz="8" w:color="CCEEFF"/>
              <w:bottom w:val="single" w:sz="8" w:color="CCEEFF"/>
            </w:tcBorders>
            <w:gridSpan w:val="5"/>
            <w:vMerge w:val="restart"/>
          </w:tcPr>
          <w:p>
            <w:pPr>
              <w:jc w:val="center"/>
              <w:ind w:right="3440"/>
              <w:spacing w:after="0" w:line="183" w:lineRule="exact"/>
              <w:rPr>
                <w:sz w:val="20"/>
                <w:szCs w:val="20"/>
                <w:color w:val="auto"/>
              </w:rPr>
            </w:pPr>
            <w:r>
              <w:rPr>
                <w:rFonts w:ascii="Arial" w:cs="Arial" w:eastAsia="Arial" w:hAnsi="Arial"/>
                <w:sz w:val="17"/>
                <w:szCs w:val="17"/>
                <w:b w:val="1"/>
                <w:bCs w:val="1"/>
                <w:color w:val="auto"/>
                <w:w w:val="94"/>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vMerge w:val="continue"/>
          </w:tcPr>
          <w:p>
            <w:pPr>
              <w:spacing w:after="0"/>
              <w:rPr>
                <w:sz w:val="12"/>
                <w:szCs w:val="12"/>
                <w:color w:val="auto"/>
              </w:rPr>
            </w:pPr>
          </w:p>
        </w:tc>
        <w:tc>
          <w:tcPr>
            <w:tcW w:w="504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Accounts payable</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6,192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6,431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15,310</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Liabilities held for sale</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 currently due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19"/>
        </w:trPr>
        <w:tc>
          <w:tcPr>
            <w:tcW w:w="8360" w:type="dxa"/>
            <w:vAlign w:val="bottom"/>
            <w:gridSpan w:val="6"/>
          </w:tcPr>
          <w:p>
            <w:pPr>
              <w:ind w:left="72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22,559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23,786</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21,597</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7,358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7,520</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9,199</w:t>
            </w:r>
          </w:p>
        </w:tc>
        <w:tc>
          <w:tcPr>
            <w:tcW w:w="0" w:type="dxa"/>
            <w:vAlign w:val="bottom"/>
          </w:tcPr>
          <w:p>
            <w:pPr>
              <w:spacing w:after="0"/>
              <w:rPr>
                <w:sz w:val="1"/>
                <w:szCs w:val="1"/>
                <w:color w:val="auto"/>
              </w:rPr>
            </w:pPr>
          </w:p>
        </w:tc>
      </w:tr>
      <w:tr>
        <w:trPr>
          <w:trHeight w:val="219"/>
        </w:trPr>
        <w:tc>
          <w:tcPr>
            <w:tcW w:w="8360" w:type="dxa"/>
            <w:vAlign w:val="bottom"/>
            <w:gridSpan w:val="6"/>
          </w:tcPr>
          <w:p>
            <w:pPr>
              <w:ind w:left="72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60,695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62,102</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Commitments and contingent liabilities (Note 13)</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Redeemable noncontrolling interest</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7"/>
                <w:szCs w:val="17"/>
                <w:color w:val="auto"/>
              </w:rPr>
              <w:t>Shareowners’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gridSpan w:val="6"/>
          </w:tcPr>
          <w:p>
            <w:pPr>
              <w:ind w:left="720"/>
              <w:spacing w:after="0"/>
              <w:rPr>
                <w:sz w:val="20"/>
                <w:szCs w:val="20"/>
                <w:color w:val="auto"/>
              </w:rPr>
            </w:pPr>
            <w:r>
              <w:rPr>
                <w:rFonts w:ascii="Arial" w:cs="Arial" w:eastAsia="Arial" w:hAnsi="Arial"/>
                <w:sz w:val="17"/>
                <w:szCs w:val="17"/>
                <w:color w:val="auto"/>
              </w:rPr>
              <w:t>Common Stock</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14,221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13,976</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(19,251)</w:t>
            </w:r>
          </w:p>
        </w:tc>
        <w:tc>
          <w:tcPr>
            <w:tcW w:w="0" w:type="dxa"/>
            <w:vAlign w:val="bottom"/>
          </w:tcPr>
          <w:p>
            <w:pPr>
              <w:spacing w:after="0"/>
              <w:rPr>
                <w:sz w:val="1"/>
                <w:szCs w:val="1"/>
                <w:color w:val="auto"/>
              </w:rPr>
            </w:pPr>
          </w:p>
        </w:tc>
      </w:tr>
      <w:tr>
        <w:trPr>
          <w:trHeight w:val="239"/>
        </w:trPr>
        <w:tc>
          <w:tcPr>
            <w:tcW w:w="8360" w:type="dxa"/>
            <w:vAlign w:val="bottom"/>
            <w:gridSpan w:val="6"/>
          </w:tcPr>
          <w:p>
            <w:pPr>
              <w:ind w:left="720"/>
              <w:spacing w:after="0"/>
              <w:rPr>
                <w:sz w:val="20"/>
                <w:szCs w:val="20"/>
                <w:color w:val="auto"/>
              </w:rPr>
            </w:pPr>
            <w:r>
              <w:rPr>
                <w:rFonts w:ascii="Arial" w:cs="Arial" w:eastAsia="Arial" w:hAnsi="Arial"/>
                <w:sz w:val="17"/>
                <w:szCs w:val="17"/>
                <w:color w:val="auto"/>
              </w:rPr>
              <w:t>Retained earnings</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37,551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36,776</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Unearned ESOP shares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9"/>
        </w:trPr>
        <w:tc>
          <w:tcPr>
            <w:tcW w:w="8360" w:type="dxa"/>
            <w:vAlign w:val="bottom"/>
            <w:gridSpan w:val="6"/>
          </w:tcPr>
          <w:p>
            <w:pPr>
              <w:ind w:left="72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(5,448)</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6"/>
            <w:shd w:val="clear" w:color="auto" w:fill="CCEEFF"/>
          </w:tcPr>
          <w:p>
            <w:pPr>
              <w:ind w:left="1140"/>
              <w:spacing w:after="0"/>
              <w:rPr>
                <w:sz w:val="20"/>
                <w:szCs w:val="20"/>
                <w:color w:val="auto"/>
              </w:rPr>
            </w:pPr>
            <w:r>
              <w:rPr>
                <w:rFonts w:ascii="Arial" w:cs="Arial" w:eastAsia="Arial" w:hAnsi="Arial"/>
                <w:sz w:val="17"/>
                <w:szCs w:val="17"/>
                <w:color w:val="auto"/>
              </w:rPr>
              <w:t>Total Shareowners’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26,194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25,914</w:t>
            </w:r>
          </w:p>
        </w:tc>
        <w:tc>
          <w:tcPr>
            <w:tcW w:w="0" w:type="dxa"/>
            <w:vAlign w:val="bottom"/>
          </w:tcPr>
          <w:p>
            <w:pPr>
              <w:spacing w:after="0"/>
              <w:rPr>
                <w:sz w:val="1"/>
                <w:szCs w:val="1"/>
                <w:color w:val="auto"/>
              </w:rPr>
            </w:pPr>
          </w:p>
        </w:tc>
      </w:tr>
      <w:tr>
        <w:trPr>
          <w:trHeight w:val="239"/>
        </w:trPr>
        <w:tc>
          <w:tcPr>
            <w:tcW w:w="8360" w:type="dxa"/>
            <w:vAlign w:val="bottom"/>
            <w:gridSpan w:val="6"/>
          </w:tcPr>
          <w:p>
            <w:pPr>
              <w:ind w:left="40"/>
              <w:spacing w:after="0"/>
              <w:rPr>
                <w:sz w:val="20"/>
                <w:szCs w:val="20"/>
                <w:color w:val="auto"/>
              </w:rPr>
            </w:pPr>
            <w:r>
              <w:rPr>
                <w:rFonts w:ascii="Arial" w:cs="Arial" w:eastAsia="Arial" w:hAnsi="Arial"/>
                <w:sz w:val="17"/>
                <w:szCs w:val="17"/>
                <w:color w:val="auto"/>
              </w:rPr>
              <w:t>Noncontrolling interest</w:t>
            </w:r>
          </w:p>
        </w:tc>
        <w:tc>
          <w:tcPr>
            <w:tcW w:w="2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1,155</w:t>
            </w:r>
          </w:p>
        </w:tc>
        <w:tc>
          <w:tcPr>
            <w:tcW w:w="0" w:type="dxa"/>
            <w:vAlign w:val="bottom"/>
          </w:tcPr>
          <w:p>
            <w:pPr>
              <w:spacing w:after="0"/>
              <w:rPr>
                <w:sz w:val="1"/>
                <w:szCs w:val="1"/>
                <w:color w:val="auto"/>
              </w:rPr>
            </w:pPr>
          </w:p>
        </w:tc>
      </w:tr>
      <w:tr>
        <w:trPr>
          <w:trHeight w:val="31"/>
        </w:trPr>
        <w:tc>
          <w:tcPr>
            <w:tcW w:w="3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6"/>
            <w:shd w:val="clear" w:color="auto" w:fill="CCEEFF"/>
          </w:tcPr>
          <w:p>
            <w:pPr>
              <w:ind w:left="720"/>
              <w:spacing w:after="0"/>
              <w:rPr>
                <w:sz w:val="20"/>
                <w:szCs w:val="20"/>
                <w:color w:val="auto"/>
              </w:rPr>
            </w:pPr>
            <w:r>
              <w:rPr>
                <w:rFonts w:ascii="Arial" w:cs="Arial" w:eastAsia="Arial" w:hAnsi="Arial"/>
                <w:sz w:val="17"/>
                <w:szCs w:val="17"/>
                <w:color w:val="auto"/>
              </w:rPr>
              <w:t>Total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27,069</w:t>
            </w:r>
          </w:p>
        </w:tc>
        <w:tc>
          <w:tcPr>
            <w:tcW w:w="0" w:type="dxa"/>
            <w:vAlign w:val="bottom"/>
          </w:tcPr>
          <w:p>
            <w:pPr>
              <w:spacing w:after="0"/>
              <w:rPr>
                <w:sz w:val="1"/>
                <w:szCs w:val="1"/>
                <w:color w:val="auto"/>
              </w:rPr>
            </w:pPr>
          </w:p>
        </w:tc>
      </w:tr>
      <w:tr>
        <w:trPr>
          <w:trHeight w:val="219"/>
        </w:trPr>
        <w:tc>
          <w:tcPr>
            <w:tcW w:w="8360" w:type="dxa"/>
            <w:vAlign w:val="bottom"/>
            <w:gridSpan w:val="6"/>
          </w:tcPr>
          <w:p>
            <w:pPr>
              <w:ind w:left="380"/>
              <w:spacing w:after="0"/>
              <w:rPr>
                <w:sz w:val="20"/>
                <w:szCs w:val="20"/>
                <w:color w:val="auto"/>
              </w:rPr>
            </w:pPr>
            <w:r>
              <w:rPr>
                <w:rFonts w:ascii="Arial" w:cs="Arial" w:eastAsia="Arial" w:hAnsi="Arial"/>
                <w:sz w:val="17"/>
                <w:szCs w:val="17"/>
                <w:color w:val="auto"/>
              </w:rPr>
              <w:t>Total Liabilities and Equity</w:t>
            </w: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88,513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89,409</w:t>
            </w: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Quarter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Adjustments to reconcile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9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Deferred income tax (benefit)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8360" w:type="dxa"/>
            <w:vAlign w:val="bottom"/>
            <w:gridSpan w:val="2"/>
          </w:tcPr>
          <w:p>
            <w:pPr>
              <w:ind w:left="92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9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43"/>
        </w:trPr>
        <w:tc>
          <w:tcPr>
            <w:tcW w:w="8360" w:type="dxa"/>
            <w:vAlign w:val="bottom"/>
            <w:gridSpan w:val="2"/>
          </w:tcPr>
          <w:p>
            <w:pPr>
              <w:ind w:left="9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7"/>
        </w:trPr>
        <w:tc>
          <w:tcPr>
            <w:tcW w:w="8360" w:type="dxa"/>
            <w:vAlign w:val="bottom"/>
            <w:gridSpan w:val="2"/>
          </w:tcPr>
          <w:p>
            <w:pPr>
              <w:ind w:left="92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Investments in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Dispositions of businesses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37"/>
        </w:trPr>
        <w:tc>
          <w:tcPr>
            <w:tcW w:w="8360" w:type="dxa"/>
            <w:vAlign w:val="bottom"/>
            <w:gridSpan w:val="2"/>
          </w:tcPr>
          <w:p>
            <w:pPr>
              <w:ind w:left="820"/>
              <w:spacing w:after="0"/>
              <w:rPr>
                <w:sz w:val="20"/>
                <w:szCs w:val="20"/>
                <w:color w:val="auto"/>
              </w:rPr>
            </w:pPr>
            <w:r>
              <w:rPr>
                <w:rFonts w:ascii="Arial" w:cs="Arial" w:eastAsia="Arial" w:hAnsi="Arial"/>
                <w:sz w:val="18"/>
                <w:szCs w:val="18"/>
                <w:color w:val="auto"/>
              </w:rPr>
              <w:t>Net cash flows provided by (used in) investing activities of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Repayment of long-term debt,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8360" w:type="dxa"/>
            <w:vAlign w:val="bottom"/>
            <w:gridSpan w:val="2"/>
          </w:tcPr>
          <w:p>
            <w:pPr>
              <w:ind w:left="92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Net cash flows used in discontinued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5,960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6,362</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Less: Cash and cash equivalents of businesses held for sale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of continuing operations,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Condensed Consolidated Financial Statements at March 31, 2013 and for the quarters ended March 31, 2013 and 2012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(2012 Annual Report) incorporated by reference to our Annual Report on Form 10-K for calendar year 2012 (2012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quarter ended March 31, 2013, our cash investment in business acquisitions was $24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a number of small acquisitions in our commercial businesses.</w:t>
      </w:r>
    </w:p>
    <w:p>
      <w:pPr>
        <w:spacing w:after="0" w:line="166"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February 7, 2013, we completed the acquisition of Grupo Ascensores Enor, S.A. (Enor), a privately held company headquartered in Spain with operations in Spain and Portugal, which designs, manufactures, installs and services elevators. Enor's 2012 sales were approximately $50 million. Under the terms of the transaction, Zardoya Otis, S.A. (ZOSA), a non-wholly owned subsidiary of the Company, exchanged publicly traded shares of ZOSA with a fair value of approximately $240 million as of the transaction completion date for all of the shares of Enor.</w:t>
      </w:r>
    </w:p>
    <w:p>
      <w:pPr>
        <w:spacing w:after="0" w:line="17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On July 26, 2012, UTC acquired Goodrich Corporation (Goodrich), a global supplier of systems and services to the aerospace and defense industry with 2011 sales of $8.1 billion. Goodrich products include aircraft nacelles and interior, actuation, landing and electronic systems. Under the terms of the agreement, Goodrich shareholders received $127.50 in cash for each share of Goodrich common stock they owned on July 26, 2012. This equated to a total enterprise value of $18.3 billion, including $1.9 billion in net debt assumed. The acquired Goodrich businesses were combined with the legacy Hamilton Sundstrand businesses to form the new UTC Aerospace Systems segment. The Goodrich acquisition and the formation of UTC Aerospace Systems provides increased scale, financial strength and complementary product offerings, allowing us to significantly strengthen our position in the aerospace and defense industry, create aftermarket efficiencies for our customers, accelerate our ability to drive innovation within the aerospace industry, and enhance our ability to support our customers with more integrated systems. This acquisition, coupled with our acquisition of an additional interest in IAE International Aero Engines AG (IAE), as discussed below, further advances UTC's strategy of focusing on our core businesses.</w:t>
      </w:r>
    </w:p>
    <w:p>
      <w:pPr>
        <w:spacing w:after="0" w:line="167"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To finance the cash consideration for the Goodrich acquisition and pay related fees, expenses and other amounts due and payable, we utilized the previously disclosed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under our April 24, 2012 term loan credit agreement. For the remainder of the cash consideration, we utilized approximately $0.5 billion of cash and cash equivalents generated from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Allocation of Consideration Transferred to Net Assets Acquired:</w:t>
      </w:r>
    </w:p>
    <w:p>
      <w:pPr>
        <w:spacing w:after="0" w:line="22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following amounts represent the preliminary determination of the fair value of identifiable assets acquired and liabilities assumed from the Goodrich acquisition. The final determination of the fair value of certain assets and liabilities will be completed within the one year measurement period from the date of acquisition as required by the Financial Accounting Standards Board (FASB) Accounting Standards Codification (ASC) Topic 805, “Business Combinations”. The size and breadth of the Goodrich acquisition will necessitate the use of this measurement period to adequately analyze and assess a number of the factors used in establishing the asset and liability fair values as of the acquisition date including the significant contractual and operational factors underlying the customer relationship intangible asset; the final negotiated sales values for Goodrich businesses that were required to be sold as part of the regulatory approval process of the Goodrich acquisition (see further discussion below); the assumptions underpinning certain reserves such as those for environmental obligations, and the related tax impacts of any changes made. Any potential adjustments made could be material in relation to the preliminary values presented below (as of March 31, 2013 there have been no material adjustments):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101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831"/>
        </w:trPr>
        <w:tc>
          <w:tcPr>
            <w:tcW w:w="1016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43"/>
        </w:trPr>
        <w:tc>
          <w:tcPr>
            <w:tcW w:w="10160" w:type="dxa"/>
            <w:vAlign w:val="bottom"/>
            <w:gridSpan w:val="4"/>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Inventories and contracts in progress, 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r>
      <w:tr>
        <w:trPr>
          <w:trHeight w:val="243"/>
        </w:trPr>
        <w:tc>
          <w:tcPr>
            <w:tcW w:w="10160" w:type="dxa"/>
            <w:vAlign w:val="bottom"/>
            <w:gridSpan w:val="4"/>
          </w:tcPr>
          <w:p>
            <w:pPr>
              <w:ind w:left="40"/>
              <w:spacing w:after="0"/>
              <w:rPr>
                <w:sz w:val="20"/>
                <w:szCs w:val="20"/>
                <w:color w:val="auto"/>
              </w:rPr>
            </w:pPr>
            <w:r>
              <w:rPr>
                <w:rFonts w:ascii="Arial" w:cs="Arial" w:eastAsia="Arial" w:hAnsi="Arial"/>
                <w:sz w:val="18"/>
                <w:szCs w:val="18"/>
                <w:color w:val="auto"/>
              </w:rPr>
              <w:t>Future income tax benefits, current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 current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r>
      <w:tr>
        <w:trPr>
          <w:trHeight w:val="243"/>
        </w:trPr>
        <w:tc>
          <w:tcPr>
            <w:tcW w:w="10160" w:type="dxa"/>
            <w:vAlign w:val="bottom"/>
            <w:gridSpan w:val="4"/>
          </w:tcPr>
          <w:p>
            <w:pPr>
              <w:ind w:left="40"/>
              <w:spacing w:after="0"/>
              <w:rPr>
                <w:sz w:val="20"/>
                <w:szCs w:val="20"/>
                <w:color w:val="auto"/>
              </w:rPr>
            </w:pPr>
            <w:r>
              <w:rPr>
                <w:rFonts w:ascii="Arial" w:cs="Arial" w:eastAsia="Arial" w:hAnsi="Arial"/>
                <w:sz w:val="18"/>
                <w:szCs w:val="18"/>
                <w:color w:val="auto"/>
              </w:rPr>
              <w:t>Fixed assets</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2,342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Customer relationships and related program assets</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8,550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Trademarks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43"/>
        </w:trPr>
        <w:tc>
          <w:tcPr>
            <w:tcW w:w="101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1016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r>
      <w:tr>
        <w:trPr>
          <w:trHeight w:val="243"/>
        </w:trPr>
        <w:tc>
          <w:tcPr>
            <w:tcW w:w="1016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Future pension and postretirement benefit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43"/>
        </w:trPr>
        <w:tc>
          <w:tcPr>
            <w:tcW w:w="1016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Customer contractual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43"/>
        </w:trPr>
        <w:tc>
          <w:tcPr>
            <w:tcW w:w="40" w:type="dxa"/>
            <w:vAlign w:val="bottom"/>
          </w:tcPr>
          <w:p>
            <w:pPr>
              <w:spacing w:after="0"/>
              <w:rPr>
                <w:sz w:val="21"/>
                <w:szCs w:val="21"/>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(3,758)</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40" w:type="dxa"/>
            <w:vAlign w:val="bottom"/>
          </w:tcPr>
          <w:p>
            <w:pPr>
              <w:spacing w:after="0"/>
              <w:rPr>
                <w:sz w:val="20"/>
                <w:szCs w:val="20"/>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Total identifiable net assets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11,167</w:t>
            </w:r>
          </w:p>
        </w:tc>
      </w:tr>
      <w:tr>
        <w:trPr>
          <w:trHeight w:val="257"/>
        </w:trPr>
        <w:tc>
          <w:tcPr>
            <w:tcW w:w="40" w:type="dxa"/>
            <w:vAlign w:val="bottom"/>
          </w:tcPr>
          <w:p>
            <w:pPr>
              <w:spacing w:after="0"/>
              <w:rPr>
                <w:sz w:val="22"/>
                <w:szCs w:val="22"/>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Total consideration transferred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16,420</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order to allocate the consideration transferred for Goodrich, the fair values of all identifiable assets and liabilities needed to be established. For accounting and financial reporting purposes, fair value is defined under FASB ASC Topic 820, “Fair Value Measurements and Disclosures”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1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determining the fair value of identifiable assets acquired and liabilities assumed, a review was conducted for any significant contingent assets or liabilities existing as of the acquisition date. As of March 31, 2013, no significant contingencies related to existing legal or government action have been identified. Based upon our existing practices and phase II environmental assessments done on a number of Goodrich sites, we determined that environmental liability obligations of $232 million were assumed in connection with the acquisition.</w:t>
      </w:r>
    </w:p>
    <w:p>
      <w:pPr>
        <w:spacing w:after="0" w:line="18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fair values of the customer relationship and related program intangible assets, which include the related aerospace program original equipment manufacturing (OEM) and aftermarket cash flows, were determined by using an “income approach” which is the most common valuation approach utilized.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Our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and related program intangible assets are being amortized on a straight-line basis (which approximates the economic pattern of benefits) over the estimated economic life of the underlying programs of 10 to 25 years.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also identified customer contractual obligations on certain OEM development programs where the expected costs exceed the expected revenue under contract. We measured these liabilities under the measurement provisions of FASB ASC Topic 820, “Fair Value Measurements and Disclosures”, which is based on the price to transfer the obligation to a market participant at the measurement date, assuming that the liability will remain outstanding in the marketplace. Based on the estimated net cash outflows of the OEM developmental programs plus a reasonable contracting profit margin required to transfer the contracts to market participants, we recorded assumed liabilities of approximately $2 billion. These liabilities will be liquidated in accordance with the underlying economic pattern of obligations, as reflected by the net cash outflows incurred on the OEM contracts. Total consumption of the contractual obligation through the next five years is expected to be as follows: $204 million remaining in 2013, $292 million in 2014, $221 million in 2015, $236 million in 2016, and $220 million in 2017.</w:t>
      </w:r>
    </w:p>
    <w:p>
      <w:pPr>
        <w:spacing w:after="0" w:line="19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Goodrich had not recorded an income tax liability on the unremitted earnings of its non-U.S. subsidiaries, which were approximately $853 million as of December 31, 2011. In connection with the Goodrich acquisition, UTC has made a determination to repatriate certain of these unremitted earnings, making such amounts subject to both U.S. and non-U.S. income taxes. Accordingly, an income tax liability of $219 million was recorded in purchase accounting for the unremitted earnings no longer considered permanently reinvested.</w:t>
      </w:r>
    </w:p>
    <w:p>
      <w:pPr>
        <w:spacing w:after="0" w:line="187"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2010, Pratt &amp; Whitney entered into a preferred supplier contract with Goodrich for the development and subsequent production of nacelles for the PW1500G (Bombardier C Series) and PW1200G (Mitsubishi Regional Jet). That preferred supplier contract replaced previous contracts and preliminary Memorandum of Understandings entered into in 2006 and 2008. Under the 2010 agreement, Pratt &amp; Whitney agreed to fund Goodrich's non-recurring development effort and established a recurring price for the production nacelles. Prior to the date of the Goodrich acquisition, Pratt &amp; Whitney and Goodrich had asserted claims against each other in a contractual dispute and would have ultimately arbitrated the matter were it not for the acquisition. In accordance with FASB ASC Topic 805, “Business Combinations”, pre-existing relationships must be effectively settled at acquisition as the relationships become intercompany relationships upon acquisition and are eliminated in the post-combination financial statements. Any resulting settlement gains or losses should be measured at fair value and recorded on the acquisition date. Accordingly, a $46 million gain was recorded in other income by Pratt &amp; Whitney in the quarter ended September 30, 2012 based upon a third party determination of the probability-weighted outcome had the matter gone to arbitration.</w:t>
      </w:r>
    </w:p>
    <w:p>
      <w:pPr>
        <w:spacing w:after="0" w:line="16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Under Goodrich's pre-existing management continuity arrangements (MCAs), we assumed change-in-control obligations related to certain executives at Goodrich. We evaluated the change-in-control provisions governed by the MCAs and for certain of the executives, we determined that we had assumed liabilities of approximately $74 million as the benefit payments were effectively single trigger arrangements in substance. We measured the assumed liability based on fair value concepts of FASB ASC Topic 820, “Fair Value Measurements”, using weighted average techniques of possible outcomes of the employees electing to receive such benefits. We expensed approximately $12 million in the quarter ended September 30, 2012 for MCAs where we amended the term of the MCAs beyond the original expiration date for certain executives.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Pro-Forma Data:</w:t>
      </w:r>
    </w:p>
    <w:p>
      <w:pPr>
        <w:spacing w:after="0" w:line="121"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color w:val="auto"/>
        </w:rPr>
        <w:t>Goodrich's results of operations have been included in UTC's financial statements for the periods subsequent to the completion of the acquisition on July 26, 2012. The following unaudited supplemental pro-forma data for the quarter ended March 31, 2012 presents consolidated information as if the acquisition had been completed on January 1, 2011. There were no significant pro-forma adjustments required for the quarter ended March 31, 2013. The pro-forma results were calculated by combining the results of UTC with the stand-alone results of Goodrich for the pre-acquisition periods, which were adjusted to account for certain costs which would have been incurred during this pre-acquisition period: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43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Quarter Ended March</w:t>
            </w:r>
          </w:p>
        </w:tc>
        <w:tc>
          <w:tcPr>
            <w:tcW w:w="0" w:type="dxa"/>
            <w:vAlign w:val="bottom"/>
          </w:tcPr>
          <w:p>
            <w:pPr>
              <w:spacing w:after="0"/>
              <w:rPr>
                <w:sz w:val="1"/>
                <w:szCs w:val="1"/>
                <w:color w:val="auto"/>
              </w:rPr>
            </w:pPr>
          </w:p>
        </w:tc>
      </w:tr>
      <w:tr>
        <w:trPr>
          <w:trHeight w:val="158"/>
        </w:trPr>
        <w:tc>
          <w:tcPr>
            <w:tcW w:w="5600" w:type="dxa"/>
            <w:vAlign w:val="bottom"/>
            <w:gridSpan w:val="3"/>
            <w:vMerge w:val="continue"/>
          </w:tcPr>
          <w:p>
            <w:pPr>
              <w:spacing w:after="0"/>
              <w:rPr>
                <w:sz w:val="13"/>
                <w:szCs w:val="13"/>
                <w:color w:val="auto"/>
              </w:rPr>
            </w:pPr>
          </w:p>
        </w:tc>
        <w:tc>
          <w:tcPr>
            <w:tcW w:w="4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31, 2012</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4640" w:type="dxa"/>
            <w:vAlign w:val="bottom"/>
            <w:gridSpan w:val="2"/>
          </w:tcPr>
          <w:p>
            <w:pPr>
              <w:ind w:left="43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Net income attributable to common shareowners from continuing operations</w:t>
            </w:r>
          </w:p>
        </w:tc>
        <w:tc>
          <w:tcPr>
            <w:tcW w:w="4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w w:val="99"/>
              </w:rPr>
              <w:t>Basic earnings per share of common stock from continuing operations</w:t>
            </w:r>
          </w:p>
        </w:tc>
        <w:tc>
          <w:tcPr>
            <w:tcW w:w="4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Diluted earnings per share of common stock from continuing operations</w:t>
            </w:r>
          </w:p>
        </w:tc>
        <w:tc>
          <w:tcPr>
            <w:tcW w:w="4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40" w:type="dxa"/>
            <w:vAlign w:val="bottom"/>
          </w:tcPr>
          <w:p>
            <w:pPr>
              <w:jc w:val="right"/>
              <w:ind w:right="409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2011, as adjusted for the applicable tax impact: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Quarter Ended March</w:t>
            </w:r>
          </w:p>
        </w:tc>
        <w:tc>
          <w:tcPr>
            <w:tcW w:w="0" w:type="dxa"/>
            <w:vAlign w:val="bottom"/>
          </w:tcPr>
          <w:p>
            <w:pPr>
              <w:spacing w:after="0"/>
              <w:rPr>
                <w:sz w:val="1"/>
                <w:szCs w:val="1"/>
                <w:color w:val="auto"/>
              </w:rPr>
            </w:pPr>
          </w:p>
        </w:tc>
      </w:tr>
      <w:tr>
        <w:trPr>
          <w:trHeight w:val="158"/>
        </w:trPr>
        <w:tc>
          <w:tcPr>
            <w:tcW w:w="99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94"/>
              <w:spacing w:after="0" w:line="158" w:lineRule="exact"/>
              <w:rPr>
                <w:sz w:val="20"/>
                <w:szCs w:val="20"/>
                <w:color w:val="auto"/>
              </w:rPr>
            </w:pPr>
            <w:r>
              <w:rPr>
                <w:rFonts w:ascii="Arial" w:cs="Arial" w:eastAsia="Arial" w:hAnsi="Arial"/>
                <w:sz w:val="14"/>
                <w:szCs w:val="14"/>
                <w:b w:val="1"/>
                <w:bCs w:val="1"/>
                <w:color w:val="auto"/>
              </w:rPr>
              <w:t>31, 2012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940" w:type="dxa"/>
            <w:vAlign w:val="bottom"/>
            <w:gridSpan w:val="3"/>
            <w:vMerge w:val="restart"/>
          </w:tcPr>
          <w:p>
            <w:pPr>
              <w:ind w:left="40"/>
              <w:spacing w:after="0"/>
              <w:rPr>
                <w:sz w:val="20"/>
                <w:szCs w:val="20"/>
                <w:color w:val="auto"/>
              </w:rPr>
            </w:pPr>
            <w:r>
              <w:rPr>
                <w:rFonts w:ascii="Arial" w:cs="Arial" w:eastAsia="Arial" w:hAnsi="Arial"/>
                <w:sz w:val="18"/>
                <w:szCs w:val="18"/>
                <w:color w:val="auto"/>
              </w:rPr>
              <w:t>Amortization of acquired Goodrich intangible assets, net</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9940" w:type="dxa"/>
            <w:vAlign w:val="bottom"/>
            <w:gridSpan w:val="3"/>
            <w:vMerge w:val="continue"/>
          </w:tcPr>
          <w:p>
            <w:pPr>
              <w:spacing w:after="0"/>
              <w:rPr>
                <w:sz w:val="24"/>
                <w:szCs w:val="24"/>
                <w:color w:val="auto"/>
              </w:rPr>
            </w:pPr>
          </w:p>
        </w:tc>
        <w:tc>
          <w:tcPr>
            <w:tcW w:w="3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6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Utilization of contractual customer obligation</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99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UTC/Goodrich fees for advisory, legal, accounting services</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99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Interest expense incurred on acquisition financing, net</w:t>
            </w:r>
            <w:r>
              <w:rPr>
                <w:rFonts w:ascii="Arial" w:cs="Arial" w:eastAsia="Arial" w:hAnsi="Arial"/>
                <w:sz w:val="25"/>
                <w:szCs w:val="25"/>
                <w:color w:val="auto"/>
                <w:vertAlign w:val="superscript"/>
              </w:rPr>
              <w:t>4</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0" w:right="220" w:hanging="147"/>
        <w:spacing w:after="0" w:line="277" w:lineRule="auto"/>
        <w:rPr>
          <w:sz w:val="20"/>
          <w:szCs w:val="20"/>
          <w:color w:val="auto"/>
        </w:rPr>
      </w:pPr>
      <w:r>
        <w:rPr>
          <w:rFonts w:ascii="Arial" w:cs="Arial" w:eastAsia="Arial" w:hAnsi="Arial"/>
          <w:sz w:val="18"/>
          <w:szCs w:val="18"/>
          <w:color w:val="auto"/>
        </w:rPr>
        <w:t>1 Added the additional amortization of the acquired Goodrich intangible assets recognized at fair value in purchase accounting and eliminated the historical Goodrich intangible asset amortization expense.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 Added the additional utilization of the Goodrich contractual customer obligation recognized in purchase accounting.</w:t>
      </w:r>
    </w:p>
    <w:p>
      <w:pPr>
        <w:spacing w:after="0" w:line="63" w:lineRule="exact"/>
        <w:rPr>
          <w:sz w:val="20"/>
          <w:szCs w:val="20"/>
          <w:color w:val="auto"/>
        </w:rPr>
      </w:pPr>
    </w:p>
    <w:p>
      <w:pPr>
        <w:ind w:left="140" w:right="20" w:hanging="147"/>
        <w:spacing w:after="0" w:line="277" w:lineRule="auto"/>
        <w:rPr>
          <w:sz w:val="20"/>
          <w:szCs w:val="20"/>
          <w:color w:val="auto"/>
        </w:rPr>
      </w:pPr>
      <w:r>
        <w:rPr>
          <w:rFonts w:ascii="Arial" w:cs="Arial" w:eastAsia="Arial" w:hAnsi="Arial"/>
          <w:sz w:val="18"/>
          <w:szCs w:val="18"/>
          <w:color w:val="auto"/>
        </w:rPr>
        <w:t>3 Removed the UTC/Goodrich fees that were incurred in connection with the acquisition of Goodrich from the first quarter of 2012, and considered those fees as incurred during the first quarter of 2011.</w:t>
      </w:r>
    </w:p>
    <w:p>
      <w:pPr>
        <w:spacing w:after="0" w:line="8" w:lineRule="exact"/>
        <w:rPr>
          <w:sz w:val="20"/>
          <w:szCs w:val="20"/>
          <w:color w:val="auto"/>
        </w:rPr>
      </w:pPr>
    </w:p>
    <w:p>
      <w:pPr>
        <w:ind w:left="140" w:right="120" w:hanging="147"/>
        <w:spacing w:after="0" w:line="277" w:lineRule="auto"/>
        <w:rPr>
          <w:sz w:val="20"/>
          <w:szCs w:val="20"/>
          <w:color w:val="auto"/>
        </w:rPr>
      </w:pPr>
      <w:r>
        <w:rPr>
          <w:rFonts w:ascii="Arial" w:cs="Arial" w:eastAsia="Arial" w:hAnsi="Arial"/>
          <w:sz w:val="18"/>
          <w:szCs w:val="18"/>
          <w:color w:val="auto"/>
        </w:rPr>
        <w:t>4 Added the additional interest expense for the indebtedness we incurred to finance the acquisition of Goodrich and reduced interest expense for the debt fair value adjustment which would have been amortized.</w:t>
      </w:r>
    </w:p>
    <w:p>
      <w:pPr>
        <w:spacing w:after="0" w:line="130"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relating to the integration of the two companies. Further, the pro-forma data should not be considered indicative of the results that would have occurred if the acquisition and related financing had been consummated on January 1, 2011, nor are they indicative of future results.</w:t>
      </w:r>
    </w:p>
    <w:p>
      <w:pPr>
        <w:spacing w:after="0" w:line="7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connection with regulatory approval of UTC's acquisition of Goodrich, regulatory authorities required UTC to dispose of the Goodrich electric power systems and the Goodrich pumps and engine controls businesses. Pursuant to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Combined proceeds from the sales of the two businesses were approximately $600 million.</w:t>
      </w:r>
    </w:p>
    <w:p>
      <w:pPr>
        <w:spacing w:after="0" w:line="17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2012, the UTC Board of Directors approved plans for the divestiture of a number of non-core businesses. Cash generated from these divestitures is being used to repay debt incurred to finance the acquisition of Goodrich. See Note 2 for further discussion.</w:t>
      </w:r>
    </w:p>
    <w:p>
      <w:pPr>
        <w:spacing w:after="0" w:line="17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June 29, 2012, Pratt &amp; Whitney, Rolls Royce plc (Rolls-Royce), MTU Aero Engines AG (MTU), and Japanese Aero Engines Corporation (JAEC), participants in the IAE collaboration, completed a restructuring of their interests in IAE. Under the terms of the agreement, Rolls-Royce sold its ownership and collaboration interests in IAE to Pratt &amp; Whitney, while also entering into an agreement to license its V2500 intellectual property to Pratt &amp; Whitney. In exchange for the increased ownership and collaboration interests and intellectual property license, Pratt &amp; Whitney paid Rolls-Royce $1.5 billion at closing with additional payments due to Rolls-Royce during the fifteen year period following closing of the purchase, conditional upon each hour flown by V2500-powered aircraft in service at the closing. The collaboration interest and intellectual property licenses are reflected as intangible assets and will be amortized in relation to the economic benefits received over the remaining estimated 30 year life of the V2500 program. As a result of these transactions, Pratt &amp; Whitney holds a 61% net interest in the collaboration and a 49.5% ownership interest in IAE. IAE’s business purpose is to coordinate the design, development, manufacturing and product support of the V2500 program through involvement with the collaborators. IAE retains limited equity with the primary economics of the V2500 program passed to the participants in the separate collaboration arrangement. As such, we have determined that IAE is a variable interest entity, and Pratt &amp; Whitney its primary beneficiary under the criteria established in the FASB ASC Topic “Consolidations” and has, therefore, been consolidated. The carrying amounts and classification of assets and liabilities for IAE in our Consolidated Balance Sheet as of March 31, 2013 are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994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55"/>
        </w:trPr>
        <w:tc>
          <w:tcPr>
            <w:tcW w:w="994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r>
      <w:tr>
        <w:trPr>
          <w:trHeight w:val="243"/>
        </w:trPr>
        <w:tc>
          <w:tcPr>
            <w:tcW w:w="9940" w:type="dxa"/>
            <w:vAlign w:val="bottom"/>
            <w:gridSpan w:val="4"/>
          </w:tcPr>
          <w:p>
            <w:pPr>
              <w:ind w:left="40"/>
              <w:spacing w:after="0"/>
              <w:rPr>
                <w:sz w:val="20"/>
                <w:szCs w:val="20"/>
                <w:color w:val="auto"/>
              </w:rPr>
            </w:pPr>
            <w:r>
              <w:rPr>
                <w:rFonts w:ascii="Arial" w:cs="Arial" w:eastAsia="Arial" w:hAnsi="Arial"/>
                <w:sz w:val="18"/>
                <w:szCs w:val="18"/>
                <w:color w:val="auto"/>
              </w:rPr>
              <w:t>Noncurrent assets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994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1,526</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37"/>
        </w:trPr>
        <w:tc>
          <w:tcPr>
            <w:tcW w:w="40" w:type="dxa"/>
            <w:vAlign w:val="bottom"/>
          </w:tcPr>
          <w:p>
            <w:pPr>
              <w:spacing w:after="0"/>
              <w:rPr>
                <w:sz w:val="20"/>
                <w:szCs w:val="20"/>
                <w:color w:val="auto"/>
              </w:rPr>
            </w:pPr>
          </w:p>
        </w:tc>
        <w:tc>
          <w:tcPr>
            <w:tcW w:w="990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2,507</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2013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Balance as of</w:t>
            </w:r>
          </w:p>
        </w:tc>
        <w:tc>
          <w:tcPr>
            <w:tcW w:w="2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Goodwill</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Foreign currency</w:t>
            </w:r>
          </w:p>
        </w:tc>
        <w:tc>
          <w:tcPr>
            <w:tcW w:w="200" w:type="dxa"/>
            <w:vAlign w:val="bottom"/>
          </w:tcPr>
          <w:p>
            <w:pPr>
              <w:spacing w:after="0"/>
              <w:rPr>
                <w:sz w:val="14"/>
                <w:szCs w:val="14"/>
                <w:color w:val="auto"/>
              </w:rPr>
            </w:pPr>
          </w:p>
        </w:tc>
        <w:tc>
          <w:tcPr>
            <w:tcW w:w="12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resulting from</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January 1, 2013</w:t>
            </w:r>
          </w:p>
        </w:tc>
        <w:tc>
          <w:tcPr>
            <w:tcW w:w="15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business combinations</w:t>
            </w:r>
          </w:p>
        </w:tc>
        <w:tc>
          <w:tcPr>
            <w:tcW w:w="158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translation and other</w:t>
            </w:r>
          </w:p>
        </w:tc>
        <w:tc>
          <w:tcPr>
            <w:tcW w:w="200" w:type="dxa"/>
            <w:vAlign w:val="bottom"/>
          </w:tcPr>
          <w:p>
            <w:pPr>
              <w:spacing w:after="0"/>
              <w:rPr>
                <w:sz w:val="13"/>
                <w:szCs w:val="13"/>
                <w:color w:val="auto"/>
              </w:rPr>
            </w:pPr>
          </w:p>
        </w:tc>
        <w:tc>
          <w:tcPr>
            <w:tcW w:w="128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9,868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27,796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27,511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27,801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27,516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3"/>
                <w:szCs w:val="13"/>
                <w:color w:val="auto"/>
              </w:rPr>
            </w:pPr>
          </w:p>
        </w:tc>
        <w:tc>
          <w:tcPr>
            <w:tcW w:w="12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IAE collaboration</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customer relationship intangible assets are being amortized on a straight-line basis as it approximates the underlying economic pattern of benefit. The IAE collaboration intangible is being amortized based upon the economic pattern of benefits as represented by the underlying cash flows. As these cash flows have been negative to date, no amortization has yet been recorded. Amortization of intangible assets for the three months ended March 31, 2013 was $175 million, compared with $99 million for the same period of 2012. The following is the expected amortization of intangible assets for the years 2013 through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Remaining 2013</w:t>
            </w:r>
          </w:p>
        </w:tc>
        <w:tc>
          <w:tcPr>
            <w:tcW w:w="200" w:type="dxa"/>
            <w:vAlign w:val="bottom"/>
          </w:tcPr>
          <w:p>
            <w:pPr>
              <w:spacing w:after="0"/>
              <w:rPr>
                <w:sz w:val="14"/>
                <w:szCs w:val="14"/>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9"/>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02"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2012, the UTC Board of Directors approved plans for the divestiture of a number of non-core businesses. Cash generated from these divestitures is being used to repay debt incurred to finance the Goodrich acquisition. These divestitures, when completed, are expected to generate approximately $3 billion in net cash, on an after-tax basis.</w:t>
      </w:r>
    </w:p>
    <w:p>
      <w:pPr>
        <w:spacing w:after="0" w:line="12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legacy Hamilton Sundstrand Industrial businesses, as well as Clipper Windpower (Clipper), Pratt &amp; Whitney Rocketdyne (Rocketdyne) and UTC Power all met the "held-for-sale" criteria in 2012. The results of operations, including the net realized gain and expected losses on disposition, and the related cash flows which result from these non-core businesses, have been reclassified to Discontinued Operations in our Condensed Consolidated Statements of Comprehensive Income and Cash Flows. The dispositions of Clipper and the legacy Hamilton Sundstrand Industrial businesses were completed in 2012.</w:t>
      </w:r>
    </w:p>
    <w:p>
      <w:pPr>
        <w:spacing w:after="0" w:line="100"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On July 23, 2012, we announced an agreement to sell our Rocketdyne unit to GenCorp Inc. We expect to complete the sale of the business mid-year 2013, pending the satisfaction of closing conditions, including regulatory approval. We are taking significant actions required to satisfy these conditions.</w:t>
      </w:r>
    </w:p>
    <w:p>
      <w:pPr>
        <w:spacing w:after="0" w:line="70"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On February 12, 2013, we completed the disposition of UTC Power to ClearEdge Power. The disposition resulted in payments by UTC totaling $48 million, which included capitalization of the business prior to the sale and interim funding of operations as the buyer took control of a loss generating business. We have no continuing involvement with the UTC Power business post disposition.</w:t>
      </w:r>
    </w:p>
    <w:p>
      <w:pPr>
        <w:spacing w:after="0" w:line="127"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Although the Board of Directors also approved the sale of the Pratt &amp; Whitney Power Systems business, it was not reclassified to Discontinued Operations due to our expected level of continuing involvement in the business post-sale. The sale of Pratt &amp; Whitney Power Systems is expected to be completed during the second quarter of 2013.</w:t>
      </w:r>
    </w:p>
    <w:p>
      <w:pPr>
        <w:spacing w:after="0" w:line="23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summarized financial information related to Rocketdyne, and UTC Power (up to the point of sale) has been segregated from continuing operations and reported as discontinued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47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Net sales</w:t>
            </w:r>
          </w:p>
        </w:tc>
        <w:tc>
          <w:tcPr>
            <w:tcW w:w="3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35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from operations</w:t>
            </w:r>
          </w:p>
        </w:tc>
        <w:tc>
          <w:tcPr>
            <w:tcW w:w="39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Income from operations, net of income taxes</w:t>
            </w:r>
          </w:p>
        </w:tc>
        <w:tc>
          <w:tcPr>
            <w:tcW w:w="3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Loss on disposal</w:t>
            </w:r>
          </w:p>
        </w:tc>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benefit (expense)</w:t>
            </w:r>
          </w:p>
        </w:tc>
        <w:tc>
          <w:tcPr>
            <w:tcW w:w="3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35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560" w:type="dxa"/>
            <w:vAlign w:val="bottom"/>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remaining assets and liabilities held for sale on the Condensed Consolidated Balance Sheet as of March 31, 2013 are those of Rocketdyne and Pratt &amp; Whitney Power Systems, and also include those of UTC Power as of December 31, 2012,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8"/>
        </w:trPr>
        <w:tc>
          <w:tcPr>
            <w:tcW w:w="5100" w:type="dxa"/>
            <w:vAlign w:val="bottom"/>
            <w:gridSpan w:val="8"/>
            <w:vMerge w:val="continue"/>
          </w:tcPr>
          <w:p>
            <w:pPr>
              <w:spacing w:after="0"/>
              <w:rPr>
                <w:sz w:val="13"/>
                <w:szCs w:val="13"/>
                <w:color w:val="auto"/>
              </w:rPr>
            </w:pPr>
          </w:p>
        </w:tc>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512"/>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512"/>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320" w:type="dxa"/>
            <w:vAlign w:val="bottom"/>
            <w:gridSpan w:val="5"/>
            <w:shd w:val="clear" w:color="auto" w:fill="CCEEFF"/>
          </w:tcPr>
          <w:p>
            <w:pPr>
              <w:jc w:val="center"/>
              <w:ind w:right="520"/>
              <w:spacing w:after="0" w:line="182" w:lineRule="exact"/>
              <w:rPr>
                <w:sz w:val="20"/>
                <w:szCs w:val="20"/>
                <w:color w:val="auto"/>
              </w:rPr>
            </w:pPr>
            <w:r>
              <w:rPr>
                <w:rFonts w:ascii="Arial" w:cs="Arial" w:eastAsia="Arial" w:hAnsi="Arial"/>
                <w:sz w:val="18"/>
                <w:szCs w:val="18"/>
                <w:b w:val="1"/>
                <w:bCs w:val="1"/>
                <w:color w:val="auto"/>
                <w:w w:val="81"/>
              </w:rPr>
              <w:t>Assets</w:t>
            </w:r>
          </w:p>
        </w:tc>
        <w:tc>
          <w:tcPr>
            <w:tcW w:w="3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25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Cash and cash equivalents</w:t>
            </w:r>
          </w:p>
        </w:tc>
        <w:tc>
          <w:tcPr>
            <w:tcW w:w="3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Inventories and contracts in progress, net</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Future income tax benefits, current</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Other assets, current</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Future income tax benefits</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Fixed assets, net</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Intangible assets, net</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60" w:type="dxa"/>
            <w:vAlign w:val="bottom"/>
            <w:gridSpan w:val="7"/>
          </w:tcPr>
          <w:p>
            <w:pPr>
              <w:ind w:left="340"/>
              <w:spacing w:after="0"/>
              <w:rPr>
                <w:sz w:val="20"/>
                <w:szCs w:val="20"/>
                <w:color w:val="auto"/>
              </w:rPr>
            </w:pPr>
            <w:r>
              <w:rPr>
                <w:rFonts w:ascii="Arial" w:cs="Arial" w:eastAsia="Arial" w:hAnsi="Arial"/>
                <w:sz w:val="18"/>
                <w:szCs w:val="18"/>
                <w:color w:val="auto"/>
              </w:rPr>
              <w:t>Assets held for sale</w:t>
            </w:r>
          </w:p>
        </w:tc>
        <w:tc>
          <w:tcPr>
            <w:tcW w:w="32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4"/>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3"/>
              </w:rPr>
              <w:t>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Short-term borrowings</w:t>
            </w:r>
          </w:p>
        </w:tc>
        <w:tc>
          <w:tcPr>
            <w:tcW w:w="3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Accrued liabilities</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Future pension and postretirement benefit obligations</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00" w:type="dxa"/>
            <w:vAlign w:val="bottom"/>
            <w:gridSpan w:val="8"/>
          </w:tcPr>
          <w:p>
            <w:pPr>
              <w:ind w:left="40"/>
              <w:spacing w:after="0"/>
              <w:rPr>
                <w:sz w:val="20"/>
                <w:szCs w:val="20"/>
                <w:color w:val="auto"/>
              </w:rPr>
            </w:pPr>
            <w:r>
              <w:rPr>
                <w:rFonts w:ascii="Arial" w:cs="Arial" w:eastAsia="Arial" w:hAnsi="Arial"/>
                <w:sz w:val="18"/>
                <w:szCs w:val="18"/>
                <w:color w:val="auto"/>
              </w:rPr>
              <w:t>Other long-term liabilities</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gridSpan w:val="7"/>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35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b w:val="1"/>
                <w:bCs w:val="1"/>
                <w:color w:val="auto"/>
              </w:rPr>
              <w:t>Note 3: Earnings Per Share</w:t>
            </w:r>
          </w:p>
        </w:tc>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8"/>
            <w:vMerge w:val="continue"/>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5100" w:type="dxa"/>
            <w:vAlign w:val="bottom"/>
            <w:gridSpan w:val="8"/>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100" w:type="dxa"/>
            <w:vAlign w:val="bottom"/>
            <w:gridSpan w:val="8"/>
            <w:vMerge w:val="restart"/>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00" w:type="dxa"/>
            <w:vAlign w:val="bottom"/>
            <w:gridSpan w:val="8"/>
            <w:vMerge w:val="continue"/>
          </w:tcPr>
          <w:p>
            <w:pPr>
              <w:spacing w:after="0"/>
              <w:rPr>
                <w:sz w:val="19"/>
                <w:szCs w:val="19"/>
                <w:color w:val="auto"/>
              </w:rPr>
            </w:pPr>
          </w:p>
        </w:tc>
        <w:tc>
          <w:tcPr>
            <w:tcW w:w="3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52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8"/>
                <w:szCs w:val="18"/>
                <w:color w:val="auto"/>
              </w:rPr>
              <w:t>Net income from continuing operations</w:t>
            </w:r>
          </w:p>
        </w:tc>
        <w:tc>
          <w:tcPr>
            <w:tcW w:w="35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60" w:type="dxa"/>
            <w:vAlign w:val="bottom"/>
            <w:gridSpan w:val="7"/>
          </w:tcPr>
          <w:p>
            <w:pPr>
              <w:ind w:left="220"/>
              <w:spacing w:after="0"/>
              <w:rPr>
                <w:sz w:val="20"/>
                <w:szCs w:val="20"/>
                <w:color w:val="auto"/>
              </w:rPr>
            </w:pPr>
            <w:r>
              <w:rPr>
                <w:rFonts w:ascii="Arial" w:cs="Arial" w:eastAsia="Arial" w:hAnsi="Arial"/>
                <w:sz w:val="18"/>
                <w:szCs w:val="18"/>
                <w:color w:val="auto"/>
              </w:rPr>
              <w:t>Net loss from discontinued operations</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gridSpan w:val="7"/>
            <w:shd w:val="clear" w:color="auto" w:fill="CCEEFF"/>
          </w:tcPr>
          <w:p>
            <w:pPr>
              <w:ind w:left="220"/>
              <w:spacing w:after="0"/>
              <w:rPr>
                <w:sz w:val="20"/>
                <w:szCs w:val="20"/>
                <w:color w:val="auto"/>
              </w:rPr>
            </w:pPr>
            <w:r>
              <w:rPr>
                <w:rFonts w:ascii="Arial" w:cs="Arial" w:eastAsia="Arial" w:hAnsi="Arial"/>
                <w:sz w:val="18"/>
                <w:szCs w:val="18"/>
                <w:color w:val="auto"/>
              </w:rPr>
              <w:t>Net income attributable to common shareowners</w:t>
            </w:r>
          </w:p>
        </w:tc>
        <w:tc>
          <w:tcPr>
            <w:tcW w:w="35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8"/>
            <w:vMerge w:val="restart"/>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gridSpan w:val="8"/>
            <w:vMerge w:val="continue"/>
          </w:tcPr>
          <w:p>
            <w:pPr>
              <w:spacing w:after="0"/>
              <w:rPr>
                <w:sz w:val="19"/>
                <w:szCs w:val="19"/>
                <w:color w:val="auto"/>
              </w:rPr>
            </w:pPr>
          </w:p>
        </w:tc>
        <w:tc>
          <w:tcPr>
            <w:tcW w:w="3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Stock awards</w:t>
            </w:r>
          </w:p>
        </w:tc>
        <w:tc>
          <w:tcPr>
            <w:tcW w:w="3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60" w:type="dxa"/>
            <w:vAlign w:val="bottom"/>
            <w:gridSpan w:val="7"/>
          </w:tcPr>
          <w:p>
            <w:pPr>
              <w:ind w:left="220"/>
              <w:spacing w:after="0"/>
              <w:rPr>
                <w:sz w:val="20"/>
                <w:szCs w:val="20"/>
                <w:color w:val="auto"/>
              </w:rPr>
            </w:pPr>
            <w:r>
              <w:rPr>
                <w:rFonts w:ascii="Arial" w:cs="Arial" w:eastAsia="Arial" w:hAnsi="Arial"/>
                <w:sz w:val="18"/>
                <w:szCs w:val="18"/>
                <w:color w:val="auto"/>
              </w:rPr>
              <w:t>Diluted weighted average number of shares outstanding</w:t>
            </w:r>
          </w:p>
        </w:tc>
        <w:tc>
          <w:tcPr>
            <w:tcW w:w="3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32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gridSpan w:val="8"/>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of Common Stock - Basic:</w:t>
            </w:r>
          </w:p>
        </w:tc>
        <w:tc>
          <w:tcPr>
            <w:tcW w:w="3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60" w:type="dxa"/>
            <w:vAlign w:val="bottom"/>
            <w:gridSpan w:val="7"/>
          </w:tcPr>
          <w:p>
            <w:pPr>
              <w:ind w:left="460"/>
              <w:spacing w:after="0"/>
              <w:rPr>
                <w:sz w:val="20"/>
                <w:szCs w:val="20"/>
                <w:color w:val="auto"/>
              </w:rPr>
            </w:pPr>
            <w:r>
              <w:rPr>
                <w:rFonts w:ascii="Arial" w:cs="Arial" w:eastAsia="Arial" w:hAnsi="Arial"/>
                <w:sz w:val="18"/>
                <w:szCs w:val="18"/>
                <w:color w:val="auto"/>
              </w:rPr>
              <w:t>Net income from continuing operations</w:t>
            </w:r>
          </w:p>
        </w:tc>
        <w:tc>
          <w:tcPr>
            <w:tcW w:w="3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7"/>
            <w:shd w:val="clear" w:color="auto" w:fill="CCEEFF"/>
          </w:tcPr>
          <w:p>
            <w:pPr>
              <w:ind w:left="460"/>
              <w:spacing w:after="0"/>
              <w:rPr>
                <w:sz w:val="20"/>
                <w:szCs w:val="20"/>
                <w:color w:val="auto"/>
              </w:rPr>
            </w:pPr>
            <w:r>
              <w:rPr>
                <w:rFonts w:ascii="Arial" w:cs="Arial" w:eastAsia="Arial" w:hAnsi="Arial"/>
                <w:sz w:val="18"/>
                <w:szCs w:val="18"/>
                <w:color w:val="auto"/>
              </w:rPr>
              <w:t>Net loss from discontinued operations</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60" w:type="dxa"/>
            <w:vAlign w:val="bottom"/>
            <w:gridSpan w:val="7"/>
          </w:tcPr>
          <w:p>
            <w:pPr>
              <w:ind w:left="460"/>
              <w:spacing w:after="0"/>
              <w:rPr>
                <w:sz w:val="20"/>
                <w:szCs w:val="20"/>
                <w:color w:val="auto"/>
              </w:rPr>
            </w:pPr>
            <w:r>
              <w:rPr>
                <w:rFonts w:ascii="Arial" w:cs="Arial" w:eastAsia="Arial" w:hAnsi="Arial"/>
                <w:sz w:val="18"/>
                <w:szCs w:val="18"/>
                <w:color w:val="auto"/>
              </w:rPr>
              <w:t>Net income attributable to common shareowners</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Earnings (Loss) Per Share of Common Stock - Diluted:</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60" w:type="dxa"/>
            <w:vAlign w:val="bottom"/>
            <w:gridSpan w:val="7"/>
          </w:tcPr>
          <w:p>
            <w:pPr>
              <w:ind w:left="460"/>
              <w:spacing w:after="0"/>
              <w:rPr>
                <w:sz w:val="20"/>
                <w:szCs w:val="20"/>
                <w:color w:val="auto"/>
              </w:rPr>
            </w:pPr>
            <w:r>
              <w:rPr>
                <w:rFonts w:ascii="Arial" w:cs="Arial" w:eastAsia="Arial" w:hAnsi="Arial"/>
                <w:sz w:val="18"/>
                <w:szCs w:val="18"/>
                <w:color w:val="auto"/>
              </w:rPr>
              <w:t>Net income from continuing operations</w:t>
            </w:r>
          </w:p>
        </w:tc>
        <w:tc>
          <w:tcPr>
            <w:tcW w:w="3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7"/>
            <w:shd w:val="clear" w:color="auto" w:fill="CCEEFF"/>
          </w:tcPr>
          <w:p>
            <w:pPr>
              <w:ind w:left="460"/>
              <w:spacing w:after="0"/>
              <w:rPr>
                <w:sz w:val="20"/>
                <w:szCs w:val="20"/>
                <w:color w:val="auto"/>
              </w:rPr>
            </w:pPr>
            <w:r>
              <w:rPr>
                <w:rFonts w:ascii="Arial" w:cs="Arial" w:eastAsia="Arial" w:hAnsi="Arial"/>
                <w:sz w:val="18"/>
                <w:szCs w:val="18"/>
                <w:color w:val="auto"/>
              </w:rPr>
              <w:t>Net loss from discontinued operations</w:t>
            </w:r>
          </w:p>
        </w:tc>
        <w:tc>
          <w:tcPr>
            <w:tcW w:w="3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60" w:type="dxa"/>
            <w:vAlign w:val="bottom"/>
            <w:gridSpan w:val="7"/>
          </w:tcPr>
          <w:p>
            <w:pPr>
              <w:ind w:left="460"/>
              <w:spacing w:after="0"/>
              <w:rPr>
                <w:sz w:val="20"/>
                <w:szCs w:val="20"/>
                <w:color w:val="auto"/>
              </w:rPr>
            </w:pPr>
            <w:r>
              <w:rPr>
                <w:rFonts w:ascii="Arial" w:cs="Arial" w:eastAsia="Arial" w:hAnsi="Arial"/>
                <w:sz w:val="18"/>
                <w:szCs w:val="18"/>
                <w:color w:val="auto"/>
              </w:rPr>
              <w:t>Net income attributable to common shareowners</w:t>
            </w:r>
          </w:p>
        </w:tc>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jc w:val="right"/>
              <w:ind w:right="245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These outstanding stock awards are not included in the computation of diluted earnings per share because the effect would be anti-dilutive. For the quarters ended March 31, 2013 and 2012, there were no anti-dilutive stock awards excluded from the computation. There was no impact on diluted earnings per share due to our equity unit offering in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8"/>
        </w:trPr>
        <w:tc>
          <w:tcPr>
            <w:tcW w:w="83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514"/>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As of March 31, 2013 and December 31, 2012, inventory includes capitalized contract development costs of $809 million and $823 million, respectively, related to certain aerospace programs. These capitalized costs are liquidated as production units are delivered to the customer. The capitalized contract development costs within inventory principally relate to costs capitalized on Sikorsky’s CH-148 contract with the Canadian Government. The CH-148 is a derivative of the H-92, a military variant of the S-92.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8"/>
        </w:trPr>
        <w:tc>
          <w:tcPr>
            <w:tcW w:w="8340" w:type="dxa"/>
            <w:vAlign w:val="bottom"/>
            <w:gridSpan w:val="3"/>
            <w:vMerge w:val="continue"/>
          </w:tcPr>
          <w:p>
            <w:pPr>
              <w:spacing w:after="0"/>
              <w:rPr>
                <w:sz w:val="13"/>
                <w:szCs w:val="13"/>
                <w:color w:val="auto"/>
              </w:rPr>
            </w:pPr>
          </w:p>
        </w:tc>
        <w:tc>
          <w:tcPr>
            <w:tcW w:w="108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517"/>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10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At March 31, 2013, we had revolving credit agreements with various banks permitting aggregate borrowings of up to $4 billion pursuant to a $2 billion revolving credit agreement and a $2 billion multicurrency revolving credit agreement, both of which expire in November 2016. As of March 31, 2013, there were no borrowings under either of these revolving credit agreements. The undrawn portions of these revolving credit agreements are also available to serve as backup facilities for the issuance of commercial paper. As of March 31, 2013, our maximum commercial paper borrowing authority as set by our Board of Directors was $4 billion. We use our commercial paper borrowings for general corporate purposes, including the funding of potential acquisitions and repurchases of our common stock.</w:t>
      </w:r>
    </w:p>
    <w:p>
      <w:pPr>
        <w:spacing w:after="0" w:line="19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On December 6, 2012, we announced that we had commenced cash tender offers for six series of outstanding notes issued by Goodrich. These offers expired on January 7, 2013. Approximately $637 million in aggregate principal amount of notes subject to the tender offer and $126 million of the fair value adjustment were repaid, with $635 million in aggregate principal amount being eligible for the early tender premium and approximately $2 million in aggregate principal amount being paid on January 8, 2013. An extinguishment loss of approximately $26 million was recognized within Interest expense, net during 2012.</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834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line="20" w:lineRule="exact"/>
              <w:rPr>
                <w:sz w:val="1"/>
                <w:szCs w:val="1"/>
                <w:color w:val="auto"/>
              </w:rPr>
            </w:pPr>
          </w:p>
        </w:tc>
        <w:tc>
          <w:tcPr>
            <w:tcW w:w="12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line="20" w:lineRule="exact"/>
              <w:rPr>
                <w:sz w:val="1"/>
                <w:szCs w:val="1"/>
                <w:color w:val="auto"/>
              </w:rPr>
            </w:pPr>
          </w:p>
        </w:tc>
      </w:tr>
      <w:tr>
        <w:trPr>
          <w:trHeight w:val="538"/>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11"/>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511"/>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34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0.270% floating rate notes due 2013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83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LIBOR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plus 0.500% floating rate notes due 2015</w:t>
            </w:r>
          </w:p>
        </w:tc>
        <w:tc>
          <w:tcPr>
            <w:tcW w:w="2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1.200% notes due 2015*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4.875% notes due 2015*</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6.290% notes due 2016</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5.375% notes due 2017*</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1.800% notes due 2017*</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83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6.800% notes due 2018</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83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6.125% notes due 2019</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6.125% notes due 2019*</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4.500% notes due 2020*</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4.875% notes due 2020</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83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3.600% notes due 2021</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3.100% notes due 2022*</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1.550% junior subordinated notes due 2022</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0"/>
        </w:trPr>
        <w:tc>
          <w:tcPr>
            <w:tcW w:w="83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7.100% notes due 2027</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6.700% notes due 2028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7.500% notes due 2029*</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5.400% notes due 2035*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6.050% notes due 2036*</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6.800% notes due 2036</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83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7.000% notes due 2038</w:t>
            </w:r>
            <w:r>
              <w:rPr>
                <w:rFonts w:ascii="Arial" w:cs="Arial" w:eastAsia="Arial" w:hAnsi="Arial"/>
                <w:sz w:val="25"/>
                <w:szCs w:val="25"/>
                <w:color w:val="auto"/>
                <w:vertAlign w:val="superscript"/>
              </w:rPr>
              <w:t>‡</w:t>
            </w:r>
          </w:p>
        </w:tc>
        <w:tc>
          <w:tcPr>
            <w:tcW w:w="2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6.125% notes due 2038*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5.700% notes due 2040*</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4.500% notes due 2042*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Project financing obligations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(including capitalized leases and discounts)</w:t>
            </w:r>
            <w:r>
              <w:rPr>
                <w:rFonts w:ascii="Arial" w:cs="Arial" w:eastAsia="Arial" w:hAnsi="Arial"/>
                <w:sz w:val="25"/>
                <w:szCs w:val="25"/>
                <w:color w:val="auto"/>
                <w:vertAlign w:val="superscript"/>
              </w:rPr>
              <w:t>‡</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 principal long-term debt</w:t>
            </w:r>
          </w:p>
        </w:tc>
        <w:tc>
          <w:tcPr>
            <w:tcW w:w="2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22,312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22,365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Other (fair market value adjustment)</w:t>
            </w:r>
            <w:r>
              <w:rPr>
                <w:rFonts w:ascii="Arial" w:cs="Arial" w:eastAsia="Arial" w:hAnsi="Arial"/>
                <w:sz w:val="25"/>
                <w:szCs w:val="25"/>
                <w:color w:val="auto"/>
                <w:vertAlign w:val="superscript"/>
              </w:rPr>
              <w:t>‡</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22,653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22,718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60" w:right="100" w:hanging="652"/>
        <w:spacing w:after="0" w:line="27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36" w:lineRule="exact"/>
        <w:rPr>
          <w:sz w:val="20"/>
          <w:szCs w:val="20"/>
          <w:color w:val="auto"/>
        </w:rPr>
      </w:pPr>
    </w:p>
    <w:p>
      <w:pPr>
        <w:ind w:left="660" w:right="120" w:hanging="652"/>
        <w:spacing w:after="0" w:line="255" w:lineRule="auto"/>
        <w:tabs>
          <w:tab w:leader="none" w:pos="66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The junior subordinated notes are redeemable at our option, in whole or in part, on a date not earlier than August 1, 2017. The redemption price will be the principal amount, plus accrued and unpaid interest, if any, up to but excluding the redemption date. We may extend or eliminate the optional redemption date as part of a remarketing of the junior subordinated notes which could occur between April 29, 2015 and July 15, 2015 or between July 23, 2015 and July 29, 2015.</w:t>
      </w:r>
    </w:p>
    <w:p>
      <w:pPr>
        <w:spacing w:after="0" w:line="5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Includes notes and remaining fair market value adjustments that were assumed as a part of the Goodrich acquisition on July 26, 2012.</w:t>
      </w:r>
    </w:p>
    <w:p>
      <w:pPr>
        <w:ind w:left="660" w:hanging="652"/>
        <w:spacing w:after="0" w:line="225"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three-month LIBOR rate as of March 31, 2013 was approximately 0.3%.</w:t>
      </w:r>
    </w:p>
    <w:p>
      <w:pPr>
        <w:spacing w:after="0" w:line="235" w:lineRule="exact"/>
        <w:rPr>
          <w:rFonts w:ascii="Arial" w:cs="Arial" w:eastAsia="Arial" w:hAnsi="Arial"/>
          <w:sz w:val="25"/>
          <w:szCs w:val="25"/>
          <w:color w:val="auto"/>
          <w:vertAlign w:val="superscript"/>
        </w:rPr>
      </w:pPr>
    </w:p>
    <w:p>
      <w:pPr>
        <w:ind w:left="5620"/>
        <w:spacing w:after="0"/>
        <w:rPr>
          <w:rFonts w:ascii="Arial" w:cs="Arial" w:eastAsia="Arial" w:hAnsi="Arial"/>
          <w:sz w:val="25"/>
          <w:szCs w:val="25"/>
          <w:color w:val="auto"/>
          <w:vertAlign w:val="superscript"/>
        </w:rPr>
      </w:pPr>
      <w:r>
        <w:rPr>
          <w:rFonts w:ascii="Arial" w:cs="Arial" w:eastAsia="Arial" w:hAnsi="Arial"/>
          <w:sz w:val="18"/>
          <w:szCs w:val="18"/>
          <w:color w:val="auto"/>
        </w:rPr>
        <w:t>14</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18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we believe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has also been recognized; interest accrued in relation to unrecognized tax benefits is recorded in interest expense. Penalties, if incurred, would be recognized as a component of income tax expense.</w:t>
      </w:r>
    </w:p>
    <w:p>
      <w:pPr>
        <w:spacing w:after="0" w:line="17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It is reasonably possible that a net reduction within a range of $40 million to $340 million of unrecognized tax benefits may occur within the next twelve months as a result of additional worldwide uncertain tax positions, the revaluation of current uncertain tax positions arising from developments in examinations, in appeals or in the courts, or the closure of tax statutes. A portion of this net reduction may impact the Company’s income tax expense. Not included in the range is €176 million (approximately $228 million) of tax benefits related to certain deductions claimed in France for tax years 2008 through 2010 that the French Revenue Authority has proposed to disallow. During the quarter, the French Revenue Authority commenced examination activity for tax year 2011. Also, not included in the range is €203 million (approximately $263 million) of tax benefits that we have claimed related to a 1998 German reorganization. A portion of these tax benefits was denied by the German Tax Office on July 5, 2012, as a result of the audit of tax years 1999 to 2000. On August 3, 2012, the Company filed suit in the German Tax Court and expects to litigate this case. In 2008 the German Federal Tax Court denied benefits to another taxpayer in a case involving a German tax law relevant to our reorganization. The determination of the German Federal Tax Court on this other matter was appealed to the European Court of Justice (ECJ) to determine if the underlying German tax law is violative of European Union (EU) principles. On September 17, 2009 the ECJ issued an opinion in this case that is generally favorable to the other taxpayer and referred the case back to the German Federal Tax Court for further consideration of certain related issues. In May 2010, the German Federal Tax Court released its decision, in which it resolved certain tax issues that may be relevant to our audit and remanded the case to a lower court for further development. After consideration of the ECJ decision and the latest German Federal Tax Court decision, we continue to believe that it is more likely than not that the relevant German tax law is violative of EU principles and we have not accrued tax expense for this matter. As we continue to monitor developments related to this matter, it may become necessary for us to accrue tax expense and related interest.</w:t>
      </w:r>
    </w:p>
    <w:p>
      <w:pPr>
        <w:spacing w:after="0" w:line="73"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UTC tax returns for the years 2006 through 2008 are currently before the Appeals Division of the IRS (IRS Appeals) for resolution discussions regarding certain proposed adjustments with which UTC does not agree. These discussions are expected to continue through 2013. Tax returns for the years 2009 and 2010 are under review by the Examination Division of the IRS (IRS Examination), which is expected to continue into 2014. Additionally, the Company expects a final settlement in 2013 of interest relating to the closure of IRS audits of UTC tax returns for the years through 2005. All audit activity for the years through 2005 was concluded in 2012, and the IRS is expected to resolve related interest matters before the end of 2013.</w:t>
      </w:r>
    </w:p>
    <w:p>
      <w:pPr>
        <w:spacing w:after="0" w:line="5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is currently engaged in litigation regarding the proper timing of certain deductions taken by Goodrich in its tax years 2000 and 2001, prior to its acquisition by UTC. The Company is also engaged in litigation with respect to a separate issue involving the proper timing of deductions taken by Goodrich in its tax years 2005 and 2006, prior to its acquisition by UTC. Both of these matters are expected to continue through 2013. Goodrich tax years 2007 and 2008, prior to its acquisition by UTC, are currently before IRS Appeals for resolution discussions regarding certain disputed proposed adjustments and are expected to continue through 2013. Goodrich tax years 2009 and 2010, prior to its acquisition by UTC, are currently under review by IRS Examination, which is expected to conclude in 2013.</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As part of our acquisition of Goodrich on July 26, 2012, we assumed approximately $1.5 billion of pension and postretirement benefit plan obligations. Contributions to our plans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Defined Contribution Plans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3"/>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contributions to our domestic defined benefit pension plans in the first quarters of 2013 and 2012.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illustrate the components of net periodic benefit cost for our defined pension and other postretirement benefit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88"/>
              </w:rPr>
              <w:t>Pension Benefits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3"/>
              </w:rPr>
              <w:t>Other Postretirement Benefits</w:t>
            </w: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3"/>
          </w:tcPr>
          <w:p>
            <w:pPr>
              <w:jc w:val="center"/>
              <w:ind w:left="537"/>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center"/>
              <w:ind w:left="557"/>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96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(gain)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Net settlements and curtailment gains for pension benefits include curtailment gains of approximately $5 million related to, and recorded in, discontinued operations for the three months ended March 31, 2013. Net settlements and curtailment losses for pension benefits include curtailment losses of approximately $21 million related to, and recorded in, discontinued operations for the three months ended March 31,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During the three months ended March 31, 2013, we recorded net pre-tax restructuring costs totaling $50 million for new and ongoing restructuring actions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6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The net costs included $27 million recorded in cost of sales, $25 million in selling, general and administrative expenses, and ($2) million in discontinued operations. As described below, these costs primarily relate to actions initiated during 2013 and 2012.</w:t>
      </w:r>
    </w:p>
    <w:p>
      <w:pPr>
        <w:spacing w:after="0" w:line="16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2013 Actions. </w:t>
      </w:r>
      <w:r>
        <w:rPr>
          <w:rFonts w:ascii="Arial" w:cs="Arial" w:eastAsia="Arial" w:hAnsi="Arial"/>
          <w:sz w:val="18"/>
          <w:szCs w:val="18"/>
          <w:color w:val="auto"/>
        </w:rPr>
        <w:t>During the three months ended March 31, 2013, we initiated restructuring actions relating to ongoing cost reduction efforts,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 reductions and the consolidation of field operations. We recorded net pre-tax restructuring costs totaling $20 million, including $6 million in cost of sales and $14 million in selling, general and administrative expenses.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expect the actions initiated in the three months ended March 31, 2013 to result in net workforce reductions of approximately 300 hourly and salaried employees, the exiting of approximately 200,000 net square feet of facilities and the disposal of assets associated with exited facilities. As of March 31, 2013, we have completed net workforce reductions of approximately 150 employees. We are targeting the majority of the remaining workforce and all facility related cost reduction actions for completion during 2013 and 2014. No specific plans for significant other actions have been finalized at this time.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accrual balances and utilization by cost type for the 2013 restructuring 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Costs incurred - quarter ended March 31, 2013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2013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Expected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14"/>
                <w:szCs w:val="14"/>
                <w:color w:val="auto"/>
              </w:rPr>
            </w:pPr>
          </w:p>
        </w:tc>
        <w:tc>
          <w:tcPr>
            <w:tcW w:w="13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1140" w:type="dxa"/>
            <w:vAlign w:val="bottom"/>
          </w:tcPr>
          <w:p>
            <w:pPr>
              <w:jc w:val="right"/>
              <w:ind w:right="119"/>
              <w:spacing w:after="0" w:line="158" w:lineRule="exact"/>
              <w:rPr>
                <w:sz w:val="20"/>
                <w:szCs w:val="20"/>
                <w:color w:val="auto"/>
              </w:rPr>
            </w:pPr>
            <w:r>
              <w:rPr>
                <w:rFonts w:ascii="Arial" w:cs="Arial" w:eastAsia="Arial" w:hAnsi="Arial"/>
                <w:sz w:val="14"/>
                <w:szCs w:val="14"/>
                <w:b w:val="1"/>
                <w:bCs w:val="1"/>
                <w:color w:val="auto"/>
              </w:rPr>
              <w:t>Costs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March 31, 2013</w:t>
            </w:r>
          </w:p>
        </w:tc>
        <w:tc>
          <w:tcPr>
            <w:tcW w:w="140" w:type="dxa"/>
            <w:vAlign w:val="bottom"/>
          </w:tcPr>
          <w:p>
            <w:pPr>
              <w:spacing w:after="0"/>
              <w:rPr>
                <w:sz w:val="13"/>
                <w:szCs w:val="13"/>
                <w:color w:val="auto"/>
              </w:rPr>
            </w:pPr>
          </w:p>
        </w:tc>
        <w:tc>
          <w:tcPr>
            <w:tcW w:w="1340" w:type="dxa"/>
            <w:vAlign w:val="bottom"/>
          </w:tcPr>
          <w:p>
            <w:pPr>
              <w:jc w:val="right"/>
              <w:ind w:right="176"/>
              <w:spacing w:after="0" w:line="158" w:lineRule="exact"/>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1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2012 Actions. </w:t>
      </w:r>
      <w:r>
        <w:rPr>
          <w:rFonts w:ascii="Arial" w:cs="Arial" w:eastAsia="Arial" w:hAnsi="Arial"/>
          <w:sz w:val="18"/>
          <w:szCs w:val="18"/>
          <w:color w:val="auto"/>
        </w:rPr>
        <w:t>During the three months ended March 31, 2013, we recorded net pre-tax restructuring costs totaling $29 million for restructuring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in 2012, including $20 million in cost of sales and $9 million in selling, general and administrative expenses. The 2012 actions relate to ongoing cost reduction efforts, including workforce reductions and the consolidation of field operations.</w:t>
      </w:r>
    </w:p>
    <w:p>
      <w:pPr>
        <w:spacing w:after="0" w:line="180"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As of March 31, 2013, we have completed net workforce reductions of approximately 5,500 employees of an expected 7,100 employees, and have exited approximately 1.4 million net square feet of facilities of an expected 2.7 million net square feet. We are targeting the majority of the remaining workforce and facility related cost reduction actions for completion during 2013 and 2014.</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accrual balances and utilization by cost type for the 2012 restructuring 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Write-Downs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December 31, 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Balance at March 31,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type: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1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Facility Exit,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Asset</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Write-Downs</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Costs incurred through December 31, 2012</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incurred - quarter ended March 31, 2013</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Balance at March 31,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2012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Costs incurred</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Costs incurred</w:t>
            </w:r>
          </w:p>
        </w:tc>
        <w:tc>
          <w:tcPr>
            <w:tcW w:w="140" w:type="dxa"/>
            <w:vAlign w:val="bottom"/>
          </w:tcPr>
          <w:p>
            <w:pPr>
              <w:spacing w:after="0"/>
              <w:rPr>
                <w:sz w:val="14"/>
                <w:szCs w:val="14"/>
                <w:color w:val="auto"/>
              </w:rPr>
            </w:pPr>
          </w:p>
        </w:tc>
        <w:tc>
          <w:tcPr>
            <w:tcW w:w="13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Remaining Costs at</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through</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08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December 31, 2012</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March 31, 2013</w:t>
            </w:r>
          </w:p>
        </w:tc>
        <w:tc>
          <w:tcPr>
            <w:tcW w:w="140" w:type="dxa"/>
            <w:vAlign w:val="bottom"/>
          </w:tcPr>
          <w:p>
            <w:pPr>
              <w:spacing w:after="0"/>
              <w:rPr>
                <w:sz w:val="13"/>
                <w:szCs w:val="13"/>
                <w:color w:val="auto"/>
              </w:rPr>
            </w:pPr>
          </w:p>
        </w:tc>
        <w:tc>
          <w:tcPr>
            <w:tcW w:w="13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679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2011 Actions. </w:t>
      </w:r>
      <w:r>
        <w:rPr>
          <w:rFonts w:ascii="Arial" w:cs="Arial" w:eastAsia="Arial" w:hAnsi="Arial"/>
          <w:sz w:val="18"/>
          <w:szCs w:val="18"/>
          <w:color w:val="auto"/>
        </w:rPr>
        <w:t>As of March 31, 2013, we have approximately $26 million of accrual balances remaining related to 2011 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Foreign Currency Forward Contracts. </w:t>
      </w:r>
      <w:r>
        <w:rPr>
          <w:rFonts w:ascii="Arial" w:cs="Arial" w:eastAsia="Arial" w:hAnsi="Arial"/>
          <w:sz w:val="17"/>
          <w:szCs w:val="17"/>
          <w:color w:val="auto"/>
        </w:rPr>
        <w:t>We manage our foreign currency transaction risks to acceptable limits through the use of derivatives that hedge</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forecasted cash flows associated with foreign currency transaction exposures, which are accounted for as cash flow hedges, as we deem appropriate. To the extent these derivatives are effective in offsetting the variability of the hedged cash flows, and otherwise meet the hedge accounting criteria of the Derivatives and Hedging Topic of the FASB ASC, the changes in the derivatives’ fair values are not included in current earnings but are included in “Accumulated other comprehensive loss.”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in which it occurs.</w:t>
      </w:r>
    </w:p>
    <w:p>
      <w:pPr>
        <w:spacing w:after="0" w:line="17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(e.g. payables, receivables) and other economic hedges where the hedge accounting criteria were not met.</w:t>
      </w:r>
    </w:p>
    <w:p>
      <w:pPr>
        <w:spacing w:after="0" w:line="18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$12.0 billion and $11.8 billion at March 31, 2013 and December 31, 2012,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enter into transactions that are subject to arrangements designed to provide for netting of offsetting obligations in the event of the insolvency or default of a counterparty. However, we have not elected to offset multiple contracts with a single counterparty and, as a result, the fair value of the derivative instruments in a loss position is not offset against the fair value of derivative instruments in a gain position.</w:t>
      </w:r>
    </w:p>
    <w:p>
      <w:pPr>
        <w:spacing w:after="0" w:line="7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March 31, 2013 and December 31, 2012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3"/>
                <w:szCs w:val="13"/>
                <w:color w:val="auto"/>
              </w:rPr>
            </w:pPr>
          </w:p>
        </w:tc>
        <w:tc>
          <w:tcPr>
            <w:tcW w:w="12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1"/>
              </w:rPr>
              <w:t>Derivatives not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3"/>
                <w:szCs w:val="13"/>
                <w:color w:val="auto"/>
              </w:rPr>
            </w:pPr>
          </w:p>
        </w:tc>
        <w:tc>
          <w:tcPr>
            <w:tcW w:w="12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1"/>
              </w:rPr>
              <w:t>Derivatives not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designated</w:t>
            </w:r>
          </w:p>
        </w:tc>
        <w:tc>
          <w:tcPr>
            <w:tcW w:w="20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designated as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designated</w:t>
            </w:r>
          </w:p>
        </w:tc>
        <w:tc>
          <w:tcPr>
            <w:tcW w:w="20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designated as</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as hedging</w:t>
            </w: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8"/>
              </w:rPr>
              <w:t>hedging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as hedging</w:t>
            </w: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8"/>
              </w:rPr>
              <w:t>hedging</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instruments</w:t>
            </w:r>
          </w:p>
        </w:tc>
        <w:tc>
          <w:tcPr>
            <w:tcW w:w="200" w:type="dxa"/>
            <w:vAlign w:val="bottom"/>
          </w:tcPr>
          <w:p>
            <w:pPr>
              <w:spacing w:after="0"/>
              <w:rPr>
                <w:sz w:val="13"/>
                <w:szCs w:val="13"/>
                <w:color w:val="auto"/>
              </w:rPr>
            </w:pPr>
          </w:p>
        </w:tc>
        <w:tc>
          <w:tcPr>
            <w:tcW w:w="128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instruments</w:t>
            </w:r>
          </w:p>
        </w:tc>
        <w:tc>
          <w:tcPr>
            <w:tcW w:w="200" w:type="dxa"/>
            <w:vAlign w:val="bottom"/>
          </w:tcPr>
          <w:p>
            <w:pPr>
              <w:spacing w:after="0"/>
              <w:rPr>
                <w:sz w:val="13"/>
                <w:szCs w:val="13"/>
                <w:color w:val="auto"/>
              </w:rPr>
            </w:pPr>
          </w:p>
        </w:tc>
        <w:tc>
          <w:tcPr>
            <w:tcW w:w="1280" w:type="dxa"/>
            <w:vAlign w:val="bottom"/>
          </w:tcPr>
          <w:p>
            <w:pPr>
              <w:jc w:val="center"/>
              <w:ind w:right="96"/>
              <w:spacing w:after="0" w:line="158" w:lineRule="exact"/>
              <w:rPr>
                <w:sz w:val="20"/>
                <w:szCs w:val="20"/>
                <w:color w:val="auto"/>
              </w:rPr>
            </w:pPr>
            <w:r>
              <w:rPr>
                <w:rFonts w:ascii="Arial" w:cs="Arial" w:eastAsia="Arial" w:hAnsi="Arial"/>
                <w:sz w:val="14"/>
                <w:szCs w:val="14"/>
                <w:b w:val="1"/>
                <w:bCs w:val="1"/>
                <w:color w:val="auto"/>
                <w:w w:val="92"/>
              </w:rPr>
              <w:t>instruments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Sheet Asset Locations: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Other assets, 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 Derivative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Balance Sheet Liability Locations:</w:t>
            </w: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Liability Derivative Contracts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from foreign exchange derivative instruments that qualified as cash flow hedges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Quarter Ended March 31,</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gain recorded in Accumulated other comprehensive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w w:val="99"/>
              </w:rPr>
              <w:t>(Loss) gain reclassified from Accumulated other comprehensive loss into Product sales (effective portion)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3"/>
            <w:vMerge w:val="continue"/>
          </w:tcPr>
          <w:p>
            <w:pPr>
              <w:spacing w:after="0"/>
              <w:rPr>
                <w:sz w:val="19"/>
                <w:szCs w:val="19"/>
                <w:color w:val="auto"/>
              </w:rPr>
            </w:pP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Assuming current market conditions continue, a $7 million pre-tax gain is expected to be reclassified from Accumulated other comprehensive loss into Product sales to reflect the fixed prices obtained from foreign exchange hedging within the next 12 months. At March 31, 2013, all derivative contracts accounted for as cash flow hedges will mature by March 2015.</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effect on the Condensed Consolidated Statement of Comprehensive Income from foreign exchange contracts not designated as hedging instruments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Quarter Ended March 31,</w:t>
            </w:r>
          </w:p>
        </w:tc>
        <w:tc>
          <w:tcPr>
            <w:tcW w:w="44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recognized in Other income, net</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The following table provides the valuation hierarchy classification of assets and liabilities that are carried at fair value and measured on</w:t>
      </w:r>
      <w:r>
        <w:rPr>
          <w:rFonts w:ascii="Arial" w:cs="Arial" w:eastAsia="Arial" w:hAnsi="Arial"/>
          <w:sz w:val="18"/>
          <w:szCs w:val="18"/>
          <w:b w:val="1"/>
          <w:bCs w:val="1"/>
          <w:color w:val="auto"/>
        </w:rPr>
        <w:t xml:space="preserve"> </w:t>
      </w:r>
      <w:r>
        <w:rPr>
          <w:rFonts w:ascii="Arial" w:cs="Arial" w:eastAsia="Arial" w:hAnsi="Arial"/>
          <w:sz w:val="18"/>
          <w:szCs w:val="18"/>
          <w:color w:val="auto"/>
        </w:rPr>
        <w:t>a recurring and nonrecurring basis in our Condensed Consolidated Balance Sheet as of March 31, 2013 and December 31, 2012: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Carrying</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Quoted price in</w:t>
            </w:r>
          </w:p>
        </w:tc>
        <w:tc>
          <w:tcPr>
            <w:tcW w:w="180" w:type="dxa"/>
            <w:vAlign w:val="bottom"/>
          </w:tcPr>
          <w:p>
            <w:pPr>
              <w:spacing w:after="0"/>
              <w:rPr>
                <w:sz w:val="14"/>
                <w:szCs w:val="14"/>
                <w:color w:val="auto"/>
              </w:rPr>
            </w:pPr>
          </w:p>
        </w:tc>
        <w:tc>
          <w:tcPr>
            <w:tcW w:w="16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Significant other</w:t>
            </w:r>
          </w:p>
        </w:tc>
        <w:tc>
          <w:tcPr>
            <w:tcW w:w="126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80" w:type="dxa"/>
            <w:vAlign w:val="bottom"/>
          </w:tcPr>
          <w:p>
            <w:pPr>
              <w:spacing w:after="0"/>
              <w:rPr>
                <w:sz w:val="12"/>
                <w:szCs w:val="12"/>
                <w:color w:val="auto"/>
              </w:rPr>
            </w:pPr>
          </w:p>
        </w:tc>
        <w:tc>
          <w:tcPr>
            <w:tcW w:w="16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inputs</w:t>
            </w: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March 31, 2013</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62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(Level 2)</w:t>
            </w:r>
          </w:p>
        </w:tc>
        <w:tc>
          <w:tcPr>
            <w:tcW w:w="1260" w:type="dxa"/>
            <w:vAlign w:val="bottom"/>
          </w:tcPr>
          <w:p>
            <w:pPr>
              <w:jc w:val="center"/>
              <w:ind w:right="118"/>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Business dispositions</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2013, we recorded an approximately $38 million net gain from UTC Climate, Controls &amp; Security's ongoing portfolio transformation, primarily due to a gain on the sale of a business in Hong Kong.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Quoted price in</w:t>
            </w:r>
          </w:p>
        </w:tc>
        <w:tc>
          <w:tcPr>
            <w:tcW w:w="140" w:type="dxa"/>
            <w:vAlign w:val="bottom"/>
          </w:tcPr>
          <w:p>
            <w:pPr>
              <w:spacing w:after="0"/>
              <w:rPr>
                <w:sz w:val="14"/>
                <w:szCs w:val="14"/>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Significant other</w:t>
            </w: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2"/>
                <w:szCs w:val="12"/>
                <w:color w:val="auto"/>
              </w:rPr>
            </w:pPr>
          </w:p>
        </w:tc>
        <w:tc>
          <w:tcPr>
            <w:tcW w:w="15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inputs</w:t>
            </w: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98"/>
              <w:spacing w:after="0" w:line="158"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3"/>
                <w:szCs w:val="13"/>
                <w:color w:val="auto"/>
              </w:rPr>
            </w:pPr>
          </w:p>
        </w:tc>
        <w:tc>
          <w:tcPr>
            <w:tcW w:w="154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(Level 2)</w:t>
            </w:r>
          </w:p>
        </w:tc>
        <w:tc>
          <w:tcPr>
            <w:tcW w:w="126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   $</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Nonrecurring fair value measurements: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Equity method investment</w:t>
            </w:r>
          </w:p>
        </w:tc>
        <w:tc>
          <w:tcPr>
            <w:tcW w:w="1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Business dispositions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During the quarter ended March 31, 2012, we recorded a non-cash net gain on nonrecurring fair value measurements of approximately $112 million within Other income, net from UTC Climate, Controls &amp; Security's ongoing portfolio transformation efforts including integrating the legacy UTC Fire &amp; Security businesses within the legacy Carrier businesses. This net gain includes approximately $215 million from the sale of a controlling interest in a manufacturing and distribution joint venture in Asia, partially offset by $103 million of other-than-temporary impairment charges related to planned business dispositions.</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They are measured at fair value using closing stock prices from active markets and are classified within Level 1 of the valuation hierarchy. Our derivative assets and liabilities are managed on the basis of net exposure to market and credit risks of each of the counterparties. The fair value for these derivative assets and liabilities is measured at the price that would be received on a net asset position for a particular risk or to transfer a net liability position for a particular risk in an orderly transaction between market participants at the measurement date.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 As of March 31, 2013, there were no significant transfers in and out of Level 1 and Level 2.</w:t>
      </w:r>
    </w:p>
    <w:p>
      <w:pPr>
        <w:spacing w:after="0" w:line="164"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As of March 31, 2013,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2013 and December 31, 2012: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2012</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3"/>
                <w:szCs w:val="13"/>
                <w:color w:val="auto"/>
              </w:rPr>
            </w:pPr>
          </w:p>
        </w:tc>
        <w:tc>
          <w:tcPr>
            <w:tcW w:w="10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3"/>
                <w:szCs w:val="13"/>
                <w:color w:val="auto"/>
              </w:rPr>
            </w:pPr>
          </w:p>
        </w:tc>
        <w:tc>
          <w:tcPr>
            <w:tcW w:w="92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March 31, 2013: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16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Total Fair</w:t>
            </w:r>
          </w:p>
        </w:tc>
        <w:tc>
          <w:tcPr>
            <w:tcW w:w="200" w:type="dxa"/>
            <w:vAlign w:val="bottom"/>
          </w:tcPr>
          <w:p>
            <w:pPr>
              <w:spacing w:after="0"/>
              <w:rPr>
                <w:sz w:val="24"/>
                <w:szCs w:val="24"/>
                <w:color w:val="auto"/>
              </w:rPr>
            </w:pPr>
          </w:p>
        </w:tc>
        <w:tc>
          <w:tcPr>
            <w:tcW w:w="15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3"/>
              </w:rPr>
              <w:t>Quoted price in</w:t>
            </w: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24"/>
                <w:szCs w:val="24"/>
                <w:color w:val="auto"/>
              </w:rPr>
            </w:pP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2"/>
                <w:szCs w:val="12"/>
                <w:color w:val="auto"/>
              </w:rPr>
            </w:pPr>
          </w:p>
        </w:tc>
        <w:tc>
          <w:tcPr>
            <w:tcW w:w="15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20" w:type="dxa"/>
            <w:vAlign w:val="bottom"/>
          </w:tcPr>
          <w:p>
            <w:pPr>
              <w:spacing w:after="0"/>
              <w:rPr>
                <w:sz w:val="12"/>
                <w:szCs w:val="12"/>
                <w:color w:val="auto"/>
              </w:rPr>
            </w:pPr>
          </w:p>
        </w:tc>
        <w:tc>
          <w:tcPr>
            <w:tcW w:w="12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198"/>
              <w:spacing w:after="0" w:line="158"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(Level 1)</w:t>
            </w:r>
          </w:p>
        </w:tc>
        <w:tc>
          <w:tcPr>
            <w:tcW w:w="14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3"/>
                <w:szCs w:val="13"/>
                <w:color w:val="auto"/>
              </w:rPr>
            </w:pPr>
          </w:p>
        </w:tc>
        <w:tc>
          <w:tcPr>
            <w:tcW w:w="126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Customer financing notes receivable</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long-term receivables and customer financing notes receivable include our commercial and aerospace long-term trade,</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 and other receivables, leases, and notes receivable. Our long-term receivables and customer financing notes receivable are measured and presented in the table above at fair value using an income approach based on the present value of the contractual, promised or most likely cash flows discounted at observed or estimated market rate for comparable assets or liabilities that are traded in the market. Based on these inputs, long-term receivables and customer financing notes receivable are presented in the table above within Level 2 of the valuation hierarchy. Our short-term borrowings include commercial paper and other international credit facility agreements. Our long-term debt includes domestic and international notes. Commercial paper and domestic long-term notes are measured and presented in the table above at fair values based on comparable transactions and current market interest rates quoted in active markets for similar assets, and are classified within Level 2 of the valuation hierarchy. Foreign short-term borrowings and foreign long-term notes are measured and presented in the table above at fair value based on comparable transactions and rates calculated from the respective countries’ yield curves. Based on these inputs, foreign borrowings and foreign long-term notes are classified within Level 3 of the valuation hierarchy. The fair values of Accounts receivable and Accounts payable approximate the carrying amounts due to the short-term maturities of these instruments.</w:t>
      </w:r>
    </w:p>
    <w:p>
      <w:pPr>
        <w:spacing w:after="0" w:line="16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had commercial aerospace financing and other contractual commitments totaling approximately $10.6 billion at March 31, 2013, which now include approximately $5.7 billion of IAE commitments, related to commercial aircraft and certain contractual rights to provide product on new aircraft platforms. We had commercial aerospace financing and other contractual commitments of approximately $10.9 billion at December 31, 2012, which included approximately $5.8 billion of IAE commitments.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Credit Quality of Long-Term Receivables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 long-term or financing receivable represents a contractual right to receive money on demand or on fixed and determinable dates, including trade receivable balances with maturity dates greater than one year. Our long-term and financing receivables primarily represent balances related to the aerospace businesses such as long-term trade accounts receivable, leases, and notes receivable. We also have other long-term receivables in our commercial businesses; however, both the individual and aggregate amounts are not significant.</w:t>
      </w:r>
    </w:p>
    <w:p>
      <w:pPr>
        <w:spacing w:after="0" w:line="18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Long-term trade accounts receivable represent amounts arising from the sale of goods and services with a contractual maturity date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long-term receivables as of March 31, 2013 and 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8"/>
        </w:trPr>
        <w:tc>
          <w:tcPr>
            <w:tcW w:w="83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517"/>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517"/>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Economic conditions and air travel influence the operating environment for most airlines, and the financial performance of our aerospace businesses is directly tied to the economic conditions of the commercial aerospace and defense industries. Additionally, the value of the collateral is also closely tied to commercial airline performance and may be subject to exposure of reduced valuation as a result of market declines. We determine a receivable is impaired when, based on current information and events, it is probable that we will be unable to collect amounts due according to the contractual terms of the receivable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2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Long-term receivables can be considered delinquent if payment has not been received in accordance with the underlying agreement. If determined delinquent, long-term trade accounts receivable and notes and leases receivable balances accruing interest may be placed on non-accrual status. We record potential losses related to long-term receivables when identified. The reserve for credit losses on these receivables relates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Uncollectible long-term receivables are written-off when collection of the indebtedness has been pursued for a reasonable period of time without collection; the customer is no longer in operation; or judgment has been levied, but the underlying assets are not adequate to satisfy the indebtedness. At both March 31, 2013 and December 31, 2012, we did not have any significant balances that are considered to be delinquent, on non-accrual status, past due 90 days or more, or considered to be impaired.</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following table provides the balance of aerospace industry long-term receivables and summarizes the associated changes in the reserve for estimated credit losses and exposure for the three months ended March 31, 2013 and 2012, respectively: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4"/>
                <w:szCs w:val="1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 of the reserve for credit losses and exposure as of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Recoveries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8360" w:type="dxa"/>
            <w:vAlign w:val="bottom"/>
            <w:gridSpan w:val="3"/>
          </w:tcPr>
          <w:p>
            <w:pPr>
              <w:ind w:left="40"/>
              <w:spacing w:after="0"/>
              <w:rPr>
                <w:sz w:val="20"/>
                <w:szCs w:val="20"/>
                <w:color w:val="auto"/>
              </w:rPr>
            </w:pPr>
            <w:r>
              <w:rPr>
                <w:rFonts w:ascii="Arial" w:cs="Arial" w:eastAsia="Arial" w:hAnsi="Arial"/>
                <w:sz w:val="18"/>
                <w:szCs w:val="18"/>
                <w:color w:val="auto"/>
                <w:w w:val="93"/>
              </w:rPr>
              <w:t>Ending balance of the reserve for credit losses and exposure: individually evaluated for impairment as of March</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31</w:t>
            </w:r>
          </w:p>
        </w:tc>
        <w:tc>
          <w:tcPr>
            <w:tcW w:w="7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36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Ending balance of long-term receivables: individually evaluated for impairment as of March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determine credit ratings for each customer in the portfolio based upon public information and information obtained directly from our customers. We conduct a review of customer credit ratings, published historical credit default rates for different rating categories, and multiple third party aircraft value publications as a basis to validate the reasonableness of the allowance for losses on these balances quarterly or when events and circumstances warrant. The credit ratings listed below range from “A” which indicates an extremely strong capacity to meet financial obligations and the receivable is either collateralized or uncollateralized, to “D” which indicates that payment is in default and the receivable is uncollateralized. There can be no assurance that actual results will not differ from estimates or that consideration of these factors in the future will not result in an increase or decrease to the allowance for credit losses on long-term receivables.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credit risk profile by creditworthiness category for aerospace long-term receivable balances at March 31,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Long-term</w:t>
            </w:r>
          </w:p>
        </w:tc>
        <w:tc>
          <w:tcPr>
            <w:tcW w:w="420" w:type="dxa"/>
            <w:vAlign w:val="bottom"/>
          </w:tcPr>
          <w:p>
            <w:pPr>
              <w:spacing w:after="0"/>
              <w:rPr>
                <w:sz w:val="13"/>
                <w:szCs w:val="13"/>
                <w:color w:val="auto"/>
              </w:rPr>
            </w:pPr>
          </w:p>
        </w:tc>
        <w:tc>
          <w:tcPr>
            <w:tcW w:w="116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Long-term</w:t>
            </w:r>
          </w:p>
        </w:tc>
        <w:tc>
          <w:tcPr>
            <w:tcW w:w="280" w:type="dxa"/>
            <w:vAlign w:val="bottom"/>
          </w:tcPr>
          <w:p>
            <w:pPr>
              <w:spacing w:after="0"/>
              <w:rPr>
                <w:sz w:val="13"/>
                <w:szCs w:val="13"/>
                <w:color w:val="auto"/>
              </w:rPr>
            </w:pPr>
          </w:p>
        </w:tc>
        <w:tc>
          <w:tcPr>
            <w:tcW w:w="12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88"/>
              </w:rPr>
              <w:t>Notes and</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trade accounts</w:t>
            </w:r>
          </w:p>
        </w:tc>
        <w:tc>
          <w:tcPr>
            <w:tcW w:w="4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leases</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trade accounts</w:t>
            </w:r>
          </w:p>
        </w:tc>
        <w:tc>
          <w:tcPr>
            <w:tcW w:w="280" w:type="dxa"/>
            <w:vAlign w:val="bottom"/>
          </w:tcPr>
          <w:p>
            <w:pPr>
              <w:spacing w:after="0"/>
              <w:rPr>
                <w:sz w:val="12"/>
                <w:szCs w:val="12"/>
                <w:color w:val="auto"/>
              </w:rPr>
            </w:pPr>
          </w:p>
        </w:tc>
        <w:tc>
          <w:tcPr>
            <w:tcW w:w="120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receivable</w:t>
            </w:r>
          </w:p>
        </w:tc>
        <w:tc>
          <w:tcPr>
            <w:tcW w:w="420" w:type="dxa"/>
            <w:vAlign w:val="bottom"/>
          </w:tcPr>
          <w:p>
            <w:pPr>
              <w:spacing w:after="0"/>
              <w:rPr>
                <w:sz w:val="13"/>
                <w:szCs w:val="13"/>
                <w:color w:val="auto"/>
              </w:rPr>
            </w:pPr>
          </w:p>
        </w:tc>
        <w:tc>
          <w:tcPr>
            <w:tcW w:w="11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0"/>
              </w:rPr>
              <w:t>receivable</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receivable</w:t>
            </w:r>
          </w:p>
        </w:tc>
        <w:tc>
          <w:tcPr>
            <w:tcW w:w="280" w:type="dxa"/>
            <w:vAlign w:val="bottom"/>
          </w:tcPr>
          <w:p>
            <w:pPr>
              <w:spacing w:after="0"/>
              <w:rPr>
                <w:sz w:val="13"/>
                <w:szCs w:val="13"/>
                <w:color w:val="auto"/>
              </w:rPr>
            </w:pPr>
          </w:p>
        </w:tc>
        <w:tc>
          <w:tcPr>
            <w:tcW w:w="1200" w:type="dxa"/>
            <w:vAlign w:val="bottom"/>
          </w:tcPr>
          <w:p>
            <w:pPr>
              <w:jc w:val="center"/>
              <w:ind w:right="177"/>
              <w:spacing w:after="0" w:line="158"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 (low risk, collateralized/uncollateralized)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 - (moderate risk, collateralized/uncollateralized)</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 - (high risk, collateralized/uncollateralized)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D - (in default, uncollateralized)</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7"/>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Shareowners’ Equity and Noncontrolling Interest</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ended March 31, 2013 and 2012 is provided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Quarter Ended March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9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 (loss)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subsidiary shares from noncontrolling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Sale of subsidiary shares in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in subsidiaries’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earnings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in total other</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 reclassification to</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27,563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As of January 1, 2013, we adopted the provisions of the FASB issued Accounting Standards Update ("ASU") No. 2013-02, "Reporting of Amounts Reclassified Out of Accumulated Other Comprehensive Income." As a result of this adoption, we have disclosed below the significant items reclassified to net income in their entirety during the period.</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income, net of tax for the quarter ended March 31, 2013 are provided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Pension and</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Post-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(Losses) on</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retirement</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Available-for-Sale</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2"/>
                <w:szCs w:val="12"/>
                <w:color w:val="auto"/>
              </w:rPr>
            </w:pPr>
          </w:p>
        </w:tc>
        <w:tc>
          <w:tcPr>
            <w:tcW w:w="12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Balance at March 31, 2013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Details of the reclassification out of accumulated other comprehensive loss for the quarter ended March 31, 2013 is provided below:</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080" w:type="dxa"/>
            <w:vAlign w:val="bottom"/>
            <w:gridSpan w:val="4"/>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080" w:type="dxa"/>
            <w:vAlign w:val="bottom"/>
            <w:gridSpan w:val="4"/>
          </w:tcPr>
          <w:p>
            <w:pPr>
              <w:ind w:left="4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7"/>
              </w:rPr>
              <w:t>Affected Line item in the Condensed Consolidated</w:t>
            </w:r>
          </w:p>
        </w:tc>
        <w:tc>
          <w:tcPr>
            <w:tcW w:w="0" w:type="dxa"/>
            <w:vAlign w:val="bottom"/>
          </w:tcPr>
          <w:p>
            <w:pPr>
              <w:spacing w:after="0"/>
              <w:rPr>
                <w:sz w:val="1"/>
                <w:szCs w:val="1"/>
                <w:color w:val="auto"/>
              </w:rPr>
            </w:pPr>
          </w:p>
        </w:tc>
      </w:tr>
      <w:tr>
        <w:trPr>
          <w:trHeight w:val="149"/>
        </w:trPr>
        <w:tc>
          <w:tcPr>
            <w:tcW w:w="60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Components Reclassified to Net Income</w:t>
            </w:r>
          </w:p>
        </w:tc>
        <w:tc>
          <w:tcPr>
            <w:tcW w:w="200" w:type="dxa"/>
            <w:vAlign w:val="bottom"/>
          </w:tcPr>
          <w:p>
            <w:pPr>
              <w:spacing w:after="0"/>
              <w:rPr>
                <w:sz w:val="12"/>
                <w:szCs w:val="12"/>
                <w:color w:val="auto"/>
              </w:rPr>
            </w:pPr>
          </w:p>
        </w:tc>
        <w:tc>
          <w:tcPr>
            <w:tcW w:w="15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Income (Expense)</w:t>
            </w:r>
          </w:p>
        </w:tc>
        <w:tc>
          <w:tcPr>
            <w:tcW w:w="1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8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tcPr>
          <w:p>
            <w:pPr>
              <w:ind w:left="620"/>
              <w:spacing w:after="0" w:line="158" w:lineRule="exact"/>
              <w:rPr>
                <w:sz w:val="20"/>
                <w:szCs w:val="20"/>
                <w:color w:val="auto"/>
              </w:rPr>
            </w:pPr>
            <w:r>
              <w:rPr>
                <w:rFonts w:ascii="Arial" w:cs="Arial" w:eastAsia="Arial" w:hAnsi="Arial"/>
                <w:sz w:val="14"/>
                <w:szCs w:val="14"/>
                <w:b w:val="1"/>
                <w:bCs w:val="1"/>
                <w:color w:val="auto"/>
              </w:rPr>
              <w:t>Statement of Comprehensive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604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Recognized due to business disposition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4"/>
            <w:shd w:val="clear" w:color="auto" w:fill="CCEEFF"/>
          </w:tcPr>
          <w:p>
            <w:pPr>
              <w:ind w:left="40"/>
              <w:spacing w:after="0" w:line="203" w:lineRule="exact"/>
              <w:rPr>
                <w:sz w:val="20"/>
                <w:szCs w:val="20"/>
                <w:color w:val="auto"/>
              </w:rPr>
            </w:pPr>
            <w:r>
              <w:rPr>
                <w:rFonts w:ascii="Arial" w:cs="Arial" w:eastAsia="Arial" w:hAnsi="Arial"/>
                <w:sz w:val="18"/>
                <w:szCs w:val="18"/>
                <w:color w:val="auto"/>
              </w:rPr>
              <w:t>Defined Benefit Pension and Post-retirement Plans: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Amortization of prior-service costs and transition obligation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Recognized actuarial net loss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Total before tax</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Net of tax</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4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Unrealized Gains (Losses) on Available-for-Sale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Realized gain (loss) on sale of securities, before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Net of tax</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4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Unrealized Hedging (Losses) Gains:</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Total before tax</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Net of tax</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80" w:right="220" w:hanging="2"/>
        <w:spacing w:after="0" w:line="277" w:lineRule="auto"/>
        <w:tabs>
          <w:tab w:leader="none" w:pos="5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7 for additional details).</w:t>
      </w:r>
    </w:p>
    <w:p>
      <w:pPr>
        <w:spacing w:after="0" w:line="89"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A summary of the changes in redeemable noncontrolling interest recorded in the mezzanine section of the Condensed Consolidated Balance Sheet for the quarters ended March 31, 2013 and 2012 is provided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Dividends attributable to noncontrolling interest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Purchase of subsidiary shares from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Redeemable noncontrolling interest reclassification to noncontrolling interest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Changes in noncontrolling interests that do not result in a change of control and where there is a difference between fair value and carrying value are accounted for as equity transactions. A summary of these changes in ownership interests in subsidiaries and the effect on shareowners’ equity for the quarters ended March 31, 2013 and 2012 is provided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Transfers to noncontrolling interests: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Decrease in common stock for purchase of subsidiary shares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Change from net income attributable to common shareowners and transfers to noncontrolling interests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14"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Guarantees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2012.</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quarters ended March 31, 2013 and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March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decrease reflected in “Other” during the quarter ended March 31, 2012 primarily reflects the impact of warranty reserves reclassified to Liabilities held for sale, as part of the Clipper disposition. See Note 2 for further discussion.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2012 Annual Report, incorporated by reference in our 2012 Form 10-K, updated as applicable.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non-U.S. operations. We accrue for the costs of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conjunction with the completion of our acquisition of Goodrich on July 26, 2012, we recorded additional environmental reserves of $232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further discussion.</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Government. </w:t>
      </w:r>
      <w:r>
        <w:rPr>
          <w:rFonts w:ascii="Arial" w:cs="Arial" w:eastAsia="Arial" w:hAnsi="Arial"/>
          <w:sz w:val="18"/>
          <w:szCs w:val="18"/>
          <w:color w:val="auto"/>
        </w:rPr>
        <w:t>We are now, and believe that in light of the current U.S. Government contracting environment we will continue to be, the subject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9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have settled some allegations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5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previously disclosed, the U.S.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w:t>
      </w:r>
    </w:p>
    <w:p>
      <w:pPr>
        <w:sectPr>
          <w:pgSz w:w="11900" w:h="16838" w:orient="portrait"/>
          <w:cols w:equalWidth="0" w:num="1">
            <w:col w:w="11420"/>
          </w:cols>
          <w:pgMar w:left="240" w:top="121"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Pratt &amp; Whitney had made significant price concessions. However, the trial court judge found that Pratt &amp; Whitney violated the False Claims Act due to inaccurate statements contained in its 1983 offer. In the absence of actual damages, the trial court judge awarded the DOJ the maximum civil penalty of $7.09 million, or $10,000 for each of the 709 invoices Pratt &amp; Whitney submitted in 1989 and later under the contracts. In September 2008, both the DOJ and UTC appealed the decision to the Sixth Circuit Court of Appeals. In November 2010, the Sixth Circuit affirmed Pratt &amp; Whitney’s liability under the False Claims Act and remanded the case to the trial court for further proceedings.</w:t>
      </w:r>
    </w:p>
    <w:p>
      <w:pPr>
        <w:spacing w:after="0" w:line="188"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On June 18, 2012, the trial court found that Pratt &amp; Whitney had breached other obligations imposed by common law based on the same conduct with respect to which the court previously found liability under the False Claims Act. Under the common law claims, the U.S. Air Force may seek damages for events occurring before March 3, 1989, which are not recoverable under the False Claims Act. Further proceedings at the trial court will determine the damages, if any, relating to the False Claims Act and common law claims. The government continues to seek damages of $624 million, plus interest. Pratt &amp; Whitney continues to contend that the government suffered no actual damages. The parties have submitted briefs and await a decision from the trial court. Should the government ultimately prevail, the outcome of this matter could result in a material adverse effect on our results of operations in the period in which a liability would be recognized or cash flows for the period in which damages would be paid.</w:t>
      </w:r>
    </w:p>
    <w:p>
      <w:pPr>
        <w:spacing w:after="0" w:line="178"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$95 million (including interest through March 31, 2013).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While the DOD has the right to appeal this decision, we do not believe the ultimate resolution of this matter will have a material adverse effect on our competitive position, results of operations, cash flows or financial condition.</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previously disclosed, UTC has been involved in administrative review proceedings with the German Tax Office concerning €203 million (approximately $263 million) of tax benefits that we have claimed related to a 1998 reorganization of the corporate structure of Otis operations in Germany. A portion of these tax benefits were disallowed by the local German Tax Office on July 5, 2012, as a result of the audit of tax years 1999 to 2000. The legal and factual issues relating to the denial of the tax benefits center on the interpretation and application of a German tax law. On August 3, 2012, the Company filed suit in the local German tax court and intends to litigate vigorously the matter to conclusion. We do not believe the resolution of this matter will have a material adverse effect on our results of operations, cash flows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accrued our estimate of the liability that may result under these guarantees and for service costs that are probable and can be reasonably estimated.</w:t>
      </w:r>
    </w:p>
    <w:p>
      <w:pPr>
        <w:spacing w:after="0" w:line="23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Like many other industrial companies in recent years, we or our subsidiaries are named as a defendant in lawsuits alleging personal injury as a result of exposure to asbestos integrated into certain of our products or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covered by insurance or other forms of indemnity or have been dismissed without payment. The remainder of the closed cases have been resolved for amounts that are not material individually or in the aggregate. While insurance coverage litigation is pending against a number of Goodrich insurers, based on information currently available we do not believe that resolution of asbestos-related matters will have a material adverse effect upon our competitive position, results of operations, cash flows or financial condition.</w:t>
      </w:r>
    </w:p>
    <w:p>
      <w:pPr>
        <w:spacing w:after="0" w:line="167"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are involved in a number of other legal proceedings, investigations and other contingency matters, including government audit matters, environmental investigatory, remediation, operating and maintenance costs, performance guarantees, self-insurance programs and matters arising out of the normal course of business. We are also subject to a number of routine lawsuits, investigations and claims (some of which involve substantial amounts) arising out of the ordinary course of our business. Many of these proceedings are at preliminary stages, and many of these cases seek an indeterminate amount of damages. We regularly evaluate the status of legal proceedings in which we are involved, to assess whether a loss is probable and reasonably estimable in light of the facts and circumstances known to us at a particular point in time or there is a reasonable possibility that a loss or additional loss may have been incurred and determine if accruals and related disclosures are appropriate. The Company has established reserves for several hundred of its legal proceedings and other matters. We accrue contingencies based upon a range of possible outcomes. If no amount within this range is a better estimate than any other, then we accrue the minimum amount. With respect to any additional losses that may be incurred in excess of those accrued, either they are considered not material or we do not believe that a range of reasonably possible losses (defined by the relevant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accounting literature to include all potential losses other than those deemed “remote”) can be determined. We do not believe that these matters will have a material adverse effect upon our competitive position, results of operations, cash flows or financial condition.</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All forward-looking statements concerning the possible or anticipated outcome of environmental, investigatory, litigation proceedings and other contingency matters involve risks and uncertainties that could cause actual results to differ materially from those expressed or implied in the forward-looking statements. For further information as to these risks and uncertainties, see “Cautionary Note Concerning Factors That May Affect Future Results” and Part II, Item 1A, “Risk Factors” in this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2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operations are classified into five principal segments: Otis, UTC Climate, Controls &amp; Security, Pratt &amp; Whitney, UTC Aerospace Systems and Sikorsky. The segments are generally based on the management structure of the businesses and the grouping of similar operating companies, where each management organization has general operating autonomy over diversified products and services. Subsequent to the completion of our acquisition of Goodrich on July 26, 2012, the Goodrich businesses were combined with the legacy Hamilton Sundstrand businesses to form the new UTC Aerospace Systems segment. Effective July 1, 2012, the Auxiliary Power Unit (APU) business of UTC Aerospace Systems was transferred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three months ended March 31, 2013 and 2012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14,565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22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March 2013, the FASB issued Accounting Standards Update (ASU) No. 2013-05, "Parent's Accounting for the Cumulative Translation Adjustment upon Derecognition of Certain Subsidiaries or Group of Assets within a Foreign Entity or of an Investment in a Foreign Entity." This ASU is intended to eliminate diversity in practice on the release of cumulative translation adjustment into net income when a parent either sells a part or all of its investment in a foreign entity or no longer holds a controlling financial interest. In addition, the amendments in this ASU resolve the diversity in practice for the treatment of business combinations achieved in stages (sometimes also referred to as step acquisitions) involving a foreign entity. The provisions of this ASU are effective for interim and annual periods beginning after December 15, 2013 and must be applied prospectively. We are currently evaluating the impact of this ASU.</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2013 and 2012, PricewaterhouseCoopers LLP (PricewaterhouseCoopers) reported that it has applied limited procedures in accordance with professional standards for a review of such information. However, its report dated April 26, 2013,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40" w:firstLine="3453"/>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16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March 31, 2013, and the related condensed consolidated statement of comprehensive income for the three-month periods ended March 31, 2013 and 2012 and the condensed consolidated statement of cash flows for the three-month periods ended March 31, 2013 and 2012. This interim financial information is the responsibility of the Corporation's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previously audited, in accordance with the standards of the Public Company Accounting Oversight Board (United States), the consolidated balance sheet as of December 31, 2012, and the related consolidated statements of operations, of cash flows, and of changes in equity for the year then ended (not presented herein), and in our report dated February 7, 2013, we expressed an unqualified opinion on those consolidated financial statements. In our opinion, the information set forth in the accompanying condensed consolidated balance sheet as of December 31, 2012, is fairly stated in all material respects in relation to the consolidated balance sheet from which it has been derived.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are classified into five principal business segments: Otis, UTC Climate, Controls &amp; Security, Pratt &amp; Whitney, UTC Aerospace Systems and Sikorsky. Otis and UTC Climate, Controls &amp; Security are referred to as the “commercial businesses,” while Pratt &amp; Whitney, UTC Aerospace Systems and Sikorsky are collectively referred to as the “aerospace businesses.”</w:t>
      </w:r>
    </w:p>
    <w:p>
      <w:pPr>
        <w:spacing w:after="0" w:line="18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On July 26, 2012, UTC acquired Goodrich Corporation (Goodrich) pursuant to a merger agreement dated September 21, 2011. As a result of the acquisition, Goodrich became a wholly-owned subsidiary of UTC. The acquired Goodrich business and the legacy Hamilton Sundstrand business have been combined to form a new segment named UTC Aerospace Systems. The results of the acquired Goodrich business have been included in UTC’s financial statements only for periods subsequent to the completion of the acquisition. The acquisition resulted in the inclusion of Goodrich’s assets and liabilities as of the acquisition date at their respective fair values. Accordingly, the acquisition materially affected UTC’s results of operations and financial position.</w:t>
      </w:r>
    </w:p>
    <w:p>
      <w:pPr>
        <w:spacing w:after="0" w:line="15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Certain reclassifications have been made to the prior year amounts to conform to the current year presentation. The current status of significant factors impacting our business environment in 2013 is discussed below. For additional discussion, refer to the “Business Overview” section in Management’s Discussion and Analysis of Financial Condition and Results of Operations in our 2012 Annual Report, which is incorporated by reference in our 2012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Growth in emerging markets continues to be led by China, where gross domestic product growth is expected to exceed 8% in 2013. European economic conditions remain mixed with weak consumer confidence and high unemployment rates in southern Europe partially offset by growth in eastern European emerging markets. The European market, together with U.S. Government defense spending, represents over 40% of UTC sales. The economic environment in the United States showed strength during the first quarter with improving consumer sentiment and lower unemployment rates. Although U.S. Government sequestration has not yet had a substantial effect on our military aerospace businesses, it may in future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Disposition Activity</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March 14, 2012, the Board of Directors of the Company approved a plan for the divestiture of a number of non-core businesses. Cash generated from these divestitures has been and is intended to be used to repay debt incurred to finance the acquisition of Goodrich. These divestitures are expected to generate approximately $3 billion in net cash, on an after-tax basis, when complete. The legacy Hamilton Sundstrand Industrial businesses, as well as Clipper Windpower (Clipper), Pratt &amp; Whitney Rocketdyne (Rocketdyne) and UTC Power all met the "held-for-sale" criteria in 2012. The results of operations, including the net realized gain and expected losses on disposition, and the related cash flows which result from these non-core businesses have been reclassified to Discontinued Operations in our Condensed Consolidated Statements of Comprehensive Income and Cash Flows. The dispositions of Clipper and the legacy Hamilton Sundstrand Industrial businesses were completed in 2012. On February 12, 2013, we completed the disposition of UTC Power to ClearEdge Power. The UTC Power disposition resulted in payments by UTC totaling $48 million, which included capitalization of the business prior to the sale and interim funding of operations as the buyer took control of a loss generating business. We have no continuing involvement with the UTC Power business.</w:t>
      </w:r>
    </w:p>
    <w:p>
      <w:pPr>
        <w:spacing w:after="0" w:line="17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July 23, 2012, we announced an agreement to sell our Rocketdyne unit to GenCorp Inc. We expect to complete the sale of the business mid-year 2013, pending the satisfaction of closing conditions, including regulatory approval. We are taking significant actions required to satisfy these conditions. Although the Board of Directors also approved the sale of the Pratt &amp; Whitney Power Systems business, it was not reclassified to Discontinued Operations due to our expected level of continuing involvement in the business post-sale. The sale of Pratt &amp; Whitney Power Systems is expected to be completed during the second quarter of 2013.</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In connection with regulatory approval of the Goodrich acquisition, regulatory authorities required UTC to dispose of the Goodrich electric power systems and the pumps and engine controls businesses. Pursuant to these regulatory obligations, these businesses had been held separately from UTC's and Goodrich's ongoing businesses since the acquisition of Goodrich by UTC. On March 18, 2013, we completed the sale of the Goodrich pumps and engine controls business to Triumph Group, Inc., and on March 26, 2013, we completed the sale of the Goodrich electric power systems business to Safran. Combined proceeds from the sales of the two businesses were approximately $600 million.</w:t>
      </w:r>
    </w:p>
    <w:p>
      <w:pPr>
        <w:spacing w:after="0" w:line="173"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As discussed below in “Results of Operations,” our results include the impact from non-recurring items such as the beneficial impact of gains from business divestiture activities, including those related to the ongoing portfolio transformation at UTC Climate, Controls &amp; Security.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On February 7, 2013, we completed the acquisition of Grupo Ascensores Enor, S.A. (Enor), a privately held company headquartered in Spain with operations in Spain and Portugal, which designs, manufactures, installs and services elevators. Enor's 2012 sales were approximately $50 million. Under the terms of the transaction, Zardoya Otis, S.A. (ZOSA), a non-wholly owned subsidiary of the Company, exchanged publicly traded shares of ZOSA with a fair value of approximately $240 million as of the transaction completion date for all of the shares of Enor.</w:t>
      </w:r>
    </w:p>
    <w:p>
      <w:pPr>
        <w:spacing w:after="0" w:line="17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During the first three months of 2013, our cash investment in business acquisitions was approximately $24 million and consisted of a number of additional small acquisitions in our commercial businesses. We expect cash investment in businesses of approximately $1 billion in 2013. However, actual acquisition spending may vary depending upon the timing, availability and value of acquisition opportunities.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Commercial airline financial distress and consolidation, global economic conditions, changes in raw material and commodity prices, interest rates, foreign currency exchange rates, energy costs, and the impact from natural disasters and weather conditions create uncertainties that could impact our earnings outlook for the remainder of 2013. See Part II, Item 1A, “Risk Factors” in this Form 10-Q for further discussion.</w:t>
      </w:r>
    </w:p>
    <w:p>
      <w:pPr>
        <w:spacing w:after="0" w:line="166"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following activities are disclosed as required by Section 13(r)(1)(D)(iii) of the Securities Exchange Act of 1934, as amended, (Exchange Act) as transactions or dealings with the government of Iran that have not been specifically authorized by a U.S. federal department or agency:</w:t>
      </w:r>
    </w:p>
    <w:p>
      <w:pPr>
        <w:spacing w:after="0" w:line="14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i w:val="1"/>
          <w:iCs w:val="1"/>
          <w:color w:val="auto"/>
        </w:rPr>
        <w:t>UTC Climate, Controls &amp; Security</w:t>
      </w:r>
      <w:r>
        <w:rPr>
          <w:rFonts w:ascii="Arial" w:cs="Arial" w:eastAsia="Arial" w:hAnsi="Arial"/>
          <w:sz w:val="16"/>
          <w:szCs w:val="16"/>
          <w:color w:val="auto"/>
        </w:rPr>
        <w:t>. In 2012 and 2013, Chubb Fire &amp; Security Limited (Chubb), a non-U.S. subsidiary of UTC Climate, Controls &amp;</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organized in the United Kingdom, sold fire safety products and provided related maintenance services to the London office of Bimeh Iran Insurance Company (U.K.) (BIUK), which has been designated by the U.S. Treasury Department's Office of Foreign Assets Control (OFAC) as an entity owned or controlled by the government of Iran. In January 2012, pursuant to a fire emergency services contract with BIUK that had been in place since at least 1998, Chubb sold and received payments for approximately $1,620 for fire safety equipment and maintenance services for such items, including fire blankets, fire extinguishers, extinguisher stands and spare parts. The net profit on the 2012 sales was $296. Chubb's legacy contract with BIUK was not prohibited by applicable laws when it was executed, and in January 2012, when these sales and services took place, these activities were not prohibited by U.S. law.</w:t>
      </w:r>
    </w:p>
    <w:p>
      <w:pPr>
        <w:spacing w:after="0" w:line="167" w:lineRule="exact"/>
        <w:rPr>
          <w:sz w:val="20"/>
          <w:szCs w:val="20"/>
          <w:color w:val="auto"/>
        </w:rPr>
      </w:pPr>
    </w:p>
    <w:p>
      <w:pPr>
        <w:ind w:right="340" w:firstLine="405"/>
        <w:spacing w:after="0" w:line="273" w:lineRule="auto"/>
        <w:rPr>
          <w:sz w:val="20"/>
          <w:szCs w:val="20"/>
          <w:color w:val="auto"/>
        </w:rPr>
      </w:pPr>
      <w:r>
        <w:rPr>
          <w:rFonts w:ascii="Arial" w:cs="Arial" w:eastAsia="Arial" w:hAnsi="Arial"/>
          <w:sz w:val="17"/>
          <w:szCs w:val="17"/>
          <w:color w:val="auto"/>
        </w:rPr>
        <w:t>Pursuant to the same legacy fire emergency services contract, in January 2013, Chubb sold approximately $1,414 in fire safety equipment and maintenance services to BIUK. The net profit on the 2013 sales was $258. These sales took place after the President issued Executive Order 13628 on October 9, 2012, which implemented Section 218 of the Iran Threat Reduction and Syria Human Rights Act (ITRA) by prohibiting any entity owned or controlled by a U.S. person and established or maintained outside the U.S. from knowingly engaging in any transaction, directly or indirectly, with the Government of Iran. Accordingly, UTC Climate, Controls &amp; Security has filed an appropriate disclosure with OFAC. Chubb terminated its contract with BIUK on March 3, 2013 and does not intend to do any further business with BIUK.</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1"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2012 Annual Report, incorporated by reference in our 2012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three months ended March 31,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63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14,399</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12,416</w:t>
            </w:r>
          </w:p>
        </w:tc>
      </w:tr>
      <w:tr>
        <w:trPr>
          <w:trHeight w:val="324"/>
        </w:trPr>
        <w:tc>
          <w:tcPr>
            <w:tcW w:w="40" w:type="dxa"/>
            <w:vAlign w:val="bottom"/>
          </w:tcPr>
          <w:p>
            <w:pPr>
              <w:spacing w:after="0"/>
              <w:rPr>
                <w:sz w:val="24"/>
                <w:szCs w:val="24"/>
                <w:color w:val="auto"/>
              </w:rPr>
            </w:pPr>
          </w:p>
        </w:tc>
        <w:tc>
          <w:tcPr>
            <w:tcW w:w="8300" w:type="dxa"/>
            <w:vAlign w:val="bottom"/>
            <w:gridSpan w:val="2"/>
          </w:tcPr>
          <w:p>
            <w:pPr>
              <w:ind w:left="400"/>
              <w:spacing w:after="0"/>
              <w:rPr>
                <w:sz w:val="20"/>
                <w:szCs w:val="20"/>
                <w:color w:val="auto"/>
              </w:rPr>
            </w:pPr>
            <w:r>
              <w:rPr>
                <w:rFonts w:ascii="Arial" w:cs="Arial" w:eastAsia="Arial" w:hAnsi="Arial"/>
                <w:sz w:val="18"/>
                <w:szCs w:val="18"/>
                <w:color w:val="auto"/>
                <w:w w:val="96"/>
              </w:rPr>
              <w:t>The factors contributing to the total percentage change year-over-year in total net sales are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Quarter Ended March</w:t>
            </w:r>
          </w:p>
        </w:tc>
      </w:tr>
      <w:tr>
        <w:trPr>
          <w:trHeight w:val="192"/>
        </w:trPr>
        <w:tc>
          <w:tcPr>
            <w:tcW w:w="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31, 2013</w:t>
            </w: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Organic 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During the first quarter of 2013, Otis experienced organic sales growth (2%) driven by higher new equipment sales. This was more than offset by a contraction in Sikorsky organic sales (7%), driven by reduced aircraft deliveries and aftermarket services for the U.S. Government. UTC Aerospace Systems did not have any organic growth. Organic sales in the first quarter declined at our remaining business units UTC Climate, Controls &amp; Security (3%) and Pratt &amp; Whitney (2%). The sales increase from acquisitions was primarily a result of the acquisitions of Goodrich and IAE, partially offset by the ongoing portfolio transformation initiatives at UTC Climate, Controls &amp; Security.</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2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9"/>
                <w:szCs w:val="19"/>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7,848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6,323</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2,607</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10,465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8,930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for the quarter ended March 31, 2013 in total cost of products and services sold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tcPr>
          <w:p>
            <w:pPr>
              <w:jc w:val="right"/>
              <w:ind w:right="15"/>
              <w:spacing w:after="0"/>
              <w:rPr>
                <w:sz w:val="20"/>
                <w:szCs w:val="20"/>
                <w:color w:val="auto"/>
              </w:rPr>
            </w:pPr>
            <w:r>
              <w:rPr>
                <w:rFonts w:ascii="Arial" w:cs="Arial" w:eastAsia="Arial" w:hAnsi="Arial"/>
                <w:sz w:val="14"/>
                <w:szCs w:val="14"/>
                <w:b w:val="1"/>
                <w:bCs w:val="1"/>
                <w:color w:val="auto"/>
              </w:rPr>
              <w:t>Quarter Ended March</w:t>
            </w:r>
          </w:p>
        </w:tc>
      </w:t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31, 2013</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volume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organic decrease in total cost of products and services sold (1%) in the first quarter of 2013 corresponded to the organic sales decline (2%) noted above. The increase in “Acquisitions and divestitures, net” (18%) is largely attributable to the acquisitions of Goodrich and IAE, partially offset by the ongoing portfolio transformation initiatives at UTC Climate, Controls &amp; Security. The year-over-year increase in cost of products sold, as a percentage of product sales, reflects the higher proportion of commercial aerospace OEM sales as a result of lower commercial aerospace spares sales volume and a decline in aftermarket services at Sikorsky during the first quarter of 2013.</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2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9"/>
                <w:szCs w:val="19"/>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3,486</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r>
    </w:tbl>
    <w:p>
      <w:pPr>
        <w:spacing w:after="0" w:line="121"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The 80 basis point decline in gross margin as a percentage of sales for the first quarter of 2013 is due to the adverse gross margin impact of the acquisitions of Goodrich and IAE (30 basis points) as well as the higher proportion of commercial aerospace OEM sales as a result of lower commercial aerospace spares sales volume at Pratt &amp; Whitney and UTC Aerospace Systems and in aftermarket services at Sikorsky (50 basis points) during the first quarter of 2013.</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2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9"/>
                <w:szCs w:val="19"/>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544</w:t>
            </w:r>
          </w:p>
        </w:tc>
      </w:tr>
      <w:tr>
        <w:trPr>
          <w:trHeight w:val="243"/>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324</w:t>
            </w:r>
          </w:p>
        </w:tc>
      </w:tr>
      <w:tr>
        <w:trPr>
          <w:trHeight w:val="243"/>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2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(12%) in the first quarter of 2013 primarily reflects an increase at UTC Aerospace Systems as a result of incremental research and development spending related to the Goodrich businesses (22%), partially offset by lower research and development spending at Pratt &amp; Whitney related to the development of multiple geared turbofan platforms (6%). The remaining change is due to lower spending on military and commercial programs at Sikorsky. The increase in customer-funded research and development (68%) is due to incremental customer-funded spending related to the Goodrich businesses (49%) and at Pratt &amp; Whitney on military programs (17%).</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company-funded research and development for the full year 2013 to increase approximately $300 million, as compared with 2012.</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2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9"/>
                <w:szCs w:val="19"/>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1,529</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Selling, general and administrative expenses increased 6% in the first quarter of 2013 due primarily to the impact of acquisitions, net of divestitures, completed over the preceding twelve months, (10%), partially offset by lower restructuring costs (2%). Higher pension costs were more than offset by savings from previous restructuring actions. The 100 basis point year-over-year decrease as a percentage of sales reflects the lower restructuring costs and benefits from previous restructuring actions.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Quarter Ended March 31,</w:t>
            </w:r>
          </w:p>
        </w:tc>
        <w:tc>
          <w:tcPr>
            <w:tcW w:w="48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Other income, net includes equity earnings in unconsolidated entities, royalty income, foreign exchange gains and losses as well as other ongoing and non-recurring items. The year-over-year increase in other income, net (3%) largely reflects the benefit of a settlement with an engine program partner (13%) and lower acquisitions and divestiture costs (9%). This was partially offset by a decline in net gains related to the ongoing UTC Climate, Controls &amp; Security portfolio transformation (25%), which included a net gain in the first quarter of 2013 of $38 million primarily on the sale of a business in Hong Kong, compared to a net gain of $112 million during the first quarter of 2012. The remaining increase in other income, net is attributable primarily to higher equity earnings in unconsolidated entities (7%) and normal recurring operational activity as disclosed above.</w:t>
      </w:r>
    </w:p>
    <w:p>
      <w:pPr>
        <w:spacing w:after="0" w:line="17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2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9"/>
                <w:szCs w:val="19"/>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Average interest expense rate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increase in interest expense in the first quarter of 2013 is a result of higher average debt balances associated with the financing of our acquisition of Goodrich. The decline in interest income in the first quarter of 2013 reflects the absence of approximately $15 million of favorable pre-tax interest adjustments related to the conclusion of the IRS's examination of our tax returns for the years 2006 to 2008, which were recognized in the first quarter of 2012.</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71"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2012</w:t>
            </w:r>
          </w:p>
        </w:tc>
      </w:tr>
      <w:tr>
        <w:trPr>
          <w:trHeight w:val="275"/>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increase in the effective tax rate for the quarter ended March 31, 2013, primarily reflects the absence of a favorable non-cash income tax adjustment of $203 million recorded in the first quarter of 2012. This adjustment was associated with the conclusion of the IRS's examination of the Company's tax returns for the years 2006 to 2008. This increase was partially offset by the favorable tax impact of $95 million associated with the legislative corporate tax extenders enacted in January 2013, as part of the American Taxpayer Relief Act of 2012. This adjustment relates to the 2012 retroactive impact of the law.</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anticipate that our full year annual effective income tax rate in 2013 will be approximately 29%, absent one-time adjustments. We anticipate some variability in the tax rate quarter to quarter in 2013.</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 from Continuing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1,189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1.31</w:t>
            </w:r>
          </w:p>
        </w:tc>
      </w:tr>
    </w:tbl>
    <w:p>
      <w:pPr>
        <w:spacing w:after="0" w:line="12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Net income attributable to common shareowners from continuing operations for the first quarter of 2013 includes restructuring charges, net of tax benefit, of $35 million as well as a benefit from non-recurring items, net of tax expense, of $132 million. The net benefit on diluted earnings per share of non-recurring items in excess of restructuring charges was $0.11 per share. The results for the first quarter of 2012 included a net $0.30 per share benefit from non-recurring items, partially offset by $0.09 per share of restructuring charges. The impact of foreign currency translation and hedging generated an adverse impact of $0.01 per diluted share on our operational performance in the first quarter of 2013.</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Loss Attributable to Common Shareowners from Discontinued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Quarter Ended March 31,</w:t>
            </w:r>
          </w:p>
        </w:tc>
        <w:tc>
          <w:tcPr>
            <w:tcW w:w="54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shareowners from discontinued operations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Diluted loss per share from discontinued operations</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(0.95)</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Diluted loss per share from discontinued operations for the first quarter of 2013 includes $0.01 loss per share on the sale of the UTC Power business offset by $0.01 per share benefit from the results of operations of the discontinued entities.</w:t>
      </w:r>
    </w:p>
    <w:p>
      <w:pPr>
        <w:spacing w:after="0" w:line="17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Diluted loss per share from discontinued operations for the first quarter of 2012 includes $0.71 per share of goodwill impairment charges related to Rocketdyne and Clipper, and $0.26 per share unfavorable income tax adjustments related to the recognition of a deferred tax liability on the existing difference between the accounting versus tax gain on the disposition of the legacy Hamilton Sundstrand Industrial businesses. Discontinued operations for the first quarter of 2012 also include a $0.02 per share benefit from the results of operations of the discontinued entities.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recorded net pre-tax restructuring costs totaling $50 million and $138 million in the first three months of 2013 and 2012, respectively, for new and ongoing restructuring actions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rPr>
              <w:t>The net costs for the first three months of 2013 and 2012 were recorded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3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described below, the charges incurred in the first three months of 2013 primarily relate to actions initiated during 2013 and 2012, while the charges incurred in the first three months of 2012 primarily relate to actions initiated during 2012 and 2011.</w:t>
      </w:r>
    </w:p>
    <w:p>
      <w:pPr>
        <w:spacing w:after="0" w:line="166" w:lineRule="exact"/>
        <w:rPr>
          <w:sz w:val="20"/>
          <w:szCs w:val="20"/>
          <w:color w:val="auto"/>
        </w:rPr>
      </w:pPr>
    </w:p>
    <w:p>
      <w:pPr>
        <w:ind w:right="700"/>
        <w:spacing w:after="0" w:line="347" w:lineRule="auto"/>
        <w:rPr>
          <w:sz w:val="20"/>
          <w:szCs w:val="20"/>
          <w:color w:val="auto"/>
        </w:rPr>
      </w:pPr>
      <w:r>
        <w:rPr>
          <w:rFonts w:ascii="Arial" w:cs="Arial" w:eastAsia="Arial" w:hAnsi="Arial"/>
          <w:sz w:val="16"/>
          <w:szCs w:val="16"/>
          <w:b w:val="1"/>
          <w:bCs w:val="1"/>
          <w:color w:val="auto"/>
        </w:rPr>
        <w:t xml:space="preserve">2013 Actions. </w:t>
      </w:r>
      <w:r>
        <w:rPr>
          <w:rFonts w:ascii="Arial" w:cs="Arial" w:eastAsia="Arial" w:hAnsi="Arial"/>
          <w:sz w:val="16"/>
          <w:szCs w:val="16"/>
          <w:color w:val="auto"/>
        </w:rPr>
        <w:t>During the three months ended March 31, 2013, we initiated restructuring actions relating to ongoing cost reduction efforts,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workforce reductions and the consolidation of field operations. We incurred net pre-tax restructuring costs totaling $20 million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9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Quarter Ended March</w:t>
            </w:r>
          </w:p>
        </w:tc>
        <w:tc>
          <w:tcPr>
            <w:tcW w:w="0" w:type="dxa"/>
            <w:vAlign w:val="bottom"/>
          </w:tcPr>
          <w:p>
            <w:pPr>
              <w:spacing w:after="0"/>
              <w:rPr>
                <w:sz w:val="1"/>
                <w:szCs w:val="1"/>
                <w:color w:val="auto"/>
              </w:rPr>
            </w:pPr>
          </w:p>
        </w:tc>
      </w:tr>
      <w:tr>
        <w:trPr>
          <w:trHeight w:val="158"/>
        </w:trPr>
        <w:tc>
          <w:tcPr>
            <w:tcW w:w="5000" w:type="dxa"/>
            <w:vAlign w:val="bottom"/>
            <w:gridSpan w:val="3"/>
            <w:vMerge w:val="continue"/>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93"/>
              <w:spacing w:after="0" w:line="158" w:lineRule="exact"/>
              <w:rPr>
                <w:sz w:val="20"/>
                <w:szCs w:val="20"/>
                <w:color w:val="auto"/>
              </w:rPr>
            </w:pPr>
            <w:r>
              <w:rPr>
                <w:rFonts w:ascii="Arial" w:cs="Arial" w:eastAsia="Arial" w:hAnsi="Arial"/>
                <w:sz w:val="14"/>
                <w:szCs w:val="14"/>
                <w:b w:val="1"/>
                <w:bCs w:val="1"/>
                <w:color w:val="auto"/>
              </w:rPr>
              <w:t>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240" w:type="dxa"/>
            <w:vAlign w:val="bottom"/>
            <w:tcBorders>
              <w:bottom w:val="single" w:sz="8" w:color="CCEEFF"/>
            </w:tcBorders>
            <w:gridSpan w:val="2"/>
            <w:shd w:val="clear" w:color="auto" w:fill="CCEEFF"/>
          </w:tcPr>
          <w:p>
            <w:pPr>
              <w:ind w:left="49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4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49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4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94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40" w:type="dxa"/>
            <w:vAlign w:val="bottom"/>
            <w:vMerge w:val="restart"/>
          </w:tcPr>
          <w:p>
            <w:pPr>
              <w:jc w:val="right"/>
              <w:ind w:right="4050"/>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9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charges associated with the 2013 restructuring 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Quarter Ended March</w:t>
            </w:r>
          </w:p>
        </w:tc>
        <w:tc>
          <w:tcPr>
            <w:tcW w:w="0" w:type="dxa"/>
            <w:vAlign w:val="bottom"/>
          </w:tcPr>
          <w:p>
            <w:pPr>
              <w:spacing w:after="0"/>
              <w:rPr>
                <w:sz w:val="1"/>
                <w:szCs w:val="1"/>
                <w:color w:val="auto"/>
              </w:rPr>
            </w:pPr>
          </w:p>
        </w:tc>
      </w:tr>
      <w:tr>
        <w:trPr>
          <w:trHeight w:val="158"/>
        </w:trPr>
        <w:tc>
          <w:tcPr>
            <w:tcW w:w="99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93"/>
              <w:spacing w:after="0" w:line="158" w:lineRule="exact"/>
              <w:rPr>
                <w:sz w:val="20"/>
                <w:szCs w:val="20"/>
                <w:color w:val="auto"/>
              </w:rPr>
            </w:pPr>
            <w:r>
              <w:rPr>
                <w:rFonts w:ascii="Arial" w:cs="Arial" w:eastAsia="Arial" w:hAnsi="Arial"/>
                <w:sz w:val="14"/>
                <w:szCs w:val="14"/>
                <w:b w:val="1"/>
                <w:bCs w:val="1"/>
                <w:color w:val="auto"/>
              </w:rPr>
              <w:t>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900" w:type="dxa"/>
            <w:vAlign w:val="bottom"/>
            <w:gridSpan w:val="2"/>
            <w:vMerge w:val="restart"/>
          </w:tcPr>
          <w:p>
            <w:pPr>
              <w:ind w:left="400"/>
              <w:spacing w:after="0"/>
              <w:rPr>
                <w:sz w:val="20"/>
                <w:szCs w:val="20"/>
                <w:color w:val="auto"/>
              </w:rPr>
            </w:pPr>
            <w:r>
              <w:rPr>
                <w:rFonts w:ascii="Arial" w:cs="Arial" w:eastAsia="Arial" w:hAnsi="Arial"/>
                <w:sz w:val="18"/>
                <w:szCs w:val="18"/>
                <w:color w:val="auto"/>
              </w:rPr>
              <w:t>The following table summarizes the charges associated with the 2013 restructuring actions by cost type:</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900" w:type="dxa"/>
            <w:vAlign w:val="bottom"/>
            <w:gridSpan w:val="2"/>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99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Quarter Ended March</w:t>
            </w:r>
          </w:p>
        </w:tc>
        <w:tc>
          <w:tcPr>
            <w:tcW w:w="0" w:type="dxa"/>
            <w:vAlign w:val="bottom"/>
          </w:tcPr>
          <w:p>
            <w:pPr>
              <w:spacing w:after="0"/>
              <w:rPr>
                <w:sz w:val="1"/>
                <w:szCs w:val="1"/>
                <w:color w:val="auto"/>
              </w:rPr>
            </w:pPr>
          </w:p>
        </w:tc>
      </w:tr>
      <w:tr>
        <w:trPr>
          <w:trHeight w:val="158"/>
        </w:trPr>
        <w:tc>
          <w:tcPr>
            <w:tcW w:w="99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393"/>
              <w:spacing w:after="0" w:line="158" w:lineRule="exact"/>
              <w:rPr>
                <w:sz w:val="20"/>
                <w:szCs w:val="20"/>
                <w:color w:val="auto"/>
              </w:rPr>
            </w:pPr>
            <w:r>
              <w:rPr>
                <w:rFonts w:ascii="Arial" w:cs="Arial" w:eastAsia="Arial" w:hAnsi="Arial"/>
                <w:sz w:val="14"/>
                <w:szCs w:val="14"/>
                <w:b w:val="1"/>
                <w:bCs w:val="1"/>
                <w:color w:val="auto"/>
              </w:rPr>
              <w:t>31, 2013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Asset write-downs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Facility exit, lease termination and other costs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We expect the 2013 actions that were initiated in the first three months to result in net workforce reductions of approximately 300 hourly and salaried employees, the exiting of approximately 200,000 net square feet and the disposal of assets associated with exited facilities. As of March 31, 2013, we have completed net workforce reductions of approximately 150 employees. We are targeting the majority of the remaining workforce and all facility related cost reduction actions for completion during 2013 and 2014. Approximately 80% of the total pre-tax charge will require cash payments, which we expect to fund with cash generated from operations. During the three months ended March 31, 2013, we had cash outflows of approximately $5 million related to the 2013 actions. We expect to incur additional restructuring costs of $18 million to complete these actions. We expect recurring pre-tax savings to increase over the two-year period subsequent to initiating these actions to approximately $22 million annually.</w:t>
      </w:r>
    </w:p>
    <w:p>
      <w:pPr>
        <w:spacing w:after="0" w:line="174"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2012 Actions. </w:t>
      </w:r>
      <w:r>
        <w:rPr>
          <w:rFonts w:ascii="Arial" w:cs="Arial" w:eastAsia="Arial" w:hAnsi="Arial"/>
          <w:sz w:val="16"/>
          <w:szCs w:val="16"/>
          <w:color w:val="auto"/>
        </w:rPr>
        <w:t>During the three months ended March 31, 2013 and 2012, we recorded net pre-tax restructuring costs totaling $29 million and $116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for restructuring actions initiated in 2012. The 2012 actions relate to ongoing cost reduction efforts, including workforce reductions and the consolidation of field operations. We incurred net pre-tax restructuring costs for the three months ended March 31, 2013 and 2012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3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Sikorsky</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35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charges for the three months ended March 31, 2013 and 2012 associated with the 2012 restructuring actions: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charges for the three months ended March 31, 2013 and 2012 associated with the 2012 restructuring actions by cost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Asset write-downs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Facility exit, lease termination and other costs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Restructuring costs recorded within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 recorded within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expect the 2012 actions to result in net workforce reductions of approximately 7,100 hourly and salaried employees, the exiting of approximately 2.7 million net square feet of facilities and the disposal of assets associated with the exited facilities. As of March 31, 2013, we completed net workforce reductions of approximately 5,500 employees and exited approximately 1.4 million net square feet of facilities. We are targeting the majority of the remaining workforce and facility related cost reduction actions for completion during 2013 and 2014. Approximately 85% of the total pre-tax charge will require cash payments, which we expect to fund with cash generated from operations. During the three months ended March 31, 2013, we had cash outflows of approximately $111 million related to the 2012 actions. We expect to incur additional restructuring costs of $74 million to complete these actions. We expect recurring pre-tax savings to increase over the two-year period subsequent to initiating these actions to approximately $549 million annually.</w:t>
      </w:r>
    </w:p>
    <w:p>
      <w:pPr>
        <w:spacing w:after="0" w:line="16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Additional 2013 Actions. </w:t>
      </w:r>
      <w:r>
        <w:rPr>
          <w:rFonts w:ascii="Arial" w:cs="Arial" w:eastAsia="Arial" w:hAnsi="Arial"/>
          <w:sz w:val="18"/>
          <w:szCs w:val="18"/>
          <w:color w:val="auto"/>
        </w:rPr>
        <w:t>We expect to initiate additional restructuring actions during the remainder of 2013. Including trailing costs related to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actions, we now expect full year 2013 restructuring costs from continuing operations of approximately $350 million, including the $50 million of charges incurred during the first three months of 2013. The expected adverse impact on full year earnings in 2013 from anticipated restructuring costs is expected to be offset by the beneficial impact from net non-recurring items. Except for those actions described above, no specific plans for significant other actions have been finalized at this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Subsequent to the completion of our acquisition of Goodrich on July 26, 2012, we combined the Goodrich businesses with the legacy Hamilton Sundstrand businesses to form the UTC Aerospace Systems segment. Adjustments to reconcile segment reporting to the consolidated results for the quarters ended March 31, 2013 and 2012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although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188"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North American residential heating, ventilation, and air conditioning (HVAC) orders increased 11% in the first quarter of 2013, due largely to an improving housing market. After increasing 9% in the first quarter of 2012, commercial HVAC orders declined 7% in the first quarter of 2013 with order declines in North America and Europe partially offset by increases in Asia. Orders in the Transicold business increased 30% due primarily to recovering shipping container and trailer markets.</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Within the Otis segment, new equipment orders increased 24% in the first quarter of 2013 with growth in Asia lead by China (29%), the Americas (11%), and Europe (27%) with growth in Russia more than offsetting order declines in southern Europe. Otis continues to face pricing pressures, particularly in China.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March 31,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Otis</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8"/>
          </w:tcPr>
          <w:p>
            <w:pPr>
              <w:jc w:val="right"/>
              <w:ind w:right="739"/>
              <w:spacing w:after="0"/>
              <w:rPr>
                <w:sz w:val="20"/>
                <w:szCs w:val="20"/>
                <w:color w:val="auto"/>
              </w:rPr>
            </w:pPr>
            <w:r>
              <w:rPr>
                <w:rFonts w:ascii="Arial" w:cs="Arial" w:eastAsia="Arial" w:hAnsi="Arial"/>
                <w:sz w:val="14"/>
                <w:szCs w:val="14"/>
                <w:b w:val="1"/>
                <w:bCs w:val="1"/>
                <w:color w:val="auto"/>
                <w:w w:val="96"/>
              </w:rPr>
              <w:t>UTC Climate, Controls &amp; Security</w:t>
            </w:r>
          </w:p>
        </w:tc>
        <w:tc>
          <w:tcPr>
            <w:tcW w:w="0" w:type="dxa"/>
            <w:vAlign w:val="bottom"/>
          </w:tcPr>
          <w:p>
            <w:pPr>
              <w:spacing w:after="0"/>
              <w:rPr>
                <w:sz w:val="1"/>
                <w:szCs w:val="1"/>
                <w:color w:val="auto"/>
              </w:rPr>
            </w:pPr>
          </w:p>
        </w:tc>
      </w:tr>
      <w:tr>
        <w:trPr>
          <w:trHeight w:val="229"/>
        </w:trPr>
        <w:tc>
          <w:tcPr>
            <w:tcW w:w="37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5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9"/>
                <w:szCs w:val="19"/>
                <w:color w:val="auto"/>
              </w:rPr>
            </w:pPr>
          </w:p>
        </w:tc>
        <w:tc>
          <w:tcPr>
            <w:tcW w:w="1340" w:type="dxa"/>
            <w:vAlign w:val="bottom"/>
            <w:gridSpan w:val="4"/>
          </w:tcPr>
          <w:p>
            <w:pPr>
              <w:ind w:left="38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3"/>
          </w:tcPr>
          <w:p>
            <w:pPr>
              <w:ind w:left="440"/>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ind w:right="192"/>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2,814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3"/>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3"/>
          </w:tcPr>
          <w:p>
            <w:pPr>
              <w:jc w:val="right"/>
              <w:ind w:right="108"/>
              <w:spacing w:after="0"/>
              <w:rPr>
                <w:sz w:val="20"/>
                <w:szCs w:val="20"/>
                <w:color w:val="auto"/>
              </w:rPr>
            </w:pPr>
            <w:r>
              <w:rPr>
                <w:rFonts w:ascii="Arial" w:cs="Arial" w:eastAsia="Arial" w:hAnsi="Arial"/>
                <w:sz w:val="18"/>
                <w:szCs w:val="18"/>
                <w:color w:val="auto"/>
                <w:w w:val="93"/>
              </w:rPr>
              <w:t>2,754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3"/>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16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575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Otis –</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center"/>
              <w:ind w:left="57"/>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Organic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left="95"/>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460"/>
              <w:spacing w:after="0" w:line="153" w:lineRule="exact"/>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3"/>
                <w:szCs w:val="13"/>
                <w:color w:val="auto"/>
              </w:rPr>
            </w:pPr>
          </w:p>
        </w:tc>
        <w:tc>
          <w:tcPr>
            <w:tcW w:w="12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91"/>
              </w:rPr>
              <w:t>Divestitures, net</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5"/>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organic sales increase in the quarter (2%) was due to higher new equipment sales (2%) primarily in China (1%) and North America (1%). Service sales increased slightly with increases in Asia and the Americas (combined 1%), partially offset by decreases in Europe.</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operational profit decrease in the quarter (3%) was due to lower service contribution (2%); primarily due to continued pricing pressures in Europe, lower new equipment contribution driven by geographical mix, and additional costs associated with factory transformation projects (combined 2%); and higher selling, general and administrative expenses (2%); partially offset by cost savings from factory productivity initiatives (2%) and lower commodity costs (1%).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rPr>
              <w:t>Factors contributing to total % Change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5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Organic /</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Acquisitions /</w:t>
            </w:r>
          </w:p>
        </w:tc>
        <w:tc>
          <w:tcPr>
            <w:tcW w:w="15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Restructuring</w:t>
            </w:r>
          </w:p>
        </w:tc>
        <w:tc>
          <w:tcPr>
            <w:tcW w:w="14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Organic sales decreased 3% driven by weak markets in Europe (2%) and a decline in the transport refrigeration business (2%) due to lower container volume. These declines were partially offset by growth in the U.S. residential HVAC business (1%). The decrease in "Acquisitions and divestitures, net" (4%) reflects the year-over-year impact of net divestitures completed in the preceding twelve months associated with UTC Climate, Controls &amp; Security's ongoing portfolio transformation.</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6% operational profit increase was driven largely by the benefits of restructuring actions and cost productivity (combined 7%) and favorable commodity costs (3%), partially offset by unfavorable volume and mix (5%). The decrease in "Other" primarily reflects the net year-over-year impact of transactions associated with UTC Climate, Controls &amp; Security's ongoing portfolio transformation, including an approximately $38 million net gain in the first quarter of 2013 primarily due to a gain on the sale of a business in Hong Kong. Prior year portfolio transformation included approximately $215 million of gains primarily from the sale of a majority interest in a manufacturing and distribution joint venture in Thailand, partially offset by approximately $103 million of impairment charges for assets which had been classified as held for sale.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Effective July 1, 2012, we transferred the auxiliary power unit business (APU) of the UTC Aerospace Systems business segment to the Pratt &amp; Whitney business segment. The APU business designs and manufactures a variety of products for commercial and military aircraft. Annual sales for the APU business are approximately $600 million. The reclassification has been made prospectively; prior year segment results have not been restated for the transfer of the business.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also serve customers in the industrial markets.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8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commercial airline industry has remained generally strong for the last three years. Airline traffic, as measured by RPMs, grew 5.5% in 2012 and we expect airline traffic RPM growth of between 4% and 6% in 2013. Although airlines generally remain profitable, high fuel prices continue to challenge the airlines to consider the need for more fuel efficient aircraft. Pratt &amp; Whitney continues to invest in engineering and development of five separate geared turbofan platforms to meet demand for new engines which are fuel efficient and have reduced noise levels and exhaust emissions. Excluding orders at IAE, commercial aerospace spares orders at Pratt &amp; Whitney’s large commercial engine business declined 28% in the first quarter of 2013. Excluding Goodrich, UTC Aerospace Systems commercial aerospace spares orders in the first quarter of 2013 were consistent with the first quarter of 2012.</w:t>
      </w:r>
    </w:p>
    <w:p>
      <w:pPr>
        <w:spacing w:after="0" w:line="16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U.S. Government deficit reduction measures are expected to continue to pressure the U.S. Department of Defense spending and adversely affect our military businesses during 2013. In addition, we estimate that sequestration could have an adverse impact on our earnings per share of approximately $0.10. Total sales to the U.S. Government were $2.3 billion and $2.1 billion, or 16% and 17% of total UTC sales in the first quarter of 2013 and 2012, respectively. Our participation in long-term production and development programs for the U.S. Government has, and is expected to contribute positively to our results in 2013. In July 2012, the U.S. Government and Sikorsky signed a five-year multiservice contract (Multi-year 8) for approximately 650 H-60 helicopters. Actual production quantities will be determined year-by-year over the life of the program based on funding allocations set by Congress and Pentagon acquisition priorities. Sikorsky's commercial business has benefited from increases in off-shore oil platform activity and those benefits are projected to continue throughout 2013.</w:t>
      </w:r>
    </w:p>
    <w:p>
      <w:pPr>
        <w:spacing w:after="0" w:line="19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record changes in contract estimates using the cumulative catch-up method in accordance with the Revenue Recognition Topic of the FASB Accounting Standards Codification. The net increase in operating profits as a result of significant changes in aerospace contract estimates was $33 million in the three months ended March 31, 2013. Summary performance for each of the aerospace businesses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Pratt &amp; Whitney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91"/>
              </w:rPr>
              <w:t>UTC Aerospace Systems</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2"/>
              </w:rPr>
              <w:t>Sikorsky</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9"/>
                <w:szCs w:val="19"/>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3,402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3,052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1,346</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2,232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1,083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w w:val="99"/>
              </w:rPr>
              <w:t>Operating Expenses and Other</w:t>
            </w:r>
          </w:p>
        </w:tc>
        <w:tc>
          <w:tcPr>
            <w:tcW w:w="22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Profit Margins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54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Organic /</w:t>
            </w:r>
          </w:p>
        </w:tc>
        <w:tc>
          <w:tcPr>
            <w:tcW w:w="1560" w:type="dxa"/>
            <w:vAlign w:val="bottom"/>
            <w:gridSpan w:val="2"/>
          </w:tcPr>
          <w:p>
            <w:pPr>
              <w:ind w:left="640"/>
              <w:spacing w:after="0" w:line="153" w:lineRule="exact"/>
              <w:rPr>
                <w:sz w:val="20"/>
                <w:szCs w:val="20"/>
                <w:color w:val="auto"/>
              </w:rPr>
            </w:pPr>
            <w:r>
              <w:rPr>
                <w:rFonts w:ascii="Arial" w:cs="Arial" w:eastAsia="Arial" w:hAnsi="Arial"/>
                <w:sz w:val="14"/>
                <w:szCs w:val="14"/>
                <w:b w:val="1"/>
                <w:bCs w:val="1"/>
                <w:color w:val="auto"/>
              </w:rPr>
              <w:t>FX</w:t>
            </w:r>
          </w:p>
        </w:tc>
        <w:tc>
          <w:tcPr>
            <w:tcW w:w="15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Restructuring</w:t>
            </w: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2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As discussed further in the “Business Overview” and “Results of Operations” sections of Management’s Discussion and Analysis of Financial Condition and Results of Operations, for Pratt &amp; Whitney only, the transactional impact of foreign exchange hedging at Pratt &amp;Whitney Canada (P&amp;WC) has been netted against the translational foreign exchange impact for presentation purposes in the above table.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193"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The organic sales decrease (2%) reflects a decrease in commercial aftermarket (7%), driven by lower large commercial engine spares sales, and in the military business (1%), offset by an increase in commercial engine sales (3%) and an increase in industrial volume at Pratt &amp; Whitney Power Systems (2%). Sales increased (13%) as a result of the consolidation of IAE and the transfer of the APU business to Pratt &amp; Whitney from UTC Aerospace Systems.</w:t>
      </w:r>
    </w:p>
    <w:p>
      <w:pPr>
        <w:spacing w:after="0" w:line="1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operational profit decrease (12%) was primarily driven by the volume changes noted above (32%), and higher pension cost (1%) partially offset by lower research and development costs (9%), a settlement with an engine program partner (10%), and an increase in contract termination benefits (3%). The 12% operating profit increase from net acquisitions is due primarily to the consolidation of IAE.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rPr>
              <w:t>Factors contributing to total % Change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5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Organic /</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FX</w:t>
            </w:r>
          </w:p>
        </w:tc>
        <w:tc>
          <w:tcPr>
            <w:tcW w:w="15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Acquisitions /</w:t>
            </w:r>
          </w:p>
        </w:tc>
        <w:tc>
          <w:tcPr>
            <w:tcW w:w="158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was no organic sales growth in the first quarter as higher commercial aerospace OEM sales volume (3%) was offset by lower military aerospace (2%) and commercial aerospace (1%) aftermarket volume.</w:t>
      </w:r>
    </w:p>
    <w:p>
      <w:pPr>
        <w:spacing w:after="0" w:line="17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decrease in operational profit (6%) primarily reflects lower commercial aftermarket volume and adverse mix (5%), and lower military aftermarket volume partially offset by higher commercial OEM volume (combined, net 1%). “Acquisitions and Divestitures, net” is principally a result of the acquisition of Goodrich.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Sikorsky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58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Organic /</w:t>
            </w: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FX</w:t>
            </w: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0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Restructuring</w:t>
            </w:r>
          </w:p>
        </w:tc>
        <w:tc>
          <w:tcPr>
            <w:tcW w:w="13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organic sales decrease (7%) reflects decreased international military sales (4%), fewer U.S. Government military aircraft deliveries (3%) and decreased aftermarket support (7%) due to lower military spares activity. Commercial aircraft sales increased (8%) due to S-92 completion services and S76-D aircraft volume.</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operational profit decrease (32%) reflects lower profitability from U.S. Government contracts (35%) due to lower aircraft volume and declines resulting from the Multi-year 8 pricing reset provisions, lower aftermarket profitability (9%) due to lower spares volume, higher pension costs (6%) and lower volume on customer-funded development programs (2%). These decreases were partially offset by increased profitability from commercial operations (13%) due to increased aircraft sales and reduced research and development spending (8%).</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4"/>
              </w:rPr>
              <w:t>Operating Profits</w:t>
            </w:r>
          </w:p>
        </w:tc>
        <w:tc>
          <w:tcPr>
            <w:tcW w:w="48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22"/>
              <w:spacing w:after="0"/>
              <w:rPr>
                <w:sz w:val="20"/>
                <w:szCs w:val="20"/>
                <w:color w:val="auto"/>
              </w:rPr>
            </w:pPr>
            <w:r>
              <w:rPr>
                <w:rFonts w:ascii="Arial" w:cs="Arial" w:eastAsia="Arial" w:hAnsi="Arial"/>
                <w:sz w:val="14"/>
                <w:szCs w:val="14"/>
                <w:b w:val="1"/>
                <w:bCs w:val="1"/>
                <w:color w:val="auto"/>
                <w:w w:val="96"/>
              </w:rPr>
              <w:t>Quarter Ended March 31,</w:t>
            </w:r>
          </w:p>
        </w:tc>
        <w:tc>
          <w:tcPr>
            <w:tcW w:w="48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2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We have previously reported the results of UTC Power within eliminations and other but have reclassified the results of this business to discontinued operations for all periods presented, as noted in the “Discontinued Operations” section of our Business Overview in Management’s Discussion and Analysis of Financial Condition and Results of Operations. The year-over-year change in sales for the first quarter of 2013, as compared with the same period of 2012, reflects an increase in the amount of inter-segment sales eliminations, due in part to the acquisition of Goodrich. The year-over-year change in operating profit for the first quarter of 2013, as compared with the same period of 2012, primarily reflects lower acquisitions and divestiture costs of $27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8"/>
        </w:trPr>
        <w:tc>
          <w:tcPr>
            <w:tcW w:w="65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534"/>
              <w:spacing w:after="0" w:line="158"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22,824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23,221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9,791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27,563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27,069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33,340</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45,620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45,471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27,055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of continuing operations, which, after netting out capital expenditures, we target to equal or exceed net income attributable to common shareowners from continuing operations. For the full year of 2013, we expect operating cash flows of continuing operations less capital expenditures to exceed net income attributable to common shareowners from continuing operations.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8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Improvement in the global economy remains uneven. In the U.S., economic indicators have generally been strengthening, but U.S. Government spending and the impact of sequestration have increased market uncertainties. There continues to be a level of fiscal uncertainty in Europe, while emerging markets have shown continued but modest strength. In light of these circumstances, we continue to assess our current business and closely monitor the impact of global economic conditions on our customers and suppliers. We have determined that overall these circumstances have not had a significant impact on our financial position, results of operations or liquidity during the first quarter of 2013.</w:t>
      </w:r>
    </w:p>
    <w:p>
      <w:pPr>
        <w:spacing w:after="0" w:line="17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domestic pension funds experienced a positive return on assets of approximately 3.4% during the first quarter of 2013. Approximately 89% of these domestic pension plans are invested in readily-liquid investments, including equity, fixed income, asset-backed receivables and structured products. The balance of these domestic pension plans (11%) is invested in less-liquid but market-valued investments, including real estate and private equity. Across our global pension plans, the continued recognition of prior pension losses and the impact of a lower discount rate, partially offset by additional funding, the sunset of the final average earning (FAE) provision for the legacy Goodrich salaried employees' plan, and the positive returns experienced during 2012 and the first quarter of 2013, are expected to result in increased pension expense in 2013 of approximately $225 million as compared to 2012.</w:t>
      </w:r>
    </w:p>
    <w:p>
      <w:pPr>
        <w:spacing w:after="0" w:line="16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strong debt ratings and financial position have historically enabled us to issue long-term debt at favorable market rates, including our issuance of $9.8 billion of long-term debt in June 2012. Our ability to obtain debt financing at comparable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risk-based interest rates is partly a function of our existing debt-to-total-capitalization level as well as our current credit standing.</w:t>
      </w:r>
    </w:p>
    <w:p>
      <w:pPr>
        <w:spacing w:after="0" w:line="225"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The purchase price of Goodrich of $127.50 per share in cash equated to a total enterprise value of $18.3 billion, including $1.9 billion in net debt assumed. To finance the cash consideration for the Goodrich acquisition and pay related fees, expenses and other amounts due and payable as a result of the acquisition, we utilized the net proceeds of approximately $9.6 billion from the $9.8 billion of long-term notes issued on June 1, 2012, the net proceeds of approximately $1.1 billion from the equity units issued on June 18, 2012, $3.2 billion from the issuance of commercial paper during July 2012 and $2.0 billion of proceeds borrowed on July 26, 2012 pursuant to our April 24, 2012 term loan credit agreement. We prepaid all of the $2.0 billion borrowed pursuant to this term loan credit agreement in November and December 2012. For the remainder of the cash consideration, we utilized approximately $0.5 billion of cash and cash equivalents generated from operating activities.</w:t>
      </w:r>
    </w:p>
    <w:p>
      <w:pPr>
        <w:spacing w:after="0" w:line="17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On December 6, 2012, we announced that we had commenced cash tender offers for six series of outstanding notes originally issued by Goodrich. These offers expired on January 7, 2013. Approximately $635 million in aggregate principal amount of the outstanding Goodrich notes were tendered pursuant to these tender offers prior to an early tender date in December 2012 and, as a result, were eligible for an early tender premium. Additionally, approximately $2 million in aggregate principal amount of the outstanding Goodrich notes not eligible for an early tender premium were tendered prior to the January 7, 2013 expiration date. Total payments under these tender offers were approximately $790 million including principal, premium and interest. We expect full year 2013 debt repayments of approximately $2 billion, with $1 billion expected to be repaid during both the second and fourth quarters.</w:t>
      </w:r>
    </w:p>
    <w:p>
      <w:pPr>
        <w:spacing w:after="0" w:line="165"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In 2012, we approved plans for the divestiture of a number of non-core businesses. On December 13, 2012, we completed the sale of the legacy Hamilton Sundstrand Industrial businesses to a private limited liability company formed by affiliates of BC Partners and affiliates of The Carlyle Group for $3.4 billion. The tax expense associated with this transaction was approximately $1.2 billion. Approximately $665 million of the tax was included in our net tax payments during the three months ended March 31, 2013, and a significant portion of these taxes will be included in our net tax payments for the remainder of 2013. On July 23, 2012, we announced an agreement to sell our Rocketdyne unit to GenCorp Inc., and we expect to complete the disposition mid-year 2013. On December 12, 2012, we announced an agreement to sell our Pratt &amp; Whitney Power Systems unit and expect to complete the disposition during the second quarter of 2013. On February 12, 2013 we completed the disposition of our UTC Power unit to ClearEdge Power. In connection with regulatory approval of the Goodrich acquisition, we completed the sale of the Goodrich pumps and engine controls business to Triumph Group, Inc. and the sale of the Goodrich electric power systems business to Safran S.A. for combined proceeds of approximately $600 million. We completed these transactions on March 18, 2013 and March 26, 2013, respectively. Cash generated from these divestitures is being used to repay debt incurred to finance the Goodrich acquisition.</w:t>
      </w:r>
    </w:p>
    <w:p>
      <w:pPr>
        <w:spacing w:after="0" w:line="1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To manage the cash flow and liquidity impact of the Goodrich acquisition, we suspended share repurchases during 2012. During the three months ended March 31, 2013 we resumed share repurchase activity and repurchased approximately $335 million of our common stock. We expect 2013 full year share repurchases to be approximately $1 billion. We expect acquisition spending of $1 billion in 2013; however, actual acquisition spending may vary depending on the timing, availability and value of acquisition opportunities.</w:t>
      </w:r>
    </w:p>
    <w:p>
      <w:pPr>
        <w:spacing w:after="0" w:line="18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At March 31, 2013, we had revolving credit agreements with various banks permitting aggregate borrowings of up to $4 billion pursuant to a $2 billion revolving credit agreement and a $2 billion multicurrency revolving credit agreement, both of which expire in November 2016. As of March 31, 2013, there were no borrowings under either of these revolving credit agreements. The undrawn portions of our revolving credit agreements are also available to serve as backup facilities for the issuance of commercial paper. As of March 31, 2013, our maximum commercial paper borrowing authority as set by our Board of Directors was $4 billion. We use our commercial paper borrowings for general corporate purposes, including the funding of potential acquisitions and repurchases of our common stock.</w:t>
      </w:r>
    </w:p>
    <w:p>
      <w:pPr>
        <w:spacing w:after="0" w:line="19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continue to have access to the commercial paper markets and our existing credit facilities, and continue to expect strong generation of operating cash flows. While the impact of market volatility cannot be predicted, we believe we have sufficient operating flexibility, cash reserves and funding sources to maintain adequate amounts of liquidity and to meet our future operating cash needs.</w:t>
      </w:r>
    </w:p>
    <w:p>
      <w:pPr>
        <w:spacing w:after="0" w:line="18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Given our extensive international operations, most of our cash is denominated in foreign currencies.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2013 and December 31, 2012, the amount of such restricted cash was approximately $25 million and $35 million, respectively, and is primarily included in current assets.</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despite our higher debt levels incurred to finance the Goodrich acquisition in 2012, our ability to obtain debt or equity financing, as well as the availability under committed credit lines, provides additional potential sources of liquidity should they be required or appropriate.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1,409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Cash generated from operating activities of continuing operations in the first three months of 2013 was $86 million higher than the same period in 2012, driven primarily by higher income from continuing operations. Income from continuing operations increased by approximately $88 million. This increase included approximately $38 million of net non-cash gains from the portfolio transformation activities at UTC Climate, Controls &amp; Security, as well as approximately $126 million of net non-cash charges related to higher depreciation and amortization costs, partially offset by consumption of $79 million of customer contractual obligation liabilities, primarily associated with the fair value allocation of purchase consideration related to the Goodrich acquisition in 2012. During the first three months of 2013, the net increase in working capital resulted in a cash outflow of $198 million, which is consistent with a cash outflow of $189 million for the first three months of 2012. The 2013 cash outflows of $198 million were primarily driven by increases in inventory to support seasonal demands at UTC Climate, Controls &amp; Security, as well as deliveries and other contractual commitments at Pratt &amp; Whitney and Sikorsky, partially offset by reductions in accounts receivable due primarily to strong collections.</w:t>
      </w:r>
    </w:p>
    <w:p>
      <w:pPr>
        <w:spacing w:after="0" w:line="18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funded status of our defined benefit pension plans is dependent upon many factors, including returns on invested assets and the level of market interest rates. We can contribute cash or company stock to our plans at our discretion, subject to applicable regulations. Total cash contributions to our global defined benefit pension plans during the first three months of 2013 and 2012 were $29 million and $13 million, respectively. We expect to make total cash contributions of approximately $200 million to our global defined benefit pension plans in 2013. Our domestic pension plans are approximately 88% funded on a projected benefit obligation basis as of March 31, 2013 and we are not required to make additional contributions through the end of 2013. Contributions to our global defined benefit pension plans in 2013 are expected to meet or exceed the current funding requirements.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investing activities of continuing operations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increase in cash provided by investing activities of continuing operations primarily reflects the net proceeds of approximately $746 million from dispositions of certain businesses, including the sale of the legacy Goodrich pumps and engine controls business to Triumph Group, Inc. on March 18, 2013, and the sale of the legacy Goodrich electric power systems business to Safran S.A. on March 26, 2013. During the three months ended March 31, 2013, we made net payments under our 2012 agreement to acquire Rolls-Royce's collaboration interest in IAE totaling approximately $157 million, which are reflected as an increase in collaboration intangible assets in the accompanying Condensed Consolidated Balance Sheet. Capital expenditures increased $108 million due primarily to expenditures related to investments in new programs at Pratt &amp; Whitney, and continuing Goodrich integration activities at UTC Aerospace Systems.</w:t>
      </w:r>
    </w:p>
    <w:p>
      <w:pPr>
        <w:spacing w:after="0" w:line="189"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Investments in businesses in the first three months of 2013 included a number of small acquisitions in our commercial businesses. We expect total cash investments for acquisitions in 2013 to be approximately $1 billion, including acquisitions completed during the first three months of 2013. However, actual acquisition spending may vary depending upon the timing, availability and appropriate value of acquisition opportunities.</w:t>
      </w:r>
    </w:p>
    <w:p>
      <w:pPr>
        <w:spacing w:after="0" w:line="16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Customer financing activities were a net source of cash of $31 million and $16 million for the first three months of 2013 and 2012, respectively. While we expect that 2013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commitments of approximately $10.6 billion, which now includes approximately $5.7 billion of IAE commitments, related to commercial aircraft and certain contractual rights to provide product on new aircraft platforms at March 31, 2013, of which as much as $1.8 billion may be required to be disbursed during 2013. We had commercial aerospace financing and other contractual commitments of approximately $10.9 billion at December 31, 2012.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60" w:type="dxa"/>
            <w:vAlign w:val="bottom"/>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timing and levels of certain cash flow activities, such as acquisitions and repurchases of our stock, have resulted in the issuance of both long-term and short-term debt. In June 2012, we issued $9.8 billion of long-term debt and $1.1 billion of Equity Units, and in July 2012, we borrowed $2.0 billion from our term loan credit agreement and issued $3.2 billion of commercial paper primarily to partially finance our acquisition of Goodrich and pay related fees, expenses and other amounts due and payable by UTC as a result of the acquisition. Commercial paper borrowings and revolving credit facilities provide short-term liquidity to supplement operating cash flows and are used for general corporate purposes, including the funding of potential acquisitions and repurchases of our stock. We had no outstanding commercial paper at March 31, 2013.</w:t>
      </w:r>
    </w:p>
    <w:p>
      <w:pPr>
        <w:spacing w:after="0" w:line="17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connection with our acquisition of Goodrich, we suspended share repurchases during 2012. During the three months ended March 31, 2013, we resumed repurchase activity and repurchased approximately 3.9 million shares of our common stock for approximately $335 million. On February 4, 2013, the Board of Directors authorized the repurchase of up to 60 million shares of our common stock. This new authorization replaces a previous share repurchase plan approved in March 2010, which was nearing completion. Authority to repurchase the remaining approximately 3.1 million shares of our common stock available for repurchase under the March 2010 share repurchase program was rescinded as of February 4, 2013 at the time of the authorization of the new share repurchase program. Our share repurchase levels are influenced by various factors, including the level of other investing activities.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paid dividends on Common Stock of $0.535 per share in the first quarter of 2013 totaling $465 million in the aggregate.</w:t>
      </w:r>
    </w:p>
    <w:p>
      <w:pPr>
        <w:spacing w:after="0" w:line="225"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Discontinued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60" w:type="dxa"/>
            <w:vAlign w:val="bottom"/>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540"/>
        <w:spacing w:after="0" w:line="255" w:lineRule="auto"/>
        <w:rPr>
          <w:sz w:val="20"/>
          <w:szCs w:val="20"/>
          <w:color w:val="auto"/>
        </w:rPr>
      </w:pPr>
      <w:r>
        <w:rPr>
          <w:rFonts w:ascii="Arial" w:cs="Arial" w:eastAsia="Arial" w:hAnsi="Arial"/>
          <w:sz w:val="18"/>
          <w:szCs w:val="18"/>
          <w:color w:val="auto"/>
        </w:rPr>
        <w:t>Cash flows used in discontinued operations primarily relate to the completed divestiture of the legacy Hamilton Sundstrand Industrial businesses in December 2012. In connection with this sale, tax payments of approximately $665 million were made during the three months ended March 31, 2013. A significant portion of the remaining taxes associated with this sale is expected to be included in our tax payments for the remainder of 2013. Net cash flows used in discontinued operations for the three months ended March 31, 2013 also includes cash flows from the operating activities of Rocketdyne and of UTC Power, through its date of disposition of February 12, 2013, as well as payments made in settlement of liabilities, transaction costs, and interim funding of UTC Power and of Clipper, which was divested in 2012.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In our 2012 Annual Report, incorporated by reference in our 2012 Form 10-K, we disclosed our off-balance sheet arrangements and contractual obligations. As of March 31, 2013, there have been no material changes to these off-balance sheet arrangements and contractual obligations outside the ordinary course of business except as otherwise disclosed.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three months ended March 31, 2013. For discussion of our exposure to market risk, refer to Part II, Item 7A, “Quantitative and Qualitative Disclosures About Market Risk,” contained in our 2012 Form 10-K.</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management, including the Chairman &amp; Chief Executive Officer (CEO), the Senior Vice President and Chief Financial Officer (CFO) and the Vice President, Controller (Controller), of the effectiveness of the design and operation of our disclosure controls and procedures as of March 31, 2013.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2013,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6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three months ended March 31, 2013 that has materially affected, or is reasonably likely to materially affect, our internal control over financial reporting.</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2" w:right="29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1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and other measures of financial performance.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69" w:lineRule="exact"/>
        <w:rPr>
          <w:sz w:val="20"/>
          <w:szCs w:val="20"/>
          <w:color w:val="auto"/>
        </w:rPr>
      </w:pPr>
    </w:p>
    <w:p>
      <w:pPr>
        <w:ind w:left="820" w:right="60" w:hanging="326"/>
        <w:spacing w:after="0" w:line="25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difficulties (including bankruptcy) of commercial airlines, the impact of weather conditions and natural disasters and the financial condition of our customers and suppliers;</w:t>
      </w:r>
    </w:p>
    <w:p>
      <w:pPr>
        <w:spacing w:after="0" w:line="188"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the acquired Goodrich operations and to realize synergies and opportunities for growth and innovation;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the intended benefits of recently announced organizational changes;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reduction efforts and restructuring costs and savings and other consequences thereof;</w:t>
      </w:r>
    </w:p>
    <w:p>
      <w:pPr>
        <w:spacing w:after="0" w:line="22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nature, impact or timing of other acquisition, divestiture and joint venture activity, including integration of acquired businesses into our existing businesses;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production, delivery, support, performance and anticipated benefits of advanced technologies and new products and services;</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legal proceedings and other contingencies;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repurchases of our common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 assumptions and future contributions; and</w:t>
      </w:r>
    </w:p>
    <w:p>
      <w:pPr>
        <w:spacing w:after="0" w:line="225" w:lineRule="exact"/>
        <w:rPr>
          <w:rFonts w:ascii="Arial" w:cs="Arial" w:eastAsia="Arial" w:hAnsi="Arial"/>
          <w:sz w:val="18"/>
          <w:szCs w:val="18"/>
          <w:color w:val="auto"/>
        </w:rPr>
      </w:pPr>
    </w:p>
    <w:p>
      <w:pPr>
        <w:ind w:left="820" w:right="40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in tax, environmental and other laws and regulations or political conditions in the U.S. and other countries in which we operate.</w:t>
      </w:r>
    </w:p>
    <w:p>
      <w:pPr>
        <w:spacing w:after="0" w:line="170"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Operations,” and “Liquidity and Financial Condition,” and the section titled “Risk Factors” in this Form 10-Q and in our 2012 Form 10-K. Our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2012 Annual Report in the section titled “Management’s Discussion and Analysis of Financial Condition and Results of Operations” under the headings “Environmental Matters” and “Restructuring Costs.” The forward-looking statements speak</w:t>
      </w:r>
    </w:p>
    <w:p>
      <w:pPr>
        <w:sectPr>
          <w:pgSz w:w="11900" w:h="16838" w:orient="portrait"/>
          <w:cols w:equalWidth="0" w:num="1">
            <w:col w:w="11320"/>
          </w:cols>
          <w:pgMar w:left="240" w:top="121" w:right="339" w:bottom="1440" w:gutter="0" w:footer="0" w:header="0"/>
        </w:sect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20"/>
          </w:cols>
          <w:pgMar w:left="240" w:top="121" w:right="3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only as of the date of this Form 10-Q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Defense Cost Accounting Standards Claim</w:t>
      </w:r>
    </w:p>
    <w:p>
      <w:pPr>
        <w:spacing w:after="0" w:line="22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that it made to Sikorsky since January 2003 in connection with cost accounting changes approved by the DOD and implemented by Sikorsky in 1999 and 2006. These changes relate to the calculation of material overhead rates in government contracts. The DOD claimed that Sikorsky’s liability was approximately $95 million (including interest through March 31, 2013). We believed this claim was without merit and Sikorsky filed an appeal in December 2009 with the U.S. Court of Federal Claims. Trial in the matter concluded in January 2013 and on March 22, 2013, the U.S. Court of Federal Claims issued a written decision in favor of Sikorsky determining that the DOD had failed to prove its claims because Sikorsky's calculation of material overhead complied with the cost accounting standards. While the DOD has the right to appeal this decision, we do not believe the ultimate resolution of this matter will have a material adverse effect on our competitive position, results of operations, cash flows or financial condition.</w:t>
      </w:r>
    </w:p>
    <w:p>
      <w:pPr>
        <w:spacing w:after="0" w:line="166"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a description of previously reported legal proceedings refer to Part I, Item 3, “Legal Proceedings,” of our 2012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Over the past few years, market and economic conditions in the U.S. and globally have been highly challenging with tighter credit conditions and slower economic growth. The U.S. economy has experienced a recession and faces continued concerns about the systemic impacts of adverse economic conditions such as the growing U.S. deficit, high energy costs, geopolitical issues, the availability and cost of credit, and an unstable real estate market. In 2012, the global economy improved as compared to 2011 and continued to show signs of a gradual recovery from the significant downturn of 2008 and 2009 when the global economy experienced widespread recessionary conditions, record levels of unemployment, significant distress of financial institutions, extreme volatility in security prices, severely diminished liquidity and credit availability, rating downgrades of certain investments and declining valuations of others. However, despite positive economic indicators seen since the beginning of 2011, uncertainty continues to exist as to the overall rate and stability of the recovery. Despite a recent slowdown in growth rates in China and other emerging economies, global gross domestic product growth continues to be led by emerging markets, particularly Brazil, Russia, India and China. In the developed economies, particularly in Europe, recovery remains uncertain due to persistent high unemployment in the U.S. and Europe, slow recovery of the U.S. and European housing markets, government budget reduction plans, the unwinding of fiscal stimuli, and concerns over the continuing European sovereign debt crisis. Further disruptions in Europe or in other economies could affect our sales or liquidity.</w:t>
      </w:r>
    </w:p>
    <w:p>
      <w:pPr>
        <w:spacing w:after="0" w:line="18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Although consumer confidence in the U.S. has improved since the economic downturn, it still remains low, while, as mentioned above, unemployment remains high and the housing market remains depressed. There can be no assurance that any of the recent economic improvements will be broad-based and sustainable, or that they will enhance conditions in markets relevant to us. Further, there can be no assurance that we will not experience further adverse effects that may be material to our cash flows, competitive position, financial condition, results of operations, or our ability to access capital. While these economic developments have not impaired our ability to access credit markets and finance our operations to date,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affected by decreases in the general level of economic activity, such as decreases in business and consumer spending, air travel, construction activity, the financial strength of airlines and business jet operators, and government procurement. Strengthening of the rate of exchange for the U.S. Dollar against certain major currencies such as the Euro, the Canadian Dollar and other currencies also adversely affects our results, as the majority of our sales are non-U.S. based.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51 percent of our consolidated sales in 2012, are influenced by a number of external factors including fluctuations in residential and commercial construction activity, regulatory changes, interest rates, labor costs, foreign currency exchange rates, customer attrition, raw material and energy costs, the tightening of global credit markets, and other global and political factors. For example, a slowdown in building and remodeling activity can adversely affect the financial performance of Otis and UTC Climate, Controls &amp; Security. In addition, the financial performance of UTC Climate, Controls &amp; Security can also be influenced by production and utilization of transport equipment and, particularly in its residential business, weather conditions.</w:t>
      </w:r>
    </w:p>
    <w:p>
      <w:pPr>
        <w:spacing w:after="0" w:line="193"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results of our commercial and military aerospace businesses, which generated approximately 49 percent of our consolidated sales in 2012, are directly tied to the economic conditions in the commercial aviation and defense industries, which are cyclical in nature. Although the operating environment currently faced by commercial airlines has shown signs of gradual improvement since 2011, uncertainty continues to exist. As a result, financial difficulties, including bankruptcy, of one or more of the major commercial airlines could result in significant cancellations of orders, reductions in our aerospace sales and losses under existing contracts. In addition, capital spending and demand for aircraft engines, aerospace products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the aftermarket sales and margins of our aerospace businesses. Other factors, including future terrorist actions, pandemic health issues or major natural disasters, could also dramatically reduce the demand for air travel, which could negatively impact the aftermarket sales and margins of our aerospace businesses. Additionally, because a substantial portion of the backlog for commercial aerospace customers is scheduled for delivery beyond 2013,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competitive position, results of operations, cash flows or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7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relating to certain of our U.S. Government contracts. If we or one of our business units were charged with wrongdoing as a result of any U.S. Government investigation (including violation of certain environmental or export laws, as further described below), the U.S. Government could suspend us from bidding on or receiving awards of new U.S. Government contracts pending the completion of legal proceedings. If convicted or found liable, the U.S. Government could subject us to fines, penalties, repayments and treble and other damages, and/or bar us from bidding on or receiving new awards of U.S. Government contracts.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We are also sensitive to U.S. military budgets, which may be impacted by numerous economic and political factors and which may fluctuate based on the policies of the current administration or Congress. In addition, the specific government programs in which we participate or in which we may seek to participate in the future, compete with other programs for consideration during the budget formulation and appropriation processes. One or more of the programs that we currently support could be phased-out or terminated. Reductions in these existing programs, unless offset by other programs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and opportunities, could have a material adverse effect on our competitive position, results of operations, cash flows or financial condition.</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and Changes in Local Government Regulation.</w:t>
      </w:r>
    </w:p>
    <w:p>
      <w:pPr>
        <w:spacing w:after="0" w:line="170"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We conduct our business on a global basis, with approximately 60 percent of our 2012 consolidated sales derived from international operations, including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7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majority of sales in the aerospace businesses are transacted in U.S. Dollars, consistent with established industry practice, while the majority of costs at locations outside the U.S. are incurred in the applicable local currency (principally the Euro, the Canadian Dollar, and the Polish Zloty). For operating units with U.S. Dollar sales and local currency costs, there is foreign currency exposure that could impact our results of operations depending on market changes in the exchange rate of the U.S. Dollar against the applicable foreign currencies. To manage certain exposures, we employ long-term hedging strategies associated with U.S. Dollar sales. See Note 1 and Note 14 to the Consolidated Financial Statements in our 2012 Annual Report and Note 9 to the Condensed Consolidated Financial Statements in this Form 10-Q for further discussion of our hedging strategies.</w:t>
      </w:r>
    </w:p>
    <w:p>
      <w:pPr>
        <w:spacing w:after="0" w:line="17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8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addition, as part of our globalization strategy, we have invested in certain countries, including Argentina, Brazil, China, India, Mexico, Russia, South Africa and countries in the Middle East, that carry high levels of currency, political, compliance and economic risk. We expect that sales to emerging markets will continue to account for a significant portion of our sales as our business evolves and as these and other developing nations and regions around the world increase their demand for our products. Emerging market operations can present many risks, including cultural differences (such as employment and business practices), volatility in gross domestic product, economic and government instability, and the imposition of exchange controls and capital controls. While these factors and their impact are difficult to predict, any one or more of them could have a material adverse effect on our competitive position, results of operations, cash flows or financial condition.</w:t>
      </w:r>
    </w:p>
    <w:p>
      <w:pPr>
        <w:spacing w:after="0" w:line="2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81"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Our reliance on suppliers, third party contract manufacturing and commodity markets to secure raw materials, parts, components and sub-systems used in our products exposes us to volatility in the prices and availability of these materials. In many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124"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We seek to grow through strategic acquisitions in addition to internal growth. In the past several years, we have made various acquisitions and have entered into joint venture arrangements intended to complement and expand our businesses, and expect to do so in the future. For example, on June 29, 2012, Pratt &amp; Whitney acquired Rolls-Royce's ownership and collaboration interests in IAE, and on July 26, 2012, we completed our acquisition of Goodrich. Further, on October 12, 2011 Pratt &amp; Whitney and Rolls-Royce announced an agreement, subject to regulatory approval and other closing conditions, to form a new joint venture to develop new engines to power the next generation of 120 to 230 passenger mid-size aircraft that will replace the existing fleet of mid-size aircraft currently in service or in development and MTU and JAEC subsequently agreed to join this new venture.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We may incur unanticipated costs or expenses, including post-closing asset impairment charges, expenses associated with eliminating duplicate facilities, litigation, and other liabilities. We also may encounter difficulties in integrating acquisitions with our operations, applying our internal controls processes to these acquisitions, or in managing strategic investments. Additionally, we may not realize the degree or timing of benefits we anticipate when we first enter into a transaction. Any of the foregoing could adversely affect our business and results of operations. In addition,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For example, we completed the disposition of UTC Power to ClearEdge Power in February 2013, the disposition of the legacy Hamilton Sundstrand Industrial businesses to affiliates of BC Partners and The Carlyle Group in December 2012, and the disposition of Clipper to a private equity acquirer in August 2012. Additionally, in July 2012 we announced an agreement to sell the Pratt &amp; Whitney Rocketdyne unit to GenCorp Inc., and in December 2012 we announced an agreement to sell our Pratt &amp; Whitney Power Systems unit to Mitsubishi Heavy Industries. Our divestitures may result in continued financial involvement in the divested businesses, such as through guarantees or other financial arrangements, following the transaction. Under these arrangements, nonperformance by those divested businesses could result in obligations imposed on us and could have a material adverse effect on our competitive position, results of operations, cash flows or financial condition. The success of pending divestitures will depend on the satisfaction of conditions precedent to, and consummation of, the pending transactions, the timing of consummation of these pending transactions, and the ability of the parties to secure any required regulatory approvals in a timely manner.</w:t>
      </w:r>
    </w:p>
    <w:p>
      <w:pPr>
        <w:spacing w:after="0" w:line="2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Acquired Goodrich Business May Underperform Relative to Our Expectations; The Transaction May Cause Our Financial Results to Differ From Our Expectations or the Expectations of the Investment Community; We May Not Be Able to Achieve Anticipated Cost Savings or Other Anticipated Synergies.</w:t>
      </w:r>
    </w:p>
    <w:p>
      <w:pPr>
        <w:spacing w:after="0" w:line="181" w:lineRule="exact"/>
        <w:rPr>
          <w:sz w:val="20"/>
          <w:szCs w:val="20"/>
          <w:color w:val="auto"/>
        </w:rPr>
      </w:pPr>
    </w:p>
    <w:p>
      <w:pPr>
        <w:jc w:val="both"/>
        <w:ind w:right="280" w:firstLine="432"/>
        <w:spacing w:after="0" w:line="286" w:lineRule="auto"/>
        <w:rPr>
          <w:sz w:val="20"/>
          <w:szCs w:val="20"/>
          <w:color w:val="auto"/>
        </w:rPr>
      </w:pPr>
      <w:r>
        <w:rPr>
          <w:rFonts w:ascii="Arial" w:cs="Arial" w:eastAsia="Arial" w:hAnsi="Arial"/>
          <w:sz w:val="17"/>
          <w:szCs w:val="17"/>
          <w:color w:val="auto"/>
        </w:rPr>
        <w:t>The success of the Goodrich acquisition will continue to depend, in part, on our ability to realize the anticipated synergies, cost savings and growth opportunities from the integration of Goodrich with our existing businesses. The integration process is complex, costly and time-consuming. The potential difficulties of integrating the operations of Goodrich and realizing our expectations for the acquisition include, among others:</w:t>
      </w:r>
    </w:p>
    <w:p>
      <w:pPr>
        <w:spacing w:after="0" w:line="220"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issues in integrating manufacturing, logistics, information, communications and other systems;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risks inherent in the Goodrich business and our business;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key customers, suppliers and employees;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retaining and obtaining required regulatory approvals, licenses and permits;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changes in the combined business due to divestitures imposed by antitrust regulators;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Debt Has Increased As A Result of the Goodrich Acquisition and Will Increase If We Incur Additional Debt in the Future and Do Not Retire Existing Debt.</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have outstanding debt and other financial obligations and significant unused borrowing capacity. We have incurred substantial additional debt as a result of the Goodrich acquisition. As of March 31, 2013, we had approximately $22.8 billion of total debt on a consolidated basis. Our debt level and related debt service obligations could have negative consequences, including, among others:</w:t>
      </w:r>
    </w:p>
    <w:p>
      <w:pPr>
        <w:spacing w:after="0" w:line="181" w:lineRule="exact"/>
        <w:rPr>
          <w:sz w:val="20"/>
          <w:szCs w:val="20"/>
          <w:color w:val="auto"/>
        </w:rPr>
      </w:pPr>
    </w:p>
    <w:p>
      <w:pPr>
        <w:ind w:left="900" w:right="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and interest on our debt, which would reduce the funds we have available for other purposes, such as acquisitions and reinvestment in our businesses;</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business and market conditions;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exposing us to interest rate risk since a portion of our debt obligations are at variable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may incur significantly more debt in the future. If we add new debt and do not retire existing debt, the risks described above could increase.</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global and domestic revolving credit facilities impose restrictions on us, including certain restrictions on our ability to incur liens on our assets. Our revolving credit facilities are available for general corporate purposes. There are currently no amounts outstanding under these credit facilities. Our long-term debt obligations include covenants that may adversely affect our ability to incur certain secured indebtedness or engage in certain types of sale and leaseback transactions. Our ability to comply with these restrictions and covenants may be affected by events beyond our control. If we breach any of these restrictions or covenants and do not obtain a waiver from the lenders, then, subject to applicable cure periods, our outstanding indebtedness could be declared immediately due and payable.</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17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our products and products that incorporate technologies we develop. For example, certain of our aerospace products are incorporated into larger systems and end products manufactured by our customers. These systems and end products may incorporate additional technologies manufactured by third parties and involve additional risks and uncertainties. As a result, the performance and market acceptance of these larger systems and end products could affect the level of customer interest and acceptance of our own products in the marketplace.</w:t>
      </w:r>
    </w:p>
    <w:p>
      <w:pPr>
        <w:spacing w:after="0" w:line="183"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Any 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we may in the future experience delays in completing the development and introduction of new products. Any delays could result in increased development costs or deflect resources from other projects. In particular, we cannot predict with certainty whether, when and in what quantities our aerospace businesses will produce and sell aircraft engines, helicopters, aircraft systems and components and other products currently in development or pending required certifications. 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Furthermore, we cannot be sure that our competitors will not develop competing technologies which gain market acceptance in advance of or instead of our products. The possibility exists that our competitors might develop new technology or offerings that might cause our existing technology and offerings to become obsolete. Any of</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could have a material adverse effect on our competitive position, results of operations, cash flows or financial condition.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Exports of Certain of Our Products Are Subject to Various Export Control Regulations and May Require a License From the U.S. Department of State, the U.S. Department of Commerce or the U.S. Department of the Treasury.</w:t>
      </w:r>
    </w:p>
    <w:p>
      <w:pPr>
        <w:spacing w:after="0" w:line="14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an exporter, we must comply with various laws and regulations relating to the export of products, services and technology from the U.S. and other countries having jurisdiction over our operations. In the U.S., these laws include, among others, the U.S. Export Administration Regulations (EAR) administered by the U.S. Department of Commerce, Bureau of Industry and Security, the International Traffic in Arms Regulations (ITAR) administered by the U.S. Department of State, Directorate of Defense Trade Controls (DTCC), and trade sanctions, regulations and embargoes administered by the U.S. Department of Treasury, Office of Foreign Assets Control. Certain of our products have military or strategic applications and are on the munitions list of the ITAR, or represent so-called “dual use” items governed by the EAR. As a result, these products require individual validated licenses in order to be exported to certain jurisdictions. Any failures to comply with these laws and regulations could result in civil or criminal penalties, fines, investigations, adverse publicity and restrictions on our ability to export our products, and repeat failures could carry more significant penalties. As previously disclosed, on June 28, 2012 we entered into a consent agreement with the DTCC and a deferred prosecution agreement with the U.S. Department of Justice regarding separate but related export licensing compliance violations, both of which impose significant continuing obligations. In connection with the foregoing, we entered into an administrative agreement with the Department of the Army Suspension and Debarment Official, in which Army officials determined that we are presently responsible and that further action is not necessary pursuant to the Federal Acquisition Regulation and National Defense Appropriations Act. Any changes in export regulations may further restrict the export of our products. The length of time required by the licensing processes can vary, potentially delaying the shipment of products and the recognition of the corresponding revenue. Any restrictions on the export of our products or product lines could have a material adverse effect on our competitive position, results of operations, cash flows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Tax, Environmental and Other Legal Compliance Risks.</w:t>
      </w:r>
    </w:p>
    <w:p>
      <w:pPr>
        <w:spacing w:after="0" w:line="225"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We are subject to a variety of litigation, tax and other legal compliance risks. These risks include, among other things, possible liability relating to product liability matters, personal injuries, intellectual property rights, contract-related claims, government contracts, taxes,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 Changes in environmental and climate change laws or regulations, 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w:t>
      </w:r>
    </w:p>
    <w:p>
      <w:pPr>
        <w:spacing w:after="0" w:line="1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the area of taxes, changes in tax laws and regulations, as well as changes in related interpretations and other tax guidance could materially impact our tax receivables and liabilities and our deferred tax assets and deferred tax liabilities. Additionally, in the ordinary course of business we are subject to examinations by various authorities, including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w:t>
      </w:r>
    </w:p>
    <w:p>
      <w:pPr>
        <w:spacing w:after="0" w:line="178"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or there is a reasonable possibility that a loss or additional loss may have been incurred and determine if accruals and related disclosures are appropriate. Subsequent developments in legal proceedings may affect our assessment and estimates of the loss contingency recorded as a liability or as a reserve against assets in our financial statements and could result in a material adverse effect on our results of operations in the period in which a liability would be recognized or cash flows or financial position for the period in which damages would be paid. For a description of current legal proceedings, see Part I, Item 3 “Legal Proceedings,” in our Form 10-K, as updated from time to time in subsequent filings, including this Form 10-Q. For income tax risks, we recognize tax benefits based on our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assessment that a tax benefit has a greater than 50 percent likelihood of being sustained upon ultimate settlement with the applicable taxing authority that has full knowledge of all relevant facts. For those income tax positions where we assess that there is not a greater than 50 percent likelihood that such tax benefits will be sustained, we do not recognize a tax benefit in our financial statements. Subsequent events may cause us to change our assessment of the likelihood of sustaining a previously-recognized benefit which could result in a material adverse effect on our financial condition or results of operations in the period in which any such event occurs or on our cash flows in the period in which the ultimate settlement with the applicable taxing authority occurs.</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the U.S. Foreign Corrupt Practices Act (FCPA) and similar worldwide anti-bribery laws in non-U.S. jurisdictions generally prohibit companies and their intermediaries from making improper payments to non-U.S. officials for the purpose of obtaining or retaining business. The FCPA applies to companies, individual directors, officers, employees and agents. Under the FCPA, U.S. companies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Certain of our customer relationships outside of the U.S. are with governmental entities and are therefore subject to such anti-bribery laws. Our policies mandate compliance with these anti-bribery laws. Despite meaningful measures that we undertake to facilitate lawful conduct, which include training and internal control policies, these measures may not always prevent our employees or agents from violating the FCPA or similar laws. As a result, we could be subject to criminal and civil penalties, disgorgement, further changes or enhancements to our procedures, policies and controls, personnel changes or other remedial actions. Violations of these laws, or allegations of such violations, could disrupt our operations, involve significant management distraction and result in a material adverse effect on our competitive position, results of operations, cash flows or financial condition.</w:t>
      </w:r>
    </w:p>
    <w:p>
      <w:pPr>
        <w:spacing w:after="0" w:line="29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1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direct and indirect overhead expense reductions as well as other savings. We may undertake further workforce reductions or restructuring actions in the future. These types of cost reduction and restructuring activities are complex. If we do not successfully manage our current restructuring activities, or any other restructuring activities that we may undertake in the future, expected efficiencies and benefits might be delayed or not realized, and our operations and business could be disrupted. Risks associated with these actions and other workforce management issues include delays in implementation of anticipated workforce reductions, additional unexpected costs, changes in restructuring plans that increase or decrease the number of employees affected, adverse effects on employee morale and the failure to meet operational targets due to the loss of employees, any of which may impair our ability to achieve anticipated cost reductions or may otherwise harm our business, which could have a material adverse effect on our competitive position, results of operations, cash flows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Information Technology and Other Business Disruptions.</w:t>
      </w:r>
    </w:p>
    <w:p>
      <w:pPr>
        <w:spacing w:after="0" w:line="27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business may be impacted by disruptions, including information technology attacks or failures, threats to physical security, as well as damaging weather or other acts of nature, pandemics or other public health crises. Cybersecurity attacks,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have experienced cybersecurity attacks in the past and may experience them in the future, potentially with more frequency. We believe that we have adopted appropriate measures to mitigate potential risks to our technology and our operations from these information technology-related and other potential disruptions. However, given the unpredictability of the timing, nature and scope of such disruptions, we could potentially be subject to production downtimes, operational delays, other detrimental impacts on our operations or ability to provide products and services to our customers, the compromising of confidential or otherwise protected information, destruction or corruption of data, security breaches, other manipulation or improper use of our systems or networks, financial losses from remedial actions, loss of business or potential liability, and/or damage to our reputation, any of which could have a material adverse effect on our competitive position, results of operations, cash flows or financial condition.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4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a combination of patents, trademarks, copyrights, trade secrets, nondisclosure agreements, information technology security systems and other measures to protect our proprietary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have a material negative impact on our sales volume and therefore could have a material adverse effect on our competitive position, results of operations, cash flows or financial condition. We may also be subject to disruptions, losses and liability resulting from various cybersecurity attacks or information technology failures, as described above.</w:t>
      </w:r>
    </w:p>
    <w:p>
      <w:pPr>
        <w:spacing w:after="0" w:line="178"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Any of these events or factors could diminish or cause us to lose the competitive advantages associated with our intellectual property,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3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March 31, 2013 of equity securities that are registered by us pursuant to Section 12 of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Average Price Paid per</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a Publicly Announced</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2013</w:t>
            </w: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2060" w:type="dxa"/>
            <w:vAlign w:val="bottom"/>
            <w:gridSpan w:val="2"/>
            <w:vMerge w:val="continue"/>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Program</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58"/>
        </w:trPr>
        <w:tc>
          <w:tcPr>
            <w:tcW w:w="3200" w:type="dxa"/>
            <w:vAlign w:val="bottom"/>
            <w:gridSpan w:val="3"/>
            <w:vMerge w:val="continue"/>
          </w:tcPr>
          <w:p>
            <w:pPr>
              <w:spacing w:after="0"/>
              <w:rPr>
                <w:sz w:val="13"/>
                <w:szCs w:val="13"/>
                <w:color w:val="auto"/>
              </w:rPr>
            </w:pPr>
          </w:p>
        </w:tc>
        <w:tc>
          <w:tcPr>
            <w:tcW w:w="2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(000's)</w:t>
            </w:r>
          </w:p>
        </w:tc>
        <w:tc>
          <w:tcPr>
            <w:tcW w:w="20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Share</w:t>
            </w:r>
          </w:p>
        </w:tc>
        <w:tc>
          <w:tcPr>
            <w:tcW w:w="2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(000's)</w:t>
            </w:r>
          </w:p>
        </w:tc>
        <w:tc>
          <w:tcPr>
            <w:tcW w:w="22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Program (000's)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3,853</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$86.99</w:t>
            </w:r>
          </w:p>
        </w:tc>
        <w:tc>
          <w:tcPr>
            <w:tcW w:w="2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3,852</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February 4 - February 28*</w:t>
            </w: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20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3,853</w:t>
            </w:r>
          </w:p>
        </w:tc>
        <w:tc>
          <w:tcPr>
            <w:tcW w:w="240" w:type="dxa"/>
            <w:vAlign w:val="bottom"/>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$86.99</w:t>
            </w:r>
          </w:p>
        </w:tc>
        <w:tc>
          <w:tcPr>
            <w:tcW w:w="22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3,852</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right="180" w:hanging="252"/>
        <w:spacing w:after="0" w:line="31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Authority to repurchase approximately 3,085,000 shares of our common stock that could still have been purchased under the previous share repurchase program, authorized in March 2010, was rescinded as of February 4, 2013 at the time of the authorization of the new share repurchase program, as discussed below. The 60,000,000 shares currently available for repurchase are all pursuant to the share repurchase program authorized February 4, 2013.</w:t>
      </w:r>
    </w:p>
    <w:p>
      <w:pPr>
        <w:spacing w:after="0" w:line="3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February 4, 2013, the Board of Directors authorized the repurchase of up to 60,000,000 shares of our common stock. This new authorization replaces a previous program, approved in March 2010, which was nearing completion. Under this current program, shares may be purchased on the open market, in privately negotiated transactions and under plans complying with Rules 10b5-1 and 10b-18 under the Securities Exchange Act of 1934, as amended. We may also reacquire shares outside of the program from time to time in connection with the surrender of shares to cover taxes on vesting of restricted stock. Approximately 3,852,000 shares were repurchased in January 2013 under the previous program authorized in March 10, 2010. Approximately 1,000 shares were reacquired in transactions outside the program during the quarter ended March 31, 2013.</w:t>
      </w:r>
    </w:p>
    <w:p>
      <w:pPr>
        <w:spacing w:after="0" w:line="2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40"/>
              <w:spacing w:after="0"/>
              <w:rPr>
                <w:rFonts w:ascii="Arial" w:cs="Arial" w:eastAsia="Arial" w:hAnsi="Arial"/>
                <w:sz w:val="14"/>
                <w:szCs w:val="14"/>
                <w:color w:val="0000FF"/>
                <w:w w:val="92"/>
              </w:rPr>
            </w:pPr>
            <w:hyperlink w:anchor="page1">
              <w:r>
                <w:rPr>
                  <w:rFonts w:ascii="Arial" w:cs="Arial" w:eastAsia="Arial" w:hAnsi="Arial"/>
                  <w:sz w:val="14"/>
                  <w:szCs w:val="14"/>
                  <w:color w:val="0000FF"/>
                  <w:w w:val="92"/>
                </w:rPr>
                <w:t>Table of Contents</w:t>
              </w:r>
            </w:hyperlink>
          </w:p>
        </w:tc>
        <w:tc>
          <w:tcPr>
            <w:tcW w:w="10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jc w:val="center"/>
              <w:ind w:right="399"/>
              <w:spacing w:after="0"/>
              <w:rPr>
                <w:sz w:val="20"/>
                <w:szCs w:val="20"/>
                <w:color w:val="auto"/>
              </w:rPr>
            </w:pPr>
            <w:r>
              <w:rPr>
                <w:rFonts w:ascii="Arial" w:cs="Arial" w:eastAsia="Arial" w:hAnsi="Arial"/>
                <w:sz w:val="18"/>
                <w:szCs w:val="18"/>
                <w:b w:val="1"/>
                <w:bCs w:val="1"/>
                <w:color w:val="auto"/>
                <w:w w:val="94"/>
              </w:rPr>
              <w:t>Item 6.</w:t>
            </w:r>
          </w:p>
        </w:tc>
        <w:tc>
          <w:tcPr>
            <w:tcW w:w="140" w:type="dxa"/>
            <w:vAlign w:val="bottom"/>
          </w:tcPr>
          <w:p>
            <w:pPr>
              <w:spacing w:after="0"/>
              <w:rPr>
                <w:sz w:val="24"/>
                <w:szCs w:val="24"/>
                <w:color w:val="auto"/>
              </w:rPr>
            </w:pPr>
          </w:p>
        </w:tc>
        <w:tc>
          <w:tcPr>
            <w:tcW w:w="1026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6"/>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20" w:type="dxa"/>
            <w:vAlign w:val="bottom"/>
            <w:tcBorders>
              <w:top w:val="single" w:sz="8" w:color="auto"/>
            </w:tcBorders>
          </w:tcPr>
          <w:p>
            <w:pPr>
              <w:jc w:val="center"/>
              <w:ind w:right="399"/>
              <w:spacing w:after="0"/>
              <w:rPr>
                <w:sz w:val="20"/>
                <w:szCs w:val="20"/>
                <w:color w:val="auto"/>
              </w:rPr>
            </w:pPr>
            <w:r>
              <w:rPr>
                <w:rFonts w:ascii="Arial" w:cs="Arial" w:eastAsia="Arial" w:hAnsi="Arial"/>
                <w:sz w:val="18"/>
                <w:szCs w:val="18"/>
                <w:color w:val="auto"/>
                <w:w w:val="89"/>
              </w:rPr>
              <w:t>12</w:t>
            </w:r>
          </w:p>
        </w:tc>
        <w:tc>
          <w:tcPr>
            <w:tcW w:w="14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jc w:val="center"/>
              <w:ind w:right="399"/>
              <w:spacing w:after="0"/>
              <w:rPr>
                <w:sz w:val="20"/>
                <w:szCs w:val="20"/>
                <w:color w:val="auto"/>
              </w:rPr>
            </w:pPr>
            <w:r>
              <w:rPr>
                <w:rFonts w:ascii="Arial" w:cs="Arial" w:eastAsia="Arial" w:hAnsi="Arial"/>
                <w:sz w:val="18"/>
                <w:szCs w:val="18"/>
                <w:color w:val="auto"/>
                <w:w w:val="89"/>
              </w:rPr>
              <w:t>15</w:t>
            </w:r>
          </w:p>
        </w:tc>
        <w:tc>
          <w:tcPr>
            <w:tcW w:w="14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three months ended March 31, 2013 and 2012, (ii) Condensed Consolidated Balance Sheet as of March 31, 2013 and December 31, 2012, (iii) Condensed Consolidated Statement of Cash Flows for the three months ended March 31, 2013 and 2012, and (iv) Notes to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4"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Gregory J. Hayes</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P</w:t>
      </w:r>
      <w:r>
        <w:rPr>
          <w:rFonts w:ascii="Arial" w:cs="Arial" w:eastAsia="Arial" w:hAnsi="Arial"/>
          <w:sz w:val="13"/>
          <w:szCs w:val="13"/>
          <w:color w:val="auto"/>
        </w:rPr>
        <w:t>ETER</w:t>
      </w:r>
      <w:r>
        <w:rPr>
          <w:rFonts w:ascii="Arial" w:cs="Arial" w:eastAsia="Arial" w:hAnsi="Arial"/>
          <w:sz w:val="17"/>
          <w:szCs w:val="17"/>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Peter F. Longo</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5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2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02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jc w:val="right"/>
              <w:ind w:right="579"/>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026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utx-20130331_pre.xml)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Comprehensive Income for the three months ended March 31, 2013 and 2012, (ii) Condensed Consolidated Balance Sheet as of March 31, 2013 and December 31, 2012, (iii) Condensed Consolidated Statement of Cash Flows for the three months ended March 31, 2013 and 2012, and (iv) Notes to Condensed Consolidated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Interest expense</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One-third of rents</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Total earnings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7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Ratio of earnings to fixed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0" w:hanging="332"/>
        <w:spacing w:after="0" w:line="238" w:lineRule="auto"/>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Pursuant to the guidance in the Income Taxes Topic of the FASB ASC, interest related to unrecognized tax benefits recorded was approximately $8 million for the each of the three months ended March 31, 2013 and 2012, respectively. The ratio of earnings to fixed charges would have been 7.10 and 8.95 for the three months ended March 31, 2013 and 2012, respectively, if such interest were excluded from the calculation.</w:t>
      </w:r>
    </w:p>
    <w:p>
      <w:pPr>
        <w:ind w:left="340" w:hanging="332"/>
        <w:spacing w:after="0" w:line="22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aware that our report dated April 26, 2013 on our review of interim financial information of United Technologies Corporation (the “Corporation”) for the three-month periods ended March 31, 2013 and 2012 and included in the Corporation’s quarterly report on Form 10-Q for the quarter ended March 31, 2013 is incorporated by reference in its Registration Statement on Form S-3 (No. 333-167771) as amended by Post-Effective Amendment No.1 on Form S-3 (No. 333-167771), in the Registration Statement on Form S-4 (No. 333-77991) as amended by Post-Effective Amendment No. 1 on Form S-8 (No. 333-77991) and in the Registration Statements on Form S-8 (Nos. 333-183123, 333-177520, 333-177517, 333-175781, 333-175780, 333-156390, 333-150643, 333-125293, 333-110020, 333-100724, 333-100723, 333-100718, 333-82911, 333-77817, 333-21853, 333-21851 and 033-51385).</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OUIS</w:t>
      </w:r>
      <w:r>
        <w:rPr>
          <w:rFonts w:ascii="Arial" w:cs="Arial" w:eastAsia="Arial" w:hAnsi="Arial"/>
          <w:sz w:val="18"/>
          <w:szCs w:val="18"/>
          <w:color w:val="auto"/>
        </w:rPr>
        <w:t xml:space="preserve"> R. C</w:t>
      </w:r>
      <w:r>
        <w:rPr>
          <w:rFonts w:ascii="Arial" w:cs="Arial" w:eastAsia="Arial" w:hAnsi="Arial"/>
          <w:sz w:val="14"/>
          <w:szCs w:val="14"/>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40"/>
        <w:spacing w:after="0"/>
        <w:tabs>
          <w:tab w:leader="none" w:pos="70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2013</w:t>
      </w:r>
      <w:r>
        <w:rPr>
          <w:sz w:val="20"/>
          <w:szCs w:val="20"/>
          <w:color w:val="auto"/>
        </w:rPr>
        <w:tab/>
      </w:r>
      <w:r>
        <w:rPr>
          <w:rFonts w:ascii="Arial" w:cs="Arial" w:eastAsia="Arial" w:hAnsi="Arial"/>
          <w:sz w:val="16"/>
          <w:szCs w:val="16"/>
          <w:color w:val="auto"/>
        </w:rPr>
        <w:t>Chairman &amp; Chief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April 26, 2013</w:t>
      </w:r>
      <w:r>
        <w:rPr>
          <w:sz w:val="20"/>
          <w:szCs w:val="20"/>
          <w:color w:val="auto"/>
        </w:rPr>
        <w:tab/>
      </w:r>
      <w:r>
        <w:rPr>
          <w:rFonts w:ascii="Arial" w:cs="Arial" w:eastAsia="Arial" w:hAnsi="Arial"/>
          <w:sz w:val="16"/>
          <w:szCs w:val="16"/>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Peter F. Longo,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F. L</w:t>
      </w:r>
      <w:r>
        <w:rPr>
          <w:rFonts w:ascii="Arial" w:cs="Arial" w:eastAsia="Arial" w:hAnsi="Arial"/>
          <w:sz w:val="14"/>
          <w:szCs w:val="14"/>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F. Longo</w:t>
      </w:r>
    </w:p>
    <w:p>
      <w:pPr>
        <w:spacing w:after="0" w:line="63" w:lineRule="exact"/>
        <w:rPr>
          <w:sz w:val="20"/>
          <w:szCs w:val="20"/>
          <w:color w:val="auto"/>
        </w:rPr>
      </w:pPr>
    </w:p>
    <w:p>
      <w:pPr>
        <w:ind w:left="40"/>
        <w:spacing w:after="0"/>
        <w:tabs>
          <w:tab w:leader="none" w:pos="600" w:val="left"/>
          <w:tab w:leader="none" w:pos="6760" w:val="left"/>
        </w:tabs>
        <w:rPr>
          <w:sz w:val="20"/>
          <w:szCs w:val="20"/>
          <w:color w:val="auto"/>
        </w:rPr>
      </w:pPr>
      <w:r>
        <w:rPr>
          <w:rFonts w:ascii="Arial" w:cs="Arial" w:eastAsia="Arial" w:hAnsi="Arial"/>
          <w:sz w:val="18"/>
          <w:szCs w:val="18"/>
          <w:color w:val="auto"/>
        </w:rPr>
        <w:t>Date:</w:t>
        <w:tab/>
        <w:t>April 26, 2013</w:t>
      </w:r>
      <w:r>
        <w:rPr>
          <w:sz w:val="20"/>
          <w:szCs w:val="20"/>
          <w:color w:val="auto"/>
        </w:rPr>
        <w:tab/>
      </w:r>
      <w:r>
        <w:rPr>
          <w:rFonts w:ascii="Arial" w:cs="Arial" w:eastAsia="Arial" w:hAnsi="Arial"/>
          <w:sz w:val="16"/>
          <w:szCs w:val="16"/>
          <w:color w:val="auto"/>
        </w:rPr>
        <w:t>Vice President, Controller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Quarterly Report on Form 10-Q for the quarter ended March 31, 2013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26, 2013</w:t>
      </w:r>
      <w:r>
        <w:rPr>
          <w:sz w:val="20"/>
          <w:szCs w:val="20"/>
          <w:color w:val="auto"/>
        </w:rPr>
        <w:tab/>
      </w:r>
      <w:r>
        <w:rPr>
          <w:rFonts w:ascii="Arial" w:cs="Arial" w:eastAsia="Arial" w:hAnsi="Arial"/>
          <w:sz w:val="17"/>
          <w:szCs w:val="17"/>
          <w:color w:val="auto"/>
        </w:rPr>
        <w:t>/s/ L</w:t>
      </w:r>
      <w:r>
        <w:rPr>
          <w:rFonts w:ascii="Arial" w:cs="Arial" w:eastAsia="Arial" w:hAnsi="Arial"/>
          <w:sz w:val="13"/>
          <w:szCs w:val="13"/>
          <w:color w:val="auto"/>
        </w:rPr>
        <w:t>OUIS</w:t>
      </w:r>
      <w:r>
        <w:rPr>
          <w:rFonts w:ascii="Arial" w:cs="Arial" w:eastAsia="Arial" w:hAnsi="Arial"/>
          <w:sz w:val="17"/>
          <w:szCs w:val="17"/>
          <w:color w:val="auto"/>
        </w:rPr>
        <w:t xml:space="preserve"> R. C</w:t>
      </w:r>
      <w:r>
        <w:rPr>
          <w:rFonts w:ascii="Arial" w:cs="Arial" w:eastAsia="Arial" w:hAnsi="Arial"/>
          <w:sz w:val="13"/>
          <w:szCs w:val="13"/>
          <w:color w:val="auto"/>
        </w:rPr>
        <w:t>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Louis R. Chênevert</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&amp; Chief Executive Officer</w:t>
      </w:r>
    </w:p>
    <w:p>
      <w:pPr>
        <w:spacing w:after="0" w:line="387"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26, 2013</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Senior Vice President and Chief Financial Officer</w:t>
      </w:r>
    </w:p>
    <w:p>
      <w:pPr>
        <w:spacing w:after="0" w:line="387"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26, 2013</w:t>
      </w:r>
      <w:r>
        <w:rPr>
          <w:sz w:val="20"/>
          <w:szCs w:val="20"/>
          <w:color w:val="auto"/>
        </w:rPr>
        <w:tab/>
      </w:r>
      <w:r>
        <w:rPr>
          <w:rFonts w:ascii="Arial" w:cs="Arial" w:eastAsia="Arial" w:hAnsi="Arial"/>
          <w:sz w:val="16"/>
          <w:szCs w:val="16"/>
          <w:color w:val="auto"/>
        </w:rPr>
        <w:t>/s/ P</w:t>
      </w:r>
      <w:r>
        <w:rPr>
          <w:rFonts w:ascii="Arial" w:cs="Arial" w:eastAsia="Arial" w:hAnsi="Arial"/>
          <w:sz w:val="13"/>
          <w:szCs w:val="13"/>
          <w:color w:val="auto"/>
        </w:rPr>
        <w:t>ETER</w:t>
      </w:r>
      <w:r>
        <w:rPr>
          <w:rFonts w:ascii="Arial" w:cs="Arial" w:eastAsia="Arial" w:hAnsi="Arial"/>
          <w:sz w:val="16"/>
          <w:szCs w:val="16"/>
          <w:color w:val="auto"/>
        </w:rPr>
        <w:t xml:space="preserve"> F. L</w:t>
      </w:r>
      <w:r>
        <w:rPr>
          <w:rFonts w:ascii="Arial" w:cs="Arial" w:eastAsia="Arial" w:hAnsi="Arial"/>
          <w:sz w:val="13"/>
          <w:szCs w:val="13"/>
          <w:color w:val="auto"/>
        </w:rPr>
        <w:t>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Peter F. Longo</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 and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3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3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2"/>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2019-12-05T16:47:34Z</dcterms:created>
  <dcterms:modified xsi:type="dcterms:W3CDTF">2019-12-05T16:47:34Z</dcterms:modified>
</cp:coreProperties>
</file>