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860425</wp:posOffset>
            </wp:positionH>
            <wp:positionV relativeFrom="page">
              <wp:posOffset>517525</wp:posOffset>
            </wp:positionV>
            <wp:extent cx="5848985"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2664460</wp:posOffset>
            </wp:positionH>
            <wp:positionV relativeFrom="paragraph">
              <wp:posOffset>41275</wp:posOffset>
            </wp:positionV>
            <wp:extent cx="1835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-232410</wp:posOffset>
            </wp:positionV>
            <wp:extent cx="1835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15(d)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Plan fiscal year ended December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2664460</wp:posOffset>
            </wp:positionH>
            <wp:positionV relativeFrom="paragraph">
              <wp:posOffset>283210</wp:posOffset>
            </wp:positionV>
            <wp:extent cx="1835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line="283" w:lineRule="auto"/>
        <w:rPr>
          <w:sz w:val="20"/>
          <w:szCs w:val="20"/>
          <w:color w:val="auto"/>
        </w:rPr>
      </w:pPr>
      <w:r>
        <w:rPr>
          <w:rFonts w:ascii="Arial" w:cs="Arial" w:eastAsia="Arial" w:hAnsi="Arial"/>
          <w:sz w:val="43"/>
          <w:szCs w:val="43"/>
          <w:b w:val="1"/>
          <w:bCs w:val="1"/>
          <w:color w:val="auto"/>
        </w:rPr>
        <w:t>UNITED TECHNOLOGIES CORPORATION EMPLOYEE SAVINGS PLAN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Financial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Hartford, Connecticut 06103</w:t>
      </w:r>
    </w:p>
    <w:p>
      <w:pPr>
        <w:sectPr>
          <w:pgSz w:w="11900" w:h="16838" w:orient="portrait"/>
          <w:cols w:equalWidth="0" w:num="1">
            <w:col w:w="11260"/>
          </w:cols>
          <w:pgMar w:left="320" w:top="1440" w:right="31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EMPLOYEE SAVINGS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2013</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4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Page</w:t>
            </w:r>
          </w:p>
        </w:tc>
      </w:tr>
      <w:tr>
        <w:trPr>
          <w:trHeight w:val="526"/>
        </w:trPr>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Report of Independent Registered Public Accounting Firm</w:t>
              </w:r>
            </w:hyperlink>
          </w:p>
        </w:tc>
        <w:tc>
          <w:tcPr>
            <w:tcW w:w="5220" w:type="dxa"/>
            <w:vAlign w:val="bottom"/>
            <w:gridSpan w:val="4"/>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615"/>
        </w:trPr>
        <w:tc>
          <w:tcPr>
            <w:tcW w:w="944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4"/>
        </w:trPr>
        <w:tc>
          <w:tcPr>
            <w:tcW w:w="340" w:type="dxa"/>
            <w:vAlign w:val="bottom"/>
          </w:tcPr>
          <w:p>
            <w:pPr>
              <w:spacing w:after="0"/>
              <w:rPr>
                <w:sz w:val="24"/>
                <w:szCs w:val="24"/>
                <w:color w:val="auto"/>
              </w:rPr>
            </w:pPr>
          </w:p>
        </w:tc>
        <w:tc>
          <w:tcPr>
            <w:tcW w:w="910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Statements of Net Assets Available for Benefits as of December 31, 2013 and 2012</w:t>
              </w:r>
            </w:hyperlink>
          </w:p>
        </w:tc>
        <w:tc>
          <w:tcPr>
            <w:tcW w:w="19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340" w:type="dxa"/>
            <w:vAlign w:val="bottom"/>
          </w:tcPr>
          <w:p>
            <w:pPr>
              <w:spacing w:after="0"/>
              <w:rPr>
                <w:sz w:val="24"/>
                <w:szCs w:val="24"/>
                <w:color w:val="auto"/>
              </w:rPr>
            </w:pPr>
          </w:p>
        </w:tc>
        <w:tc>
          <w:tcPr>
            <w:tcW w:w="910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 of Changes in Net Assets Available for Benefits for the Year Ended December 31, 2013</w:t>
              </w:r>
            </w:hyperlink>
          </w:p>
        </w:tc>
        <w:tc>
          <w:tcPr>
            <w:tcW w:w="19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574"/>
        </w:trPr>
        <w:tc>
          <w:tcPr>
            <w:tcW w:w="340" w:type="dxa"/>
            <w:vAlign w:val="bottom"/>
          </w:tcPr>
          <w:p>
            <w:pPr>
              <w:spacing w:after="0"/>
              <w:rPr>
                <w:sz w:val="24"/>
                <w:szCs w:val="24"/>
                <w:color w:val="auto"/>
              </w:rPr>
            </w:pPr>
          </w:p>
        </w:tc>
        <w:tc>
          <w:tcPr>
            <w:tcW w:w="7080" w:type="dxa"/>
            <w:vAlign w:val="bottom"/>
            <w:tcBorders>
              <w:top w:val="single" w:sz="8" w:color="0000EE"/>
            </w:tcBorders>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Financial Statements</w:t>
              </w:r>
            </w:hyperlink>
          </w:p>
        </w:tc>
        <w:tc>
          <w:tcPr>
            <w:tcW w:w="2020" w:type="dxa"/>
            <w:vAlign w:val="bottom"/>
            <w:gridSpan w:val="2"/>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944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Supplemental Schedule - Schedule H, Line 4i - Schedule of Assets (Held at End of Year) as of December 31, 2013</w:t>
              </w:r>
            </w:hyperlink>
          </w:p>
        </w:tc>
        <w:tc>
          <w:tcPr>
            <w:tcW w:w="19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19</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60" w:type="dxa"/>
            <w:vAlign w:val="bottom"/>
            <w:gridSpan w:val="5"/>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8240" w:type="dxa"/>
            <w:vAlign w:val="bottom"/>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w:t>
              </w:r>
            </w:hyperlink>
          </w:p>
        </w:tc>
        <w:tc>
          <w:tcPr>
            <w:tcW w:w="1200" w:type="dxa"/>
            <w:vAlign w:val="bottom"/>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20</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6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980" w:type="dxa"/>
            <w:vAlign w:val="bottom"/>
            <w:gridSpan w:val="3"/>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Exhibit Index</w:t>
              </w:r>
            </w:hyperlink>
          </w:p>
        </w:tc>
        <w:tc>
          <w:tcPr>
            <w:tcW w:w="846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r>
      <w:tr>
        <w:trPr>
          <w:trHeight w:val="20"/>
        </w:trPr>
        <w:tc>
          <w:tcPr>
            <w:tcW w:w="980" w:type="dxa"/>
            <w:vAlign w:val="bottom"/>
            <w:gridSpan w:val="3"/>
            <w:shd w:val="clear" w:color="auto" w:fill="0000EE"/>
          </w:tcPr>
          <w:p>
            <w:pPr>
              <w:spacing w:after="0" w:line="20" w:lineRule="exact"/>
              <w:rPr>
                <w:sz w:val="1"/>
                <w:szCs w:val="1"/>
                <w:color w:val="auto"/>
              </w:rPr>
            </w:pPr>
          </w:p>
        </w:tc>
        <w:tc>
          <w:tcPr>
            <w:tcW w:w="846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9440" w:type="dxa"/>
            <w:vAlign w:val="bottom"/>
            <w:gridSpan w:val="9"/>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1940" w:type="dxa"/>
            <w:vAlign w:val="bottom"/>
            <w:gridSpan w:val="4"/>
          </w:tcPr>
          <w:p>
            <w:pPr>
              <w:jc w:val="right"/>
              <w:ind w:right="20"/>
              <w:spacing w:after="0"/>
              <w:rPr>
                <w:sz w:val="20"/>
                <w:szCs w:val="20"/>
                <w:color w:val="auto"/>
              </w:rPr>
            </w:pPr>
            <w:r>
              <w:rPr>
                <w:rFonts w:ascii="Arial" w:cs="Arial" w:eastAsia="Arial" w:hAnsi="Arial"/>
                <w:sz w:val="18"/>
                <w:szCs w:val="18"/>
                <w:color w:val="0000CC"/>
              </w:rPr>
              <w:t>22</w:t>
            </w:r>
          </w:p>
        </w:tc>
      </w:tr>
      <w:tr>
        <w:trPr>
          <w:trHeight w:val="507"/>
        </w:trPr>
        <w:tc>
          <w:tcPr>
            <w:tcW w:w="6340" w:type="dxa"/>
            <w:vAlign w:val="bottom"/>
            <w:gridSpan w:val="6"/>
          </w:tcPr>
          <w:p>
            <w:pPr>
              <w:ind w:left="56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Borders>
              <w:top w:val="single" w:sz="8" w:color="0000CC"/>
            </w:tcBorders>
          </w:tcPr>
          <w:p>
            <w:pPr>
              <w:spacing w:after="0"/>
              <w:rPr>
                <w:sz w:val="24"/>
                <w:szCs w:val="24"/>
                <w:color w:val="auto"/>
              </w:rPr>
            </w:pPr>
          </w:p>
        </w:tc>
        <w:tc>
          <w:tcPr>
            <w:tcW w:w="100" w:type="dxa"/>
            <w:vAlign w:val="bottom"/>
            <w:tcBorders>
              <w:top w:val="single" w:sz="8" w:color="0000CC"/>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ind w:right="3440" w:firstLine="3453"/>
        <w:spacing w:after="0" w:line="44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Participants and Administrator of the United Technologies Corporation Employee Savings Plan:</w:t>
      </w:r>
    </w:p>
    <w:p>
      <w:pPr>
        <w:spacing w:after="0" w:line="289" w:lineRule="auto"/>
        <w:rPr>
          <w:sz w:val="20"/>
          <w:szCs w:val="20"/>
          <w:color w:val="auto"/>
        </w:rPr>
      </w:pPr>
      <w:r>
        <w:rPr>
          <w:rFonts w:ascii="Arial" w:cs="Arial" w:eastAsia="Arial" w:hAnsi="Arial"/>
          <w:sz w:val="16"/>
          <w:szCs w:val="16"/>
          <w:color w:val="auto"/>
        </w:rPr>
        <w:t>In our opinion, the accompanying statements of net assets available for benefits and the related statement of changes in net assets available for benefits present fairly, in all material respects, the net assets available for benefits of the United Technologies Corporation Employee Savings Plan (the "Plan") at December 31, 2013 and 2012, and the changes in net assets available for benefits for the year ended December 31, 2013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End of Year)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20, 2014</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SAVINGS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 in Master Trust, at fair value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20,658,223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17,879,589</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Employer's</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15,940</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 from participants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168,651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184,540</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Net assets available for benefits, at fair value</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20,826,874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18,080,069</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from fair value to contract value for interest in Master Trust relating to fully benefit-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responsive investment contracts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(450,337)</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Net assets available for benefits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20,493,027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17,629,732</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SAVINGS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jc w:val="right"/>
              <w:ind w:right="572"/>
              <w:spacing w:after="0"/>
              <w:rPr>
                <w:sz w:val="20"/>
                <w:szCs w:val="20"/>
                <w:color w:val="auto"/>
              </w:rPr>
            </w:pPr>
            <w:r>
              <w:rPr>
                <w:rFonts w:ascii="Arial" w:cs="Arial" w:eastAsia="Arial" w:hAnsi="Arial"/>
                <w:sz w:val="14"/>
                <w:szCs w:val="14"/>
                <w:b w:val="1"/>
                <w:bCs w:val="1"/>
                <w:color w:val="auto"/>
              </w:rPr>
              <w:t>Year Ended</w:t>
            </w:r>
          </w:p>
        </w:tc>
      </w:tr>
      <w:tr>
        <w:trPr>
          <w:trHeight w:val="208"/>
        </w:trPr>
        <w:tc>
          <w:tcPr>
            <w:tcW w:w="9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December 31, 2013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Additions to net assets attributed to:</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gain:</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Plan interest in net appreciation and investment gain of Master Trust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3,609,754</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Participants'</w:t>
            </w:r>
          </w:p>
        </w:tc>
        <w:tc>
          <w:tcPr>
            <w:tcW w:w="2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481,654</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112,034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Interest income on notes receivable from participants</w:t>
            </w:r>
          </w:p>
        </w:tc>
        <w:tc>
          <w:tcPr>
            <w:tcW w:w="2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6,658</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additions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4,210,100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Deductions from net assets attributed to:</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to participants or beneficiaries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1,318,139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9,374</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25,093</w:t>
            </w:r>
          </w:p>
        </w:tc>
      </w:tr>
      <w:tr>
        <w:trPr>
          <w:trHeight w:val="237"/>
        </w:trPr>
        <w:tc>
          <w:tcPr>
            <w:tcW w:w="9360" w:type="dxa"/>
            <w:vAlign w:val="bottom"/>
          </w:tcPr>
          <w:p>
            <w:pPr>
              <w:ind w:left="720"/>
              <w:spacing w:after="0"/>
              <w:rPr>
                <w:sz w:val="20"/>
                <w:szCs w:val="20"/>
                <w:color w:val="auto"/>
              </w:rPr>
            </w:pPr>
            <w:r>
              <w:rPr>
                <w:rFonts w:ascii="Arial" w:cs="Arial" w:eastAsia="Arial" w:hAnsi="Arial"/>
                <w:sz w:val="18"/>
                <w:szCs w:val="18"/>
                <w:color w:val="auto"/>
              </w:rPr>
              <w:t>Total deductions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1,352,606</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prior to transfers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2,857,494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Plan transfers:</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transferred into Plan - net</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5,801</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Net increase</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2,863,295</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December 31, 2012</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17,629,732</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Net assets available for benefits December 31, 2013</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20,493,027</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SAVINGS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DESCRIPTION OF THE PLAN</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United Technologies Corporation Employee Savings Plan (the "Plan") is a defined contribution savings plan sponsored by United Technologies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("UTC," the "Corporation," the "Employer," or the "Company"). It is subject to the provisions of the Employee Retirement Income Security Act of 1974 ("ERISA"). Generally, non-represented employees of the Corporation and in participating business units of UTC are eligible to participate in the Plan immediately upon employment with UTC. Generally, participants are eligible for matching Employer contributions after one year of service, as defined. The following is a brief description of the Plan. For more complete information, reference should be made to the summary plan description as well as the Plan document, which are available from UTC.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Trustee and Recordkeeper. </w:t>
      </w:r>
      <w:r>
        <w:rPr>
          <w:rFonts w:ascii="Arial" w:cs="Arial" w:eastAsia="Arial" w:hAnsi="Arial"/>
          <w:sz w:val="18"/>
          <w:szCs w:val="18"/>
          <w:color w:val="auto"/>
        </w:rPr>
        <w:t>State Street Bank and Trust ("Trustee") is the Plan Trustee. Aon Hewitt is the Plan's administrative recordkeeper.</w:t>
      </w:r>
    </w:p>
    <w:p>
      <w:pPr>
        <w:spacing w:after="0" w:line="17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Contributions and Vesting. </w:t>
      </w:r>
      <w:r>
        <w:rPr>
          <w:rFonts w:ascii="Arial" w:cs="Arial" w:eastAsia="Arial" w:hAnsi="Arial"/>
          <w:sz w:val="18"/>
          <w:szCs w:val="18"/>
          <w:color w:val="auto"/>
        </w:rPr>
        <w:t>The percentages of total compensation that participants may elect to contribute, through payroll deductions, vary depending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Plan specific to a participant's location. Participants direct the investment of their contributions into various investment options offered by the Plan through the United Technologies Employee Savings Plan Master Trust ("Master Trust"). A Roth 401(k) option also allows participants to make after tax contributions. Any earnings on the Roth contributions are tax free when withdrawn, provided the participant meets the Roth distribution requirements.</w:t>
      </w:r>
    </w:p>
    <w:p>
      <w:pPr>
        <w:spacing w:after="0" w:line="134"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Through the Master Trust, the Plan offers an equity fund, a small company stock fund, an international equity fund, two commingled index funds, eleven target retirement funds, one stable value fund, a company stock fund and a mutual fund brokerage window as investment options to participants. The Plan also offers the Lifetime Income Strategy ("LIS") as an investment option. The LIS includes an insurance component and is intended to provide participants with a steady stream of secure retirement income. The LIS is the Plan's qualified default investment option. In addition, the Master Trust includes a money market fund that is primarily used for transitioning or merging plans.</w:t>
      </w:r>
    </w:p>
    <w:p>
      <w:pPr>
        <w:spacing w:after="0" w:line="2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Participant contributions, plus actual earnings thereon, are fully vested at all times under the Plan. Generally, new participants are automatically enrolled at a 6% pre-tax deferral rate 45 days from their date of hire. Participants may opt out of automatic enrollment at any point before or after the 45 day window. As of October 2013, this contribution rate will automatically increase by 1% each year until it reaches 10%. Automatic contributions are invested in the Plan's Lifetime Income Strategy fund.</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Generally, UTC matches up to 60 percent of a participant's contributions, up to specified limits, in UTC Common Stock ("Common Stock"), with a different match percentage for certain employees. Generally, Employer contributions plus actual earnings thereon become fully vested after two years of Plan participation or three years of continuous service.</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UTC has established a leveraged Employee Stock Ownership Plan ("ESOP") to fund the Employer matching contributions to the Plan. The ESOP is primarily invested in UTC Common Stock. Shares allocated to a participant's ESOP account may be re-allocated to other Plan investments without restriction provided that the participant has satisfied the Plan's vesting requirements.</w:t>
      </w:r>
    </w:p>
    <w:p>
      <w:pPr>
        <w:spacing w:after="0" w:line="1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Plan provides an automatic non-matched Employer contribution to eligible employees hired after December 31, 2009. Contributions as a percentage of the participant's compensation, as defined in the Plan, will equal 3% for employees younger than age 30; 3.5% for employees between the ages of 30 and 34; 4% for employees between the ages of 35 and 39; 4.5% for employees between the ages of 40 and 44; 5% for employees between the ages of 45 and 49; and 5.5% for employees age 50 and older. Such contributions will be made regardless of an employee's election to participate in the Plan. Automatic Company contributions are generally subject to the same terms and conditions applicable to employer contributions, provided, however that the Company automatic contributions shall not be available for loans or hardship distributions.</w:t>
      </w:r>
    </w:p>
    <w:p>
      <w:pPr>
        <w:spacing w:after="0" w:line="120"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Participant Accounts. </w:t>
      </w:r>
      <w:r>
        <w:rPr>
          <w:rFonts w:ascii="Arial" w:cs="Arial" w:eastAsia="Arial" w:hAnsi="Arial"/>
          <w:sz w:val="17"/>
          <w:szCs w:val="17"/>
          <w:color w:val="auto"/>
        </w:rPr>
        <w:t>Each participant's account is credited with (a) the participant's contributions, (b) UTC's contributions and (c) Plan earnings and losses</w:t>
      </w:r>
      <w:r>
        <w:rPr>
          <w:rFonts w:ascii="Arial" w:cs="Arial" w:eastAsia="Arial" w:hAnsi="Arial"/>
          <w:sz w:val="17"/>
          <w:szCs w:val="17"/>
          <w:b w:val="1"/>
          <w:bCs w:val="1"/>
          <w:color w:val="auto"/>
        </w:rPr>
        <w:t xml:space="preserve"> </w:t>
      </w:r>
      <w:r>
        <w:rPr>
          <w:rFonts w:ascii="Arial" w:cs="Arial" w:eastAsia="Arial" w:hAnsi="Arial"/>
          <w:sz w:val="17"/>
          <w:szCs w:val="17"/>
          <w:color w:val="auto"/>
        </w:rPr>
        <w:t>reduced by expense allocations. The benefit to which a participant is entitled is the benefit that can be provided from the participant's vested account. Forfeited balances of terminated participants' non-vested Employer contribution amounts are used to reduce future UTC contributions and/or to pay Plan expenses. For the year ended December 31, 2013, approximately $1.4 million of forfeitures were used to fund UTC's contributions.</w:t>
      </w:r>
    </w:p>
    <w:p>
      <w:pPr>
        <w:spacing w:after="0" w:line="11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Common stock held in the UTC Common Stock Fund and ESOP Fund are voted by the Trustee at shareowner meetings of UTC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confidential instructions of the participants whose accounts are invested in these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ind w:right="20"/>
        <w:spacing w:after="0" w:line="293" w:lineRule="auto"/>
        <w:rPr>
          <w:sz w:val="20"/>
          <w:szCs w:val="20"/>
          <w:color w:val="auto"/>
        </w:rPr>
      </w:pPr>
      <w:r>
        <w:rPr>
          <w:rFonts w:ascii="Arial" w:cs="Arial" w:eastAsia="Arial" w:hAnsi="Arial"/>
          <w:sz w:val="16"/>
          <w:szCs w:val="16"/>
          <w:color w:val="auto"/>
        </w:rPr>
        <w:t>funds. All shares of Employer stock in the UTC Common Stock Fund or participants' ESOP accounts for which the Trustee receives voting instructions from participants to whose accounts the shares are allocated are voted in accordance with those instructions. All Employer stock in the UTC Common Stock Fund for which the Trustee does not receive timely voting instructions are voted by the Trustee in accordance with the timely instructions it receives with respect to a plurality of the shares in the UTC Common Stock Fund. All Employer stock in the ESOP Fund that has been allocated to participants' ESOP accounts but for which the Trustee does not receive timely voting instructions, and all shares in the unallocated ESOP account, are voted by the Trustee in accordance with the timely instructions it receives with respect to a plurality of the shares that are allocated to participants' ESOP accounts.</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Notes Receivable from Participants. </w:t>
      </w:r>
      <w:r>
        <w:rPr>
          <w:rFonts w:ascii="Arial" w:cs="Arial" w:eastAsia="Arial" w:hAnsi="Arial"/>
          <w:sz w:val="18"/>
          <w:szCs w:val="18"/>
          <w:color w:val="auto"/>
        </w:rPr>
        <w:t>Participants are allowed to borrow up to the lesser of 50 percent of their vested account balances at net realizable value</w:t>
      </w:r>
      <w:r>
        <w:rPr>
          <w:rFonts w:ascii="Arial" w:cs="Arial" w:eastAsia="Arial" w:hAnsi="Arial"/>
          <w:sz w:val="18"/>
          <w:szCs w:val="18"/>
          <w:b w:val="1"/>
          <w:bCs w:val="1"/>
          <w:color w:val="auto"/>
        </w:rPr>
        <w:t xml:space="preserve"> </w:t>
      </w:r>
      <w:r>
        <w:rPr>
          <w:rFonts w:ascii="Arial" w:cs="Arial" w:eastAsia="Arial" w:hAnsi="Arial"/>
          <w:sz w:val="18"/>
          <w:szCs w:val="18"/>
          <w:color w:val="auto"/>
        </w:rPr>
        <w:t>or $50,000, with a minimum loan amount of $1,000 (excluding their ESOP Fund restricted account balance). Except as described below, loan amounts range from $1,000 to $50,000 and must be repaid within 5 years. The loans are collateralized by the balance in the participant's account and bear interest at the prime rate plus one percent per The Wall Street Journal/Reuters, which stood at 4.25 percent at December 31, 2013, and ranged from 4.25 percent to 8.25 percent for loans outstanding at December 31, 2012. Principal and interest are paid ratably through payroll deductions by active participants or through direct payment by inactive participants.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Approximately $55 million and $73 million of the Plan's Notes Receivable from Participants at December 31, 2013 and December 31, 2012, respectively, consisted of participant loans transferred from the Goodrich Employees' Savings Plan (the "Goodrich Plan") to the Plan as of December 31, 2012. These loans had original terms ranging from 1-15 years and interest rates based on either the federal short-term rate or the federal long-term rate, depending on the purpose of the loan.</w:t>
      </w:r>
    </w:p>
    <w:p>
      <w:pPr>
        <w:spacing w:after="0" w:line="12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Payment of Benefits. </w:t>
      </w:r>
      <w:r>
        <w:rPr>
          <w:rFonts w:ascii="Arial" w:cs="Arial" w:eastAsia="Arial" w:hAnsi="Arial"/>
          <w:sz w:val="18"/>
          <w:szCs w:val="18"/>
          <w:color w:val="auto"/>
        </w:rPr>
        <w:t>Generally, upon termination, benefits may be left in the Plan or paid in a lump sum to a terminating participant.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terminating due to retirement, who is invested in funds other than the LIS, may elect to receive benefits in installments over two to twenty years. At the participant's election, the portion of a lump sum distribution attributable to an investment in the UTC Common Stock Fund and ESOP Fund may be paid in shares of UTC Common Stock instead of cash. Distributions in UTC Common Stock for the year ended December 31, 2013 were approximately $65.1 million at fair value as of the respective transaction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separated and active participants age 59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or older are permitted to select a specific fund or funds from which to receive benefits.</w:t>
      </w:r>
    </w:p>
    <w:p>
      <w:pPr>
        <w:spacing w:after="0" w:line="10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Retiring participants invested in the LIS can receive a guaranteed annual Income Benefit, which is calculated based on participants' accumulated balances in the LIS at age 60. The annual Income Benefit is secured with insurance contracts and is guaranteed for life, even if the participants' balance in the LIS becomes exhausted during retirement. Payment can be taken monthly or as-needed, however participants cannot carry forward unused portions of a given year's annual Income Benefit, and amounts withdrawn in excess of a given year's annual Income Benefit will reduce the future Income Benefit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ACCOUNTING PRINCIPLES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Accounting. </w:t>
      </w:r>
      <w:r>
        <w:rPr>
          <w:rFonts w:ascii="Arial" w:cs="Arial" w:eastAsia="Arial" w:hAnsi="Arial"/>
          <w:sz w:val="18"/>
          <w:szCs w:val="18"/>
          <w:color w:val="auto"/>
        </w:rPr>
        <w:t>The financial statements of the Plan are prepared under the accrual method of accounting.</w:t>
      </w:r>
    </w:p>
    <w:p>
      <w:pPr>
        <w:spacing w:after="0" w:line="17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Master Trust. </w:t>
      </w:r>
      <w:r>
        <w:rPr>
          <w:rFonts w:ascii="Arial" w:cs="Arial" w:eastAsia="Arial" w:hAnsi="Arial"/>
          <w:sz w:val="16"/>
          <w:szCs w:val="16"/>
          <w:color w:val="auto"/>
        </w:rPr>
        <w:t>The Plan's assets are kept in the Master Trust maintained by the Trustee. Under the Master Trust agreement, the assets of certain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savings plans of UTC are combined. Participating plans purchase units of participation in the underlying investment funds based on their contribution to such funds and the unit value of the applicable investment fund at the end of the trading day in which a transaction occurs. The unit value of each fund is determined at the close of each day by dividing the sum of uninvested cash, accrued income and the current value of investments by the total number of outstanding units in such funds. Income or losses from the funds' investments, other than the UTC Common Stock Fund and ESOP Common Stock Fund, increase or decrease the participating plans' unit values. UTC Common Stock Fund and ESOP Common Stock Fund dividends increase the Plan's units in each fund. Distributions to participants reduce the number of participation units held by the participating plans (see Note 5).</w:t>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Fully Benefit-Responsive Investment Contracts. </w:t>
      </w:r>
      <w:r>
        <w:rPr>
          <w:rFonts w:ascii="Arial" w:cs="Arial" w:eastAsia="Arial" w:hAnsi="Arial"/>
          <w:sz w:val="18"/>
          <w:szCs w:val="18"/>
          <w:color w:val="auto"/>
        </w:rPr>
        <w:t>The Plan is required to report fully benefit-responsive investment contracts at fair value.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value is the relevant measurement attribute for fully benefit-responsive investment contracts because contract value is the amount participants would receive if they were to initiate permitted transactions under the terms of the Plan. The Plan invests in investment contracts through the Master Trust. The Statement of Net Assets Available for Benefits presents the fair value of the investment in the Master Trust as well as the adjustment of the investment in the Master Trust from fair value to contract value relating to these investment contracts. The Statement of Changes in Net Assets Available for Benefits is prepared on a contract value basis.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46" w:right="259" w:bottom="1440" w:gutter="0" w:footer="0" w:header="0"/>
        </w:sectPr>
      </w:pPr>
    </w:p>
    <w:bookmarkStart w:id="7" w:name="page8"/>
    <w:bookmarkEnd w:id="7"/>
    <w:p>
      <w:pPr>
        <w:ind w:right="400"/>
        <w:spacing w:after="0" w:line="282" w:lineRule="auto"/>
        <w:rPr>
          <w:sz w:val="20"/>
          <w:szCs w:val="20"/>
          <w:color w:val="auto"/>
        </w:rPr>
      </w:pPr>
      <w:r>
        <w:rPr>
          <w:rFonts w:ascii="Arial" w:cs="Arial" w:eastAsia="Arial" w:hAnsi="Arial"/>
          <w:sz w:val="18"/>
          <w:szCs w:val="18"/>
          <w:b w:val="1"/>
          <w:bCs w:val="1"/>
          <w:color w:val="auto"/>
        </w:rPr>
        <w:t xml:space="preserve">Investment Valuation and Income Recognition. </w:t>
      </w:r>
      <w:r>
        <w:rPr>
          <w:rFonts w:ascii="Arial" w:cs="Arial" w:eastAsia="Arial" w:hAnsi="Arial"/>
          <w:sz w:val="18"/>
          <w:szCs w:val="18"/>
          <w:color w:val="auto"/>
        </w:rPr>
        <w:t>The fair value of a financial instrument is the amount that would be received to sell an asset or paid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 liability in an orderly transaction between market participants at the measurement date.</w:t>
      </w:r>
    </w:p>
    <w:p>
      <w:pPr>
        <w:spacing w:after="0" w:line="1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Short-term investments represent money market accounts and are valued at the net asset values per share as of the valuation date. The money market accounts that are invested in by the Master Trust are institutional accounts and are commingled. Although not traded on an active market the net asset value per share is observable. Cash is valued at the amounts deposited in the account, plus accrued interest. The money market fund is traded daily without restriction.</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Commingled funds represent investments held in institutional funds and are valued at the net asset values per share as of the valuation date. The commingled funds are made up of a variety of index funds. The underlying holdings of the commingled funds are primarily marketable equity and fixed income securities. As of both December 31, 2013 and 2012 there were no restrictions in place related to either participant or plan-sponsor directed redemption of these commingled funds.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Plan offers the LIS as an investment option, which includes an insurance component for participants who want to receive a steady stream of secure retirement income. The LIS includes an equity fund, a bond fund, and a secured income fund. The equity fund and the bond fund are comprised of underlying investments of the Master Trust managed separate accounts and commingled funds. The secure income portfolio represents a collective trust fund with an investment objective of long-term growth of capital. As of December 31, 2013 there were no restrictions in place related to either participant or plan sponsor directed redemption of these funds.</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Master Trust invests in managed separate accounts established for the sole benefit of UTC participants. The investment valuation policy of these managed separate accounts is to value investments at fair value, which is generally determined as the amount that could reasonably be expected to be realized from an orderly disposition of securities and other financial instruments over a reasonable period of time. By its nature, a fair value price is a good faith estimate of the valuation in a current sale and may not reflect the actual market price. Investments and other portfolio instruments are generally valued using a market approach. Common stock, preferred stock and interest in real estate investment trusts is stated at fair value determined using the closing sales prices for the investments as of the valuation date. Fixed income investments are valued on the basis of valuations furnished by Trustee-approved independent pricing services. These services determine valuations for normal institutional-size trading units of such securities using models or matrix pricing, which incorporates yield and/or price with respect to bonds that are considered comparable in characteristics such as rating, interest rate and maturity date and quotations from bond dealers to determine current value. If these valuations are deemed to be either not reliable or not readily available, the fair value will be determined in good faith by the Trustee.</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Master Trust invests in a stable value fund that invests in traditional guaranteed investment contracts ("GICs"), managed separate account GICs and synthetic GICs with financial institutions. Traditional GICs are investment contracts invested in insurance company general accounts, wrapped by insurance companies. The Plan participates in the underlying experience of the general account via future periodic rate resets, which once set, are guaranteed by the insurance company. Managed separate account GICs are investment contracts invested in insurance company separate accounts established for the sole benefit of UTC stable value fund participants. The assets are wrapped by the financially responsible insurance company. The Plan participates in the underlying experience of the separate account via future periodic rate resets, which once set, are guaranteed by the insurance company. Synthetic GICs provide for a variable crediting rate which resets periodically. In each case, the wrap contracts provide assurances that future adjustments to the crediting rate cannot result in a crediting rate of less than zero.</w:t>
      </w:r>
    </w:p>
    <w:p>
      <w:pPr>
        <w:spacing w:after="0" w:line="1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investment valuation policy of the stable value fund is to value investments at fair value, which is generally determined as the amount that could reasonably be expected to be realized from an orderly disposition of securities and other financial instruments over a reasonable period of time. By its nature, a fair value price is a good faith estimate of the valuation in a current sale and may not reflect the actual market price. Investments and other portfolio instruments are generally valued using a market approach. Fixed income investments are valued on the basis of valuations furnished by Trustee-approved independent pricing services. These services determine valuations for normal institutional-size trading units of such securities using models or matrix pricing, which incorporates yield and/or price with respect to bonds that are considered comparable in characteristics such as rating, interest rate and maturity date and quotations from bond dealers to determine current value. If these valuations are deemed to be either not reliable or not readily available, the fair value will be determined in good faith by the Trustee. As of December 31, 2013 and 2012 the fair value of the wrap contracts for the GICs was determined using a discounted cash flow method, which considers recent rebids as determined by recognized dealers, discount rate and duration of the underlying portfolio. As of December 31, 2013 and 2012 the value of the wrap contracts was $1.6 million and $2.3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As fully benefit-responsive investment contracts, the stable value fund's investments are also stated at contract value (the amount available to pay benefits).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Contract value includes contributions plus earnings, less Plan withdrawals and expenses. There are no reserves against contract value for credit risk.</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42" w:right="259" w:bottom="1440" w:gutter="0" w:footer="0" w:header="0"/>
        </w:sectPr>
      </w:pPr>
    </w:p>
    <w:bookmarkStart w:id="8" w:name="page9"/>
    <w:bookmarkEnd w:id="8"/>
    <w:p>
      <w:pPr>
        <w:ind w:right="400"/>
        <w:spacing w:after="0" w:line="312" w:lineRule="auto"/>
        <w:rPr>
          <w:sz w:val="20"/>
          <w:szCs w:val="20"/>
          <w:color w:val="auto"/>
        </w:rPr>
      </w:pPr>
      <w:r>
        <w:rPr>
          <w:rFonts w:ascii="Arial" w:cs="Arial" w:eastAsia="Arial" w:hAnsi="Arial"/>
          <w:sz w:val="16"/>
          <w:szCs w:val="16"/>
          <w:color w:val="auto"/>
        </w:rPr>
        <w:t>Shares held in mutual funds through the mutual fund brokerage window are valued at net asset value as of the last business day of each period presented. Certain limitations are placed on balances and direct transfers into the mutual fund brokerage window. Participants may not take a distribution or a loan directly from the mutual fund brokerage window, however, if available, they may be initiated through the other investment options.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UTC Common Stock is stated at fair value determined using the closing sales price for UTC Common Stock as of the valuation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Purchases and sales of securities are recorded on a trade-date basis. Dividends are recorded on the ex-dividend date.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Notes Receivable from Participants. </w:t>
      </w:r>
      <w:r>
        <w:rPr>
          <w:rFonts w:ascii="Arial" w:cs="Arial" w:eastAsia="Arial" w:hAnsi="Arial"/>
          <w:sz w:val="16"/>
          <w:szCs w:val="16"/>
          <w:color w:val="auto"/>
        </w:rPr>
        <w:t>Notes receivable from participants are valued at their unpaid principal balance plus any accrued but unpaid interest.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Delinquent loans are reclassified as distributions based upon the terms of the Plan.</w:t>
      </w:r>
    </w:p>
    <w:p>
      <w:pPr>
        <w:spacing w:after="0" w:line="15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Plan Expenses. </w:t>
      </w:r>
      <w:r>
        <w:rPr>
          <w:rFonts w:ascii="Arial" w:cs="Arial" w:eastAsia="Arial" w:hAnsi="Arial"/>
          <w:sz w:val="18"/>
          <w:szCs w:val="18"/>
          <w:color w:val="auto"/>
        </w:rPr>
        <w:t>Certain Plan administrative expenses were paid directly by the Employer in 2013. All other administrative, Trustee, investment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fees, recordkeeper fees and other investment expenses were paid from Plan assets during 2013.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of Benefits. </w:t>
      </w:r>
      <w:r>
        <w:rPr>
          <w:rFonts w:ascii="Arial" w:cs="Arial" w:eastAsia="Arial" w:hAnsi="Arial"/>
          <w:sz w:val="18"/>
          <w:szCs w:val="18"/>
          <w:color w:val="auto"/>
        </w:rPr>
        <w:t>Benefit payments to participants or beneficiaries are recorded when paid.</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the Plan's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requires management to make estimates and assumptions that affect the reported amounts of net assets available for benefits at the dates of the financial statements and changes therein during the reporting period and, when applicable, disclosures of contingent assets and liabilities at the dates of the financial statements. Actual results could differ from those estimates.</w:t>
      </w:r>
    </w:p>
    <w:p>
      <w:pPr>
        <w:spacing w:after="0" w:line="12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Risks and Uncertainties. </w:t>
      </w:r>
      <w:r>
        <w:rPr>
          <w:rFonts w:ascii="Arial" w:cs="Arial" w:eastAsia="Arial" w:hAnsi="Arial"/>
          <w:sz w:val="17"/>
          <w:szCs w:val="17"/>
          <w:color w:val="auto"/>
        </w:rPr>
        <w:t>Through the Master Trust, the Plan provides for various investment options in any combination of stocks, bonds, mutual funds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investment securities. Investment securities are exposed to various risks, such as interest rate, market and credit. These risks can be adversely impacted by shifts in the market's perception of the issuers, changes in interest rates, and global economic conditions. Due to the level of risk associated with certain investment securities and the level of uncertainty related to changes in the value of investment securities, it is at least reasonably possible that changes in risks in the near term would materially affect participants' account balances and the amounts reported in the statements of net assets available for benefits. In addition refer to Note 7 for risks and uncertainties related to derivatives.</w:t>
      </w:r>
    </w:p>
    <w:p>
      <w:pPr>
        <w:spacing w:after="0" w:line="12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In preparing the accompanying financial statements, the Plan evaluated events occurring from December 31, 2013 through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were issued.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NON PARTICIPANT-DIRECTED INVESTMENTS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is a summary of the financial information attributable to the Plan for the UTC ESOP Fund investment inside the Master Trust, which is not a participant-directed investment (Note 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9"/>
        </w:trPr>
        <w:tc>
          <w:tcPr>
            <w:tcW w:w="322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24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Allocated</w:t>
            </w:r>
          </w:p>
        </w:tc>
        <w:tc>
          <w:tcPr>
            <w:tcW w:w="18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Unallocated</w:t>
            </w:r>
          </w:p>
        </w:tc>
        <w:tc>
          <w:tcPr>
            <w:tcW w:w="28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Allocated</w:t>
            </w:r>
          </w:p>
        </w:tc>
        <w:tc>
          <w:tcPr>
            <w:tcW w:w="18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Unallocated</w:t>
            </w:r>
          </w:p>
        </w:tc>
        <w:tc>
          <w:tcPr>
            <w:tcW w:w="3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44,723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44,723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33,230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33,230</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UTC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3,493,042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1,756,949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5,249,991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2,673,093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1,392,840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4,065,933</w:t>
            </w: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ESOP receivables</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89,578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89,578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104,925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104,925</w:t>
            </w: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3,537,765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1,846,527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5,384,292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1,497,765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4,204,088</w:t>
            </w: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ESOP interest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Notes payable to UTC</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(203,100)</w:t>
            </w: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(203,644)</w:t>
            </w:r>
          </w:p>
        </w:tc>
      </w:tr>
      <w:tr>
        <w:trPr>
          <w:trHeight w:val="257"/>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Net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3,537,765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1,671,070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5,208,835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2,706,323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1,294,121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4,000,444</w:t>
            </w: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 Ended December 31, 2013</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29"/>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340" w:type="dxa"/>
            <w:vAlign w:val="bottom"/>
          </w:tcPr>
          <w:p>
            <w:pPr>
              <w:spacing w:after="0"/>
              <w:rPr>
                <w:sz w:val="19"/>
                <w:szCs w:val="19"/>
                <w:color w:val="auto"/>
              </w:rPr>
            </w:pPr>
          </w:p>
        </w:tc>
        <w:tc>
          <w:tcPr>
            <w:tcW w:w="1360" w:type="dxa"/>
            <w:vAlign w:val="bottom"/>
          </w:tcPr>
          <w:p>
            <w:pPr>
              <w:jc w:val="right"/>
              <w:ind w:right="471"/>
              <w:spacing w:after="0"/>
              <w:rPr>
                <w:sz w:val="20"/>
                <w:szCs w:val="20"/>
                <w:color w:val="auto"/>
              </w:rPr>
            </w:pPr>
            <w:r>
              <w:rPr>
                <w:rFonts w:ascii="Arial" w:cs="Arial" w:eastAsia="Arial" w:hAnsi="Arial"/>
                <w:sz w:val="14"/>
                <w:szCs w:val="14"/>
                <w:b w:val="1"/>
                <w:bCs w:val="1"/>
                <w:color w:val="auto"/>
              </w:rPr>
              <w:t>Allocated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Unallocated</w:t>
            </w:r>
          </w:p>
        </w:tc>
        <w:tc>
          <w:tcPr>
            <w:tcW w:w="380" w:type="dxa"/>
            <w:vAlign w:val="bottom"/>
          </w:tcPr>
          <w:p>
            <w:pPr>
              <w:spacing w:after="0"/>
              <w:rPr>
                <w:sz w:val="19"/>
                <w:szCs w:val="19"/>
                <w:color w:val="auto"/>
              </w:rPr>
            </w:pPr>
          </w:p>
        </w:tc>
        <w:tc>
          <w:tcPr>
            <w:tcW w:w="1300" w:type="dxa"/>
            <w:vAlign w:val="bottom"/>
          </w:tcPr>
          <w:p>
            <w:pPr>
              <w:jc w:val="right"/>
              <w:ind w:right="61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Net appreciation of ESOP shares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1,002,633</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455,469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1,458,102</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and dividend income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104,173</w:t>
            </w:r>
          </w:p>
        </w:tc>
      </w:tr>
      <w:tr>
        <w:trPr>
          <w:trHeight w:val="243"/>
        </w:trPr>
        <w:tc>
          <w:tcPr>
            <w:tcW w:w="40" w:type="dxa"/>
            <w:vAlign w:val="bottom"/>
          </w:tcPr>
          <w:p>
            <w:pPr>
              <w:spacing w:after="0"/>
              <w:rPr>
                <w:sz w:val="21"/>
                <w:szCs w:val="21"/>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Contributions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45,740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45,740</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Allocation of 1,549,000 ESOP shares, at fair value</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149,913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149,913</w:t>
            </w:r>
          </w:p>
        </w:tc>
      </w:tr>
      <w:tr>
        <w:trPr>
          <w:trHeight w:val="237"/>
        </w:trPr>
        <w:tc>
          <w:tcPr>
            <w:tcW w:w="40" w:type="dxa"/>
            <w:vAlign w:val="bottom"/>
          </w:tcPr>
          <w:p>
            <w:pPr>
              <w:spacing w:after="0"/>
              <w:rPr>
                <w:sz w:val="20"/>
                <w:szCs w:val="20"/>
                <w:color w:val="auto"/>
              </w:rPr>
            </w:pP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Total additions</w:t>
            </w: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1,221,286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536,642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1,757,928</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Deductions: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Distribution to participants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(208,135)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(208,135)</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(9,374)</w:t>
            </w:r>
          </w:p>
        </w:tc>
      </w:tr>
      <w:tr>
        <w:trPr>
          <w:trHeight w:val="243"/>
        </w:trPr>
        <w:tc>
          <w:tcPr>
            <w:tcW w:w="40" w:type="dxa"/>
            <w:vAlign w:val="bottom"/>
          </w:tcPr>
          <w:p>
            <w:pPr>
              <w:spacing w:after="0"/>
              <w:rPr>
                <w:sz w:val="21"/>
                <w:szCs w:val="21"/>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Transfers to participant-directed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(181,709)</w:t>
            </w:r>
          </w:p>
        </w:tc>
      </w:tr>
      <w:tr>
        <w:trPr>
          <w:trHeight w:val="243"/>
        </w:trPr>
        <w:tc>
          <w:tcPr>
            <w:tcW w:w="40" w:type="dxa"/>
            <w:vAlign w:val="bottom"/>
          </w:tcPr>
          <w:p>
            <w:pPr>
              <w:spacing w:after="0"/>
              <w:rPr>
                <w:sz w:val="21"/>
                <w:szCs w:val="21"/>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Allocation of 1,549,000 ESOP shares, at fair value</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(149,913)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(149,913)</w:t>
            </w: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deductions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(549,537)</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Net increase</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831,442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376,949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1,208,391</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assets: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Beginning of year</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2,706,323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1,294,121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4,000,444</w:t>
            </w: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End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3,537,765</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1,671,070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5,208,835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INVESTMENT CONTRACTS WITH INSURANCE COMPANIES</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Through the Master Trust, the Plan invests in a stable value fund that invests in traditional GICs, managed separate account GICs and synthetic GICs with financial institutions. Under these contracts, each insurance company guarantees repayment in full of the principal amount plus interest credited at a fixed rate for a specified period. Interest is credited to each contract based on an annual interest rate set each year by the individual insurance companies. This rate, which differs among contracts, takes into account any difference between prior year credited interest and the actual amount of investment earnings allocable to the contract in accordance with the established allocation procedures of the insurance company. The crediting rate is primarily based on the current yield-to-maturity of the covered investments, plus or minus amortization of the difference between the market value and contract value of the covered investments over the duration of the covered investments at the time of computation. There are no reserves against contract value for credit risk.</w:t>
      </w:r>
    </w:p>
    <w:p>
      <w:pPr>
        <w:spacing w:after="0" w:line="11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events could limit the ability of the Plan to transact at contract value with the issuer. Such events include the following: (i) certain amendments to the Plan documents that adversely impact the stable value fund; (ii) introduction of an investment option that competes with the stable value fund; (iii) certain Plan sponsor events (e.g. a significant divestiture) that cause a significant withdrawal from the Plan; (iv) the failure of the trust to qualify for exemption from federal income taxes; or, (v) material breach of contract provisions. UTC does not believe that the occurrence of any such event, which would limit the Plan's ability to transact at contract value with participants, is probable. Certain events enable issuers to terminate their contracts with UTC and settle at an amount other than contract value. Under each contract, the Plan has the option to address and cure any such event within a specified period of time. UTC does not believe that the occurrence of any such event is probable.</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average yield of the GICs based on actual earnings was approximately 1.93% and 6.83% for the years ended December 31, 2013 and 2012, respectively. The average yield of the GICs based on interest rate credited to participants was approximately 3.39% and 3.59% for the years ended December 31, 2013 and 2012,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INVESTMENT IN MASTER TRUST</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UTC has entered into a Master Trust agreement with the Trustee. Under this agreement, the Plan and the UTC Represented Employee Savings Plan combine their trust fund investments in the Master Trust.</w:t>
      </w:r>
    </w:p>
    <w:p>
      <w:pPr>
        <w:spacing w:after="0" w:line="11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Participating plans purchase units of participation in the investment funds based on their contribution to such funds in addition to income or loss the investment funds may earn or sustain, less distributions made to the plans' participants and plan expenses. The Plan's interest in the net assets of the Master Trust was approximately 90% at both December 31, 2013 and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is a summary of the financial information and data for the Master Trust and the portion attributable to the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 EMPLOYEE SAVINGS PLAN MASTER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Allocated</w:t>
            </w:r>
          </w:p>
        </w:tc>
        <w:tc>
          <w:tcPr>
            <w:tcW w:w="22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Unallocated</w:t>
            </w:r>
          </w:p>
        </w:tc>
        <w:tc>
          <w:tcPr>
            <w:tcW w:w="34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Allocated</w:t>
            </w:r>
          </w:p>
        </w:tc>
        <w:tc>
          <w:tcPr>
            <w:tcW w:w="22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Unallocated</w:t>
            </w:r>
          </w:p>
        </w:tc>
        <w:tc>
          <w:tcPr>
            <w:tcW w:w="280" w:type="dxa"/>
            <w:vAlign w:val="bottom"/>
          </w:tcPr>
          <w:p>
            <w:pPr>
              <w:spacing w:after="0"/>
              <w:rPr>
                <w:sz w:val="22"/>
                <w:szCs w:val="22"/>
                <w:color w:val="auto"/>
              </w:rPr>
            </w:pPr>
          </w:p>
        </w:tc>
        <w:tc>
          <w:tcPr>
            <w:tcW w:w="10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208,131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208,131</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1,364,207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1,364,207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201,239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201,239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106,963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106,963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Common and preferred stock</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5,243,091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5,243,091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3,393,919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3,393,919</w:t>
            </w:r>
          </w:p>
        </w:tc>
        <w:tc>
          <w:tcPr>
            <w:tcW w:w="0" w:type="dxa"/>
            <w:vAlign w:val="bottom"/>
          </w:tcPr>
          <w:p>
            <w:pPr>
              <w:spacing w:after="0"/>
              <w:rPr>
                <w:sz w:val="1"/>
                <w:szCs w:val="1"/>
                <w:color w:val="auto"/>
              </w:rPr>
            </w:pP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rPr>
              <w:t>Interest in real estate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investment trusts</w:t>
            </w:r>
          </w:p>
        </w:tc>
        <w:tc>
          <w:tcPr>
            <w:tcW w:w="2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184,206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184,206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137,539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137,539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U.S. Government and agency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5,325</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16,713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16,713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Commingled index funds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1,308,822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1,308,822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758,141</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UTC Common Stock</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5,591,634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1,756,949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7,348,583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4,320,056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1,392,840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5,712,896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Stable value fund investment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8,524,204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8,524,204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8,600,731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8,600,731</w:t>
            </w:r>
          </w:p>
        </w:tc>
        <w:tc>
          <w:tcPr>
            <w:tcW w:w="0" w:type="dxa"/>
            <w:vAlign w:val="bottom"/>
          </w:tcPr>
          <w:p>
            <w:pPr>
              <w:spacing w:after="0"/>
              <w:rPr>
                <w:sz w:val="1"/>
                <w:szCs w:val="1"/>
                <w:color w:val="auto"/>
              </w:rPr>
            </w:pPr>
          </w:p>
        </w:tc>
      </w:tr>
      <w:tr>
        <w:trPr>
          <w:trHeight w:val="237"/>
        </w:trPr>
        <w:tc>
          <w:tcPr>
            <w:tcW w:w="2520" w:type="dxa"/>
            <w:vAlign w:val="bottom"/>
          </w:tcPr>
          <w:p>
            <w:pPr>
              <w:ind w:left="60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21,283,365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1,756,949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7"/>
              </w:rPr>
              <w:t>23,040,314</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18,691,862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1,392,840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20,084,702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receivable from</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participants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216,976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216,976</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229,845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229,845</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ESOP receivables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89,578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89,578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104,925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104,925</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21,500,341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1,846,527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23,346,868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18,921,707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1,497,765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20,419,472</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ESOP interest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Notes payable to UTC</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(203,100)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(203,100)</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(175,457)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(203,644)</w:t>
            </w:r>
          </w:p>
        </w:tc>
        <w:tc>
          <w:tcPr>
            <w:tcW w:w="0" w:type="dxa"/>
            <w:vAlign w:val="bottom"/>
          </w:tcPr>
          <w:p>
            <w:pPr>
              <w:spacing w:after="0"/>
              <w:rPr>
                <w:sz w:val="1"/>
                <w:szCs w:val="1"/>
                <w:color w:val="auto"/>
              </w:rPr>
            </w:pPr>
          </w:p>
        </w:tc>
      </w:tr>
      <w:tr>
        <w:trPr>
          <w:trHeight w:val="209"/>
        </w:trPr>
        <w:tc>
          <w:tcPr>
            <w:tcW w:w="2520" w:type="dxa"/>
            <w:vAlign w:val="bottom"/>
          </w:tcPr>
          <w:p>
            <w:pPr>
              <w:ind w:left="40"/>
              <w:spacing w:after="0"/>
              <w:rPr>
                <w:sz w:val="20"/>
                <w:szCs w:val="20"/>
                <w:color w:val="auto"/>
              </w:rPr>
            </w:pPr>
            <w:r>
              <w:rPr>
                <w:rFonts w:ascii="Arial" w:cs="Arial" w:eastAsia="Arial" w:hAnsi="Arial"/>
                <w:sz w:val="18"/>
                <w:szCs w:val="18"/>
                <w:color w:val="auto"/>
              </w:rPr>
              <w:t>Adjustment from fair value to</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40"/>
              <w:spacing w:after="0"/>
              <w:rPr>
                <w:sz w:val="20"/>
                <w:szCs w:val="20"/>
                <w:color w:val="auto"/>
              </w:rPr>
            </w:pPr>
            <w:r>
              <w:rPr>
                <w:rFonts w:ascii="Arial" w:cs="Arial" w:eastAsia="Arial" w:hAnsi="Arial"/>
                <w:sz w:val="18"/>
                <w:szCs w:val="18"/>
                <w:color w:val="auto"/>
              </w:rPr>
              <w:t>contract value for fully benefit-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w w:val="95"/>
              </w:rPr>
              <w:t>responsive investment contracts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(399,472)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(399,472)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(538,771)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(538,771)</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21,100,869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1,671,070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22,771,939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18,382,936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1,294,121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19,677,057</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40"/>
              <w:spacing w:after="0"/>
              <w:rPr>
                <w:sz w:val="20"/>
                <w:szCs w:val="20"/>
                <w:color w:val="auto"/>
              </w:rPr>
            </w:pPr>
            <w:r>
              <w:rPr>
                <w:rFonts w:ascii="Arial" w:cs="Arial" w:eastAsia="Arial" w:hAnsi="Arial"/>
                <w:sz w:val="18"/>
                <w:szCs w:val="18"/>
                <w:color w:val="auto"/>
              </w:rPr>
              <w:t>Net assets of the Master Trust</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520" w:type="dxa"/>
            <w:vAlign w:val="bottom"/>
            <w:vMerge w:val="continue"/>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18,821,957</w:t>
            </w:r>
          </w:p>
        </w:tc>
        <w:tc>
          <w:tcPr>
            <w:tcW w:w="12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1,671,070</w:t>
            </w:r>
          </w:p>
        </w:tc>
        <w:tc>
          <w:tcPr>
            <w:tcW w:w="120" w:type="dxa"/>
            <w:vAlign w:val="bottom"/>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w w:val="97"/>
              </w:rPr>
              <w:t>20,493,027</w:t>
            </w:r>
          </w:p>
        </w:tc>
        <w:tc>
          <w:tcPr>
            <w:tcW w:w="220" w:type="dxa"/>
            <w:vAlign w:val="bottom"/>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w w:val="97"/>
              </w:rPr>
              <w:t>16,319,671</w:t>
            </w:r>
          </w:p>
        </w:tc>
        <w:tc>
          <w:tcPr>
            <w:tcW w:w="10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1,294,121</w:t>
            </w:r>
          </w:p>
        </w:tc>
        <w:tc>
          <w:tcPr>
            <w:tcW w:w="12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17,613,792</w:t>
            </w:r>
          </w:p>
        </w:tc>
        <w:tc>
          <w:tcPr>
            <w:tcW w:w="0" w:type="dxa"/>
            <w:vAlign w:val="bottom"/>
          </w:tcPr>
          <w:p>
            <w:pPr>
              <w:spacing w:after="0"/>
              <w:rPr>
                <w:sz w:val="1"/>
                <w:szCs w:val="1"/>
                <w:color w:val="auto"/>
              </w:rPr>
            </w:pPr>
          </w:p>
        </w:tc>
      </w:tr>
      <w:tr>
        <w:trPr>
          <w:trHeight w:val="242"/>
        </w:trPr>
        <w:tc>
          <w:tcPr>
            <w:tcW w:w="2520" w:type="dxa"/>
            <w:vAlign w:val="bottom"/>
          </w:tcPr>
          <w:p>
            <w:pPr>
              <w:ind w:left="40"/>
              <w:spacing w:after="0"/>
              <w:rPr>
                <w:sz w:val="20"/>
                <w:szCs w:val="20"/>
                <w:color w:val="auto"/>
              </w:rPr>
            </w:pPr>
            <w:r>
              <w:rPr>
                <w:rFonts w:ascii="Arial" w:cs="Arial" w:eastAsia="Arial" w:hAnsi="Arial"/>
                <w:sz w:val="18"/>
                <w:szCs w:val="18"/>
                <w:color w:val="auto"/>
              </w:rPr>
              <w:t>attributable to the Plan</w:t>
            </w:r>
          </w:p>
        </w:tc>
        <w:tc>
          <w:tcPr>
            <w:tcW w:w="2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TECHNOLOGIES CORPORATION EMPLOYEE SAVINGS PLAN MASTER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 2013</w:t>
            </w:r>
          </w:p>
        </w:tc>
        <w:tc>
          <w:tcPr>
            <w:tcW w:w="114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Allocated</w:t>
            </w:r>
          </w:p>
        </w:tc>
        <w:tc>
          <w:tcPr>
            <w:tcW w:w="26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Unallocated</w:t>
            </w:r>
          </w:p>
        </w:tc>
        <w:tc>
          <w:tcPr>
            <w:tcW w:w="340" w:type="dxa"/>
            <w:vAlign w:val="bottom"/>
          </w:tcPr>
          <w:p>
            <w:pPr>
              <w:spacing w:after="0"/>
              <w:rPr>
                <w:sz w:val="22"/>
                <w:szCs w:val="22"/>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Net appreciation on fair value of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2,881,942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455,469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3,337,411</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dividend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538,610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Transfers in from participating plans for purchase of units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668,177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713,917</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Allocation of 1,549,000 ESOP shares,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149,913</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Interest income on notes receivable from participants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8,425</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additions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4,211,634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4,748,276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Deductions: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Transfers out on behalf of participating plans for 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(1,472,027)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Allocation of 1,549,000 ESOP shares, at fair value</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(149,913)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(149,913)</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Master Trust administrative and 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(37,257)</w:t>
            </w:r>
          </w:p>
        </w:tc>
      </w:tr>
      <w:tr>
        <w:trPr>
          <w:trHeight w:val="237"/>
        </w:trPr>
        <w:tc>
          <w:tcPr>
            <w:tcW w:w="6760" w:type="dxa"/>
            <w:vAlign w:val="bottom"/>
          </w:tcPr>
          <w:p>
            <w:pPr>
              <w:ind w:left="1140"/>
              <w:spacing w:after="0"/>
              <w:rPr>
                <w:sz w:val="20"/>
                <w:szCs w:val="20"/>
                <w:color w:val="auto"/>
              </w:rPr>
            </w:pPr>
            <w:r>
              <w:rPr>
                <w:rFonts w:ascii="Arial" w:cs="Arial" w:eastAsia="Arial" w:hAnsi="Arial"/>
                <w:sz w:val="18"/>
                <w:szCs w:val="18"/>
                <w:color w:val="auto"/>
              </w:rPr>
              <w:t>Total deductions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(1,499,504)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(1,659,197)</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prior to transfers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2,712,130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3,089,079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Transfers: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Plan Transfers -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Increase in net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2,717,933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376,949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3,094,882</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Beginning of year</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18,382,936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1,294,121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19,677,057</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21,100,869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1,671,070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22,771,939</w:t>
            </w: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During 2013, the Master Trust investments (including gains and losses on investments bought and sold, as well as held during the year) appreciated (depreciated) in value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 Fund</w:t>
            </w:r>
          </w:p>
        </w:tc>
        <w:tc>
          <w:tcPr>
            <w:tcW w:w="5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1,458,102</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UTC Common Stock</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605,622</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Commingled index funds</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Common and preferred stock</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1,216,696</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 real estate investment trusts</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(4,206)</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25,377</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34,095</w:t>
            </w:r>
          </w:p>
        </w:tc>
      </w:tr>
      <w:tr>
        <w:trPr>
          <w:trHeight w:val="237"/>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3,337,411</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78"/>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ind w:right="851"/>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pertaining to Plan:</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92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Plan interest in net appreciation and investment gain of Master Trust</w:t>
            </w:r>
          </w:p>
        </w:tc>
        <w:tc>
          <w:tcPr>
            <w:tcW w:w="5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3,609,754</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 on notes receivable from participants</w:t>
            </w:r>
          </w:p>
        </w:tc>
        <w:tc>
          <w:tcPr>
            <w:tcW w:w="580" w:type="dxa"/>
            <w:vAlign w:val="bottom"/>
            <w:tcBorders>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6,658</w:t>
            </w: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92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Contributions received (cash basis)*</w:t>
            </w:r>
          </w:p>
        </w:tc>
        <w:tc>
          <w:tcPr>
            <w:tcW w:w="5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609,628</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assets transferred into Plan</w:t>
            </w:r>
          </w:p>
        </w:tc>
        <w:tc>
          <w:tcPr>
            <w:tcW w:w="580" w:type="dxa"/>
            <w:vAlign w:val="bottom"/>
            <w:tcBorders>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5,801</w:t>
            </w: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92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Distribution to participants or beneficiaries</w:t>
            </w:r>
          </w:p>
        </w:tc>
        <w:tc>
          <w:tcPr>
            <w:tcW w:w="5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(1,318,139)</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Plan interest in administrative and interest expense</w:t>
            </w:r>
          </w:p>
        </w:tc>
        <w:tc>
          <w:tcPr>
            <w:tcW w:w="580" w:type="dxa"/>
            <w:vAlign w:val="bottom"/>
            <w:tcBorders>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(34,467)</w:t>
            </w: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Cash contributions include the impact of a 2012 Employer Contribution Receivable of approximately $16 million.</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42"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NOTE 6 - FAIR VALUE OF INVESTMENTS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Fair Value Measurements and Disclosure Topic of the FASB ASC establishes a valuation hierarchy for disclosure of the inputs to the valuations used to measure fair value. A financial asset or liability's classification within the hierarchy is determined based on the lowest level input that is significant to the fair value measurement. This hierarchy prioritizes the inputs into three broad levels as follows:</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90" w:lineRule="exact"/>
        <w:rPr>
          <w:sz w:val="20"/>
          <w:szCs w:val="20"/>
          <w:color w:val="auto"/>
        </w:rPr>
      </w:pPr>
    </w:p>
    <w:p>
      <w:pPr>
        <w:ind w:left="500" w:right="1060"/>
        <w:spacing w:after="0" w:line="412"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inputs other than quoted prices included within Level 1 that are observable for the asset or liability either directly or indirectly;</w:t>
      </w:r>
      <w:r>
        <w:rPr>
          <w:rFonts w:ascii="Arial" w:cs="Arial" w:eastAsia="Arial" w:hAnsi="Arial"/>
          <w:sz w:val="17"/>
          <w:szCs w:val="17"/>
          <w:b w:val="1"/>
          <w:bCs w:val="1"/>
          <w:color w:val="auto"/>
        </w:rPr>
        <w:t xml:space="preserve"> Level 3 </w:t>
      </w:r>
      <w:r>
        <w:rPr>
          <w:rFonts w:ascii="Arial" w:cs="Arial" w:eastAsia="Arial" w:hAnsi="Arial"/>
          <w:sz w:val="17"/>
          <w:szCs w:val="17"/>
          <w:color w:val="auto"/>
        </w:rPr>
        <w:t>– unobservable inputs based on our own assumptions used to measure assets and liabilities at fair value.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the investments carried at fair value measured on a recurring basis as of December 31, 2013 and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31"/>
              <w:spacing w:after="0"/>
              <w:rPr>
                <w:sz w:val="20"/>
                <w:szCs w:val="20"/>
                <w:color w:val="auto"/>
              </w:rPr>
            </w:pPr>
            <w:r>
              <w:rPr>
                <w:rFonts w:ascii="Arial" w:cs="Arial" w:eastAsia="Arial" w:hAnsi="Arial"/>
                <w:sz w:val="14"/>
                <w:szCs w:val="14"/>
                <w:b w:val="1"/>
                <w:bCs w:val="1"/>
                <w:color w:val="auto"/>
                <w:w w:val="91"/>
              </w:rPr>
              <w:t>December 31, 2013</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29"/>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300" w:type="dxa"/>
            <w:vAlign w:val="bottom"/>
          </w:tcPr>
          <w:p>
            <w:pPr>
              <w:spacing w:after="0"/>
              <w:rPr>
                <w:sz w:val="19"/>
                <w:szCs w:val="19"/>
                <w:color w:val="auto"/>
              </w:rPr>
            </w:pPr>
          </w:p>
        </w:tc>
        <w:tc>
          <w:tcPr>
            <w:tcW w:w="1120" w:type="dxa"/>
            <w:vAlign w:val="bottom"/>
          </w:tcPr>
          <w:p>
            <w:pPr>
              <w:jc w:val="right"/>
              <w:ind w:right="391"/>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71"/>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9"/>
                <w:szCs w:val="19"/>
                <w:color w:val="auto"/>
              </w:rPr>
            </w:pPr>
          </w:p>
        </w:tc>
        <w:tc>
          <w:tcPr>
            <w:tcW w:w="10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97,184</w:t>
            </w: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97,184</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201,239</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201,239</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Separate accounts: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101,643</w:t>
            </w:r>
          </w:p>
        </w:tc>
        <w:tc>
          <w:tcPr>
            <w:tcW w:w="4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101,643</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and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5,243,091</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5,243,091</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Interest in real estate investment trusts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184,206</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184,206</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and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Other securities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16,713</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16,713</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Commingled index funds: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Emerging markets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317,337</w:t>
            </w:r>
          </w:p>
        </w:tc>
        <w:tc>
          <w:tcPr>
            <w:tcW w:w="4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317,337</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Government/credit bonds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548,783</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548,783</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Short-term government bonds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110,935</w:t>
            </w:r>
          </w:p>
        </w:tc>
        <w:tc>
          <w:tcPr>
            <w:tcW w:w="4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110,935</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Secure income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304,393</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304,393</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Treasury inflation protected bonds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27,395</w:t>
            </w:r>
          </w:p>
        </w:tc>
        <w:tc>
          <w:tcPr>
            <w:tcW w:w="4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27,395</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UTC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7,348,583</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7,348,583</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Stable value fund investment contracts: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Synthetic GIC - equities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171,723</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388,846</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560,569</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Synthetic GIC - fixed income:</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U.S. Government and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1,870,932</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1,870,932</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680"/>
              <w:spacing w:after="0"/>
              <w:rPr>
                <w:sz w:val="20"/>
                <w:szCs w:val="20"/>
                <w:color w:val="auto"/>
              </w:rPr>
            </w:pPr>
            <w:r>
              <w:rPr>
                <w:rFonts w:ascii="Arial" w:cs="Arial" w:eastAsia="Arial" w:hAnsi="Arial"/>
                <w:sz w:val="18"/>
                <w:szCs w:val="18"/>
                <w:color w:val="auto"/>
              </w:rPr>
              <w:t>U.S. municipal securities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55,461</w:t>
            </w:r>
          </w:p>
        </w:tc>
        <w:tc>
          <w:tcPr>
            <w:tcW w:w="4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55,461</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Foreign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51,300</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51,300</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68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1,681,285</w:t>
            </w:r>
          </w:p>
        </w:tc>
        <w:tc>
          <w:tcPr>
            <w:tcW w:w="4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1,681,285</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6,114</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1,356,936</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1,363,050</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Traditional (separate account) GIC</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2,929,856</w:t>
            </w:r>
          </w:p>
        </w:tc>
        <w:tc>
          <w:tcPr>
            <w:tcW w:w="4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2,929,856</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Wrap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w:t>
            </w:r>
          </w:p>
        </w:tc>
      </w:tr>
      <w:tr>
        <w:trPr>
          <w:trHeight w:val="237"/>
        </w:trPr>
        <w:tc>
          <w:tcPr>
            <w:tcW w:w="40" w:type="dxa"/>
            <w:vAlign w:val="bottom"/>
          </w:tcPr>
          <w:p>
            <w:pPr>
              <w:spacing w:after="0"/>
              <w:rPr>
                <w:sz w:val="20"/>
                <w:szCs w:val="20"/>
                <w:color w:val="auto"/>
              </w:rPr>
            </w:pPr>
          </w:p>
        </w:tc>
        <w:tc>
          <w:tcPr>
            <w:tcW w:w="4540" w:type="dxa"/>
            <w:vAlign w:val="bottom"/>
            <w:gridSpan w:val="2"/>
          </w:tcPr>
          <w:p>
            <w:pPr>
              <w:ind w:left="680"/>
              <w:spacing w:after="0"/>
              <w:rPr>
                <w:sz w:val="20"/>
                <w:szCs w:val="20"/>
                <w:color w:val="auto"/>
              </w:rPr>
            </w:pPr>
            <w:r>
              <w:rPr>
                <w:rFonts w:ascii="Arial" w:cs="Arial" w:eastAsia="Arial" w:hAnsi="Arial"/>
                <w:sz w:val="18"/>
                <w:szCs w:val="18"/>
                <w:color w:val="auto"/>
              </w:rPr>
              <w:t>Total investment contracts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177,837</w:t>
            </w:r>
          </w:p>
        </w:tc>
        <w:tc>
          <w:tcPr>
            <w:tcW w:w="4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8,334,616</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1,604</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8,514,057</w:t>
            </w: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13,171,669</w:t>
            </w:r>
          </w:p>
        </w:tc>
        <w:tc>
          <w:tcPr>
            <w:tcW w:w="4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9,847,611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1,604</w:t>
            </w:r>
          </w:p>
        </w:tc>
        <w:tc>
          <w:tcPr>
            <w:tcW w:w="4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23,020,884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620" w:right="5160" w:hanging="5433"/>
        <w:spacing w:after="0" w:line="639" w:lineRule="auto"/>
        <w:tabs>
          <w:tab w:leader="none" w:pos="49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These amounts do not include receivables due to or payables due from the fund. 13</w:t>
      </w:r>
    </w:p>
    <w:p>
      <w:pPr>
        <w:sectPr>
          <w:pgSz w:w="11900" w:h="16838" w:orient="portrait"/>
          <w:cols w:equalWidth="0" w:num="1">
            <w:col w:w="11420"/>
          </w:cols>
          <w:pgMar w:left="240" w:top="82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2012</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29"/>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300" w:type="dxa"/>
            <w:vAlign w:val="bottom"/>
          </w:tcPr>
          <w:p>
            <w:pPr>
              <w:spacing w:after="0"/>
              <w:rPr>
                <w:sz w:val="19"/>
                <w:szCs w:val="19"/>
                <w:color w:val="auto"/>
              </w:rPr>
            </w:pPr>
          </w:p>
        </w:tc>
        <w:tc>
          <w:tcPr>
            <w:tcW w:w="1120" w:type="dxa"/>
            <w:vAlign w:val="bottom"/>
          </w:tcPr>
          <w:p>
            <w:pPr>
              <w:jc w:val="right"/>
              <w:ind w:right="391"/>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9"/>
                <w:szCs w:val="19"/>
                <w:color w:val="auto"/>
              </w:rPr>
            </w:pPr>
          </w:p>
        </w:tc>
        <w:tc>
          <w:tcPr>
            <w:tcW w:w="10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1,302,016</w:t>
            </w:r>
          </w:p>
        </w:tc>
        <w:tc>
          <w:tcPr>
            <w:tcW w:w="8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1,302,016</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106,963</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106,963</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Separate accounts: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51,120</w:t>
            </w:r>
          </w:p>
        </w:tc>
        <w:tc>
          <w:tcPr>
            <w:tcW w:w="4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51,120</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and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3,393,919</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3,393,919</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Interest in real estate investment trusts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137,539</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137,539</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and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w:t>
            </w:r>
          </w:p>
        </w:tc>
        <w:tc>
          <w:tcPr>
            <w:tcW w:w="4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Other securities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5,982</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5,982</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Commingled index funds: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Emerging markets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261,587</w:t>
            </w:r>
          </w:p>
        </w:tc>
        <w:tc>
          <w:tcPr>
            <w:tcW w:w="4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261,587</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Government/credit bonds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379,714</w:t>
            </w:r>
          </w:p>
        </w:tc>
        <w:tc>
          <w:tcPr>
            <w:tcW w:w="4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379,714</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Short-term government bonds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16,311</w:t>
            </w:r>
          </w:p>
        </w:tc>
        <w:tc>
          <w:tcPr>
            <w:tcW w:w="4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16,311</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Secure income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37,037</w:t>
            </w:r>
          </w:p>
        </w:tc>
        <w:tc>
          <w:tcPr>
            <w:tcW w:w="4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37,037</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Treasury inflation protected bonds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63,492</w:t>
            </w:r>
          </w:p>
        </w:tc>
        <w:tc>
          <w:tcPr>
            <w:tcW w:w="4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63,492</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UTC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5,712,896</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5,712,896</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Stable value fund investment contracts: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Synthetic GIC - equities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130,902</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96,892</w:t>
            </w:r>
          </w:p>
        </w:tc>
        <w:tc>
          <w:tcPr>
            <w:tcW w:w="4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227,794</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Synthetic GIC - fixed income:</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U.S. Government and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2,153,562</w:t>
            </w:r>
          </w:p>
        </w:tc>
        <w:tc>
          <w:tcPr>
            <w:tcW w:w="4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2,153,562</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680"/>
              <w:spacing w:after="0"/>
              <w:rPr>
                <w:sz w:val="20"/>
                <w:szCs w:val="20"/>
                <w:color w:val="auto"/>
              </w:rPr>
            </w:pPr>
            <w:r>
              <w:rPr>
                <w:rFonts w:ascii="Arial" w:cs="Arial" w:eastAsia="Arial" w:hAnsi="Arial"/>
                <w:sz w:val="18"/>
                <w:szCs w:val="18"/>
                <w:color w:val="auto"/>
              </w:rPr>
              <w:t>U.S. municipal securities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11,313</w:t>
            </w:r>
          </w:p>
        </w:tc>
        <w:tc>
          <w:tcPr>
            <w:tcW w:w="4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11,313</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Foreign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49,749</w:t>
            </w:r>
          </w:p>
        </w:tc>
        <w:tc>
          <w:tcPr>
            <w:tcW w:w="4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49,749</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68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1,738,525</w:t>
            </w:r>
          </w:p>
        </w:tc>
        <w:tc>
          <w:tcPr>
            <w:tcW w:w="4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1,738,525</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Collective trust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343,813</w:t>
            </w:r>
          </w:p>
        </w:tc>
        <w:tc>
          <w:tcPr>
            <w:tcW w:w="4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343,813</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680"/>
              <w:spacing w:after="0"/>
              <w:rPr>
                <w:sz w:val="20"/>
                <w:szCs w:val="20"/>
                <w:color w:val="auto"/>
              </w:rPr>
            </w:pPr>
            <w:r>
              <w:rPr>
                <w:rFonts w:ascii="Arial" w:cs="Arial" w:eastAsia="Arial" w:hAnsi="Arial"/>
                <w:sz w:val="18"/>
                <w:szCs w:val="18"/>
                <w:color w:val="auto"/>
              </w:rPr>
              <w:t>Other debt securities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2,267</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1,367,165</w:t>
            </w:r>
          </w:p>
        </w:tc>
        <w:tc>
          <w:tcPr>
            <w:tcW w:w="4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1,369,432</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Traditional (separate account) GIC</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2,888,136</w:t>
            </w:r>
          </w:p>
        </w:tc>
        <w:tc>
          <w:tcPr>
            <w:tcW w:w="4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2,888,136</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Wrap contracts</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2,255</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2,255</w:t>
            </w: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investment contracts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133,169</w:t>
            </w:r>
          </w:p>
        </w:tc>
        <w:tc>
          <w:tcPr>
            <w:tcW w:w="4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8,649,155</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8,784,579</w:t>
            </w:r>
          </w:p>
        </w:tc>
      </w:tr>
      <w:tr>
        <w:trPr>
          <w:trHeight w:val="257"/>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9,490,468</w:t>
            </w:r>
          </w:p>
        </w:tc>
        <w:tc>
          <w:tcPr>
            <w:tcW w:w="4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10,764,756</w:t>
            </w:r>
          </w:p>
        </w:tc>
        <w:tc>
          <w:tcPr>
            <w:tcW w:w="4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2,255</w:t>
            </w:r>
          </w:p>
        </w:tc>
        <w:tc>
          <w:tcPr>
            <w:tcW w:w="4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20,257,479</w:t>
            </w: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hanging="313"/>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amounts do not include receivables due to or payables due from the fund.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there were no significant transfers in and out of Level 1 and Level 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balances of the Level 3 investments for the year ended December 31, 2013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220" w:type="dxa"/>
            <w:vAlign w:val="bottom"/>
          </w:tcPr>
          <w:p>
            <w:pPr>
              <w:spacing w:after="0"/>
              <w:rPr>
                <w:sz w:val="14"/>
                <w:szCs w:val="14"/>
                <w:color w:val="auto"/>
              </w:rPr>
            </w:pPr>
          </w:p>
        </w:tc>
        <w:tc>
          <w:tcPr>
            <w:tcW w:w="1380" w:type="dxa"/>
            <w:vAlign w:val="bottom"/>
          </w:tcPr>
          <w:p>
            <w:pPr>
              <w:jc w:val="right"/>
              <w:ind w:right="213"/>
              <w:spacing w:after="0"/>
              <w:rPr>
                <w:sz w:val="20"/>
                <w:szCs w:val="20"/>
                <w:color w:val="auto"/>
              </w:rPr>
            </w:pPr>
            <w:r>
              <w:rPr>
                <w:rFonts w:ascii="Arial" w:cs="Arial" w:eastAsia="Arial" w:hAnsi="Arial"/>
                <w:sz w:val="14"/>
                <w:szCs w:val="14"/>
                <w:b w:val="1"/>
                <w:bCs w:val="1"/>
                <w:color w:val="auto"/>
              </w:rPr>
              <w:t>Wrap Contracts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Unrealized loss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9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Balance,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978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w w:val="93"/>
              </w:rPr>
              <w:t>The amount of total gains for the period attributable to the change in unrealized gains relating to assets still held at the reporting</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7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date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20" w:type="dxa"/>
            <w:vAlign w:val="bottom"/>
            <w:gridSpan w:val="3"/>
            <w:vMerge w:val="restart"/>
          </w:tcPr>
          <w:p>
            <w:pPr>
              <w:ind w:left="562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8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color w:val="auto"/>
        </w:rPr>
        <w:t>The following table represents the Plan's Level 3 financial instruments, the valuation techniques used to measure the fair value of those financial instruments, and the significant unobservable inputs and the ranges of values for those inputs: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Instrument</w:t>
            </w:r>
          </w:p>
        </w:tc>
        <w:tc>
          <w:tcPr>
            <w:tcW w:w="12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Principal Valuation Technique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Range of Significant Input Values</w:t>
            </w:r>
          </w:p>
        </w:tc>
        <w:tc>
          <w:tcPr>
            <w:tcW w:w="0" w:type="dxa"/>
            <w:vAlign w:val="bottom"/>
          </w:tcPr>
          <w:p>
            <w:pPr>
              <w:spacing w:after="0"/>
              <w:rPr>
                <w:sz w:val="1"/>
                <w:szCs w:val="1"/>
                <w:color w:val="auto"/>
              </w:rPr>
            </w:pPr>
          </w:p>
        </w:tc>
      </w:tr>
      <w:tr>
        <w:trPr>
          <w:trHeight w:val="351"/>
        </w:trPr>
        <w:tc>
          <w:tcPr>
            <w:tcW w:w="2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Wrap contracts</w:t>
            </w:r>
          </w:p>
        </w:tc>
        <w:tc>
          <w:tcPr>
            <w:tcW w:w="2180" w:type="dxa"/>
            <w:vAlign w:val="bottom"/>
            <w:vMerge w:val="restart"/>
            <w:shd w:val="clear" w:color="auto" w:fill="CCEEFF"/>
          </w:tcPr>
          <w:p>
            <w:pPr>
              <w:jc w:val="right"/>
              <w:ind w:right="759"/>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24"/>
                <w:szCs w:val="24"/>
                <w:color w:val="auto"/>
              </w:rPr>
            </w:pPr>
          </w:p>
        </w:tc>
        <w:tc>
          <w:tcPr>
            <w:tcW w:w="2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Discounted cash flow</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Swap Yield Rates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17.8 basis points</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CCEEFF"/>
            </w:tcBorders>
            <w:gridSpan w:val="2"/>
            <w:vMerge w:val="continue"/>
            <w:shd w:val="clear" w:color="auto" w:fill="CCEEFF"/>
          </w:tcPr>
          <w:p>
            <w:pPr>
              <w:spacing w:after="0"/>
              <w:rPr>
                <w:sz w:val="10"/>
                <w:szCs w:val="10"/>
                <w:color w:val="auto"/>
              </w:rPr>
            </w:pPr>
          </w:p>
        </w:tc>
        <w:tc>
          <w:tcPr>
            <w:tcW w:w="21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80" w:type="dxa"/>
            <w:vAlign w:val="bottom"/>
            <w:tcBorders>
              <w:bottom w:val="single" w:sz="8" w:color="CCEEFF"/>
            </w:tcBorders>
            <w:gridSpan w:val="2"/>
            <w:vMerge w:val="continue"/>
            <w:shd w:val="clear" w:color="auto" w:fill="CCEEFF"/>
          </w:tcPr>
          <w:p>
            <w:pPr>
              <w:spacing w:after="0"/>
              <w:rPr>
                <w:sz w:val="10"/>
                <w:szCs w:val="10"/>
                <w:color w:val="auto"/>
              </w:rPr>
            </w:pPr>
          </w:p>
        </w:tc>
        <w:tc>
          <w:tcPr>
            <w:tcW w:w="2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Projected wrap fees</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0.18% - 0.25%</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DERIVATIVES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investment managers retained by UTC have discretion to invest Master Trust assets in derivative financial instruments to manage risk and achieve trading and cost efficiency. These derivatives are primarily in the form of interest rate futures and swaps. Such derivative instruments are reported at fair value within the Master Trust within "Other debt securities" of the stable value fund investment contracts and the changes in fair value are reported currently in the net appreciation on fair value of investments of the Master Trust and are not deferred.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significant accounting policies associated with the Master Trust's use of derivatives.</w:t>
      </w:r>
    </w:p>
    <w:p>
      <w:pPr>
        <w:spacing w:after="0" w:line="16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Futures Contracts. </w:t>
      </w:r>
      <w:r>
        <w:rPr>
          <w:rFonts w:ascii="Arial" w:cs="Arial" w:eastAsia="Arial" w:hAnsi="Arial"/>
          <w:sz w:val="18"/>
          <w:szCs w:val="18"/>
          <w:color w:val="auto"/>
        </w:rPr>
        <w:t>The Master Trust uses fixed income and equity index futures contracts to manage exposure to the market. Buying futures tends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the Master Trust's exposure to the underlying instrument. Selling futures tends to decrease the Master Trust's exposure to the underlying instrument held or offset the fair value of other fund investments. Futures contracts are valued at the last settlement price at the end of each day on the exchange upon which they are traded.</w:t>
      </w:r>
    </w:p>
    <w:p>
      <w:pPr>
        <w:spacing w:after="0" w:line="13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Upon entering into a futures contract, the Master Trust is required to deposit either in cash or securities an amount ("initial margin") equal to a certain percentage of the nominal value of the contract. Pursuant to the futures contract, the Master Trust agrees to receive from or pay to the Futures Commission Merchant ("FCM") an amount of cash equal to the daily fluctuation in the value of the futures contract. Such receipts or payments are known as "variation margin" which are generally settled daily and are included in the net appreciation on fair value of investments. The Master Trust will record a variation margin receivable or payable in the Master Trust net assets for variation margins which have not yet been paid at the end of the year.</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Futures contracts involve, to varying degrees, credit and market risks. The Master Trust enters into futures contracts on exchanges where the exchange acts as the counterparty to the transaction. Thus, credit risk on such transactions is limited to the failure of the exchange. Futures orders are executed on behalf of the Master Trust by FCM firms which determine margin requirements consistent with industry standards and the various rules and regulations of the exchanges on which trades occur. Initial and maintenance margin rates used in determining margin requirements may vary, but are established at levels no lower than those prescribed by U.S. Commodity Futures Trading Commission regulations. FCM relationships and operations (including treatment of customer capital and capital requirements) are overseen by both the investment managers and UTC. The daily settlement on the futures contracts serves to greatly reduce credit risk. Losses in value may arise from changes in the value of the underlying instruments or if there is an illiquid secondary market for the contracts. In addition, there is the risk that there may not be an exact correlation between a futures contract and the underlying index or security. As of December 31, 2013 and 2012, the unrealized gain/(loss) of futures contracts represented less than 1% of total investments,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Interest Rate Swaps. </w:t>
      </w:r>
      <w:r>
        <w:rPr>
          <w:rFonts w:ascii="Arial" w:cs="Arial" w:eastAsia="Arial" w:hAnsi="Arial"/>
          <w:sz w:val="18"/>
          <w:szCs w:val="18"/>
          <w:color w:val="auto"/>
        </w:rPr>
        <w:t>The Master Trust from time to time enters into interest rate swap agreements to manage interest rate exposure.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values of the derivative assets and liabilities carried on the Statements of Net Assets of the Master Trust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and December 31,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3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7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w:t>
            </w:r>
          </w:p>
        </w:tc>
        <w:tc>
          <w:tcPr>
            <w:tcW w:w="3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b w:val="1"/>
                <w:bCs w:val="1"/>
                <w:color w:val="auto"/>
              </w:rPr>
              <w:t>Assets:</w:t>
            </w:r>
          </w:p>
        </w:tc>
        <w:tc>
          <w:tcPr>
            <w:tcW w:w="3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gain on futures contracts</w:t>
            </w:r>
          </w:p>
        </w:tc>
        <w:tc>
          <w:tcPr>
            <w:tcW w:w="3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Unrealized gain on open swap contracts</w:t>
            </w:r>
          </w:p>
        </w:tc>
        <w:tc>
          <w:tcPr>
            <w:tcW w:w="3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7,670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60" w:type="dxa"/>
            <w:vAlign w:val="bottom"/>
            <w:gridSpan w:val="3"/>
            <w:vMerge w:val="continue"/>
          </w:tcPr>
          <w:p>
            <w:pPr>
              <w:spacing w:after="0"/>
              <w:rPr>
                <w:sz w:val="19"/>
                <w:szCs w:val="19"/>
                <w:color w:val="auto"/>
              </w:rPr>
            </w:pP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loss on futures contracts</w:t>
            </w:r>
          </w:p>
        </w:tc>
        <w:tc>
          <w:tcPr>
            <w:tcW w:w="3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Unrealized loss on open swap contracts</w:t>
            </w:r>
          </w:p>
        </w:tc>
        <w:tc>
          <w:tcPr>
            <w:tcW w:w="3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15</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ind w:right="120"/>
        <w:spacing w:after="0" w:line="277" w:lineRule="auto"/>
        <w:rPr>
          <w:sz w:val="20"/>
          <w:szCs w:val="20"/>
          <w:color w:val="auto"/>
        </w:rPr>
      </w:pPr>
      <w:r>
        <w:rPr>
          <w:rFonts w:ascii="Arial" w:cs="Arial" w:eastAsia="Arial" w:hAnsi="Arial"/>
          <w:sz w:val="18"/>
          <w:szCs w:val="18"/>
          <w:color w:val="auto"/>
        </w:rPr>
        <w:t>The following table presents the effect of derivative instruments on the Statement of Changes in Net Assets of the Master Trust for the year ended December 31, 2013: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Futures contracts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50,125</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Swap contracts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3,450</w:t>
            </w: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78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53,575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year ended December 31, 2013, the average notional value of futures contracts was approximately $89 million. The average value of futures contracts sold and purchased was approximately $533 million and $549 million, respectively. The average notional value of interest rate swap contracts was approximately $52 million and $59 million for contracts where the Master Trust receives and pays fixed rate,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EMPLOYEE STOCK OWNERSHIP PLAN</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ESOP was established on June 30, 1989. The ESOP purchased approximately 14.5 million shares of $1.00 par value Series A ESOP Convertible Preferred Stock ("ESOP Shares"), with a $4.80 per share annual dividend from UTC. The ESOP financed the ESOP Share purchases with interest bearing promissory notes in 1990, which were repaid in full during 2009. The Trustee executed a series of additional promissory notes ("ESOP debt"), which replaced a portion of the original promissory notes with internal financing arrangements designed to align the value of shares released from the reserve account with plan matching contribution obligations. (See Note 9 for details on the portions of ESOP debt currently outstanding).</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November 6, 2003, UTC and the Trustee effected the conversion of all 10.6 million outstanding shares of ESOP Preferred Stock into 85 million shares of Common Stock (split adjusted). At the time of the conversion, each ESOP Share was convertible into four shares of Common Stock and had a guaranteed value of $65.</w:t>
      </w:r>
    </w:p>
    <w:p>
      <w:pPr>
        <w:spacing w:after="0" w:line="12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Shares of Common Stock are allocated to participant accounts of the Plan as participants earn UTC's matching contributions. Shares of Common Stock are released for allocation to participants as principal and interest payments are made on the ESOP debt. Cash dividends on Common Stock shares held by the ESOP and additional contributions from UTC are used to repay ESOP debt principal and interest. ESOP debt may be pre-paid or re-amortized to either increase or decrease the number of shares released so that the value of released shares equals the value of the plan benefit. The Corporation may also, at its option, contribute additional Common Stock or cash to the ESOP. UTC has provided certain guarantees related to the matching contribution formula and certain other commitments in connection with the ESOP debt. For the year ended December 31, 2013, participants were credited with matching contributions of approximately $150 million representing approximately 1,549,000 shares. Additionally, in lieu of receiving cash, participants' dividends are paid by allocating additional shares to participant accounts. Participants may elect to receive cash dividends. During 2013, participants earned dividends of approximately $69 million representing approximately 686,000 shares of Common Stock.</w:t>
      </w:r>
    </w:p>
    <w:p>
      <w:pPr>
        <w:spacing w:after="0" w:line="12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Shares allocated to a participant generally may not be distributed until the participant's termination, disability, retirement, or death. Upon distribution, a participant may elect to receive either cash or shares of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ESOP Fund's investment in Common Stock shares at December 31, 2013 and 2012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2013</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2012</w:t>
            </w:r>
          </w:p>
        </w:tc>
        <w:tc>
          <w:tcPr>
            <w:tcW w:w="1220" w:type="dxa"/>
            <w:vAlign w:val="bottom"/>
            <w:tcBorders>
              <w:bottom w:val="single" w:sz="8" w:color="auto"/>
            </w:tcBorders>
          </w:tcPr>
          <w:p>
            <w:pPr>
              <w:spacing w:after="0"/>
              <w:rPr>
                <w:sz w:val="16"/>
                <w:szCs w:val="16"/>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 except shares)</w:t>
            </w:r>
          </w:p>
        </w:tc>
        <w:tc>
          <w:tcPr>
            <w:tcW w:w="320" w:type="dxa"/>
            <w:vAlign w:val="bottom"/>
          </w:tcPr>
          <w:p>
            <w:pPr>
              <w:spacing w:after="0"/>
              <w:rPr>
                <w:sz w:val="19"/>
                <w:szCs w:val="19"/>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Allocated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9"/>
                <w:szCs w:val="19"/>
                <w:color w:val="auto"/>
              </w:rPr>
            </w:pP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Allocated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56"/>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30,694,573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46,133,490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32,575,940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49,578,500</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Market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3,493,042</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5,249,991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2,671,553</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4,065,933</w:t>
            </w:r>
          </w:p>
        </w:tc>
      </w:tr>
    </w:tbl>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market value per share of the Common Stock was $113.80 and $82.01, at December 31, 2013 and 2012, respectively. The net assets available for benefits in the ESOP Fund at December 31, 2013 and 2012 include unrealized appreciation of approximately $4.9 billion and $3.7 billion, of which approximately $1.6 billion and $1.3 billion relates to unallocated shares,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NOTE 9 - ESOP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current ESOP debt owed by the Master Trust to UTC.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 Issued</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Principal (000's)</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Rate of Interest</w:t>
            </w:r>
          </w:p>
        </w:tc>
        <w:tc>
          <w:tcPr>
            <w:tcW w:w="12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Due</w:t>
            </w:r>
          </w:p>
        </w:tc>
      </w:tr>
      <w:tr>
        <w:trPr>
          <w:trHeight w:val="250"/>
        </w:trPr>
        <w:tc>
          <w:tcPr>
            <w:tcW w:w="5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10, 2004</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89"/>
              </w:rPr>
              <w:t>December 10, 2034</w:t>
            </w:r>
          </w:p>
        </w:tc>
      </w:tr>
      <w:tr>
        <w:trPr>
          <w:trHeight w:val="243"/>
        </w:trPr>
        <w:tc>
          <w:tcPr>
            <w:tcW w:w="5180" w:type="dxa"/>
            <w:vAlign w:val="bottom"/>
            <w:gridSpan w:val="3"/>
          </w:tcPr>
          <w:p>
            <w:pPr>
              <w:ind w:left="40"/>
              <w:spacing w:after="0"/>
              <w:rPr>
                <w:sz w:val="20"/>
                <w:szCs w:val="20"/>
                <w:color w:val="auto"/>
              </w:rPr>
            </w:pPr>
            <w:r>
              <w:rPr>
                <w:rFonts w:ascii="Arial" w:cs="Arial" w:eastAsia="Arial" w:hAnsi="Arial"/>
                <w:sz w:val="18"/>
                <w:szCs w:val="18"/>
                <w:color w:val="auto"/>
              </w:rPr>
              <w:t>December 10, 2005</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29,000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2460" w:type="dxa"/>
            <w:vAlign w:val="bottom"/>
          </w:tcPr>
          <w:p>
            <w:pPr>
              <w:ind w:left="1020"/>
              <w:spacing w:after="0"/>
              <w:rPr>
                <w:sz w:val="20"/>
                <w:szCs w:val="20"/>
                <w:color w:val="auto"/>
              </w:rPr>
            </w:pPr>
            <w:r>
              <w:rPr>
                <w:rFonts w:ascii="Arial" w:cs="Arial" w:eastAsia="Arial" w:hAnsi="Arial"/>
                <w:sz w:val="18"/>
                <w:szCs w:val="18"/>
                <w:color w:val="auto"/>
                <w:w w:val="89"/>
              </w:rPr>
              <w:t>December 10, 2035</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10, 2006</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89"/>
              </w:rPr>
              <w:t>December 10, 2036</w:t>
            </w:r>
          </w:p>
        </w:tc>
      </w:tr>
      <w:tr>
        <w:trPr>
          <w:trHeight w:val="243"/>
        </w:trPr>
        <w:tc>
          <w:tcPr>
            <w:tcW w:w="5180" w:type="dxa"/>
            <w:vAlign w:val="bottom"/>
            <w:gridSpan w:val="3"/>
          </w:tcPr>
          <w:p>
            <w:pPr>
              <w:ind w:left="40"/>
              <w:spacing w:after="0"/>
              <w:rPr>
                <w:sz w:val="20"/>
                <w:szCs w:val="20"/>
                <w:color w:val="auto"/>
              </w:rPr>
            </w:pPr>
            <w:r>
              <w:rPr>
                <w:rFonts w:ascii="Arial" w:cs="Arial" w:eastAsia="Arial" w:hAnsi="Arial"/>
                <w:sz w:val="18"/>
                <w:szCs w:val="18"/>
                <w:color w:val="auto"/>
              </w:rPr>
              <w:t>December 10, 2007</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46,000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460" w:type="dxa"/>
            <w:vAlign w:val="bottom"/>
          </w:tcPr>
          <w:p>
            <w:pPr>
              <w:ind w:left="1020"/>
              <w:spacing w:after="0"/>
              <w:rPr>
                <w:sz w:val="20"/>
                <w:szCs w:val="20"/>
                <w:color w:val="auto"/>
              </w:rPr>
            </w:pPr>
            <w:r>
              <w:rPr>
                <w:rFonts w:ascii="Arial" w:cs="Arial" w:eastAsia="Arial" w:hAnsi="Arial"/>
                <w:sz w:val="18"/>
                <w:szCs w:val="18"/>
                <w:color w:val="auto"/>
                <w:w w:val="89"/>
              </w:rPr>
              <w:t>December 10, 2037</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10, 2008</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32,000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89"/>
              </w:rPr>
              <w:t>December 10, 2038</w:t>
            </w:r>
          </w:p>
        </w:tc>
      </w:tr>
      <w:tr>
        <w:trPr>
          <w:trHeight w:val="243"/>
        </w:trPr>
        <w:tc>
          <w:tcPr>
            <w:tcW w:w="5180" w:type="dxa"/>
            <w:vAlign w:val="bottom"/>
            <w:gridSpan w:val="3"/>
          </w:tcPr>
          <w:p>
            <w:pPr>
              <w:ind w:left="40"/>
              <w:spacing w:after="0"/>
              <w:rPr>
                <w:sz w:val="20"/>
                <w:szCs w:val="20"/>
                <w:color w:val="auto"/>
              </w:rPr>
            </w:pPr>
            <w:r>
              <w:rPr>
                <w:rFonts w:ascii="Arial" w:cs="Arial" w:eastAsia="Arial" w:hAnsi="Arial"/>
                <w:sz w:val="18"/>
                <w:szCs w:val="18"/>
                <w:color w:val="auto"/>
              </w:rPr>
              <w:t>December 10, 2009</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33,000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2460" w:type="dxa"/>
            <w:vAlign w:val="bottom"/>
          </w:tcPr>
          <w:p>
            <w:pPr>
              <w:ind w:left="1020"/>
              <w:spacing w:after="0"/>
              <w:rPr>
                <w:sz w:val="20"/>
                <w:szCs w:val="20"/>
                <w:color w:val="auto"/>
              </w:rPr>
            </w:pPr>
            <w:r>
              <w:rPr>
                <w:rFonts w:ascii="Arial" w:cs="Arial" w:eastAsia="Arial" w:hAnsi="Arial"/>
                <w:sz w:val="18"/>
                <w:szCs w:val="18"/>
                <w:color w:val="auto"/>
                <w:w w:val="89"/>
              </w:rPr>
              <w:t>December 10, 2039</w:t>
            </w:r>
          </w:p>
        </w:tc>
      </w:tr>
      <w:tr>
        <w:trPr>
          <w:trHeight w:val="27"/>
        </w:trPr>
        <w:tc>
          <w:tcPr>
            <w:tcW w:w="4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r>
      <w:tr>
        <w:trPr>
          <w:trHeight w:val="269"/>
        </w:trPr>
        <w:tc>
          <w:tcPr>
            <w:tcW w:w="5180" w:type="dxa"/>
            <w:vAlign w:val="bottom"/>
            <w:tcBorders>
              <w:bottom w:val="single" w:sz="8" w:color="CCEEFF"/>
            </w:tcBorders>
            <w:gridSpan w:val="3"/>
            <w:shd w:val="clear" w:color="auto" w:fill="CCEEFF"/>
          </w:tcPr>
          <w:p>
            <w:pPr>
              <w:ind w:left="49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175,000</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RELATED-PARTY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Trustee manages certain Plan investment options. These transactions qualify as exempt party-in-interest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Master Trust holds common shares of UTC, the Plan sponsor, and these qualify as exempt party-in-interest transactions.</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Plan invests in the UTC Common Stock Fund (the "Fund"), which is comprised of a short-term investment fund component and shares of common stock of UTC. The unit values of the Fund are recorded and maintained by the Trustee. During the year ended December 31, 2013, the Plan purchased units of the Fund in the approximate amount of $765 million including dividends and interest of approximately $34 million, sold units of the Fund in the approximate amount of $886 million, and had net appreciation on the Fund in the approximate amount of $504 million. The total value of the Plan's interest in the Fund was approximately $1,787 million and $1,403 million at December 31, 2013 and 2012, respectively.</w:t>
      </w:r>
    </w:p>
    <w:p>
      <w:pPr>
        <w:spacing w:after="0" w:line="11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Plan invests in the ESOP, which is comprised of a short-term investment fund component and shares of common stock of UTC. The total value of the Plan's interest in the ESOP was approximately $5.2 billion and $4.0 billion at December 31, 2013 and 2012, respectively (see Notes 1, 3, 8 and 9). In connection with the note payable financing (see Note 9) the Plan has an ESOP receivable of approximately $90 million from UTC.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PLAN TERMINATION</w:t>
      </w:r>
    </w:p>
    <w:p>
      <w:pPr>
        <w:spacing w:after="0" w:line="9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Although it has not expressed any intent to do so, UTC has the right under the Plan to discontinue its contributions at any time and to terminate the Plan subject to the provisions of ERISA and certain Plan provisions that limit this right when certain ESOP loans remain outstanding. In the event of Plan termination, participants will become 100 percent vested in their accounts.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RECONCILIATION OF FINANCIAL STATEMENTS TO FORM 5500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reconciliations of net assets available for benefits and benefits paid from the financial statements to the Form 5500: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5"/>
          </w:tcPr>
          <w:p>
            <w:pPr>
              <w:jc w:val="right"/>
              <w:ind w:right="14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9"/>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460" w:type="dxa"/>
            <w:vAlign w:val="bottom"/>
          </w:tcPr>
          <w:p>
            <w:pPr>
              <w:spacing w:after="0"/>
              <w:rPr>
                <w:sz w:val="19"/>
                <w:szCs w:val="19"/>
                <w:color w:val="auto"/>
              </w:rPr>
            </w:pPr>
          </w:p>
        </w:tc>
        <w:tc>
          <w:tcPr>
            <w:tcW w:w="1360" w:type="dxa"/>
            <w:vAlign w:val="bottom"/>
          </w:tcPr>
          <w:p>
            <w:pPr>
              <w:jc w:val="right"/>
              <w:ind w:right="61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ind w:right="735"/>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per the financial statements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20,493,027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17,629,732</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Amounts allocated to participant withdrawals</w:t>
            </w:r>
          </w:p>
        </w:tc>
        <w:tc>
          <w:tcPr>
            <w:tcW w:w="4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from contract to fair value for interest in Master Trust relating to fully benefit-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responsive investment contracts</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333,847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450,337</w:t>
            </w:r>
          </w:p>
        </w:tc>
        <w:tc>
          <w:tcPr>
            <w:tcW w:w="0" w:type="dxa"/>
            <w:vAlign w:val="bottom"/>
          </w:tcPr>
          <w:p>
            <w:pPr>
              <w:spacing w:after="0"/>
              <w:rPr>
                <w:sz w:val="1"/>
                <w:szCs w:val="1"/>
                <w:color w:val="auto"/>
              </w:rPr>
            </w:pP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Net assets available for benefits per Form 5500</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20,824,625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18,078,411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63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jc w:val="right"/>
              <w:ind w:right="415"/>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Distribution to participants or beneficiaries per the financial statements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1,318,139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Add: Amounts allocated to participant withdrawals at December 31, 2013</w:t>
            </w: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Amounts allocated to participant withdrawals at December 31, 2012</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Distribution to participants or beneficiaries per Form 5500</w:t>
            </w:r>
          </w:p>
        </w:tc>
        <w:tc>
          <w:tcPr>
            <w:tcW w:w="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1,318,730</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ind w:left="562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4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17" w:name="page18"/>
    <w:bookmarkEnd w:id="17"/>
    <w:p>
      <w:pPr>
        <w:jc w:val="both"/>
        <w:ind w:right="400"/>
        <w:spacing w:after="0" w:line="264" w:lineRule="auto"/>
        <w:rPr>
          <w:sz w:val="20"/>
          <w:szCs w:val="20"/>
          <w:color w:val="auto"/>
        </w:rPr>
      </w:pPr>
      <w:r>
        <w:rPr>
          <w:rFonts w:ascii="Arial" w:cs="Arial" w:eastAsia="Arial" w:hAnsi="Arial"/>
          <w:sz w:val="18"/>
          <w:szCs w:val="18"/>
          <w:color w:val="auto"/>
        </w:rPr>
        <w:t>Amounts allocated to participant withdrawals are recorded on Form 5500 for benefit claims that have been processed and approved for payment prior to December 31 but not yet paid as of that date. Additionally, fully benefit-responsive GICs are recorded on the Form 5500 at fair value while in the Plan's financial statements these investments are presented at contract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TAX STATUS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Internal Revenue Service has determined and informed UTC by letter dated April 28, 2003 that the Plan is designed in accordance with applicable sections of the Internal Revenue Code ("IRC"). The Plan has been amended since receiving the determination letter. However, the Plan administrator believes that the Plan is designed and is currently being operated in compliance with the applicable requirements of the IRC.</w:t>
      </w:r>
    </w:p>
    <w:p>
      <w:pPr>
        <w:spacing w:after="0" w:line="1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Internal Revenue Service. The Plan is subject to routine audits by taxing jurisdictions; however, there are currently no audits for any tax periods in progress. The Plan administrator believes it is no longer subject to income tax examinations for years prior to 2010.</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ACCOUNTING PRONOUNCEMENTS</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July 2013, the FASB issued ASU No. 2013-10, "Inclusion of the Fed Funds Effective Swap Rate (or Overnight Index Swap Rate) as a Benchmark Interest Rate for Hedge Accounting Purposes." This ASU is intended to permit the Fed Funds Effective Swap Rate to be used as a U.S. benchmark interest rate for hedge accounting purposes under FASB ASC Topic 815, "Derivatives and Hedging," in addition to UST and LIBOR, as well as to remove the restriction on using different benchmark rates for similar hedges. The provisions of this ASU are effective for new or redesignated hedging relationships entered into on or after July 17, 2013. This ASU is not expected to have a material effect on the Plan's financial statements or disclosures.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746"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TECHNOLOGIES CORPORATION EMPLOYEE SAVINGS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540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(c)</w:t>
            </w:r>
          </w:p>
        </w:tc>
        <w:tc>
          <w:tcPr>
            <w:tcW w:w="1320" w:type="dxa"/>
            <w:vAlign w:val="bottom"/>
          </w:tcPr>
          <w:p>
            <w:pPr>
              <w:jc w:val="center"/>
              <w:ind w:right="68"/>
              <w:spacing w:after="0"/>
              <w:rPr>
                <w:sz w:val="20"/>
                <w:szCs w:val="20"/>
                <w:color w:val="auto"/>
              </w:rPr>
            </w:pPr>
            <w:r>
              <w:rPr>
                <w:rFonts w:ascii="Arial" w:cs="Arial" w:eastAsia="Arial" w:hAnsi="Arial"/>
                <w:sz w:val="14"/>
                <w:szCs w:val="14"/>
                <w:b w:val="1"/>
                <w:bCs w:val="1"/>
                <w:color w:val="auto"/>
              </w:rPr>
              <w:t>(d)</w:t>
            </w:r>
          </w:p>
        </w:tc>
        <w:tc>
          <w:tcPr>
            <w:tcW w:w="128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65"/>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(a)</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Identity of issuer, borrower,</w:t>
            </w:r>
          </w:p>
        </w:tc>
        <w:tc>
          <w:tcPr>
            <w:tcW w:w="540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Description of investment, including maturity date, rate of interest, collateral,</w:t>
            </w:r>
          </w:p>
        </w:tc>
        <w:tc>
          <w:tcPr>
            <w:tcW w:w="13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0"/>
              </w:rPr>
              <w:t>Cost value</w:t>
            </w:r>
          </w:p>
        </w:tc>
        <w:tc>
          <w:tcPr>
            <w:tcW w:w="128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5"/>
              </w:rPr>
              <w:t>Current value</w:t>
            </w:r>
          </w:p>
        </w:tc>
        <w:tc>
          <w:tcPr>
            <w:tcW w:w="0" w:type="dxa"/>
            <w:vAlign w:val="bottom"/>
          </w:tcPr>
          <w:p>
            <w:pPr>
              <w:spacing w:after="0"/>
              <w:rPr>
                <w:sz w:val="1"/>
                <w:szCs w:val="1"/>
                <w:color w:val="auto"/>
              </w:rPr>
            </w:pPr>
          </w:p>
        </w:tc>
      </w:tr>
      <w:tr>
        <w:trPr>
          <w:trHeight w:val="186"/>
        </w:trPr>
        <w:tc>
          <w:tcPr>
            <w:tcW w:w="540" w:type="dxa"/>
            <w:vAlign w:val="bottom"/>
            <w:vMerge w:val="continue"/>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lessor or similar party</w:t>
            </w:r>
          </w:p>
        </w:tc>
        <w:tc>
          <w:tcPr>
            <w:tcW w:w="540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par or maturity value</w:t>
            </w:r>
          </w:p>
        </w:tc>
        <w:tc>
          <w:tcPr>
            <w:tcW w:w="13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United Technologies Corporation</w:t>
      </w:r>
    </w:p>
    <w:p>
      <w:pPr>
        <w:spacing w:after="0" w:line="12" w:lineRule="exact"/>
        <w:rPr>
          <w:sz w:val="20"/>
          <w:szCs w:val="20"/>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Savings Plan Master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Trust</w:t>
            </w:r>
          </w:p>
        </w:tc>
        <w:tc>
          <w:tcPr>
            <w:tcW w:w="5860" w:type="dxa"/>
            <w:vAlign w:val="bottom"/>
          </w:tcPr>
          <w:p>
            <w:pPr>
              <w:ind w:left="760"/>
              <w:spacing w:after="0"/>
              <w:rPr>
                <w:sz w:val="20"/>
                <w:szCs w:val="20"/>
                <w:color w:val="auto"/>
              </w:rPr>
            </w:pPr>
            <w:r>
              <w:rPr>
                <w:rFonts w:ascii="Arial" w:cs="Arial" w:eastAsia="Arial" w:hAnsi="Arial"/>
                <w:sz w:val="18"/>
                <w:szCs w:val="18"/>
                <w:color w:val="auto"/>
              </w:rPr>
              <w:t>Interest in Master Trust investment accounts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20,658,223,871</w:t>
            </w:r>
          </w:p>
        </w:tc>
      </w:tr>
      <w:tr>
        <w:trPr>
          <w:trHeight w:val="241"/>
        </w:trPr>
        <w:tc>
          <w:tcPr>
            <w:tcW w:w="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860" w:type="dxa"/>
            <w:vAlign w:val="bottom"/>
          </w:tcPr>
          <w:p>
            <w:pPr>
              <w:ind w:left="760"/>
              <w:spacing w:after="0"/>
              <w:rPr>
                <w:sz w:val="20"/>
                <w:szCs w:val="20"/>
                <w:color w:val="auto"/>
              </w:rPr>
            </w:pPr>
            <w:r>
              <w:rPr>
                <w:rFonts w:ascii="Arial" w:cs="Arial" w:eastAsia="Arial" w:hAnsi="Arial"/>
                <w:sz w:val="18"/>
                <w:szCs w:val="18"/>
                <w:color w:val="auto"/>
              </w:rPr>
              <w:t>Notes receivable from participants collateralized by participant</w:t>
            </w: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860" w:type="dxa"/>
            <w:vAlign w:val="bottom"/>
          </w:tcPr>
          <w:p>
            <w:pPr>
              <w:ind w:left="760"/>
              <w:spacing w:after="0"/>
              <w:rPr>
                <w:sz w:val="20"/>
                <w:szCs w:val="20"/>
                <w:color w:val="auto"/>
              </w:rPr>
            </w:pPr>
            <w:r>
              <w:rPr>
                <w:rFonts w:ascii="Arial" w:cs="Arial" w:eastAsia="Arial" w:hAnsi="Arial"/>
                <w:sz w:val="18"/>
                <w:szCs w:val="18"/>
                <w:color w:val="auto"/>
                <w:w w:val="98"/>
              </w:rPr>
              <w:t>balances, interest ranging from 0.81 percent to 11 percent, terms</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180" w:type="dxa"/>
            <w:vAlign w:val="bottom"/>
          </w:tcPr>
          <w:p>
            <w:pPr>
              <w:ind w:left="180"/>
              <w:spacing w:after="0"/>
              <w:rPr>
                <w:sz w:val="20"/>
                <w:szCs w:val="20"/>
                <w:color w:val="auto"/>
              </w:rPr>
            </w:pPr>
            <w:r>
              <w:rPr>
                <w:rFonts w:ascii="Arial" w:cs="Arial" w:eastAsia="Arial" w:hAnsi="Arial"/>
                <w:sz w:val="18"/>
                <w:szCs w:val="18"/>
                <w:color w:val="auto"/>
              </w:rPr>
              <w:t>Plan Participants</w:t>
            </w:r>
          </w:p>
        </w:tc>
        <w:tc>
          <w:tcPr>
            <w:tcW w:w="5860" w:type="dxa"/>
            <w:vAlign w:val="bottom"/>
          </w:tcPr>
          <w:p>
            <w:pPr>
              <w:ind w:left="760"/>
              <w:spacing w:after="0"/>
              <w:rPr>
                <w:sz w:val="20"/>
                <w:szCs w:val="20"/>
                <w:color w:val="auto"/>
              </w:rPr>
            </w:pPr>
            <w:r>
              <w:rPr>
                <w:rFonts w:ascii="Arial" w:cs="Arial" w:eastAsia="Arial" w:hAnsi="Arial"/>
                <w:sz w:val="18"/>
                <w:szCs w:val="18"/>
                <w:color w:val="auto"/>
              </w:rPr>
              <w:t>ranging from 1 year to 15 years</w:t>
            </w:r>
          </w:p>
        </w:tc>
        <w:tc>
          <w:tcPr>
            <w:tcW w:w="54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168,650,595</w:t>
            </w:r>
          </w:p>
        </w:tc>
      </w:tr>
      <w:tr>
        <w:trPr>
          <w:trHeight w:val="27"/>
        </w:trPr>
        <w:tc>
          <w:tcPr>
            <w:tcW w:w="3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5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20,826,874,466</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right"/>
        <w:ind w:left="5620" w:right="5620" w:hanging="5585"/>
        <w:spacing w:after="0" w:line="694" w:lineRule="auto"/>
        <w:tabs>
          <w:tab w:leader="none" w:pos="49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Indicates an identified person known to be a party-in-interest to the Plan. 19</w:t>
      </w:r>
    </w:p>
    <w:p>
      <w:pPr>
        <w:sectPr>
          <w:pgSz w:w="11900" w:h="16838" w:orient="portrait"/>
          <w:cols w:equalWidth="0" w:num="1">
            <w:col w:w="11420"/>
          </w:cols>
          <w:pgMar w:left="240" w:top="580" w:right="239" w:bottom="1440" w:gutter="0" w:footer="0" w:header="0"/>
        </w:sectPr>
      </w:pPr>
    </w:p>
    <w:bookmarkStart w:id="19" w:name="page20"/>
    <w:bookmarkEnd w:id="19"/>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(or persons who administer the employee benefit plan), pursuant to the requirements of the Securities Exchange Act of 1934,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EMPLOYEE SAVINGS PLAN</w:t>
      </w:r>
    </w:p>
    <w:p>
      <w:pPr>
        <w:spacing w:after="0" w:line="373" w:lineRule="exact"/>
        <w:rPr>
          <w:sz w:val="20"/>
          <w:szCs w:val="20"/>
          <w:color w:val="auto"/>
        </w:rPr>
      </w:pPr>
    </w:p>
    <w:p>
      <w:pPr>
        <w:ind w:left="40"/>
        <w:spacing w:after="0"/>
        <w:tabs>
          <w:tab w:leader="none" w:pos="700" w:val="left"/>
          <w:tab w:leader="none" w:pos="4360" w:val="left"/>
          <w:tab w:leader="none" w:pos="5260" w:val="left"/>
        </w:tabs>
        <w:rPr>
          <w:sz w:val="20"/>
          <w:szCs w:val="20"/>
          <w:color w:val="auto"/>
        </w:rPr>
      </w:pPr>
      <w:r>
        <w:rPr>
          <w:rFonts w:ascii="Arial" w:cs="Arial" w:eastAsia="Arial" w:hAnsi="Arial"/>
          <w:sz w:val="18"/>
          <w:szCs w:val="18"/>
          <w:color w:val="auto"/>
        </w:rPr>
        <w:t>Dated:</w:t>
        <w:tab/>
        <w:t>June 20,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ATALIE</w:t>
      </w:r>
      <w:r>
        <w:rPr>
          <w:rFonts w:ascii="Arial" w:cs="Arial" w:eastAsia="Arial" w:hAnsi="Arial"/>
          <w:sz w:val="17"/>
          <w:szCs w:val="17"/>
          <w:color w:val="auto"/>
        </w:rPr>
        <w:t xml:space="preserve"> M</w:t>
      </w:r>
      <w:r>
        <w:rPr>
          <w:rFonts w:ascii="Arial" w:cs="Arial" w:eastAsia="Arial" w:hAnsi="Arial"/>
          <w:sz w:val="13"/>
          <w:szCs w:val="13"/>
          <w:color w:val="auto"/>
        </w:rPr>
        <w:t>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Natalie Morris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Director, Employee Benefits and Human Resources Systems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United Technologies Corporation</w:t>
      </w: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580" w:right="479" w:bottom="1440" w:gutter="0" w:footer="0" w:header="0"/>
        </w:sectPr>
      </w:pPr>
    </w:p>
    <w:bookmarkStart w:id="20" w:name="page21"/>
    <w:bookmarkEnd w:id="20"/>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ind w:right="5219" w:firstLine="184"/>
        <w:spacing w:after="0" w:line="449" w:lineRule="auto"/>
        <w:tabs>
          <w:tab w:leader="none" w:pos="513"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 * * Submitted electronically herewith.</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179"/>
          </w:cols>
          <w:pgMar w:left="280" w:top="580"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75"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8 (Nos. 333-110020 and 333-177520) of United Technologies Corporation of our report dated June 20, 2014 relating to the financial statements of the United Technologies Corporation Employee Savings Plan, which appears in this Form 11-K.</w:t>
      </w: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2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2019-12-05T15:01:18Z</dcterms:created>
  <dcterms:modified xsi:type="dcterms:W3CDTF">2019-12-05T15:01:18Z</dcterms:modified>
</cp:coreProperties>
</file>