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SCHEDULE 14A INFORMATION</w:t>
      </w:r>
    </w:p>
    <w:p>
      <w:pPr>
        <w:spacing w:after="0" w:line="175" w:lineRule="exact"/>
        <w:rPr>
          <w:sz w:val="24"/>
          <w:szCs w:val="24"/>
          <w:color w:val="auto"/>
        </w:rPr>
      </w:pPr>
    </w:p>
    <w:p>
      <w:pPr>
        <w:ind w:left="1400"/>
        <w:spacing w:after="0"/>
        <w:rPr>
          <w:sz w:val="20"/>
          <w:szCs w:val="20"/>
          <w:color w:val="auto"/>
        </w:rPr>
      </w:pPr>
      <w:r>
        <w:rPr>
          <w:rFonts w:ascii="Courier New" w:cs="Courier New" w:eastAsia="Courier New" w:hAnsi="Courier New"/>
          <w:sz w:val="14"/>
          <w:szCs w:val="14"/>
          <w:color w:val="auto"/>
        </w:rPr>
        <w:t>Proxy Statement Pursuant to Section 14(a) of the</w:t>
      </w:r>
    </w:p>
    <w:p>
      <w:pPr>
        <w:spacing w:after="0" w:line="8"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Securities Exchange Act of 1934</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8" w:lineRule="exact"/>
        <w:rPr>
          <w:sz w:val="24"/>
          <w:szCs w:val="24"/>
          <w:color w:val="auto"/>
        </w:rPr>
      </w:pPr>
    </w:p>
    <w:p>
      <w:pPr>
        <w:spacing w:after="0"/>
        <w:tabs>
          <w:tab w:leader="none" w:pos="3980" w:val="left"/>
        </w:tabs>
        <w:rPr>
          <w:sz w:val="20"/>
          <w:szCs w:val="20"/>
          <w:color w:val="auto"/>
        </w:rPr>
      </w:pPr>
      <w:r>
        <w:rPr>
          <w:rFonts w:ascii="Courier New" w:cs="Courier New" w:eastAsia="Courier New" w:hAnsi="Courier New"/>
          <w:sz w:val="14"/>
          <w:szCs w:val="14"/>
          <w:color w:val="auto"/>
        </w:rPr>
        <w:t>Filed by a Party other than the Registrant [</w:t>
      </w:r>
      <w:r>
        <w:rPr>
          <w:sz w:val="20"/>
          <w:szCs w:val="20"/>
          <w:color w:val="auto"/>
        </w:rPr>
        <w:tab/>
      </w:r>
      <w:r>
        <w:rPr>
          <w:rFonts w:ascii="Courier New" w:cs="Courier New" w:eastAsia="Courier New" w:hAnsi="Courier New"/>
          <w:sz w:val="13"/>
          <w:szCs w:val="13"/>
          <w:color w:val="auto"/>
        </w:rPr>
        <w:t>]</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8" w:lineRule="exact"/>
        <w:rPr>
          <w:sz w:val="24"/>
          <w:szCs w:val="24"/>
          <w:color w:val="auto"/>
        </w:rPr>
      </w:pPr>
    </w:p>
    <w:p>
      <w:pPr>
        <w:ind w:left="440" w:hanging="431"/>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Preliminary Proxy Statement</w:t>
      </w:r>
    </w:p>
    <w:p>
      <w:pPr>
        <w:spacing w:after="0" w:line="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Confidential, for use of the Commission only</w:t>
      </w:r>
    </w:p>
    <w:p>
      <w:pPr>
        <w:spacing w:after="0" w:line="8"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(as permitted by Rule 14a-6(e)(2))</w:t>
      </w:r>
    </w:p>
    <w:p>
      <w:pPr>
        <w:spacing w:after="0" w:line="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Definitive Proxy Statement</w:t>
      </w:r>
    </w:p>
    <w:p>
      <w:pPr>
        <w:spacing w:after="0" w:line="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Definitive Additional Materials</w:t>
      </w:r>
    </w:p>
    <w:p>
      <w:pPr>
        <w:spacing w:after="0" w:line="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Soliciting Material Pursuant to Rule 14a-11(c) or Rule 14a-12</w:t>
      </w:r>
    </w:p>
    <w:p>
      <w:pPr>
        <w:spacing w:after="0" w:line="175"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RAYTHEON COMPANY</w:t>
      </w:r>
    </w:p>
    <w:p>
      <w:pPr>
        <w:spacing w:after="0" w:line="8" w:lineRule="exact"/>
        <w:rPr>
          <w:sz w:val="24"/>
          <w:szCs w:val="2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75" w:lineRule="exact"/>
        <w:rPr>
          <w:sz w:val="24"/>
          <w:szCs w:val="24"/>
          <w:color w:val="auto"/>
        </w:rPr>
      </w:pPr>
    </w:p>
    <w:p>
      <w:pPr>
        <w:ind w:left="3400"/>
        <w:spacing w:after="0"/>
        <w:rPr>
          <w:sz w:val="20"/>
          <w:szCs w:val="20"/>
          <w:color w:val="auto"/>
        </w:rPr>
      </w:pPr>
      <w:r>
        <w:rPr>
          <w:rFonts w:ascii="Courier New" w:cs="Courier New" w:eastAsia="Courier New" w:hAnsi="Courier New"/>
          <w:sz w:val="14"/>
          <w:szCs w:val="14"/>
          <w:color w:val="auto"/>
        </w:rPr>
        <w:t>N/A</w:t>
      </w:r>
    </w:p>
    <w:p>
      <w:pPr>
        <w:spacing w:after="0" w:line="8" w:lineRule="exact"/>
        <w:rPr>
          <w:sz w:val="24"/>
          <w:szCs w:val="24"/>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 No fee required.</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Fee computed on table below per Exchange Act Rules 14a-6(i)(1) and 0-11.</w:t>
      </w:r>
    </w:p>
    <w:p>
      <w:pPr>
        <w:spacing w:after="0" w:line="175" w:lineRule="exact"/>
        <w:rPr>
          <w:sz w:val="24"/>
          <w:szCs w:val="24"/>
          <w:color w:val="auto"/>
        </w:rPr>
      </w:pPr>
    </w:p>
    <w:p>
      <w:pPr>
        <w:ind w:left="520" w:hanging="511"/>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520" w:hanging="511"/>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right="3379" w:firstLine="9"/>
        <w:spacing w:after="0" w:line="252" w:lineRule="auto"/>
        <w:tabs>
          <w:tab w:leader="none" w:pos="2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8"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8"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Fee paid previously with preliminary materials.</w:t>
      </w:r>
    </w:p>
    <w:p>
      <w:pPr>
        <w:spacing w:after="0" w:line="8" w:lineRule="exact"/>
        <w:rPr>
          <w:sz w:val="24"/>
          <w:szCs w:val="24"/>
          <w:color w:val="auto"/>
        </w:rPr>
      </w:pPr>
    </w:p>
    <w:p>
      <w:pPr>
        <w:ind w:right="3379" w:firstLine="9"/>
        <w:spacing w:after="0" w:line="252" w:lineRule="auto"/>
        <w:tabs>
          <w:tab w:leader="none" w:pos="17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Courier New" w:cs="Courier New" w:eastAsia="Courier New" w:hAnsi="Courier New"/>
          <w:sz w:val="14"/>
          <w:szCs w:val="14"/>
          <w:color w:val="auto"/>
        </w:rPr>
      </w:pPr>
    </w:p>
    <w:p>
      <w:pPr>
        <w:ind w:left="1060" w:hanging="530"/>
        <w:spacing w:after="0"/>
        <w:tabs>
          <w:tab w:leader="none" w:pos="106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8" w:lineRule="exact"/>
        <w:rPr>
          <w:sz w:val="24"/>
          <w:szCs w:val="24"/>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520"/>
        <w:spacing w:after="0"/>
        <w:tabs>
          <w:tab w:leader="none" w:pos="1040" w:val="left"/>
        </w:tabs>
        <w:rPr>
          <w:sz w:val="20"/>
          <w:szCs w:val="20"/>
          <w:color w:val="auto"/>
        </w:rPr>
      </w:pP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Form, Schedule or Registration Statement No.:</w:t>
      </w:r>
    </w:p>
    <w:p>
      <w:pPr>
        <w:spacing w:after="0" w:line="8" w:lineRule="exact"/>
        <w:rPr>
          <w:sz w:val="24"/>
          <w:szCs w:val="24"/>
          <w:color w:val="auto"/>
        </w:rPr>
      </w:pPr>
    </w:p>
    <w:p>
      <w:pPr>
        <w:ind w:left="5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520"/>
        <w:spacing w:after="0"/>
        <w:tabs>
          <w:tab w:leader="none" w:pos="104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Filing Party:</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520"/>
        <w:spacing w:after="0"/>
        <w:tabs>
          <w:tab w:leader="none" w:pos="104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Date Filed:</w:t>
      </w:r>
    </w:p>
    <w:p>
      <w:pPr>
        <w:spacing w:after="0" w:line="8"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left="180" w:hanging="171"/>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RAYTHEON</w:t>
      </w:r>
    </w:p>
    <w:p>
      <w:pPr>
        <w:spacing w:after="0" w:line="342" w:lineRule="exact"/>
        <w:rPr>
          <w:sz w:val="24"/>
          <w:szCs w:val="24"/>
          <w:color w:val="auto"/>
        </w:rPr>
      </w:pPr>
    </w:p>
    <w:p>
      <w:pPr>
        <w:ind w:left="51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NOTICE OF ANNUAL MEETING OF STOCKHOLDERS</w:t>
      </w:r>
    </w:p>
    <w:p>
      <w:pPr>
        <w:spacing w:after="0" w:line="175"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To Be Held April 25, 2001</w:t>
      </w:r>
    </w:p>
    <w:p>
      <w:pPr>
        <w:spacing w:after="0" w:line="175" w:lineRule="exact"/>
        <w:rPr>
          <w:sz w:val="24"/>
          <w:szCs w:val="24"/>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The annual meeting of stockholders of Raytheon Company will be held at Raytheon's Executive Offices, 141 Spring Street, Lexington, Massachusetts, 02421 at 10:00 a.m. Eastern Time on Wednesday, April 25, 2001 for the following purposes:</w:t>
      </w:r>
    </w:p>
    <w:p>
      <w:pPr>
        <w:spacing w:after="0" w:line="163" w:lineRule="exact"/>
        <w:rPr>
          <w:sz w:val="24"/>
          <w:szCs w:val="24"/>
          <w:color w:val="auto"/>
        </w:rPr>
      </w:pPr>
    </w:p>
    <w:p>
      <w:pPr>
        <w:ind w:left="520" w:hanging="511"/>
        <w:spacing w:after="0"/>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six Directors whose terms are described in the proxy statement;</w:t>
      </w:r>
    </w:p>
    <w:p>
      <w:pPr>
        <w:spacing w:after="0" w:line="175" w:lineRule="exact"/>
        <w:rPr>
          <w:rFonts w:ascii="Courier New" w:cs="Courier New" w:eastAsia="Courier New" w:hAnsi="Courier New"/>
          <w:sz w:val="14"/>
          <w:szCs w:val="14"/>
          <w:color w:val="auto"/>
        </w:rPr>
      </w:pPr>
    </w:p>
    <w:p>
      <w:pPr>
        <w:ind w:left="520" w:right="3279" w:hanging="511"/>
        <w:spacing w:after="0" w:line="255" w:lineRule="auto"/>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on a proposal to amend the Company's Restated Certificate of Incorporation to effect a reverse stock split followed by a forward stock split of the Company's Class A and Class B common stock;</w:t>
      </w:r>
    </w:p>
    <w:p>
      <w:pPr>
        <w:spacing w:after="0" w:line="162" w:lineRule="exact"/>
        <w:rPr>
          <w:rFonts w:ascii="Courier New" w:cs="Courier New" w:eastAsia="Courier New" w:hAnsi="Courier New"/>
          <w:sz w:val="14"/>
          <w:szCs w:val="14"/>
          <w:color w:val="auto"/>
        </w:rPr>
      </w:pPr>
    </w:p>
    <w:p>
      <w:pPr>
        <w:ind w:left="520" w:right="3279" w:hanging="511"/>
        <w:spacing w:after="0" w:line="255" w:lineRule="auto"/>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on a proposal to amend the Company's Restated Certificate of Incorporation to reclassify the Company's Class A and Class B common stock into a single new class of common stock;</w:t>
      </w:r>
    </w:p>
    <w:p>
      <w:pPr>
        <w:spacing w:after="0" w:line="162"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Raytheon Company 2001 Stock Plan; and</w:t>
      </w:r>
    </w:p>
    <w:p>
      <w:pPr>
        <w:spacing w:after="0" w:line="175" w:lineRule="exact"/>
        <w:rPr>
          <w:rFonts w:ascii="Courier New" w:cs="Courier New" w:eastAsia="Courier New" w:hAnsi="Courier New"/>
          <w:sz w:val="14"/>
          <w:szCs w:val="14"/>
          <w:color w:val="auto"/>
        </w:rPr>
      </w:pPr>
    </w:p>
    <w:p>
      <w:pPr>
        <w:ind w:left="520" w:right="3539" w:hanging="511"/>
        <w:spacing w:after="0" w:line="255" w:lineRule="auto"/>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such other business, including stockholder proposals if presented by their proponents, as may properly come before the meeting or any adjournment thereof.</w:t>
      </w:r>
    </w:p>
    <w:p>
      <w:pPr>
        <w:sectPr>
          <w:pgSz w:w="11900" w:h="16838" w:orient="portrait"/>
          <w:cols w:equalWidth="0" w:num="1">
            <w:col w:w="10239"/>
          </w:cols>
          <w:pgMar w:left="220" w:top="564" w:right="1440" w:bottom="0" w:gutter="0" w:footer="0" w:header="0"/>
        </w:sectPr>
      </w:pPr>
    </w:p>
    <w:bookmarkStart w:id="1" w:name="page2"/>
    <w:bookmarkEnd w:id="1"/>
    <w:p>
      <w:pPr>
        <w:ind w:right="3279" w:firstLine="1042"/>
        <w:spacing w:after="0" w:line="258" w:lineRule="auto"/>
        <w:rPr>
          <w:sz w:val="20"/>
          <w:szCs w:val="20"/>
          <w:color w:val="auto"/>
        </w:rPr>
      </w:pPr>
      <w:r>
        <w:rPr>
          <w:rFonts w:ascii="Courier New" w:cs="Courier New" w:eastAsia="Courier New" w:hAnsi="Courier New"/>
          <w:sz w:val="14"/>
          <w:szCs w:val="14"/>
          <w:color w:val="auto"/>
        </w:rPr>
        <w:t>Stockholders of record at the close of business on March 8, 2001 are entitled to notice of and to vote at the meeting.</w:t>
      </w:r>
    </w:p>
    <w:p>
      <w:pPr>
        <w:spacing w:after="0" w:line="160"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YOUR VOTE IS IMPORTANT. You can vote your shares by completing and returning the proxy card sent to you. Most stockholders can also vote their shares over the Internet or by telephone. Please check your proxy card or the information forwarded by your bank, broker or other holder of record to see which options are available to you. You can revoke a proxy at any time prior to its exercise by following the instructions in the proxy statement.</w:t>
      </w:r>
    </w:p>
    <w:p>
      <w:pPr>
        <w:spacing w:after="0" w:line="16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342" w:lineRule="exact"/>
        <w:rPr>
          <w:sz w:val="20"/>
          <w:szCs w:val="20"/>
          <w:color w:val="auto"/>
        </w:rPr>
      </w:pPr>
    </w:p>
    <w:p>
      <w:pPr>
        <w:ind w:left="3140"/>
        <w:spacing w:after="0"/>
        <w:tabs>
          <w:tab w:leader="none" w:pos="3640" w:val="left"/>
        </w:tabs>
        <w:rPr>
          <w:sz w:val="20"/>
          <w:szCs w:val="20"/>
          <w:color w:val="auto"/>
        </w:rPr>
      </w:pPr>
      <w:r>
        <w:rPr>
          <w:rFonts w:ascii="Courier New" w:cs="Courier New" w:eastAsia="Courier New" w:hAnsi="Courier New"/>
          <w:sz w:val="14"/>
          <w:szCs w:val="14"/>
          <w:color w:val="auto"/>
        </w:rPr>
        <w:t>/s/</w:t>
        <w:tab/>
        <w:t>John W. Kapples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John W. Kapples</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Secretary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Lexington, Massachusetts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[Month][Date], 2001</w:t>
      </w:r>
    </w:p>
    <w:p>
      <w:pPr>
        <w:sectPr>
          <w:pgSz w:w="11900" w:h="16838" w:orient="portrait"/>
          <w:cols w:equalWidth="0" w:num="1">
            <w:col w:w="10239"/>
          </w:cols>
          <w:pgMar w:left="220" w:top="308" w:right="1440" w:bottom="1440" w:gutter="0" w:footer="0" w:header="0"/>
        </w:sectPr>
      </w:pPr>
    </w:p>
    <w:bookmarkStart w:id="2" w:name="page3"/>
    <w:bookmarkEnd w:id="2"/>
    <w:p>
      <w:pPr>
        <w:jc w:val="center"/>
        <w:ind w:right="3279"/>
        <w:spacing w:after="0"/>
        <w:rPr>
          <w:sz w:val="20"/>
          <w:szCs w:val="20"/>
          <w:color w:val="auto"/>
        </w:rPr>
      </w:pPr>
      <w:r>
        <w:rPr>
          <w:rFonts w:ascii="Courier New" w:cs="Courier New" w:eastAsia="Courier New" w:hAnsi="Courier New"/>
          <w:sz w:val="14"/>
          <w:szCs w:val="14"/>
          <w:color w:val="auto"/>
        </w:rPr>
        <w:t>RAYTHEON COMPANY</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141 Spring Street, Lexington, Massachusetts 02421</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PROXY STATEMENT FOR ANNUAL MEETING OF STOCKHOLDERS</w:t>
      </w:r>
    </w:p>
    <w:p>
      <w:pPr>
        <w:spacing w:after="0" w:line="175" w:lineRule="exact"/>
        <w:rPr>
          <w:sz w:val="20"/>
          <w:szCs w:val="20"/>
          <w:color w:val="auto"/>
        </w:rPr>
      </w:pPr>
    </w:p>
    <w:p>
      <w:pPr>
        <w:ind w:right="3719" w:firstLine="1042"/>
        <w:spacing w:after="0" w:line="254" w:lineRule="auto"/>
        <w:rPr>
          <w:sz w:val="20"/>
          <w:szCs w:val="20"/>
          <w:color w:val="auto"/>
        </w:rPr>
      </w:pPr>
      <w:r>
        <w:rPr>
          <w:rFonts w:ascii="Courier New" w:cs="Courier New" w:eastAsia="Courier New" w:hAnsi="Courier New"/>
          <w:sz w:val="14"/>
          <w:szCs w:val="14"/>
          <w:color w:val="auto"/>
        </w:rPr>
        <w:t>We are providing these proxy materials in connection with the solicitation by the Board of Directors of Raytheon Company of proxies to be voted at the 2001 annual meeting of stockholders of the company and at any meeting following adjournment thereof.</w:t>
      </w:r>
    </w:p>
    <w:p>
      <w:pPr>
        <w:spacing w:after="0" w:line="163"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You are cordially invited to attend Raytheon's annual meeting on April 25, 2001 beginning at 10:00 a.m. Eastern Time. Stockholders will be admitted beginning at 9:30 a.m. The meeting will be held at Raytheon's Executive Offices, 141 Spring Street, Lexington, Massachusetts 02421.</w:t>
      </w:r>
    </w:p>
    <w:p>
      <w:pPr>
        <w:spacing w:after="0" w:line="163"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We are first mailing this proxy statement and accompanying forms of proxy and voting instructions on or about [ ] [ ], 2001 to holders of Raytheon's Class A common shares and Class B common shares as of March 8, 2001, the record date for the meeting.</w:t>
      </w:r>
    </w:p>
    <w:p>
      <w:pPr>
        <w:spacing w:after="0" w:line="163"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You will need an admission ticket to enter the meeting. If you are a stockholder of record, you will find an admission ticket attached to the proxy card sent to you. If you plan to attend the meeting in person, please detach the admission ticket from the proxy card and bring it with you to the meeting. Directions to the meeting are printed on the admission ticket.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If your</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shares are held in</w:t>
            </w:r>
          </w:p>
        </w:tc>
        <w:tc>
          <w:tcPr>
            <w:tcW w:w="2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name of a bank, broker or</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other</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holder of</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record and</w:t>
            </w:r>
          </w:p>
        </w:tc>
        <w:tc>
          <w:tcPr>
            <w:tcW w:w="52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you plan to attend the meeting in person, you may obtain an</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admission</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ticket in</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advance by sending</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a written request,</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along with</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proof of</w:t>
            </w:r>
          </w:p>
        </w:tc>
      </w:tr>
      <w:tr>
        <w:trPr>
          <w:trHeight w:val="167"/>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ownership, such as a</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bank or brokerage</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account statement,</w:t>
            </w:r>
          </w:p>
        </w:tc>
        <w:tc>
          <w:tcPr>
            <w:tcW w:w="19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to the company's</w:t>
            </w:r>
          </w:p>
        </w:tc>
      </w:tr>
    </w:tbl>
    <w:p>
      <w:pPr>
        <w:spacing w:after="0" w:line="4"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transfer agent, EquiServe L.P., 150 Royall Street, Canton, Massachusetts 02021. If you arrive at the meeting without an admission ticket, we will admit you if we are able to verify that you are a Raytheon stockholder.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PROXIES AND VOTING PROCEDURES</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Your vote is important. Because many stockholders cannot personally attend the meeting, it is necessary that a large number be represented by proxy. Most stockholders have a choice of voting over the Internet, by using a toll-free telephone number or by completing a proxy card and mailing it in the postage-paid envelope provided. Please check your proxy card or the information forwarded by your bank, broker or other holder of record to see which options are available to you. Please be aware that if you vote over the Internet, you may incur costs such as telecommunication and Internet access charges for which you will be responsible. The Internet and telephone voting facilities for stockholders of record will close at 11:00 p.m. Eastern Time on April 24, 2001. The Internet and telephone voting procedures have been designed to authenticate stockholders by use of a control number and to allow you to vote your shares and to confirm that your instructions have been properly recorded.</w:t>
      </w:r>
    </w:p>
    <w:p>
      <w:pPr>
        <w:spacing w:after="0" w:line="163"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There will be two proxy cards for this year's meeting: one card to vote Class A shares and a separate card to vote Class B shares. If you own both Class A shares and Class B shares, you will receive two proxy cards. If you receive a proxy card for Class A shares and a proxy card for Class B shares, you must vote both proxies by using the Internet or the toll-free</w:t>
      </w:r>
    </w:p>
    <w:p>
      <w:pPr>
        <w:sectPr>
          <w:pgSz w:w="11900" w:h="16838" w:orient="portrait"/>
          <w:cols w:equalWidth="0" w:num="1">
            <w:col w:w="10239"/>
          </w:cols>
          <w:pgMar w:left="220" w:top="620" w:right="1440" w:bottom="1440" w:gutter="0" w:footer="0" w:header="0"/>
        </w:sectPr>
      </w:pPr>
    </w:p>
    <w:bookmarkStart w:id="3" w:name="page4"/>
    <w:bookmarkEnd w:id="3"/>
    <w:p>
      <w:pPr>
        <w:ind w:right="3459"/>
        <w:spacing w:after="0" w:line="255" w:lineRule="auto"/>
        <w:rPr>
          <w:sz w:val="20"/>
          <w:szCs w:val="20"/>
          <w:color w:val="auto"/>
        </w:rPr>
      </w:pPr>
      <w:r>
        <w:rPr>
          <w:rFonts w:ascii="Courier New" w:cs="Courier New" w:eastAsia="Courier New" w:hAnsi="Courier New"/>
          <w:sz w:val="14"/>
          <w:szCs w:val="14"/>
          <w:color w:val="auto"/>
        </w:rPr>
        <w:t>telephone number, or by completing both proxy cards and mailing them in the postage-paid envelope provided, in order for all of your shares to be voted at the meeting.</w:t>
      </w:r>
    </w:p>
    <w:p>
      <w:pPr>
        <w:spacing w:after="0" w:line="162"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You can revoke your proxy at any time before it is exercised by timely delivery of a properly executed, later-dated proxy (including an Internet or telephone vote) or by voting by ballot at the meeting. By providing your voting instructions promptly, you may save the company the expense of a second mailing.</w:t>
      </w:r>
    </w:p>
    <w:p>
      <w:pPr>
        <w:spacing w:after="0" w:line="330"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The method by which you vote will not limit your right to vote at the meeting if you later decide to attend in person. If your shares are held in the name of a bank, broker or other holder of record, you must obtain a proxy, executed in your favor, from the holder of record to be able to vote at the meeting.</w:t>
      </w:r>
    </w:p>
    <w:p>
      <w:pPr>
        <w:spacing w:after="0" w:line="162"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All shares entitled to vote and represented by properly executed proxies received prior to the meeting and not revoked will be voted at the meeting in accordance with your instructions. If you do not indicate how your shares should be voted on a matter, the shares represented by your proxy will be voted as the Board of Directors recommends.</w:t>
      </w:r>
    </w:p>
    <w:p>
      <w:pPr>
        <w:spacing w:after="0" w:line="162"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If any other matters are properly presented at the meeting for consideration, including, among other things, consideration of a motion to adjourn the meeting to another time or place, the persons named in the enclosed form of proxy and acting thereunder will have discretion to vote on those matters according to their best judgment to the same extent as the person signing the proxy would be entitled to vote. At the date this proxy statement went to press, we did not anticipate that any other matters would be raised at the meeting.</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ENTITLED TO VOTE</w:t>
      </w:r>
    </w:p>
    <w:p>
      <w:pPr>
        <w:spacing w:after="0" w:line="175" w:lineRule="exact"/>
        <w:rPr>
          <w:sz w:val="20"/>
          <w:szCs w:val="20"/>
          <w:color w:val="auto"/>
        </w:rPr>
      </w:pPr>
    </w:p>
    <w:p>
      <w:pPr>
        <w:ind w:right="3279" w:firstLine="1042"/>
        <w:spacing w:after="0" w:line="252" w:lineRule="auto"/>
        <w:rPr>
          <w:sz w:val="20"/>
          <w:szCs w:val="20"/>
          <w:color w:val="auto"/>
        </w:rPr>
      </w:pPr>
      <w:r>
        <w:rPr>
          <w:rFonts w:ascii="Courier New" w:cs="Courier New" w:eastAsia="Courier New" w:hAnsi="Courier New"/>
          <w:sz w:val="14"/>
          <w:szCs w:val="14"/>
          <w:color w:val="auto"/>
        </w:rPr>
        <w:t>Stockholders at the close of business on the record date are entitled to notice of and to vote at the meeting. On March 8, 2001, there were [</w:t>
      </w:r>
    </w:p>
    <w:p>
      <w:pPr>
        <w:spacing w:after="0" w:line="1" w:lineRule="exact"/>
        <w:rPr>
          <w:sz w:val="20"/>
          <w:szCs w:val="20"/>
          <w:color w:val="auto"/>
        </w:rPr>
      </w:pPr>
    </w:p>
    <w:p>
      <w:pPr>
        <w:ind w:right="3539" w:firstLine="9"/>
        <w:spacing w:after="0" w:line="258" w:lineRule="auto"/>
        <w:tabs>
          <w:tab w:leader="none" w:pos="17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shares outstanding, consisting of [ ] Class A shares and [ ] Class B shares.</w:t>
      </w:r>
    </w:p>
    <w:p>
      <w:pPr>
        <w:spacing w:after="0" w:line="160"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If you are a participant in Raytheon's Dividend Reinvestment and Stock Purchase Plan, common shares held in your account are included on, and may be voted using, the proxy card(s) sent to you. The plan's administrator is the stockholder of record of your dividend reinvestment plan shares and will not vote those shares unless you provide instructions, which you can do over the Internet, by telephone or by using the proxy card(s) sent to you.</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 w:type="dxa"/>
            <w:vAlign w:val="bottom"/>
          </w:tcPr>
          <w:p>
            <w:pPr>
              <w:spacing w:after="0"/>
              <w:rPr>
                <w:sz w:val="14"/>
                <w:szCs w:val="14"/>
                <w:color w:val="auto"/>
              </w:rPr>
            </w:pPr>
          </w:p>
        </w:tc>
        <w:tc>
          <w:tcPr>
            <w:tcW w:w="1000" w:type="dxa"/>
            <w:vAlign w:val="bottom"/>
          </w:tcPr>
          <w:p>
            <w:pPr>
              <w:ind w:left="740"/>
              <w:spacing w:after="0"/>
              <w:rPr>
                <w:sz w:val="20"/>
                <w:szCs w:val="20"/>
                <w:color w:val="auto"/>
              </w:rPr>
            </w:pPr>
            <w:r>
              <w:rPr>
                <w:rFonts w:ascii="Courier New" w:cs="Courier New" w:eastAsia="Courier New" w:hAnsi="Courier New"/>
                <w:sz w:val="14"/>
                <w:szCs w:val="14"/>
                <w:color w:val="auto"/>
              </w:rPr>
              <w:t>If</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you</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are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a</w:t>
            </w:r>
          </w:p>
        </w:tc>
        <w:tc>
          <w:tcPr>
            <w:tcW w:w="31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participant in the Raytheon Savings</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and Investment</w:t>
            </w:r>
          </w:p>
        </w:tc>
      </w:tr>
      <w:tr>
        <w:trPr>
          <w:trHeight w:val="167"/>
        </w:trPr>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Plan, the proxy</w:t>
            </w:r>
          </w:p>
        </w:tc>
        <w:tc>
          <w:tcPr>
            <w:tcW w:w="1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card(s) sent to</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you will serve</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 the voting</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instruction card(s)</w:t>
            </w:r>
          </w:p>
        </w:tc>
      </w:tr>
      <w:tr>
        <w:trPr>
          <w:trHeight w:val="167"/>
        </w:trPr>
        <w:tc>
          <w:tcPr>
            <w:tcW w:w="320" w:type="dxa"/>
            <w:vAlign w:val="bottom"/>
          </w:tcPr>
          <w:p>
            <w:pPr>
              <w:spacing w:after="0"/>
              <w:rPr>
                <w:sz w:val="20"/>
                <w:szCs w:val="20"/>
                <w:color w:val="auto"/>
              </w:rPr>
            </w:pPr>
            <w:r>
              <w:rPr>
                <w:rFonts w:ascii="Courier New" w:cs="Courier New" w:eastAsia="Courier New" w:hAnsi="Courier New"/>
                <w:sz w:val="14"/>
                <w:szCs w:val="14"/>
                <w:color w:val="auto"/>
              </w:rPr>
              <w:t>for</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the trustee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plan for</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all</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shares you</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own</w:t>
            </w:r>
          </w:p>
        </w:tc>
        <w:tc>
          <w:tcPr>
            <w:tcW w:w="2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through the plan. If you own</w:t>
            </w:r>
          </w:p>
        </w:tc>
      </w:tr>
      <w:tr>
        <w:trPr>
          <w:trHeight w:val="167"/>
        </w:trPr>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shares through</w:t>
            </w:r>
          </w:p>
        </w:tc>
        <w:tc>
          <w:tcPr>
            <w:tcW w:w="8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this plan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and do</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not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provide voting</w:t>
            </w:r>
          </w:p>
        </w:tc>
        <w:tc>
          <w:tcPr>
            <w:tcW w:w="2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instructions to the trustee,</w:t>
            </w:r>
          </w:p>
        </w:tc>
      </w:tr>
      <w:tr>
        <w:trPr>
          <w:trHeight w:val="167"/>
        </w:trPr>
        <w:tc>
          <w:tcPr>
            <w:tcW w:w="32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24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trustee will not vote those</w:t>
            </w:r>
          </w:p>
        </w:tc>
        <w:tc>
          <w:tcPr>
            <w:tcW w:w="25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shares at the meeting.</w:t>
            </w:r>
          </w:p>
        </w:tc>
        <w:tc>
          <w:tcPr>
            <w:tcW w:w="1700" w:type="dxa"/>
            <w:vAlign w:val="bottom"/>
          </w:tcPr>
          <w:p>
            <w:pPr>
              <w:spacing w:after="0"/>
              <w:rPr>
                <w:sz w:val="14"/>
                <w:szCs w:val="14"/>
                <w:color w:val="auto"/>
              </w:rPr>
            </w:pPr>
          </w:p>
        </w:tc>
      </w:tr>
    </w:tbl>
    <w:p>
      <w:pPr>
        <w:spacing w:after="0" w:line="171"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If you hold Raytheon stock through a stock purchase or savings plan sponsored by General Motors Corporation, or an affiliate of General Motors, Hughes Electronics, Delphi Automotive Systems or Saturn, you will receive one proxy card for all shares that you own. That proxy card will serve as a voting instruction card for the trustees of those plans for which all accounts are registered in the same name. If you own shares through those plans and do not sign</w:t>
      </w: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- 2 -</w:t>
      </w:r>
    </w:p>
    <w:p>
      <w:pPr>
        <w:sectPr>
          <w:pgSz w:w="11900" w:h="16838" w:orient="portrait"/>
          <w:cols w:equalWidth="0" w:num="1">
            <w:col w:w="10239"/>
          </w:cols>
          <w:pgMar w:left="220" w:top="620" w:right="1440" w:bottom="1440" w:gutter="0" w:footer="0" w:header="0"/>
        </w:sectPr>
      </w:pPr>
    </w:p>
    <w:bookmarkStart w:id="4" w:name="page5"/>
    <w:bookmarkEnd w:id="4"/>
    <w:p>
      <w:pPr>
        <w:ind w:right="3279"/>
        <w:spacing w:after="0" w:line="258" w:lineRule="auto"/>
        <w:rPr>
          <w:sz w:val="20"/>
          <w:szCs w:val="20"/>
          <w:color w:val="auto"/>
        </w:rPr>
      </w:pPr>
      <w:r>
        <w:rPr>
          <w:rFonts w:ascii="Courier New" w:cs="Courier New" w:eastAsia="Courier New" w:hAnsi="Courier New"/>
          <w:sz w:val="14"/>
          <w:szCs w:val="14"/>
          <w:color w:val="auto"/>
        </w:rPr>
        <w:t>and return your proxy card, the plan trustees will vote your shares as described in the plan documents.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QUORUM AND REQUIRED VOTE - ELECTION OF DIRECTORS ONLY</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The presence, in person or by proxy, of the holders of a majority of the shares entitled to vote generally for the election of Directors is necessary to constitute a quorum. Abstentions and broker "non-votes" are counted as present and entitled to vote for purposes of determining a quorum.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65"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A plurality of the votes duly cast is required for the election of Directors (i.e., the nominees receiving the greatest number of votes will be elected). Abstentions and broker "non-votes" are not counted for purposes of the election of Directors.</w:t>
      </w:r>
    </w:p>
    <w:p>
      <w:pPr>
        <w:spacing w:after="0" w:line="163" w:lineRule="exact"/>
        <w:rPr>
          <w:sz w:val="20"/>
          <w:szCs w:val="20"/>
          <w:color w:val="auto"/>
        </w:rPr>
      </w:pPr>
    </w:p>
    <w:p>
      <w:pPr>
        <w:ind w:right="3459" w:firstLine="1042"/>
        <w:spacing w:after="0" w:line="258" w:lineRule="auto"/>
        <w:rPr>
          <w:sz w:val="20"/>
          <w:szCs w:val="20"/>
          <w:color w:val="auto"/>
        </w:rPr>
      </w:pPr>
      <w:r>
        <w:rPr>
          <w:rFonts w:ascii="Courier New" w:cs="Courier New" w:eastAsia="Courier New" w:hAnsi="Courier New"/>
          <w:sz w:val="14"/>
          <w:szCs w:val="14"/>
          <w:color w:val="auto"/>
        </w:rPr>
        <w:t>In accordance with the company's Certificate of Incorporation, for the election of Directors only:</w:t>
      </w:r>
    </w:p>
    <w:p>
      <w:pPr>
        <w:spacing w:after="0" w:line="160" w:lineRule="exact"/>
        <w:rPr>
          <w:sz w:val="20"/>
          <w:szCs w:val="20"/>
          <w:color w:val="auto"/>
        </w:rPr>
      </w:pPr>
    </w:p>
    <w:p>
      <w:pPr>
        <w:ind w:left="1320" w:right="3279" w:hanging="269"/>
        <w:spacing w:after="0" w:line="254"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Class A share is entitled to [_.___] votes per share, and the total votes of all Class A shares will represent 80.1% of the total votes of all of the company's common shares entitled to vote for Directors; and</w:t>
      </w:r>
    </w:p>
    <w:p>
      <w:pPr>
        <w:spacing w:after="0" w:line="163" w:lineRule="exact"/>
        <w:rPr>
          <w:rFonts w:ascii="Courier New" w:cs="Courier New" w:eastAsia="Courier New" w:hAnsi="Courier New"/>
          <w:sz w:val="14"/>
          <w:szCs w:val="14"/>
          <w:color w:val="auto"/>
        </w:rPr>
      </w:pPr>
    </w:p>
    <w:p>
      <w:pPr>
        <w:jc w:val="both"/>
        <w:ind w:left="1320" w:right="3639" w:hanging="269"/>
        <w:spacing w:after="0" w:line="254"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Class B share is entitled to one vote per share, and the total votes of all Class B shares will represent 19.9% of the total votes of all of the company's common shares entitled to vote for Directors.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QUORUM AND REQUIRED VOTE - REVERSE/FORWARD SPLIT AND RECLASSIFICATION OF SHARES</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The presence, in person or by proxy, of the holders of a majority of each of the Class A shares and the Class B shares is necessary to constitute a quorum with respect to the proposal to effect the reverse split of the Class A and Class B shares followed by the forward split of the Class A and Class B shares (which we refer to as the "Reverse/Forward Split") and the proposal to reclassify the company's shares. Abstentions and broker "non-votes" are counted as present and entitled to vote for purposes of determining a quorum.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64"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With respect to the Reverse/Forward Split and the reclassification of shares each Class A share and each Class B share has one vote per share. The affirmative vote of the holders of a majority of the outstanding Class A shares and a majority of the outstanding Class B shares, with each Class voting separately, is required to approve the Reverse/Forward split and the reclassification of shares. Both an abstention and a broker "non-vote" are counted as votes against the Reverse/Forward split and the reclassification of shares.</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- 3 -</w:t>
      </w:r>
    </w:p>
    <w:p>
      <w:pPr>
        <w:sectPr>
          <w:pgSz w:w="11900" w:h="16838" w:orient="portrait"/>
          <w:cols w:equalWidth="0" w:num="1">
            <w:col w:w="10239"/>
          </w:cols>
          <w:pgMar w:left="220" w:top="620" w:right="1440" w:bottom="1440" w:gutter="0" w:footer="0" w:header="0"/>
        </w:sectPr>
      </w:pPr>
    </w:p>
    <w:bookmarkStart w:id="5" w:name="page6"/>
    <w:bookmarkEnd w:id="5"/>
    <w:p>
      <w:pPr>
        <w:ind w:right="3639"/>
        <w:spacing w:after="0" w:line="258" w:lineRule="auto"/>
        <w:rPr>
          <w:sz w:val="20"/>
          <w:szCs w:val="20"/>
          <w:color w:val="auto"/>
        </w:rPr>
      </w:pPr>
      <w:r>
        <w:rPr>
          <w:rFonts w:ascii="Courier New" w:cs="Courier New" w:eastAsia="Courier New" w:hAnsi="Courier New"/>
          <w:sz w:val="14"/>
          <w:szCs w:val="14"/>
          <w:color w:val="auto"/>
        </w:rPr>
        <w:t>QUORUM AND REQUIRED VOTE - 2001 STOCK PLAN; SHAREHOLDER PROPOSALS; ALL OTHER MATTERS</w:t>
      </w:r>
    </w:p>
    <w:p>
      <w:pPr>
        <w:spacing w:after="0" w:line="160"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The presence, in person or by proxy, of the holders of a majority of the shares entitled to vote generally for the election of Directors is necessary to constitute a quorum with respect to the 2001 Stock Plan, all shareholder proposals and any other matters to come before the meeting. Abstentions and broker "non-votes" are counted as present and entitled to vote for purposes of determining a quorum.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64"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With respect to the 2001 Stock Plan, the shareholder proposals and all other matters (other than the election of Directors, the Reverse/Forward Split and the reclassification of shares) on which holders of the company's common shares are entitled to vote, the affirmative vote of the holders of a majority of the Class A shares and a majority of the Class B shares, with each Class voting separately, present in person or represented by proxy and entitled to vote, is required.</w:t>
      </w:r>
    </w:p>
    <w:p>
      <w:pPr>
        <w:spacing w:after="0" w:line="165"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An abstention is counted as a vote against, and a broker "non-vote" is not counted for purposes of approving all matters on which holders of the company's common shares are entitled to vote at the meeting other than the election of Directors, the Reverse/Forward Split, and the reclassification of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TABULATION OF VOTES</w:t>
      </w:r>
    </w:p>
    <w:p>
      <w:pPr>
        <w:spacing w:after="0" w:line="17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All votes, whether by proxy or ballot, will be tabulated by an independent business entity, which will not disclose your vote except as is (i) required by law, (ii) necessary in connection with a judicial or regulatory action or proceeding, (iii) necessary in connection with a contested proxy or consent solicitation, or (iv) requested by you. Any comment written on a proxy card will be provided to Raytheon's Corporate Secretary without disclosing your vote, unless necessary to an understanding of the comment.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MULTIPLE COPIES OF ANNUAL REPORT TO STOCKHOLDERS</w:t>
      </w:r>
    </w:p>
    <w:p>
      <w:pPr>
        <w:spacing w:after="0" w:line="17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A copy of our 2000 annual report is enclosed. If you received more than one copy of the annual report and you wish to reduce the number of reports you receive and save the company the cost of producing and mailing these reports, we will discontinue the mailing of reports on the accounts you select if you mark the designated box on your proxy card, or follow the instructions provided when you vote over the Internet or by telephone.</w:t>
      </w:r>
    </w:p>
    <w:p>
      <w:pPr>
        <w:spacing w:after="0" w:line="16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At least one account must continue to receive annual reports, unless you elect to view future annual reports and proxy statements over the Internet. Mailing of dividends, dividend reinvestment statements, proxy materials and special notices will not be affected by your election to discontinue duplicate mailings of the annual report. To discontinue or resume the mailing of an annual report to an account, call the Raytheon Shareholder Services toll-free number at 1-800-360-4519.</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- 4 -</w:t>
      </w:r>
    </w:p>
    <w:p>
      <w:pPr>
        <w:sectPr>
          <w:pgSz w:w="11900" w:h="16838" w:orient="portrait"/>
          <w:cols w:equalWidth="0" w:num="1">
            <w:col w:w="10239"/>
          </w:cols>
          <w:pgMar w:left="220" w:top="620" w:right="1440" w:bottom="1440" w:gutter="0" w:footer="0" w:header="0"/>
        </w:sectPr>
      </w:pPr>
    </w:p>
    <w:bookmarkStart w:id="6" w:name="page7"/>
    <w:bookmarkEnd w:id="6"/>
    <w:p>
      <w:pPr>
        <w:ind w:right="3459" w:firstLine="1042"/>
        <w:spacing w:after="0" w:line="255" w:lineRule="auto"/>
        <w:rPr>
          <w:sz w:val="20"/>
          <w:szCs w:val="20"/>
          <w:color w:val="auto"/>
        </w:rPr>
      </w:pPr>
      <w:r>
        <w:rPr>
          <w:rFonts w:ascii="Courier New" w:cs="Courier New" w:eastAsia="Courier New" w:hAnsi="Courier New"/>
          <w:sz w:val="14"/>
          <w:szCs w:val="14"/>
          <w:color w:val="auto"/>
        </w:rPr>
        <w:t>If you own Raytheon stock through a bank, broker or other nominee and receive more than one Raytheon annual report, contact the holder of record to eliminate duplicate mailings.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ELECTRONIC ACCESS TO PROXY MATERIALS AND ANNUAL REPORT</w:t>
      </w:r>
    </w:p>
    <w:p>
      <w:pPr>
        <w:spacing w:after="0" w:line="175" w:lineRule="exact"/>
        <w:rPr>
          <w:sz w:val="20"/>
          <w:szCs w:val="20"/>
          <w:color w:val="auto"/>
        </w:rPr>
      </w:pPr>
    </w:p>
    <w:p>
      <w:pPr>
        <w:ind w:right="3459" w:firstLine="1042"/>
        <w:spacing w:after="0" w:line="254" w:lineRule="auto"/>
        <w:rPr>
          <w:sz w:val="20"/>
          <w:szCs w:val="20"/>
          <w:color w:val="auto"/>
        </w:rPr>
      </w:pPr>
      <w:r>
        <w:rPr>
          <w:rFonts w:ascii="Courier New" w:cs="Courier New" w:eastAsia="Courier New" w:hAnsi="Courier New"/>
          <w:sz w:val="14"/>
          <w:szCs w:val="14"/>
          <w:color w:val="auto"/>
        </w:rPr>
        <w:t>This proxy statement and the 2000 annual report are also available on Raytheon's Internet site at http://www.raytheon.com. Most stockholders can elect to view future proxy statements and annual reports over the Internet instead of receiving paper copies in the mail, saving the company the cost of producing and mailing these documents.</w:t>
      </w:r>
    </w:p>
    <w:p>
      <w:pPr>
        <w:spacing w:after="0" w:line="162"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If you are a stockholder of record, you can elect this option by following the instructions provided when you vote your proxy over the Internet. You can also register for this option by following the instructions provided on the following Internet site: http://www.econsent.com/rtn.</w:t>
      </w:r>
    </w:p>
    <w:p>
      <w:pPr>
        <w:spacing w:after="0" w:line="163"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By choosing to view future proxy statements and annual reports over the Internet, you will receive a proxy card in the mail next year with instructions containing the Internet address of those materials. Your choice will remain in effect until you call the Raytheon Shareholder Services toll-free number and tell us otherwise. You do not have to elect Internet access each year.</w:t>
      </w:r>
    </w:p>
    <w:p>
      <w:pPr>
        <w:spacing w:after="0" w:line="329"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If you hold your Raytheon stock through a bank, broker or other holder of record, please refer to the information provided by that entity for instructions on how to elect to view future proxy statements and annual reports over the Internet.</w:t>
      </w:r>
    </w:p>
    <w:p>
      <w:pPr>
        <w:spacing w:after="0" w:line="163"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Stockholders who hold their Raytheon stock through a bank, broker or other holder of record and who elect electronic access will receive information next year containing the Internet address for use in accessing Raytheon's proxy statement and annual report.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PROXY SOLICITATION</w:t>
      </w:r>
    </w:p>
    <w:p>
      <w:pPr>
        <w:spacing w:after="0" w:line="175" w:lineRule="exact"/>
        <w:rPr>
          <w:sz w:val="20"/>
          <w:szCs w:val="20"/>
          <w:color w:val="auto"/>
        </w:rPr>
      </w:pPr>
    </w:p>
    <w:p>
      <w:pPr>
        <w:ind w:right="3459" w:firstLine="1042"/>
        <w:spacing w:after="0" w:line="253" w:lineRule="auto"/>
        <w:rPr>
          <w:sz w:val="20"/>
          <w:szCs w:val="20"/>
          <w:color w:val="auto"/>
        </w:rPr>
      </w:pPr>
      <w:r>
        <w:rPr>
          <w:rFonts w:ascii="Courier New" w:cs="Courier New" w:eastAsia="Courier New" w:hAnsi="Courier New"/>
          <w:sz w:val="14"/>
          <w:szCs w:val="14"/>
          <w:color w:val="auto"/>
        </w:rPr>
        <w:t>The cost of soliciting proxies will be borne by the company. Proxies may be solicited on behalf of the company by Directors, officers or employees of the company in person or by telephone, facsimile or other electronic means. We have retained Morrow &amp; Co. to assist in the distribution and solicitation of proxies. We have agreed to pay Morrow &amp; Co. a fee of $25,000 plus expenses for these services.</w:t>
      </w:r>
    </w:p>
    <w:p>
      <w:pPr>
        <w:spacing w:after="0" w:line="165"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In accordance with the regulations of the Securities and Exchange Commission and the New York Stock Exchange, we will also reimburse brokerage firms and other custodians, nominees and fiduciaries for their expenses incurred in sending proxies and proxy materials to beneficial owners of Raytheon stock.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ACCOUNT MAINTENANCE</w:t>
      </w:r>
    </w:p>
    <w:p>
      <w:pPr>
        <w:spacing w:after="0" w:line="175"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Our transfer agent is EquiServe L.P. All communications concerning accounts of stockholders of record, including address changes, name changes, inquiries as to requirements to transfer Raytheon stock and similar issues, can be handled by calling the Raytheon Shareholder</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- 5 -</w:t>
      </w:r>
    </w:p>
    <w:p>
      <w:pPr>
        <w:sectPr>
          <w:pgSz w:w="11900" w:h="16838" w:orient="portrait"/>
          <w:cols w:equalWidth="0" w:num="1">
            <w:col w:w="10239"/>
          </w:cols>
          <w:pgMar w:left="220" w:top="787" w:right="1440" w:bottom="1440" w:gutter="0" w:footer="0" w:header="0"/>
        </w:sectPr>
      </w:pPr>
    </w:p>
    <w:bookmarkStart w:id="7" w:name="page8"/>
    <w:bookmarkEnd w:id="7"/>
    <w:p>
      <w:pPr>
        <w:ind w:right="3379"/>
        <w:spacing w:after="0" w:line="258" w:lineRule="auto"/>
        <w:rPr>
          <w:sz w:val="20"/>
          <w:szCs w:val="20"/>
          <w:color w:val="auto"/>
        </w:rPr>
      </w:pPr>
      <w:r>
        <w:rPr>
          <w:rFonts w:ascii="Courier New" w:cs="Courier New" w:eastAsia="Courier New" w:hAnsi="Courier New"/>
          <w:sz w:val="14"/>
          <w:szCs w:val="14"/>
          <w:color w:val="auto"/>
        </w:rPr>
        <w:t>Services toll-free number at 1-800-360-4519. For other company information, you can visit Raytheon's Internet site at http://www.raytheon.com.</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Section 16(a) of the Securities Exchange Act of 1934 requires our Directors and executive officers to file reports of holdings and transactions in Raytheon stock with the Securities and Exchange Commission and the New York Stock Exchange. Based on our records and other information, we believe that all Securities and Exchange Commission filing requirements applicable to our Directors and executive officers with respect to the fiscal year ending December 31, 2000 were met.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RELATIONSHIP WITH INDEPENDENT PUBLIC ACCOUNTANTS</w:t>
      </w:r>
    </w:p>
    <w:p>
      <w:pPr>
        <w:spacing w:after="0" w:line="175"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Upon recommendation of the Audit Committee, the Board of Directors has reappointed PricewaterhouseCoopers LLP as the independent public accounting firm to audit the company's financial statements for the fiscal year beginning January 1, 2001.</w:t>
      </w:r>
    </w:p>
    <w:p>
      <w:pPr>
        <w:spacing w:after="0" w:line="163" w:lineRule="exact"/>
        <w:rPr>
          <w:sz w:val="20"/>
          <w:szCs w:val="20"/>
          <w:color w:val="auto"/>
        </w:rPr>
      </w:pPr>
    </w:p>
    <w:p>
      <w:pPr>
        <w:ind w:right="3279" w:firstLine="1042"/>
        <w:spacing w:after="0" w:line="255" w:lineRule="auto"/>
        <w:rPr>
          <w:sz w:val="20"/>
          <w:szCs w:val="20"/>
          <w:color w:val="auto"/>
        </w:rPr>
      </w:pPr>
      <w:r>
        <w:rPr>
          <w:rFonts w:ascii="Courier New" w:cs="Courier New" w:eastAsia="Courier New" w:hAnsi="Courier New"/>
          <w:sz w:val="14"/>
          <w:szCs w:val="14"/>
          <w:color w:val="auto"/>
        </w:rPr>
        <w:t>Representatives of PricewaterhouseCoopers are expected to be present at the meeting. They will be given the opportunity to make a statement if they desire to do so, and they will be available to respond to appropriate questions.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RELATIONSHIPS AND RELATED TRANSACTIONS</w:t>
      </w:r>
    </w:p>
    <w:p>
      <w:pPr>
        <w:spacing w:after="0" w:line="175" w:lineRule="exact"/>
        <w:rPr>
          <w:sz w:val="20"/>
          <w:szCs w:val="20"/>
          <w:color w:val="auto"/>
        </w:rPr>
      </w:pPr>
    </w:p>
    <w:p>
      <w:pPr>
        <w:ind w:right="3719" w:firstLine="1042"/>
        <w:spacing w:after="0" w:line="255" w:lineRule="auto"/>
        <w:rPr>
          <w:sz w:val="20"/>
          <w:szCs w:val="20"/>
          <w:color w:val="auto"/>
        </w:rPr>
      </w:pPr>
      <w:r>
        <w:rPr>
          <w:rFonts w:ascii="Courier New" w:cs="Courier New" w:eastAsia="Courier New" w:hAnsi="Courier New"/>
          <w:sz w:val="14"/>
          <w:szCs w:val="14"/>
          <w:color w:val="auto"/>
        </w:rPr>
        <w:t>During 2000, the company retained the law firm of Paul, Weiss, Rifkind, Wharton &amp; Garrison for various legal services. Warren B. Rudman, a Director of the company, is a member of this firm.</w:t>
      </w:r>
    </w:p>
    <w:p>
      <w:pPr>
        <w:spacing w:after="0" w:line="16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THE BOARD OF DIRECTORS AND BOARD COMMITTEES</w:t>
      </w:r>
    </w:p>
    <w:p>
      <w:pPr>
        <w:spacing w:after="0" w:line="175" w:lineRule="exact"/>
        <w:rPr>
          <w:sz w:val="20"/>
          <w:szCs w:val="20"/>
          <w:color w:val="auto"/>
        </w:rPr>
      </w:pPr>
    </w:p>
    <w:p>
      <w:pPr>
        <w:ind w:right="3459" w:firstLine="1042"/>
        <w:spacing w:after="0" w:line="254" w:lineRule="auto"/>
        <w:rPr>
          <w:sz w:val="20"/>
          <w:szCs w:val="20"/>
          <w:color w:val="auto"/>
        </w:rPr>
      </w:pPr>
      <w:r>
        <w:rPr>
          <w:rFonts w:ascii="Courier New" w:cs="Courier New" w:eastAsia="Courier New" w:hAnsi="Courier New"/>
          <w:sz w:val="14"/>
          <w:szCs w:val="14"/>
          <w:color w:val="auto"/>
        </w:rPr>
        <w:t>Raytheon's business, property and affairs are managed under the direction of the Board of Directors. Members of the Board are kept informed of the company's business through discussions with the Chairman and officers, by reviewing materials provided to them and by participating in meetings of the Board and its committees.</w:t>
      </w:r>
    </w:p>
    <w:p>
      <w:pPr>
        <w:spacing w:after="0" w:line="162"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During 2000, the Board held seven meetings, and the committees held a total of 25 meetings. During 2000, L. Dennis Kozlowski attended 62% of the combined Board meetings and meetings of the committees on which he served. Also during 2000, Henrique de Campos Meirelles attended 70% of the combined Board meetings and meetings of the committees on which he served. No other Director attended less than 88% of the combined Board meetings and meetings of the committees on which he or she served, and the average attendance at the Board and committee meetings was 94%.</w:t>
      </w:r>
    </w:p>
    <w:p>
      <w:pPr>
        <w:spacing w:after="0" w:line="165" w:lineRule="exact"/>
        <w:rPr>
          <w:sz w:val="20"/>
          <w:szCs w:val="20"/>
          <w:color w:val="auto"/>
        </w:rPr>
      </w:pPr>
    </w:p>
    <w:p>
      <w:pPr>
        <w:ind w:right="3639" w:firstLine="1042"/>
        <w:spacing w:after="0" w:line="254" w:lineRule="auto"/>
        <w:rPr>
          <w:sz w:val="20"/>
          <w:szCs w:val="20"/>
          <w:color w:val="auto"/>
        </w:rPr>
      </w:pPr>
      <w:r>
        <w:rPr>
          <w:rFonts w:ascii="Courier New" w:cs="Courier New" w:eastAsia="Courier New" w:hAnsi="Courier New"/>
          <w:sz w:val="14"/>
          <w:szCs w:val="14"/>
          <w:color w:val="auto"/>
        </w:rPr>
        <w:t>The Board of Directors currently has four committees: the Audit Committee, the Management Development and Compensation Committee, the Executive Committee and the Governance Committee; and two subcommittees: the Options Subcommittee of the Management and Development and Compensation Committee and the Nominating Subcommittee of the Governance Committee.</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- 6 -</w:t>
      </w:r>
    </w:p>
    <w:p>
      <w:pPr>
        <w:sectPr>
          <w:pgSz w:w="11900" w:h="16838" w:orient="portrait"/>
          <w:cols w:equalWidth="0" w:num="1">
            <w:col w:w="10239"/>
          </w:cols>
          <w:pgMar w:left="220" w:top="620"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AUDIT COMMITTEE</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L. Dennis Kozlowski, Chairman, Frederic M. Poses and William R. Spivey are the current members of the Audit Committee. The Audit Committee meets with management to consider the adequacy of the company's internal controls and the objectivity of financial reporting. The Audit Committee also meets with the independent auditors and with appropriate financial personnel and internal auditors of the company regarding these matters. The Audit Committee recommends to the Board the appointment of the independent auditors. The Audit Committee met three times in 2000.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DEVELOPMENT AND COMPENSATION COMMITTEE</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Barbara M. Barrett, Ferdinand Colloredo-Mansfeld, John R. Galvin, Warren B. Rudman, Chairman, Michael C. Ruettgers and Alfred M. Zeien are the current members of the Management Development and Compensation Committee. The functions of the Management Development and Compensation Committee include administering management incentive compensation plans and making recommendations to the Board with respect to the compensation of Directors and officers of the company. The Management Development and Compensation Committee met eight times in 2000.</w:t>
      </w:r>
    </w:p>
    <w:p>
      <w:pPr>
        <w:spacing w:after="0" w:line="16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For the time being, the Board has determined that Senator Rudman should remain on the Management Development and Compensation Committee. Senator Rudman is currently serving his last term as a Director (directors may not stand for re-election once they reach age 70) and has for a number of years been deeply involved in structuring and implementing the company's compensation plans. The Board determined that it was not in the best interests of the company or our stockholders to remove Senator Rudman from the committee at this time even though he does not, due to his association with the law firm of Paul, Weiss, Rifkind, Wharton &amp; Garrison, completely satisfy the new "independent director" criteria included in the Corporate Governance Guidelines adopted by the Board. The Governance Guidelines are summarized at page eight of this proxy statement. Upon Senator Rudman's retirement, the committee will consist solely of independent directors in accordance with the Governance Guidelines.</w:t>
      </w:r>
    </w:p>
    <w:p>
      <w:pPr>
        <w:spacing w:after="0" w:line="163"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The Board of Directors has also established the Options Subcommittee of the Management Development and Compensation Committee. The Options Subcommittee administers and makes awards under the company's stock option plans. Barbara M. Barrett, Ferdinand Colloredo-Mansfeld, John R. Galvin, Chairman, Michael C. Ruettgers and Alfred M. Zeien are the current members of the Options Subcommittee. The Options Subcommittee met eight times during 2000.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COMMITTEE</w:t>
      </w:r>
    </w:p>
    <w:p>
      <w:pPr>
        <w:spacing w:after="0" w:line="175" w:lineRule="exact"/>
        <w:rPr>
          <w:sz w:val="20"/>
          <w:szCs w:val="20"/>
          <w:color w:val="auto"/>
        </w:rPr>
      </w:pPr>
    </w:p>
    <w:p>
      <w:pPr>
        <w:ind w:right="3459" w:firstLine="1042"/>
        <w:spacing w:after="0" w:line="254" w:lineRule="auto"/>
        <w:rPr>
          <w:sz w:val="20"/>
          <w:szCs w:val="20"/>
          <w:color w:val="auto"/>
        </w:rPr>
      </w:pPr>
      <w:r>
        <w:rPr>
          <w:rFonts w:ascii="Courier New" w:cs="Courier New" w:eastAsia="Courier New" w:hAnsi="Courier New"/>
          <w:sz w:val="14"/>
          <w:szCs w:val="14"/>
          <w:color w:val="auto"/>
        </w:rPr>
        <w:t>Daniel P. Burnham, Chairman, L. Dennis Kozlowski, Warren B. Rudman and Alfred M. Zeien are the current members of the Executive Committee. The Executive Committee is empowered to act for the full Board during intervals between Board meetings, with the exception of certain matters that by law may not be delegated. The Executive Committee met three times during 2000.</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- 7 -</w:t>
      </w:r>
    </w:p>
    <w:p>
      <w:pPr>
        <w:sectPr>
          <w:pgSz w:w="11900" w:h="16838" w:orient="portrait"/>
          <w:cols w:equalWidth="0" w:num="1">
            <w:col w:w="10239"/>
          </w:cols>
          <w:pgMar w:left="220" w:top="620"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GOVERNANCE COMMITTEE</w:t>
      </w:r>
    </w:p>
    <w:p>
      <w:pPr>
        <w:spacing w:after="0" w:line="17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Barbara M. Barrett, John M. Deutch, Thomas E. Everhart, Henrique de Campos Meirelles, Dennis J. Picard, Warren B. Rudman and Alfred M. Zeien, Chairman, are the current members of the Governance Committee. The Governance Committee reviews and reports to the Board on a periodic basis with regard to matters of corporate governance. The Committee reviews and assesses the effectiveness of the Board's Guidelines on Corporate Governance and recommends proposed revisions to the Board. The Committee also reviews proposals by stockholders in connection with the annual meeting of stockholders and makes recommendations to the Board for action on such proposals. The Governance Committee met three times during 2000.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NOMINATING SUBCOMMITTEE</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Barbara M. Barrett, Thomas E. Everhart and Alfred M. Zeien, Chairman, are the current members of the Nominating Subcommittee. The Committee, established in January 2001, makes recommendations to the Board regarding the size and composition of the Board. The Committee also establishes procedures for the nomination process and recommends candidates for election to the Board. The Nominating Subcommittee will consider nominees proposed by stockholders. During 2000, the duties of the Nominating Subcommittee were performed by the Governance Committee.</w:t>
      </w:r>
    </w:p>
    <w:p>
      <w:pPr>
        <w:spacing w:after="0" w:line="16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Under Raytheon's By-Laws, nominations for Director may be made only by the Board or a Board committee, or by a stockholder entitled to vote who delivered notice to the Corporate Secretary not later than the close of business on the 90th calendar day nor earlier than the close of business on the 120th calendar day prior to the first anniversary of the preceding year's annual meeting. For the company's annual meeting in the year 2002, the company must receive this notice after the close of business on December 26, 2001 and before the close of business on January 25, 2002. You can obtain a copy of Raytheon's by-laws by writing to the Corporate Secretary, Raytheon Company, Executive Offices, 141 Spring Street, Lexington, MA 02421.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GOVERNANCE GUIDELINES AND POLICIES</w:t>
      </w:r>
    </w:p>
    <w:p>
      <w:pPr>
        <w:spacing w:after="0" w:line="175" w:lineRule="exact"/>
        <w:rPr>
          <w:sz w:val="20"/>
          <w:szCs w:val="20"/>
          <w:color w:val="auto"/>
        </w:rPr>
      </w:pPr>
    </w:p>
    <w:p>
      <w:pPr>
        <w:ind w:right="3539" w:firstLine="955"/>
        <w:spacing w:after="0" w:line="254" w:lineRule="auto"/>
        <w:rPr>
          <w:sz w:val="20"/>
          <w:szCs w:val="20"/>
          <w:color w:val="auto"/>
        </w:rPr>
      </w:pPr>
      <w:r>
        <w:rPr>
          <w:rFonts w:ascii="Courier New" w:cs="Courier New" w:eastAsia="Courier New" w:hAnsi="Courier New"/>
          <w:sz w:val="14"/>
          <w:szCs w:val="14"/>
          <w:color w:val="auto"/>
        </w:rPr>
        <w:t>The Board of Directors has adopted Guidelines on Corporate Governance. The guidelines are published on Raytheon's Internet site at http://www.raytheon.com, under Investor Information. Among other matters, the guidelines include the following:</w:t>
      </w:r>
    </w:p>
    <w:p>
      <w:pPr>
        <w:spacing w:after="0" w:line="163" w:lineRule="exact"/>
        <w:rPr>
          <w:sz w:val="20"/>
          <w:szCs w:val="20"/>
          <w:color w:val="auto"/>
        </w:rPr>
      </w:pPr>
    </w:p>
    <w:p>
      <w:pPr>
        <w:ind w:left="1400" w:right="3459" w:hanging="697"/>
        <w:spacing w:after="0" w:line="258" w:lineRule="auto"/>
        <w:tabs>
          <w:tab w:leader="none" w:pos="14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substantial majority of the Board of Directors should be independent directors. An independent director is someone who:</w:t>
      </w:r>
    </w:p>
    <w:p>
      <w:pPr>
        <w:spacing w:after="0" w:line="160" w:lineRule="exact"/>
        <w:rPr>
          <w:sz w:val="20"/>
          <w:szCs w:val="20"/>
          <w:color w:val="auto"/>
        </w:rPr>
      </w:pPr>
    </w:p>
    <w:p>
      <w:pPr>
        <w:ind w:left="1660" w:right="3379" w:hanging="262"/>
        <w:spacing w:after="0" w:line="258" w:lineRule="auto"/>
        <w:tabs>
          <w:tab w:leader="none" w:pos="16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not been employed by the company as an executive officer within the past five years;</w:t>
      </w:r>
    </w:p>
    <w:p>
      <w:pPr>
        <w:spacing w:after="0" w:line="159" w:lineRule="exact"/>
        <w:rPr>
          <w:rFonts w:ascii="Courier New" w:cs="Courier New" w:eastAsia="Courier New" w:hAnsi="Courier New"/>
          <w:sz w:val="14"/>
          <w:szCs w:val="14"/>
          <w:color w:val="auto"/>
        </w:rPr>
      </w:pPr>
    </w:p>
    <w:p>
      <w:pPr>
        <w:ind w:left="1660" w:right="3279" w:hanging="262"/>
        <w:spacing w:after="0" w:line="256" w:lineRule="auto"/>
        <w:tabs>
          <w:tab w:leader="none" w:pos="16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a paid advisor or consultant to the company and derives no financial benefit from any entity as a result of advice or consulting services provided to the company by such entity;</w:t>
      </w:r>
    </w:p>
    <w:p>
      <w:pPr>
        <w:spacing w:after="0" w:line="327"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8 -</w:t>
      </w:r>
    </w:p>
    <w:p>
      <w:pPr>
        <w:sectPr>
          <w:pgSz w:w="11900" w:h="16838" w:orient="portrait"/>
          <w:cols w:equalWidth="0" w:num="1">
            <w:col w:w="10239"/>
          </w:cols>
          <w:pgMar w:left="220" w:top="453" w:right="1440" w:bottom="1440" w:gutter="0" w:footer="0" w:header="0"/>
        </w:sectPr>
      </w:pPr>
    </w:p>
    <w:bookmarkStart w:id="10" w:name="page11"/>
    <w:bookmarkEnd w:id="10"/>
    <w:p>
      <w:pPr>
        <w:ind w:left="1043" w:right="3639" w:hanging="262"/>
        <w:spacing w:after="0" w:line="255" w:lineRule="auto"/>
        <w:tabs>
          <w:tab w:leader="none" w:pos="1043"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an executive officer, director or significant stockholder of a significant customer or supplier of the company;</w:t>
      </w:r>
    </w:p>
    <w:p>
      <w:pPr>
        <w:spacing w:after="0" w:line="162" w:lineRule="exact"/>
        <w:rPr>
          <w:rFonts w:ascii="Courier New" w:cs="Courier New" w:eastAsia="Courier New" w:hAnsi="Courier New"/>
          <w:sz w:val="14"/>
          <w:szCs w:val="14"/>
          <w:color w:val="auto"/>
        </w:rPr>
      </w:pPr>
    </w:p>
    <w:p>
      <w:pPr>
        <w:ind w:left="1043" w:hanging="262"/>
        <w:spacing w:after="0"/>
        <w:tabs>
          <w:tab w:leader="none" w:pos="1043"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no personal services contract with the company;</w:t>
      </w:r>
    </w:p>
    <w:p>
      <w:pPr>
        <w:spacing w:after="0" w:line="175" w:lineRule="exact"/>
        <w:rPr>
          <w:rFonts w:ascii="Courier New" w:cs="Courier New" w:eastAsia="Courier New" w:hAnsi="Courier New"/>
          <w:sz w:val="14"/>
          <w:szCs w:val="14"/>
          <w:color w:val="auto"/>
        </w:rPr>
      </w:pPr>
    </w:p>
    <w:p>
      <w:pPr>
        <w:ind w:left="1043" w:right="3639" w:hanging="262"/>
        <w:spacing w:after="0" w:line="255" w:lineRule="auto"/>
        <w:tabs>
          <w:tab w:leader="none" w:pos="1043"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an executive officer or director of a tax-exempt entity receiving more than 5% of its annual contributions from the company; and</w:t>
      </w:r>
    </w:p>
    <w:p>
      <w:pPr>
        <w:spacing w:after="0" w:line="162" w:lineRule="exact"/>
        <w:rPr>
          <w:rFonts w:ascii="Courier New" w:cs="Courier New" w:eastAsia="Courier New" w:hAnsi="Courier New"/>
          <w:sz w:val="14"/>
          <w:szCs w:val="14"/>
          <w:color w:val="auto"/>
        </w:rPr>
      </w:pPr>
    </w:p>
    <w:p>
      <w:pPr>
        <w:ind w:left="1043" w:right="3459" w:hanging="262"/>
        <w:spacing w:after="0" w:line="258" w:lineRule="auto"/>
        <w:tabs>
          <w:tab w:leader="none" w:pos="1043"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the spouse, parent, child or sibling of an executive officer of the company.</w:t>
      </w:r>
    </w:p>
    <w:p>
      <w:pPr>
        <w:spacing w:after="0" w:line="159" w:lineRule="exact"/>
        <w:rPr>
          <w:rFonts w:ascii="Courier New" w:cs="Courier New" w:eastAsia="Courier New" w:hAnsi="Courier New"/>
          <w:sz w:val="14"/>
          <w:szCs w:val="14"/>
          <w:color w:val="auto"/>
        </w:rPr>
      </w:pPr>
    </w:p>
    <w:p>
      <w:pPr>
        <w:ind w:left="603" w:right="3539" w:hanging="517"/>
        <w:spacing w:after="0" w:line="255" w:lineRule="auto"/>
        <w:tabs>
          <w:tab w:leader="none" w:pos="603"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Audit Committee, the Management Development and Compensation Committee, the Nominating Subcommittee and the Options Subcommittee consist entirely of independent directors.</w:t>
      </w:r>
    </w:p>
    <w:p>
      <w:pPr>
        <w:spacing w:after="0" w:line="162" w:lineRule="exact"/>
        <w:rPr>
          <w:rFonts w:ascii="Courier New" w:cs="Courier New" w:eastAsia="Courier New" w:hAnsi="Courier New"/>
          <w:sz w:val="14"/>
          <w:szCs w:val="14"/>
          <w:color w:val="auto"/>
        </w:rPr>
      </w:pPr>
    </w:p>
    <w:p>
      <w:pPr>
        <w:ind w:left="603" w:hanging="517"/>
        <w:spacing w:after="0"/>
        <w:tabs>
          <w:tab w:leader="none" w:pos="603"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Director may not stand for election after attaining age 70.</w:t>
      </w:r>
    </w:p>
    <w:p>
      <w:pPr>
        <w:spacing w:after="0" w:line="175" w:lineRule="exact"/>
        <w:rPr>
          <w:rFonts w:ascii="Courier New" w:cs="Courier New" w:eastAsia="Courier New" w:hAnsi="Courier New"/>
          <w:sz w:val="14"/>
          <w:szCs w:val="14"/>
          <w:color w:val="auto"/>
        </w:rPr>
      </w:pPr>
    </w:p>
    <w:p>
      <w:pPr>
        <w:ind w:left="603" w:right="3279" w:hanging="517"/>
        <w:spacing w:after="0" w:line="254" w:lineRule="auto"/>
        <w:tabs>
          <w:tab w:leader="none" w:pos="603"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Nominating Subcommittee determines the appropriate skills and characteristics required of Board members and considers diversity, age, skills, experience and other relevant factors in performing its assessment.</w:t>
      </w:r>
    </w:p>
    <w:p>
      <w:pPr>
        <w:spacing w:after="0" w:line="163" w:lineRule="exact"/>
        <w:rPr>
          <w:rFonts w:ascii="Courier New" w:cs="Courier New" w:eastAsia="Courier New" w:hAnsi="Courier New"/>
          <w:sz w:val="14"/>
          <w:szCs w:val="14"/>
          <w:color w:val="auto"/>
        </w:rPr>
      </w:pPr>
    </w:p>
    <w:p>
      <w:pPr>
        <w:ind w:left="603" w:right="3279" w:hanging="517"/>
        <w:spacing w:after="0" w:line="254" w:lineRule="auto"/>
        <w:tabs>
          <w:tab w:leader="none" w:pos="603"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Director should offer his or her resignation upon any change in position, including retirement, from the position he or she held when elected to the Board. When the Chief Executive Officer resigns or retires, he or she is expected to resign from the Board at that time.</w:t>
      </w:r>
    </w:p>
    <w:p>
      <w:pPr>
        <w:spacing w:after="0" w:line="162" w:lineRule="exact"/>
        <w:rPr>
          <w:rFonts w:ascii="Courier New" w:cs="Courier New" w:eastAsia="Courier New" w:hAnsi="Courier New"/>
          <w:sz w:val="14"/>
          <w:szCs w:val="14"/>
          <w:color w:val="auto"/>
        </w:rPr>
      </w:pPr>
    </w:p>
    <w:p>
      <w:pPr>
        <w:ind w:left="603" w:right="3719" w:hanging="517"/>
        <w:spacing w:after="0" w:line="258" w:lineRule="auto"/>
        <w:tabs>
          <w:tab w:leader="none" w:pos="603"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Governance Committee provides an annual assessment of the Board's performance and of its contribution as a whole.</w:t>
      </w:r>
    </w:p>
    <w:p>
      <w:pPr>
        <w:spacing w:after="0" w:line="159" w:lineRule="exact"/>
        <w:rPr>
          <w:rFonts w:ascii="Courier New" w:cs="Courier New" w:eastAsia="Courier New" w:hAnsi="Courier New"/>
          <w:sz w:val="14"/>
          <w:szCs w:val="14"/>
          <w:color w:val="auto"/>
        </w:rPr>
      </w:pPr>
    </w:p>
    <w:p>
      <w:pPr>
        <w:ind w:left="603" w:right="3459" w:hanging="517"/>
        <w:spacing w:after="0" w:line="258" w:lineRule="auto"/>
        <w:tabs>
          <w:tab w:leader="none" w:pos="603"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annually reviews the company's long-term strategic and business plans.</w:t>
      </w:r>
    </w:p>
    <w:p>
      <w:pPr>
        <w:spacing w:after="0" w:line="159" w:lineRule="exact"/>
        <w:rPr>
          <w:rFonts w:ascii="Courier New" w:cs="Courier New" w:eastAsia="Courier New" w:hAnsi="Courier New"/>
          <w:sz w:val="14"/>
          <w:szCs w:val="14"/>
          <w:color w:val="auto"/>
        </w:rPr>
      </w:pPr>
    </w:p>
    <w:p>
      <w:pPr>
        <w:ind w:left="603" w:right="3379" w:hanging="517"/>
        <w:spacing w:after="0" w:line="258" w:lineRule="auto"/>
        <w:tabs>
          <w:tab w:leader="none" w:pos="603"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independent directors meet annually to review the performance of the Chief Executive Officer.</w:t>
      </w:r>
    </w:p>
    <w:p>
      <w:pPr>
        <w:spacing w:after="0" w:line="159" w:lineRule="exact"/>
        <w:rPr>
          <w:rFonts w:ascii="Courier New" w:cs="Courier New" w:eastAsia="Courier New" w:hAnsi="Courier New"/>
          <w:sz w:val="14"/>
          <w:szCs w:val="14"/>
          <w:color w:val="auto"/>
        </w:rPr>
      </w:pPr>
    </w:p>
    <w:p>
      <w:pPr>
        <w:ind w:left="603" w:right="3459" w:hanging="517"/>
        <w:spacing w:after="0" w:line="255" w:lineRule="auto"/>
        <w:tabs>
          <w:tab w:leader="none" w:pos="603"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Chief Executive Officer provides an annual report on succession planning and management development to the Management Development and Compensation Committee.</w:t>
      </w:r>
    </w:p>
    <w:p>
      <w:pPr>
        <w:spacing w:after="0" w:line="162" w:lineRule="exact"/>
        <w:rPr>
          <w:rFonts w:ascii="Courier New" w:cs="Courier New" w:eastAsia="Courier New" w:hAnsi="Courier New"/>
          <w:sz w:val="14"/>
          <w:szCs w:val="14"/>
          <w:color w:val="auto"/>
        </w:rPr>
      </w:pPr>
    </w:p>
    <w:p>
      <w:pPr>
        <w:ind w:left="603" w:right="3279" w:hanging="603"/>
        <w:spacing w:after="0" w:line="254" w:lineRule="auto"/>
        <w:tabs>
          <w:tab w:leader="none" w:pos="603"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members have complete access to Raytheon management, and the Board encourages the Chief Executive Officer to bring members of management to Board meetings from time to time to provide management insight into matters being discussed by the Board which involve the manager.</w:t>
      </w:r>
    </w:p>
    <w:p>
      <w:pPr>
        <w:spacing w:after="0" w:line="200" w:lineRule="exact"/>
        <w:rPr>
          <w:rFonts w:ascii="Courier New" w:cs="Courier New" w:eastAsia="Courier New" w:hAnsi="Courier New"/>
          <w:sz w:val="14"/>
          <w:szCs w:val="14"/>
          <w:color w:val="auto"/>
        </w:rPr>
      </w:pPr>
    </w:p>
    <w:p>
      <w:pPr>
        <w:spacing w:after="0" w:line="296" w:lineRule="exact"/>
        <w:rPr>
          <w:rFonts w:ascii="Courier New" w:cs="Courier New" w:eastAsia="Courier New" w:hAnsi="Courier New"/>
          <w:sz w:val="14"/>
          <w:szCs w:val="14"/>
          <w:color w:val="auto"/>
        </w:rPr>
      </w:pPr>
    </w:p>
    <w:p>
      <w:pPr>
        <w:ind w:left="2783" w:hanging="180"/>
        <w:spacing w:after="0"/>
        <w:tabs>
          <w:tab w:leader="none" w:pos="2783" w:val="left"/>
        </w:tabs>
        <w:numPr>
          <w:ilvl w:val="2"/>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9 -</w:t>
      </w:r>
    </w:p>
    <w:p>
      <w:pPr>
        <w:sectPr>
          <w:pgSz w:w="11900" w:h="16838" w:orient="portrait"/>
          <w:cols w:equalWidth="0" w:num="1">
            <w:col w:w="9623"/>
          </w:cols>
          <w:pgMar w:left="837" w:top="620"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Each non-employee Director receives an annual retainer of $40,000. The Chairman of each Board committee receives an additional annual retainer of $5,000. Non-employee Directors also receive a fee of $1,000 for attendance at each meeting of the Board and each committee meeting, other than telephonic meetings and committee meetings of less than two hours' duration held on the day of full Board meetings, for which the fee is $500. Pursuant to the company's Deferral Plan for Directors, Directors may defer receipt of their quarterly retainer and/or meeting fees until retirement from the Board.</w:t>
      </w:r>
    </w:p>
    <w:p>
      <w:pPr>
        <w:spacing w:after="0" w:line="16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Non-employee Directors also receive an annual grant of Raytheon shares equal in value to the annual retainer. Grants are made under the Nonemployee Directors Restricted Stock Plan. All grants of restricted shares are held in the custody of the company until restrictions lapse on the date of the annual meeting three years after the award. The Directors receive dividends on these shares and are entitled to vote these shares.</w:t>
      </w:r>
    </w:p>
    <w:p>
      <w:pPr>
        <w:spacing w:after="0" w:line="16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In 1996, the company terminated its Directors' Pension Plan. Prior to termination, Directors of the company who were not eligible for benefits under any company-sponsored pension plan were entitled to receive a monthly cash benefit for up to fifteen years after their retirement from the Board. The Board voted to terminate this plan and to convert the then-present value of each Director's cash benefit into shares of common stock. These shares, and all accrued dividends, are held in trust for the benefit of the individual Director with delivery deferred until retirement or other completion of service as a Director.</w:t>
      </w:r>
    </w:p>
    <w:p>
      <w:pPr>
        <w:spacing w:after="0" w:line="332" w:lineRule="exact"/>
        <w:rPr>
          <w:sz w:val="20"/>
          <w:szCs w:val="20"/>
          <w:color w:val="auto"/>
        </w:rPr>
      </w:pPr>
    </w:p>
    <w:p>
      <w:pPr>
        <w:ind w:right="3279" w:firstLine="1042"/>
        <w:spacing w:after="0" w:line="258" w:lineRule="auto"/>
        <w:rPr>
          <w:sz w:val="20"/>
          <w:szCs w:val="20"/>
          <w:color w:val="auto"/>
        </w:rPr>
      </w:pPr>
      <w:r>
        <w:rPr>
          <w:rFonts w:ascii="Courier New" w:cs="Courier New" w:eastAsia="Courier New" w:hAnsi="Courier New"/>
          <w:sz w:val="14"/>
          <w:szCs w:val="14"/>
          <w:color w:val="auto"/>
        </w:rPr>
        <w:t>The company also maintains a general insurance policy which provides nonemployee Directors with travel accident insurance when on company business.</w:t>
      </w:r>
    </w:p>
    <w:p>
      <w:pPr>
        <w:spacing w:after="0" w:line="160"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During 2000, Warren B. Rudman was paid $72,000 for performing certain additional services for the company beyond the scope of his service on the Board of Directors pursuant to a consulting agreement between Senator Rudman and the company. The consulting agreement between the company and Senator Rudman expired in August 2000 and was not renewed.</w:t>
      </w:r>
    </w:p>
    <w:p>
      <w:pPr>
        <w:spacing w:after="0" w:line="162" w:lineRule="exact"/>
        <w:rPr>
          <w:sz w:val="20"/>
          <w:szCs w:val="20"/>
          <w:color w:val="auto"/>
        </w:rPr>
      </w:pPr>
    </w:p>
    <w:p>
      <w:pPr>
        <w:ind w:right="3459" w:firstLine="1042"/>
        <w:spacing w:after="0" w:line="253" w:lineRule="auto"/>
        <w:rPr>
          <w:sz w:val="20"/>
          <w:szCs w:val="20"/>
          <w:color w:val="auto"/>
        </w:rPr>
      </w:pPr>
      <w:r>
        <w:rPr>
          <w:rFonts w:ascii="Courier New" w:cs="Courier New" w:eastAsia="Courier New" w:hAnsi="Courier New"/>
          <w:sz w:val="14"/>
          <w:szCs w:val="14"/>
          <w:color w:val="auto"/>
        </w:rPr>
        <w:t>THE FOLLOWING REPORT OF THE AUDIT COMMITTEE SHALL NOT BE DEEMED INCORPORATED BY REFERENCE BY ANY GENERAL STATEMENT INCORPORATING THIS PROXY STATEMENT INTO ANY OTHER FILING UNDER THE SECURITIES ACT OF 1933 OR UNDER THE SECURITIES EXCHANGE ACT OF 1934, EXCEPT TO THE EXTENT THE COMPANY SPECIFICALLY INCORPORATES THIS INFORMATION BY REFERENCE, AND SHALL NOT OTHERWISE BE DEEMED FILED UNDER SUCH ACTS.</w:t>
      </w:r>
    </w:p>
    <w:p>
      <w:pPr>
        <w:spacing w:after="0" w:line="16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REPORT OF THE AUDIT COMMITTEE</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functions of the Audit Committee are focused on three areas:</w:t>
      </w:r>
    </w:p>
    <w:p>
      <w:pPr>
        <w:spacing w:after="0" w:line="175" w:lineRule="exact"/>
        <w:rPr>
          <w:sz w:val="20"/>
          <w:szCs w:val="20"/>
          <w:color w:val="auto"/>
        </w:rPr>
      </w:pPr>
    </w:p>
    <w:p>
      <w:pPr>
        <w:ind w:left="1400" w:right="3279" w:hanging="697"/>
        <w:spacing w:after="0" w:line="255" w:lineRule="auto"/>
        <w:tabs>
          <w:tab w:leader="none" w:pos="14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adequacy of the company's internal controls and financial reporting process and the reliability of the company's financial statements.</w:t>
      </w:r>
    </w:p>
    <w:p>
      <w:pPr>
        <w:spacing w:after="0" w:line="162"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10 -</w:t>
      </w:r>
    </w:p>
    <w:p>
      <w:pPr>
        <w:sectPr>
          <w:pgSz w:w="11900" w:h="16838" w:orient="portrait"/>
          <w:cols w:equalWidth="0" w:num="1">
            <w:col w:w="10239"/>
          </w:cols>
          <w:pgMar w:left="220" w:top="620" w:right="1440" w:bottom="1440" w:gutter="0" w:footer="0" w:header="0"/>
        </w:sectPr>
      </w:pPr>
    </w:p>
    <w:bookmarkStart w:id="12" w:name="page13"/>
    <w:bookmarkEnd w:id="12"/>
    <w:p>
      <w:pPr>
        <w:ind w:left="1400" w:right="3639" w:hanging="697"/>
        <w:spacing w:after="0" w:line="258" w:lineRule="auto"/>
        <w:tabs>
          <w:tab w:leader="none" w:pos="14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independence and performance of the company's internal auditors and independent auditors.</w:t>
      </w:r>
    </w:p>
    <w:p>
      <w:pPr>
        <w:spacing w:after="0" w:line="159" w:lineRule="exact"/>
        <w:rPr>
          <w:rFonts w:ascii="Courier New" w:cs="Courier New" w:eastAsia="Courier New" w:hAnsi="Courier New"/>
          <w:sz w:val="14"/>
          <w:szCs w:val="14"/>
          <w:color w:val="auto"/>
        </w:rPr>
      </w:pPr>
    </w:p>
    <w:p>
      <w:pPr>
        <w:ind w:left="1400" w:hanging="697"/>
        <w:spacing w:after="0"/>
        <w:tabs>
          <w:tab w:leader="none" w:pos="14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compliance with regulatory requirements.</w:t>
      </w:r>
    </w:p>
    <w:p>
      <w:pPr>
        <w:spacing w:after="0" w:line="175"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We meet with management periodically to consider the adequacy of the company's internal controls and the objectivity of its financial reporting. We discuss these matters with the company's independent auditors and with appropriate company financial personnel and internal auditors.</w:t>
      </w:r>
    </w:p>
    <w:p>
      <w:pPr>
        <w:spacing w:after="0" w:line="163" w:lineRule="exact"/>
        <w:rPr>
          <w:sz w:val="20"/>
          <w:szCs w:val="20"/>
          <w:color w:val="auto"/>
        </w:rPr>
      </w:pPr>
    </w:p>
    <w:p>
      <w:pPr>
        <w:ind w:right="3539" w:firstLine="521"/>
        <w:spacing w:after="0" w:line="254" w:lineRule="auto"/>
        <w:rPr>
          <w:sz w:val="20"/>
          <w:szCs w:val="20"/>
          <w:color w:val="auto"/>
        </w:rPr>
      </w:pPr>
      <w:r>
        <w:rPr>
          <w:rFonts w:ascii="Courier New" w:cs="Courier New" w:eastAsia="Courier New" w:hAnsi="Courier New"/>
          <w:sz w:val="14"/>
          <w:szCs w:val="14"/>
          <w:color w:val="auto"/>
        </w:rPr>
        <w:t>As needed, we meet privately with both the independent auditors and the internal auditors, each of whom has unrestricted access to the committee. We also recommend to the Board the appointment of the independent auditors and review periodically their performance and independence from management.</w:t>
      </w:r>
    </w:p>
    <w:p>
      <w:pPr>
        <w:spacing w:after="0" w:line="163"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The Directors who serve on the committee are all "Independent" for purposes of the New York Stock Exchange listing standards. That is, the Board of Directors has determined that none of us has a relationship to Raytheon that may interfere with our independence from Raytheon and its management.</w:t>
      </w:r>
    </w:p>
    <w:p>
      <w:pPr>
        <w:spacing w:after="0" w:line="163" w:lineRule="exact"/>
        <w:rPr>
          <w:sz w:val="20"/>
          <w:szCs w:val="20"/>
          <w:color w:val="auto"/>
        </w:rPr>
      </w:pPr>
    </w:p>
    <w:p>
      <w:pPr>
        <w:ind w:right="3539" w:firstLine="521"/>
        <w:spacing w:after="0" w:line="255" w:lineRule="auto"/>
        <w:rPr>
          <w:sz w:val="20"/>
          <w:szCs w:val="20"/>
          <w:color w:val="auto"/>
        </w:rPr>
      </w:pPr>
      <w:r>
        <w:rPr>
          <w:rFonts w:ascii="Courier New" w:cs="Courier New" w:eastAsia="Courier New" w:hAnsi="Courier New"/>
          <w:sz w:val="14"/>
          <w:szCs w:val="14"/>
          <w:color w:val="auto"/>
        </w:rPr>
        <w:t>The Board has adopted a written charter setting out the functions the committee is to perform. You can find a copy of that charter attached to this proxy statement as Appendix A.</w:t>
      </w:r>
    </w:p>
    <w:p>
      <w:pPr>
        <w:spacing w:after="0" w:line="162" w:lineRule="exact"/>
        <w:rPr>
          <w:sz w:val="20"/>
          <w:szCs w:val="20"/>
          <w:color w:val="auto"/>
        </w:rPr>
      </w:pPr>
    </w:p>
    <w:p>
      <w:pPr>
        <w:ind w:right="3379" w:firstLine="521"/>
        <w:spacing w:after="0" w:line="255" w:lineRule="auto"/>
        <w:rPr>
          <w:sz w:val="20"/>
          <w:szCs w:val="20"/>
          <w:color w:val="auto"/>
        </w:rPr>
      </w:pPr>
      <w:r>
        <w:rPr>
          <w:rFonts w:ascii="Courier New" w:cs="Courier New" w:eastAsia="Courier New" w:hAnsi="Courier New"/>
          <w:sz w:val="14"/>
          <w:szCs w:val="14"/>
          <w:color w:val="auto"/>
        </w:rPr>
        <w:t>Management has primary responsibility for the company's financial statements and the overall reporting process, including the company's system of internal controls.</w:t>
      </w:r>
    </w:p>
    <w:p>
      <w:pPr>
        <w:spacing w:after="0" w:line="162"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The independent auditors audit the annual financial statements prepared by management, express an opinion as to whether those financial statements fairly present the financial position, results of operations and cash flows of the company in conformity with generally accepted accounting principles and discuss with us any issues they believe should be raised with us.</w:t>
      </w:r>
    </w:p>
    <w:p>
      <w:pPr>
        <w:spacing w:after="0" w:line="162"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This year, we reviewed the company's audited financial statements and met with both management and PricewaterhouseCoopers, the company's independent auditors, to discuss those financial statements. Management has represented to us that the financial statements were prepared in accordance with generally accepted accounting principles.</w:t>
      </w:r>
    </w:p>
    <w:p>
      <w:pPr>
        <w:spacing w:after="0" w:line="162" w:lineRule="exact"/>
        <w:rPr>
          <w:sz w:val="20"/>
          <w:szCs w:val="20"/>
          <w:color w:val="auto"/>
        </w:rPr>
      </w:pPr>
    </w:p>
    <w:p>
      <w:pPr>
        <w:ind w:right="3539" w:firstLine="521"/>
        <w:spacing w:after="0" w:line="253" w:lineRule="auto"/>
        <w:rPr>
          <w:sz w:val="20"/>
          <w:szCs w:val="20"/>
          <w:color w:val="auto"/>
        </w:rPr>
      </w:pPr>
      <w:r>
        <w:rPr>
          <w:rFonts w:ascii="Courier New" w:cs="Courier New" w:eastAsia="Courier New" w:hAnsi="Courier New"/>
          <w:sz w:val="14"/>
          <w:szCs w:val="14"/>
          <w:color w:val="auto"/>
        </w:rPr>
        <w:t>We have received from and discussed with PricewaterhouseCoopers the written disclosure as required by Independence Standards Board Standard No. 1 (Independence Discussions with Audit Committees). These items relate to that firm's independence from the company. We also discussed with PricewaterhouseCoopers any matters required to be discussed by Statement on Auditing Standards No. 61 (Communication with Audit Committees).</w:t>
      </w:r>
    </w:p>
    <w:p>
      <w:pPr>
        <w:spacing w:after="0" w:line="165" w:lineRule="exact"/>
        <w:rPr>
          <w:sz w:val="20"/>
          <w:szCs w:val="20"/>
          <w:color w:val="auto"/>
        </w:rPr>
      </w:pPr>
    </w:p>
    <w:p>
      <w:pPr>
        <w:jc w:val="both"/>
        <w:ind w:right="3459" w:firstLine="521"/>
        <w:spacing w:after="0" w:line="255" w:lineRule="auto"/>
        <w:rPr>
          <w:sz w:val="20"/>
          <w:szCs w:val="20"/>
          <w:color w:val="auto"/>
        </w:rPr>
      </w:pPr>
      <w:r>
        <w:rPr>
          <w:rFonts w:ascii="Courier New" w:cs="Courier New" w:eastAsia="Courier New" w:hAnsi="Courier New"/>
          <w:sz w:val="14"/>
          <w:szCs w:val="14"/>
          <w:color w:val="auto"/>
        </w:rPr>
        <w:t>Based on these reviews and discussions, we recommended to the Board that the company's audited financial statements be included in the company's Annual Report on Form 10-K for the fiscal year ended December 31, 2000.</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- 11 -</w:t>
      </w:r>
    </w:p>
    <w:p>
      <w:pPr>
        <w:sectPr>
          <w:pgSz w:w="11900" w:h="16838" w:orient="portrait"/>
          <w:cols w:equalWidth="0" w:num="1">
            <w:col w:w="10239"/>
          </w:cols>
          <w:pgMar w:left="220" w:top="620" w:right="1440" w:bottom="1440" w:gutter="0" w:footer="0" w:header="0"/>
        </w:sectPr>
      </w:pPr>
    </w:p>
    <w:bookmarkStart w:id="13" w:name="page14"/>
    <w:bookmarkEnd w:id="13"/>
    <w:p>
      <w:pPr>
        <w:ind w:right="3459" w:firstLine="521"/>
        <w:spacing w:after="0" w:line="255" w:lineRule="auto"/>
        <w:rPr>
          <w:sz w:val="20"/>
          <w:szCs w:val="20"/>
          <w:color w:val="auto"/>
        </w:rPr>
      </w:pPr>
      <w:r>
        <w:rPr>
          <w:rFonts w:ascii="Courier New" w:cs="Courier New" w:eastAsia="Courier New" w:hAnsi="Courier New"/>
          <w:sz w:val="14"/>
          <w:szCs w:val="14"/>
          <w:color w:val="auto"/>
        </w:rPr>
        <w:t>Management has advised us that for the year ended December 31, 2000, the company paid fees to PricewaterhouseCoopers for services in the following categories:</w:t>
      </w:r>
    </w:p>
    <w:p>
      <w:pPr>
        <w:spacing w:after="0" w:line="162"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Audit Fees</w:t>
            </w:r>
          </w:p>
        </w:tc>
        <w:tc>
          <w:tcPr>
            <w:tcW w:w="13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$3 million</w:t>
            </w:r>
          </w:p>
        </w:tc>
      </w:tr>
      <w:tr>
        <w:trPr>
          <w:trHeight w:val="334"/>
        </w:trPr>
        <w:tc>
          <w:tcPr>
            <w:tcW w:w="820" w:type="dxa"/>
            <w:vAlign w:val="bottom"/>
          </w:tcPr>
          <w:p>
            <w:pPr>
              <w:spacing w:after="0"/>
              <w:rPr>
                <w:sz w:val="20"/>
                <w:szCs w:val="20"/>
                <w:color w:val="auto"/>
              </w:rPr>
            </w:pPr>
            <w:r>
              <w:rPr>
                <w:rFonts w:ascii="Courier New" w:cs="Courier New" w:eastAsia="Courier New" w:hAnsi="Courier New"/>
                <w:sz w:val="14"/>
                <w:szCs w:val="14"/>
                <w:color w:val="auto"/>
              </w:rPr>
              <w:t>Financial</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Information Systems</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$23</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r>
      <w:tr>
        <w:trPr>
          <w:trHeight w:val="167"/>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Design and Implementation Fees(1)</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820" w:type="dxa"/>
            <w:vAlign w:val="bottom"/>
          </w:tcPr>
          <w:p>
            <w:pPr>
              <w:spacing w:after="0"/>
              <w:rPr>
                <w:sz w:val="20"/>
                <w:szCs w:val="20"/>
                <w:color w:val="auto"/>
              </w:rPr>
            </w:pPr>
            <w:r>
              <w:rPr>
                <w:rFonts w:ascii="Courier New" w:cs="Courier New" w:eastAsia="Courier New" w:hAnsi="Courier New"/>
                <w:sz w:val="14"/>
                <w:szCs w:val="14"/>
                <w:color w:val="auto"/>
              </w:rPr>
              <w:t>All Other</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Fees(2)</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$25</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20" w:right="3279" w:hanging="511"/>
        <w:spacing w:after="0" w:line="258" w:lineRule="auto"/>
        <w:tabs>
          <w:tab w:leader="none" w:pos="5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selected PricewaterhouseCoopers Consulting in 1999 to assist the company in its implementation of SAP.</w:t>
      </w:r>
    </w:p>
    <w:p>
      <w:pPr>
        <w:spacing w:after="0" w:line="159" w:lineRule="exact"/>
        <w:rPr>
          <w:rFonts w:ascii="Courier New" w:cs="Courier New" w:eastAsia="Courier New" w:hAnsi="Courier New"/>
          <w:sz w:val="14"/>
          <w:szCs w:val="14"/>
          <w:color w:val="auto"/>
        </w:rPr>
      </w:pPr>
    </w:p>
    <w:p>
      <w:pPr>
        <w:ind w:left="520" w:right="3799" w:hanging="511"/>
        <w:spacing w:after="0" w:line="258" w:lineRule="auto"/>
        <w:tabs>
          <w:tab w:leader="none" w:pos="5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Fees includes fees for the following routine audit and tax services:</w:t>
      </w:r>
    </w:p>
    <w:p>
      <w:pPr>
        <w:spacing w:after="0" w:line="160"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640" w:type="dxa"/>
            <w:vAlign w:val="bottom"/>
            <w:gridSpan w:val="2"/>
          </w:tcPr>
          <w:p>
            <w:pPr>
              <w:spacing w:after="0"/>
              <w:rPr>
                <w:sz w:val="20"/>
                <w:szCs w:val="20"/>
                <w:color w:val="auto"/>
              </w:rPr>
            </w:pPr>
            <w:r>
              <w:rPr>
                <w:rFonts w:ascii="Courier New" w:cs="Courier New" w:eastAsia="Courier New" w:hAnsi="Courier New"/>
                <w:sz w:val="14"/>
                <w:szCs w:val="14"/>
                <w:color w:val="auto"/>
              </w:rPr>
              <w:t>Foreign</w:t>
            </w:r>
          </w:p>
        </w:tc>
        <w:tc>
          <w:tcPr>
            <w:tcW w:w="2740" w:type="dxa"/>
            <w:vAlign w:val="bottom"/>
            <w:gridSpan w:val="3"/>
          </w:tcPr>
          <w:p>
            <w:pPr>
              <w:jc w:val="right"/>
              <w:ind w:right="1228"/>
              <w:spacing w:after="0"/>
              <w:rPr>
                <w:sz w:val="20"/>
                <w:szCs w:val="20"/>
                <w:color w:val="auto"/>
              </w:rPr>
            </w:pPr>
            <w:r>
              <w:rPr>
                <w:rFonts w:ascii="Courier New" w:cs="Courier New" w:eastAsia="Courier New" w:hAnsi="Courier New"/>
                <w:sz w:val="14"/>
                <w:szCs w:val="14"/>
                <w:color w:val="auto"/>
              </w:rPr>
              <w:t>statutory audits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million</w:t>
            </w:r>
          </w:p>
        </w:tc>
      </w:tr>
      <w:tr>
        <w:trPr>
          <w:trHeight w:val="167"/>
        </w:trPr>
        <w:tc>
          <w:tcPr>
            <w:tcW w:w="300" w:type="dxa"/>
            <w:vAlign w:val="bottom"/>
          </w:tcPr>
          <w:p>
            <w:pPr>
              <w:spacing w:after="0"/>
              <w:rPr>
                <w:sz w:val="20"/>
                <w:szCs w:val="20"/>
                <w:color w:val="auto"/>
              </w:rPr>
            </w:pPr>
            <w:r>
              <w:rPr>
                <w:rFonts w:ascii="Courier New" w:cs="Courier New" w:eastAsia="Courier New" w:hAnsi="Courier New"/>
                <w:sz w:val="14"/>
                <w:szCs w:val="14"/>
                <w:color w:val="auto"/>
              </w:rPr>
              <w:t>and</w:t>
            </w:r>
          </w:p>
        </w:tc>
        <w:tc>
          <w:tcPr>
            <w:tcW w:w="3080" w:type="dxa"/>
            <w:vAlign w:val="bottom"/>
            <w:gridSpan w:val="4"/>
          </w:tcPr>
          <w:p>
            <w:pPr>
              <w:jc w:val="right"/>
              <w:ind w:right="1328"/>
              <w:spacing w:after="0"/>
              <w:rPr>
                <w:sz w:val="20"/>
                <w:szCs w:val="20"/>
                <w:color w:val="auto"/>
              </w:rPr>
            </w:pPr>
            <w:r>
              <w:rPr>
                <w:rFonts w:ascii="Courier New" w:cs="Courier New" w:eastAsia="Courier New" w:hAnsi="Courier New"/>
                <w:sz w:val="14"/>
                <w:szCs w:val="14"/>
                <w:color w:val="auto"/>
              </w:rPr>
              <w:t>carve-out audits in</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640" w:type="dxa"/>
            <w:vAlign w:val="bottom"/>
            <w:gridSpan w:val="2"/>
          </w:tcPr>
          <w:p>
            <w:pPr>
              <w:spacing w:after="0"/>
              <w:rPr>
                <w:sz w:val="20"/>
                <w:szCs w:val="20"/>
                <w:color w:val="auto"/>
              </w:rPr>
            </w:pPr>
            <w:r>
              <w:rPr>
                <w:rFonts w:ascii="Courier New" w:cs="Courier New" w:eastAsia="Courier New" w:hAnsi="Courier New"/>
                <w:sz w:val="14"/>
                <w:szCs w:val="14"/>
                <w:color w:val="auto"/>
              </w:rPr>
              <w:t>support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2480" w:type="dxa"/>
            <w:vAlign w:val="bottom"/>
            <w:gridSpan w:val="2"/>
          </w:tcPr>
          <w:p>
            <w:pPr>
              <w:jc w:val="right"/>
              <w:ind w:right="1328"/>
              <w:spacing w:after="0"/>
              <w:rPr>
                <w:sz w:val="20"/>
                <w:szCs w:val="20"/>
                <w:color w:val="auto"/>
              </w:rPr>
            </w:pPr>
            <w:r>
              <w:rPr>
                <w:rFonts w:ascii="Courier New" w:cs="Courier New" w:eastAsia="Courier New" w:hAnsi="Courier New"/>
                <w:sz w:val="14"/>
                <w:szCs w:val="14"/>
                <w:color w:val="auto"/>
              </w:rPr>
              <w:t>divestitures</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4"/>
        </w:trPr>
        <w:tc>
          <w:tcPr>
            <w:tcW w:w="300" w:type="dxa"/>
            <w:vAlign w:val="bottom"/>
          </w:tcPr>
          <w:p>
            <w:pPr>
              <w:spacing w:after="0"/>
              <w:rPr>
                <w:sz w:val="20"/>
                <w:szCs w:val="20"/>
                <w:color w:val="auto"/>
              </w:rPr>
            </w:pPr>
            <w:r>
              <w:rPr>
                <w:rFonts w:ascii="Courier New" w:cs="Courier New" w:eastAsia="Courier New" w:hAnsi="Courier New"/>
                <w:sz w:val="14"/>
                <w:szCs w:val="14"/>
                <w:color w:val="auto"/>
              </w:rPr>
              <w:t>Tax</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advice</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2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tax return assistance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million</w:t>
            </w:r>
          </w:p>
        </w:tc>
      </w:tr>
      <w:tr>
        <w:trPr>
          <w:trHeight w:val="334"/>
        </w:trPr>
        <w:tc>
          <w:tcPr>
            <w:tcW w:w="1240" w:type="dxa"/>
            <w:vAlign w:val="bottom"/>
            <w:gridSpan w:val="4"/>
          </w:tcPr>
          <w:p>
            <w:pPr>
              <w:spacing w:after="0"/>
              <w:rPr>
                <w:sz w:val="20"/>
                <w:szCs w:val="20"/>
                <w:color w:val="auto"/>
              </w:rPr>
            </w:pPr>
            <w:r>
              <w:rPr>
                <w:rFonts w:ascii="Courier New" w:cs="Courier New" w:eastAsia="Courier New" w:hAnsi="Courier New"/>
                <w:sz w:val="14"/>
                <w:szCs w:val="14"/>
                <w:color w:val="auto"/>
              </w:rPr>
              <w:t>Internal audit</w:t>
            </w:r>
          </w:p>
        </w:tc>
        <w:tc>
          <w:tcPr>
            <w:tcW w:w="2140" w:type="dxa"/>
            <w:vAlign w:val="bottom"/>
          </w:tcPr>
          <w:p>
            <w:pPr>
              <w:jc w:val="right"/>
              <w:ind w:right="1328"/>
              <w:spacing w:after="0"/>
              <w:rPr>
                <w:sz w:val="20"/>
                <w:szCs w:val="20"/>
                <w:color w:val="auto"/>
              </w:rPr>
            </w:pPr>
            <w:r>
              <w:rPr>
                <w:rFonts w:ascii="Courier New" w:cs="Courier New" w:eastAsia="Courier New" w:hAnsi="Courier New"/>
                <w:sz w:val="14"/>
                <w:szCs w:val="14"/>
                <w:color w:val="auto"/>
              </w:rPr>
              <w:t>services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million</w:t>
            </w:r>
          </w:p>
        </w:tc>
      </w:tr>
    </w:tbl>
    <w:p>
      <w:pPr>
        <w:spacing w:after="0" w:line="338" w:lineRule="exact"/>
        <w:rPr>
          <w:sz w:val="20"/>
          <w:szCs w:val="20"/>
          <w:color w:val="auto"/>
        </w:rPr>
      </w:pPr>
    </w:p>
    <w:p>
      <w:pPr>
        <w:ind w:right="3719" w:firstLine="521"/>
        <w:spacing w:after="0" w:line="255" w:lineRule="auto"/>
        <w:rPr>
          <w:sz w:val="20"/>
          <w:szCs w:val="20"/>
          <w:color w:val="auto"/>
        </w:rPr>
      </w:pPr>
      <w:r>
        <w:rPr>
          <w:rFonts w:ascii="Courier New" w:cs="Courier New" w:eastAsia="Courier New" w:hAnsi="Courier New"/>
          <w:sz w:val="14"/>
          <w:szCs w:val="14"/>
          <w:color w:val="auto"/>
        </w:rPr>
        <w:t>We have considered and determined that the provision of the non-audit services noted in the foregoing table is compatible with maintaining PricewaterhouseCoopers' independence.</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MEMBERS OF THE AUDIT COMMITTEE</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L. Dennis Kozlowski, Chairman, Frederic M. Poses, William R. Spivey</w:t>
      </w:r>
    </w:p>
    <w:p>
      <w:pPr>
        <w:spacing w:after="0" w:line="200" w:lineRule="exact"/>
        <w:rPr>
          <w:sz w:val="20"/>
          <w:szCs w:val="20"/>
          <w:color w:val="auto"/>
        </w:rPr>
      </w:pPr>
    </w:p>
    <w:p>
      <w:pPr>
        <w:spacing w:after="0" w:line="309"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ELECTION OF DIRECTORS</w:t>
      </w:r>
    </w:p>
    <w:p>
      <w:pPr>
        <w:spacing w:after="0" w:line="175" w:lineRule="exact"/>
        <w:rPr>
          <w:sz w:val="20"/>
          <w:szCs w:val="20"/>
          <w:color w:val="auto"/>
        </w:rPr>
      </w:pPr>
    </w:p>
    <w:p>
      <w:pPr>
        <w:ind w:right="3639" w:firstLine="1042"/>
        <w:spacing w:after="0" w:line="258" w:lineRule="auto"/>
        <w:rPr>
          <w:sz w:val="20"/>
          <w:szCs w:val="20"/>
          <w:color w:val="auto"/>
        </w:rPr>
      </w:pPr>
      <w:r>
        <w:rPr>
          <w:rFonts w:ascii="Courier New" w:cs="Courier New" w:eastAsia="Courier New" w:hAnsi="Courier New"/>
          <w:sz w:val="14"/>
          <w:szCs w:val="14"/>
          <w:color w:val="auto"/>
        </w:rPr>
        <w:t>The Board of Directors is divided into three classes whose terms expire at successive annual meetings.</w:t>
      </w:r>
    </w:p>
    <w:p>
      <w:pPr>
        <w:spacing w:after="0" w:line="160"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We have nominated John M. Deutch, Henrique de Campos Meirelles, Dennis J. Picard and William R. Spivey, the Directors in the class of Directors whose terms expire at the annual meeting, for three-year terms that will expire at the annual meeting in the year 2004.</w:t>
      </w:r>
    </w:p>
    <w:p>
      <w:pPr>
        <w:spacing w:after="0" w:line="163"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We have also nominated Michael C. Ruettgers for a three year term that will expire at the annual meeting in the year 2004 and Frederic M. Poses for a two year term that will expire at the annual meeting in the year 2003. The Board of Directors elected Mr. Ruettgers and Mr. Poses to the Board last year in order to fill vacancies on the Board. In accordance with Raytheon's Certificate of Incorporation, new Directors elected by the Board must stand for elec-</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- 12 -</w:t>
      </w:r>
    </w:p>
    <w:p>
      <w:pPr>
        <w:sectPr>
          <w:pgSz w:w="11900" w:h="16838" w:orient="portrait"/>
          <w:cols w:equalWidth="0" w:num="1">
            <w:col w:w="10239"/>
          </w:cols>
          <w:pgMar w:left="220" w:top="620" w:right="1440" w:bottom="1440" w:gutter="0" w:footer="0" w:header="0"/>
        </w:sectPr>
      </w:pPr>
    </w:p>
    <w:bookmarkStart w:id="14" w:name="page15"/>
    <w:bookmarkEnd w:id="14"/>
    <w:p>
      <w:pPr>
        <w:ind w:right="3279"/>
        <w:spacing w:after="0" w:line="255" w:lineRule="auto"/>
        <w:rPr>
          <w:sz w:val="20"/>
          <w:szCs w:val="20"/>
          <w:color w:val="auto"/>
        </w:rPr>
      </w:pPr>
      <w:r>
        <w:rPr>
          <w:rFonts w:ascii="Courier New" w:cs="Courier New" w:eastAsia="Courier New" w:hAnsi="Courier New"/>
          <w:sz w:val="14"/>
          <w:szCs w:val="14"/>
          <w:color w:val="auto"/>
        </w:rPr>
        <w:t>tion at the next year's annual meeting. After the 2000 annual meeting two of the three classes of Directors will have five members and the remaining class will have four members.</w:t>
      </w:r>
    </w:p>
    <w:p>
      <w:pPr>
        <w:spacing w:after="0" w:line="162" w:lineRule="exact"/>
        <w:rPr>
          <w:sz w:val="20"/>
          <w:szCs w:val="20"/>
          <w:color w:val="auto"/>
        </w:rPr>
      </w:pPr>
    </w:p>
    <w:p>
      <w:pPr>
        <w:ind w:right="3719" w:firstLine="1042"/>
        <w:spacing w:after="0" w:line="255" w:lineRule="auto"/>
        <w:rPr>
          <w:sz w:val="20"/>
          <w:szCs w:val="20"/>
          <w:color w:val="auto"/>
        </w:rPr>
      </w:pPr>
      <w:r>
        <w:rPr>
          <w:rFonts w:ascii="Courier New" w:cs="Courier New" w:eastAsia="Courier New" w:hAnsi="Courier New"/>
          <w:sz w:val="14"/>
          <w:szCs w:val="14"/>
          <w:color w:val="auto"/>
        </w:rPr>
        <w:t>We have included below the principal occupation and other information about the nominees and the Directors whose terms of office will continue after the annual meeting.</w:t>
      </w:r>
    </w:p>
    <w:p>
      <w:pPr>
        <w:spacing w:after="0" w:line="162"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The persons named in the proxy card intend to vote for the election of each of the nominees unless you indicate that your vote should be withheld. If elected, the nominees will continue in office until their successors have been duly elected and qualified, or until the earlier of their death, resignation or retirement. We expect each of the nominees to be able to serve if elected. If, on account of death or unforeseen contingencies, any of these persons is unavailable for election, the proxies will be voted for a substitute nominee designated by the Board of Directors.</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NOMINEES FOR THE CLASS OF DIRECTORS WHOSE TERMS EXPIRE IN 2004</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JOHN M. DEUTCH</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Director of the company since 1998. Institute Professor at the Massachusetts Institute of Technology since 1990. Mr. Deutch previously served as Director of the United States Central Intelligence Agency (1995-1996); Deputy Secretary of Defense (1994-1995); Undersecretary of Defense, Acquisition and Technology, (1993-1994); and Provost (1985-1990) and Chairman of the Department of Chemistry (1982-1985) of the Massachusetts Institute of Technology. Mr. Deutch has also served as Director of Energy Research and Undersecretary of the U.S. Department of Energy. Director: ARIAD Pharmaceuticals, Inc.; Citigroup Inc.; CMS Energy Corporation; Cummins Engine Company, Inc.; Schlumberger Ltd. Affiliations: French American Foundation; Council on Foreign Relations; Resources for the Future; Urban Institute. Age 62.</w:t>
      </w:r>
    </w:p>
    <w:p>
      <w:pPr>
        <w:spacing w:after="0" w:line="164"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HENRIQUE DE CAMPOS MEIRELLES</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Director of the company since 1998. President of Corporate and Global Banking, FleetBoston Financial Corporation since October 1999. Prior thereto, Mr. Meirelles served as President and Chief Operating Officer of BankBoston Corporation and BankBoston N.A. from 1996; Regional Manager of Brazil for both BankBoston Corporation and BankBoston N.A. from 1994; and General Manager of Brazil for the Bank from 1984 to 1994. Director: FleetBoston Financial Corporation; Accion International; Public Broadcasting System of Sao Paolo, Brazil. Age 55.</w:t>
      </w:r>
    </w:p>
    <w:p>
      <w:pPr>
        <w:spacing w:after="0" w:line="16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DENNIS J. PICARD</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Director of the company or a predecessor company since 1989. Chairman Emeritus and Retired Chairman of the Board and Chief Executive Officer of the company. Prior to his retirement, Mr. Picard served as Chairman of the Board of the company from December 1998 through July 1999; Chairman of the Board and Chief Executive Officer of the company from March 1991 to December 1998; President from 1989; and Senior Vice President, General Manager of the Missile Systems Division from 1983. Director: State Street Corporation. Age 68.</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- 13 -</w:t>
      </w:r>
    </w:p>
    <w:p>
      <w:pPr>
        <w:sectPr>
          <w:pgSz w:w="11900" w:h="16838" w:orient="portrait"/>
          <w:cols w:equalWidth="0" w:num="1">
            <w:col w:w="10239"/>
          </w:cols>
          <w:pgMar w:left="220" w:top="453" w:right="1440" w:bottom="1440" w:gutter="0" w:footer="0" w:header="0"/>
        </w:sectPr>
      </w:pPr>
    </w:p>
    <w:bookmarkStart w:id="15" w:name="page16"/>
    <w:bookmarkEnd w:id="15"/>
    <w:p>
      <w:pPr>
        <w:ind w:left="2620"/>
        <w:spacing w:after="0"/>
        <w:rPr>
          <w:sz w:val="20"/>
          <w:szCs w:val="20"/>
          <w:color w:val="auto"/>
        </w:rPr>
      </w:pPr>
      <w:r>
        <w:rPr>
          <w:rFonts w:ascii="Courier New" w:cs="Courier New" w:eastAsia="Courier New" w:hAnsi="Courier New"/>
          <w:sz w:val="14"/>
          <w:szCs w:val="14"/>
          <w:color w:val="auto"/>
        </w:rPr>
        <w:t>MICHAEL C. RUETTGERS</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Director of the company since 2000. Executive Chairman of EMC Corporation since January 2001. Prior thereto, Mr. Reuttgers served as Chief Executive Officer of EMC since January 1992 and President of EMC from October 1989 to January 2000. He also served as Executive Vice President, Operations of EMC from July 1988 to October 1989 and Chief Operating Officer from October 1989 to January 1992. Director: EMC Corporation; PerkinElmer, Inc. Age 58.</w:t>
      </w:r>
    </w:p>
    <w:p>
      <w:pPr>
        <w:spacing w:after="0" w:line="16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WILLIAM R. SPIVEY</w:t>
      </w:r>
    </w:p>
    <w:p>
      <w:pPr>
        <w:spacing w:after="0" w:line="17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Director of the company since 1999. President and Chief Executive Officer of Luminent, Inc. since July 2000. Prior thereto, Mr. Spivey served as Group President, Network Products Group, Lucent Technologies Inc. from October 1997; Vice President, Systems &amp; Components Group, AT&amp;T Corporation from 1994; and Group Vice President and President, Tektronix Development Company, Tektronix, Inc. from 1991. Director: Luminent, Inc; Lyondell Chemical Co.; Novellus Systems, Inc. Age 54.</w:t>
      </w:r>
    </w:p>
    <w:p>
      <w:pPr>
        <w:spacing w:after="0" w:line="16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NOMINEE FOR THE CLASS OF DIRECTORS WHOSE TERMS EXPIRE IN 2003</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FREDERIC M. POSES</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Director of the company since 2000. Chairman and Chief Executive Officer of American Standard Companies, Inc. since January 2000. Prior thereto, beginning in 1998, Mr. Poses was President and Chief Operating Officer of AlliedSignal, Inc., where he had spent his entire 30-year career, starting as a financial analyst and serving in various capacities including President of the Engineered Materials business beginning in April 1988. Director: American Standard Companies, Inc. Age 58.</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DIRECTORS WHOSE TERMS OF OFFICE CONTINUE</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BARBARA M. BARRETT</w:t>
      </w:r>
    </w:p>
    <w:p>
      <w:pPr>
        <w:spacing w:after="0" w:line="175" w:lineRule="exact"/>
        <w:rPr>
          <w:sz w:val="20"/>
          <w:szCs w:val="20"/>
          <w:color w:val="auto"/>
        </w:rPr>
      </w:pPr>
    </w:p>
    <w:p>
      <w:pPr>
        <w:ind w:right="3279" w:firstLine="1042"/>
        <w:spacing w:after="0" w:line="252" w:lineRule="auto"/>
        <w:rPr>
          <w:sz w:val="20"/>
          <w:szCs w:val="20"/>
          <w:color w:val="auto"/>
        </w:rPr>
      </w:pPr>
      <w:r>
        <w:rPr>
          <w:rFonts w:ascii="Courier New" w:cs="Courier New" w:eastAsia="Courier New" w:hAnsi="Courier New"/>
          <w:sz w:val="14"/>
          <w:szCs w:val="14"/>
          <w:color w:val="auto"/>
        </w:rPr>
        <w:t>Director of the company since 1999. Term expires 2002. President of Triple Creek Guest Ranch since 1993. Ms. Barrett has practiced corporate and international law since 1979. In 1999, Ms. Barrett served as a Fellow at the Institute of Politics at Harvard University where she now serves as a member of the Senior Advisory Board. In 1997 and 1998, Ms. Barrett served as President and Chief Executive Officer of the American Management Association. Ms. Barrett served as Deputy Administrator of the Federal Aviation Administration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(1988-1989) and Vice Chairman of the Civil Aeronautics Board (1982-1985).</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Trustee:</w:t>
        <w:tab/>
        <w:t>Thunderbird, The American Graduate School of International Management.</w:t>
      </w:r>
    </w:p>
    <w:p>
      <w:pPr>
        <w:spacing w:after="0" w:line="8" w:lineRule="exact"/>
        <w:rPr>
          <w:sz w:val="20"/>
          <w:szCs w:val="20"/>
          <w:color w:val="auto"/>
        </w:rPr>
      </w:pPr>
    </w:p>
    <w:p>
      <w:pPr>
        <w:spacing w:after="0"/>
        <w:tabs>
          <w:tab w:leader="none" w:pos="940" w:val="left"/>
          <w:tab w:leader="none" w:pos="4500" w:val="left"/>
        </w:tabs>
        <w:rPr>
          <w:sz w:val="20"/>
          <w:szCs w:val="20"/>
          <w:color w:val="auto"/>
        </w:rPr>
      </w:pPr>
      <w:r>
        <w:rPr>
          <w:rFonts w:ascii="Courier New" w:cs="Courier New" w:eastAsia="Courier New" w:hAnsi="Courier New"/>
          <w:sz w:val="14"/>
          <w:szCs w:val="14"/>
          <w:color w:val="auto"/>
        </w:rPr>
        <w:t>Director:</w:t>
        <w:tab/>
        <w:t>Exponent, Inc.; Valley Bank of Arizona.</w:t>
        <w:tab/>
        <w:t>Age 50.</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DANIEL P. BURNHAM</w:t>
      </w:r>
    </w:p>
    <w:p>
      <w:pPr>
        <w:spacing w:after="0" w:line="175"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Director of the company since 1998. Term expires 2002. Chairman and Chief Executive Officer of the company since July 31, 1999. Prior thereto, Mr. Burnham served as President and Chief Executive Officer of the company from December 1, 1998 to July 31, 1999</w:t>
      </w:r>
    </w:p>
    <w:p>
      <w:pPr>
        <w:spacing w:after="0" w:line="33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- 14 -</w:t>
      </w:r>
    </w:p>
    <w:p>
      <w:pPr>
        <w:sectPr>
          <w:pgSz w:w="11900" w:h="16838" w:orient="portrait"/>
          <w:cols w:equalWidth="0" w:num="1">
            <w:col w:w="10239"/>
          </w:cols>
          <w:pgMar w:left="220" w:top="453" w:right="1440" w:bottom="1440" w:gutter="0" w:footer="0" w:header="0"/>
        </w:sectPr>
      </w:pPr>
    </w:p>
    <w:bookmarkStart w:id="16" w:name="page17"/>
    <w:bookmarkEnd w:id="16"/>
    <w:p>
      <w:pPr>
        <w:ind w:right="3459"/>
        <w:spacing w:after="0" w:line="254" w:lineRule="auto"/>
        <w:rPr>
          <w:sz w:val="20"/>
          <w:szCs w:val="20"/>
          <w:color w:val="auto"/>
        </w:rPr>
      </w:pPr>
      <w:r>
        <w:rPr>
          <w:rFonts w:ascii="Courier New" w:cs="Courier New" w:eastAsia="Courier New" w:hAnsi="Courier New"/>
          <w:sz w:val="14"/>
          <w:szCs w:val="14"/>
          <w:color w:val="auto"/>
        </w:rPr>
        <w:t>and as President and Chief Operating Officer from July 1, 1998 to December 1, 1998. Prior to joining the company, Mr. Burnham was Vice Chairman of AlliedSignal, Inc. from October 1997 and President of AlliedSignal Aerospace and an Executive Vice President of AlliedSignal, Inc. from 1992 until becoming Vice Chairman in 1997. Director: FleetBoston Corporation. Age 54.</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JOHN R. GALVIN</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Director of the company or a predecessor company since 1996. Term expires 2002. Retired Dean of the Fletcher School of Law and Diplomacy, Tufts University. Prior to his retirement, General Galvin was Dean of the Fletcher School from 1995 to 2000. General Galvin retired from the U.S. Army in 1992 after a 38-year career which included positions as NATO Supreme Allied Commander Europe and Commander-in-Chief, U.S. European Command. From 1992 to 1994, General Galvin served as the Olin Distinguished Professor of National Security at the U.S. Military Academy at West Point. In 1994-1995, he was a visiting professor at the Mershon Center, The Ohio State University. Director or Trustee: the Seligman Group of Investment Companies. Trustee: Institute for Defense Analyses. Governor: Center for Creative Leadership. Age 71.</w:t>
      </w:r>
    </w:p>
    <w:p>
      <w:pPr>
        <w:spacing w:after="0" w:line="16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ALFRED M. ZEIEN</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Director of the company or a predecessor company since 1992. Term expires 2002. Retired Chairman of the Board and Chief Executive Officer of The Gillette Company. Prior to his retirement in 1999, Mr. Zeien served as Chairman of the Board and Chief Executive Officer of Gillette since 1991. Director: EMC Corporation; The Gillette Company; Polaroid Corporation; Massachusetts Mutual Life Insurance Company. Age 71.</w:t>
      </w:r>
    </w:p>
    <w:p>
      <w:pPr>
        <w:spacing w:after="0" w:line="16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FERDINAND COLLOREDO-MANSFELD</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Director of the company or a predecessor company since 1987. Term expires 2003. Chairman and Chief Executive Officer of Cabot Industrial Trust since January 1998. Prior thereto, Mr. Colloredo-Mansfeld served as Chairman and Chief Executive Officer of Cabot Partners L.P. (predecessor of Cabot Industrial Trust) since October 1990 and as Chairman and Chief Executive Officer of Cabot, Cabot and Forbes Co. from 1986 to 1990. Trustee: Massachusetts General Hospital. Age 61.</w:t>
      </w:r>
    </w:p>
    <w:p>
      <w:pPr>
        <w:spacing w:after="0" w:line="33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THOMAS E. EVERHART</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Director of the company since 1997. Term expires 2003. President Emeritus, California Institute of Technology since 1997. Prior thereto, Mr. Everhart served as President and Professor of Electrical Engineering and Applied Physics, California Institute of Technology since 1987. Director: Agilent Technologies; General Motors Corporation; Hughes Electronics Corporation; Saint-Gobain Corporation; Reveo, Inc. Trustee: California Institute of Technology. Overseer: Harvard University. Affiliations: Electric Power Research Institute; Corporation for National Research Initiatives. Age 69.</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- 15 -</w:t>
      </w:r>
    </w:p>
    <w:p>
      <w:pPr>
        <w:sectPr>
          <w:pgSz w:w="11900" w:h="16838" w:orient="portrait"/>
          <w:cols w:equalWidth="0" w:num="1">
            <w:col w:w="10239"/>
          </w:cols>
          <w:pgMar w:left="220" w:top="453" w:right="1440" w:bottom="1440" w:gutter="0" w:footer="0" w:header="0"/>
        </w:sectPr>
      </w:pPr>
    </w:p>
    <w:bookmarkStart w:id="17" w:name="page18"/>
    <w:bookmarkEnd w:id="17"/>
    <w:p>
      <w:pPr>
        <w:ind w:left="2700"/>
        <w:spacing w:after="0"/>
        <w:rPr>
          <w:sz w:val="20"/>
          <w:szCs w:val="20"/>
          <w:color w:val="auto"/>
        </w:rPr>
      </w:pPr>
      <w:r>
        <w:rPr>
          <w:rFonts w:ascii="Courier New" w:cs="Courier New" w:eastAsia="Courier New" w:hAnsi="Courier New"/>
          <w:sz w:val="14"/>
          <w:szCs w:val="14"/>
          <w:color w:val="auto"/>
        </w:rPr>
        <w:t>L. DENNIS KOZLOWSKI</w:t>
      </w:r>
    </w:p>
    <w:p>
      <w:pPr>
        <w:spacing w:after="0" w:line="175"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Director of the company or a predecessor company since 1995. Term expires 2003. Chairman of the Board and Chief Executive Officer of Tyco International Ltd. since 1992. Prior thereto, Mr. Kozlowski served as President of Tyco from 1989. Director: Tyco International Ltd.; Applied Power, Inc.; U.S. Office Products. Age 54.</w:t>
      </w:r>
    </w:p>
    <w:p>
      <w:pPr>
        <w:spacing w:after="0" w:line="16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WARREN B. RUDMAN</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Director of the company or a predecessor company since 1993. Term expires 2003. Partner in the law firm of Paul, Weiss, Rifkind, Wharton &amp; Garrison since January 1992. Prior thereto, Mr. Rudman served as a United States Senator from 1980 through January 1992. Director: Allied Waste Industries, Inc.; American Stock Exchange, Inc.; Boston Scientific Corporation; The Chubb Corporation; Collins &amp; Aikman Corporation; several mutual funds managed by Dreyfus Corporation. Age 70.</w:t>
      </w:r>
    </w:p>
    <w:p>
      <w:pPr>
        <w:spacing w:after="0" w:line="16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STOCK OWNERSHIP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PERCENT STOCKHOLDERS</w:t>
      </w:r>
    </w:p>
    <w:p>
      <w:pPr>
        <w:spacing w:after="0" w:line="175" w:lineRule="exact"/>
        <w:rPr>
          <w:sz w:val="20"/>
          <w:szCs w:val="20"/>
          <w:color w:val="auto"/>
        </w:rPr>
      </w:pPr>
    </w:p>
    <w:p>
      <w:pPr>
        <w:ind w:right="3719" w:firstLine="1042"/>
        <w:spacing w:after="0" w:line="255" w:lineRule="auto"/>
        <w:rPr>
          <w:sz w:val="20"/>
          <w:szCs w:val="20"/>
          <w:color w:val="auto"/>
        </w:rPr>
      </w:pPr>
      <w:r>
        <w:rPr>
          <w:rFonts w:ascii="Courier New" w:cs="Courier New" w:eastAsia="Courier New" w:hAnsi="Courier New"/>
          <w:sz w:val="14"/>
          <w:szCs w:val="14"/>
          <w:color w:val="auto"/>
        </w:rPr>
        <w:t>The following table lists those persons or groups known to the company to be the beneficial owner of more than 5% of the company's Class A shares or Class B shares as of December 31, 2000:</w:t>
      </w:r>
    </w:p>
    <w:p>
      <w:pPr>
        <w:sectPr>
          <w:pgSz w:w="11900" w:h="16838" w:orient="portrait"/>
          <w:cols w:equalWidth="0" w:num="1">
            <w:col w:w="10239"/>
          </w:cols>
          <w:pgMar w:left="220" w:top="453"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ADDRESS OF BENEFICIAL OWNER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CLASS A</w:t>
        <w:tab/>
        <w:t>PERCENT OF</w:t>
      </w:r>
    </w:p>
    <w:p>
      <w:pPr>
        <w:spacing w:after="0" w:line="8" w:lineRule="exact"/>
        <w:rPr>
          <w:sz w:val="20"/>
          <w:szCs w:val="20"/>
          <w:color w:val="auto"/>
        </w:rPr>
      </w:pPr>
    </w:p>
    <w:p>
      <w:pPr>
        <w:ind w:left="100"/>
        <w:spacing w:after="0"/>
        <w:tabs>
          <w:tab w:leader="none" w:pos="112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CLASS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B</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SHARES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CLASS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4">
            <w:col w:w="3300" w:space="0"/>
            <w:col w:w="1920" w:space="80"/>
            <w:col w:w="880" w:space="80"/>
            <w:col w:w="3979"/>
          </w:cols>
          <w:pgMar w:left="220" w:top="4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Franklin Resources, Inc., Charles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11,505,519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11.4%</w:t>
      </w:r>
    </w:p>
    <w:p>
      <w:pPr>
        <w:spacing w:after="0" w:line="8" w:lineRule="exact"/>
        <w:rPr>
          <w:sz w:val="20"/>
          <w:szCs w:val="20"/>
          <w:color w:val="auto"/>
        </w:rPr>
      </w:pPr>
    </w:p>
    <w:p>
      <w:pPr>
        <w:sectPr>
          <w:pgSz w:w="11900" w:h="16838" w:orient="portrait"/>
          <w:cols w:equalWidth="0" w:num="3">
            <w:col w:w="2880" w:space="340"/>
            <w:col w:w="860" w:space="180"/>
            <w:col w:w="5979"/>
          </w:cols>
          <w:pgMar w:left="220" w:top="4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 Johnson, Rupert H. Johnson, Jr.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Templeton Global Advisors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Limited (1)</w:t>
      </w:r>
    </w:p>
    <w:p>
      <w:pPr>
        <w:sectPr>
          <w:pgSz w:w="11900" w:h="16838" w:orient="portrait"/>
          <w:cols w:equalWidth="0" w:num="1">
            <w:col w:w="10239"/>
          </w:cols>
          <w:pgMar w:left="220" w:top="453" w:right="1440" w:bottom="1440" w:gutter="0" w:footer="0" w:header="0"/>
          <w:type w:val="continuous"/>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Group International, Inc.</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10,958,670</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10.9%</w:t>
      </w:r>
    </w:p>
    <w:p>
      <w:pPr>
        <w:spacing w:after="0" w:line="8" w:lineRule="exact"/>
        <w:rPr>
          <w:sz w:val="20"/>
          <w:szCs w:val="20"/>
          <w:color w:val="auto"/>
        </w:rPr>
      </w:pPr>
    </w:p>
    <w:p>
      <w:pPr>
        <w:sectPr>
          <w:pgSz w:w="11900" w:h="16838" w:orient="portrait"/>
          <w:cols w:equalWidth="0" w:num="3">
            <w:col w:w="2880" w:space="340"/>
            <w:col w:w="860" w:space="180"/>
            <w:col w:w="5979"/>
          </w:cols>
          <w:pgMar w:left="220" w:top="4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11100 Santa Monica Boulevard</w:t>
      </w:r>
    </w:p>
    <w:p>
      <w:pPr>
        <w:spacing w:after="0" w:line="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Los Angeles, CA</w:t>
        <w:tab/>
        <w:t>90025</w:t>
      </w:r>
    </w:p>
    <w:p>
      <w:pPr>
        <w:sectPr>
          <w:pgSz w:w="11900" w:h="16838" w:orient="portrait"/>
          <w:cols w:equalWidth="0" w:num="1">
            <w:col w:w="10239"/>
          </w:cols>
          <w:pgMar w:left="220" w:top="453" w:right="1440" w:bottom="1440" w:gutter="0" w:footer="0" w:header="0"/>
          <w:type w:val="continuous"/>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Research and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8,993,270</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8.9%</w:t>
      </w:r>
    </w:p>
    <w:p>
      <w:pPr>
        <w:spacing w:after="0" w:line="8" w:lineRule="exact"/>
        <w:rPr>
          <w:sz w:val="20"/>
          <w:szCs w:val="20"/>
          <w:color w:val="auto"/>
        </w:rPr>
      </w:pPr>
    </w:p>
    <w:p>
      <w:pPr>
        <w:sectPr>
          <w:pgSz w:w="11900" w:h="16838" w:orient="portrait"/>
          <w:cols w:equalWidth="0" w:num="3">
            <w:col w:w="2580" w:space="720"/>
            <w:col w:w="780" w:space="260"/>
            <w:col w:w="5899"/>
          </w:cols>
          <w:pgMar w:left="220" w:top="453"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Management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333 South Hope Street</w:t>
      </w:r>
    </w:p>
    <w:p>
      <w:pPr>
        <w:spacing w:after="0" w:line="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Los Angeles, CA</w:t>
        <w:tab/>
        <w:t>90071</w:t>
      </w:r>
    </w:p>
    <w:p>
      <w:pPr>
        <w:sectPr>
          <w:pgSz w:w="11900" w:h="16838" w:orient="portrait"/>
          <w:cols w:equalWidth="0" w:num="1">
            <w:col w:w="10239"/>
          </w:cols>
          <w:pgMar w:left="220" w:top="453" w:right="1440" w:bottom="1440" w:gutter="0" w:footer="0" w:header="0"/>
          <w:type w:val="continuous"/>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379" w:firstLine="9"/>
        <w:spacing w:after="0" w:line="254" w:lineRule="auto"/>
        <w:tabs>
          <w:tab w:leader="none" w:pos="52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Franklin Resources, Inc., Charles B. Johnson and Rupert H. Johnson, Jr. each has a business address of 777 Mariners Island Boulevard, San Mateo, CA 94404. Templeton Global Advisors Limited has a business address of Lyford Cay, P.O. Box N-7759, Nassau, Bahamas.</w:t>
      </w:r>
    </w:p>
    <w:p>
      <w:pPr>
        <w:spacing w:after="0" w:line="163"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16 -</w:t>
      </w:r>
    </w:p>
    <w:p>
      <w:pPr>
        <w:sectPr>
          <w:pgSz w:w="11900" w:h="16838" w:orient="portrait"/>
          <w:cols w:equalWidth="0" w:num="1">
            <w:col w:w="10239"/>
          </w:cols>
          <w:pgMar w:left="220" w:top="453" w:right="1440" w:bottom="144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MANAGEMENT AND DIRECTORS</w:t>
      </w:r>
    </w:p>
    <w:p>
      <w:pPr>
        <w:spacing w:after="0" w:line="175"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The following table contains information regarding the beneficial ownership of Raytheon's Class A shares and Class B shares as of January 1, 2001 for: (a) each Director and nominee for Director, (b) the four most highly compensated officers who are not also Directors and (c) the Directors, nominees and all executive officers as a group.</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NUMBER OF CLASS B</w:t>
            </w:r>
          </w:p>
        </w:tc>
        <w:tc>
          <w:tcPr>
            <w:tcW w:w="2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NUMBER OF CLASS A</w:t>
            </w:r>
          </w:p>
        </w:tc>
      </w:tr>
      <w:tr>
        <w:trPr>
          <w:trHeight w:val="167"/>
        </w:trPr>
        <w:tc>
          <w:tcPr>
            <w:tcW w:w="2700" w:type="dxa"/>
            <w:vAlign w:val="bottom"/>
          </w:tcPr>
          <w:p>
            <w:pPr>
              <w:spacing w:after="0"/>
              <w:rPr>
                <w:sz w:val="14"/>
                <w:szCs w:val="14"/>
                <w:color w:val="auto"/>
              </w:rPr>
            </w:pP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SHARES AND NATURE OF</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SHARES AND NATURE OF</w:t>
            </w:r>
          </w:p>
        </w:tc>
      </w:tr>
      <w:tr>
        <w:trPr>
          <w:trHeight w:val="167"/>
        </w:trPr>
        <w:tc>
          <w:tcPr>
            <w:tcW w:w="2700" w:type="dxa"/>
            <w:vAlign w:val="bottom"/>
          </w:tcPr>
          <w:p>
            <w:pPr>
              <w:spacing w:after="0"/>
              <w:rPr>
                <w:sz w:val="14"/>
                <w:szCs w:val="14"/>
                <w:color w:val="auto"/>
              </w:rPr>
            </w:pPr>
          </w:p>
        </w:tc>
        <w:tc>
          <w:tcPr>
            <w:tcW w:w="2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BENEFICIAL OWNERSHIP(1)</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BENEFICIAL OWNERSHIP(1)</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21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Daniel P. Burnham..............</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1,024,329(2)</w:t>
            </w:r>
          </w:p>
        </w:tc>
        <w:tc>
          <w:tcPr>
            <w:tcW w:w="21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20,000</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Barbara M. Barrett.............</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2,000(4)</w:t>
            </w:r>
          </w:p>
        </w:tc>
        <w:tc>
          <w:tcPr>
            <w:tcW w:w="21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3,000</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Ferdinand Colloredo-Mansfeld...</w:t>
            </w:r>
          </w:p>
        </w:tc>
        <w:tc>
          <w:tcPr>
            <w:tcW w:w="2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14,729(3),(4)</w:t>
            </w:r>
          </w:p>
        </w:tc>
        <w:tc>
          <w:tcPr>
            <w:tcW w:w="21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John M. Deutch.................</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3,230(4)</w:t>
            </w:r>
          </w:p>
        </w:tc>
        <w:tc>
          <w:tcPr>
            <w:tcW w:w="21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2,500</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Thomas E. Everhart.............</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2,730(4)</w:t>
            </w:r>
          </w:p>
        </w:tc>
        <w:tc>
          <w:tcPr>
            <w:tcW w:w="21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1,525</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John R. Galvin.................</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8,678(3),(4),(5)</w:t>
            </w:r>
          </w:p>
        </w:tc>
        <w:tc>
          <w:tcPr>
            <w:tcW w:w="21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L. Dennis Kozlowski............</w:t>
            </w:r>
          </w:p>
        </w:tc>
        <w:tc>
          <w:tcPr>
            <w:tcW w:w="2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13,263(3),(4)</w:t>
            </w:r>
          </w:p>
        </w:tc>
        <w:tc>
          <w:tcPr>
            <w:tcW w:w="21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Henrique de Campos Meirelles...</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2,904(4)</w:t>
            </w:r>
          </w:p>
        </w:tc>
        <w:tc>
          <w:tcPr>
            <w:tcW w:w="21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Dennis J. Picard...............</w:t>
            </w:r>
          </w:p>
        </w:tc>
        <w:tc>
          <w:tcPr>
            <w:tcW w:w="2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1,603,636(4),(6)</w:t>
            </w:r>
          </w:p>
        </w:tc>
        <w:tc>
          <w:tcPr>
            <w:tcW w:w="21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Frederic M. Poses..............</w:t>
            </w:r>
          </w:p>
        </w:tc>
        <w:tc>
          <w:tcPr>
            <w:tcW w:w="21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4,000</w:t>
            </w:r>
          </w:p>
        </w:tc>
        <w:tc>
          <w:tcPr>
            <w:tcW w:w="21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3,425</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Warren B. Rudman...............</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8,863(3),(4),(7)</w:t>
            </w:r>
          </w:p>
        </w:tc>
        <w:tc>
          <w:tcPr>
            <w:tcW w:w="21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Michael C. Ruettgers...........</w:t>
            </w:r>
          </w:p>
        </w:tc>
        <w:tc>
          <w:tcPr>
            <w:tcW w:w="21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12,000</w:t>
            </w:r>
          </w:p>
        </w:tc>
        <w:tc>
          <w:tcPr>
            <w:tcW w:w="21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William R. Spivey..............</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12,000(4)</w:t>
            </w:r>
          </w:p>
        </w:tc>
        <w:tc>
          <w:tcPr>
            <w:tcW w:w="21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Alfred M. Zeien................</w:t>
            </w:r>
          </w:p>
        </w:tc>
        <w:tc>
          <w:tcPr>
            <w:tcW w:w="2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10,263(3),(4)</w:t>
            </w:r>
          </w:p>
        </w:tc>
        <w:tc>
          <w:tcPr>
            <w:tcW w:w="21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w:t>
            </w: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21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Franklyn A. Caine..............</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562,045(8)</w:t>
            </w:r>
          </w:p>
        </w:tc>
        <w:tc>
          <w:tcPr>
            <w:tcW w:w="21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Francis S. Marchilena..........</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187,487(9)</w:t>
            </w:r>
          </w:p>
        </w:tc>
        <w:tc>
          <w:tcPr>
            <w:tcW w:w="21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William H. Swanson.............</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652,811(10)</w:t>
            </w:r>
          </w:p>
        </w:tc>
        <w:tc>
          <w:tcPr>
            <w:tcW w:w="21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Hansel E. Tookes, II...........</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226,438(11)</w:t>
            </w:r>
          </w:p>
        </w:tc>
        <w:tc>
          <w:tcPr>
            <w:tcW w:w="21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1,000</w:t>
            </w: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21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All Directors, nominees for</w:t>
            </w:r>
          </w:p>
        </w:tc>
        <w:tc>
          <w:tcPr>
            <w:tcW w:w="2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6,049,528(12),(13)</w:t>
            </w:r>
          </w:p>
        </w:tc>
        <w:tc>
          <w:tcPr>
            <w:tcW w:w="2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35,310(14)</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Director and executive officers</w:t>
            </w:r>
          </w:p>
        </w:tc>
        <w:tc>
          <w:tcPr>
            <w:tcW w:w="212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7"/>
        </w:trPr>
        <w:tc>
          <w:tcPr>
            <w:tcW w:w="4820" w:type="dxa"/>
            <w:vAlign w:val="bottom"/>
            <w:gridSpan w:val="2"/>
          </w:tcPr>
          <w:p>
            <w:pPr>
              <w:spacing w:after="0"/>
              <w:rPr>
                <w:sz w:val="20"/>
                <w:szCs w:val="20"/>
                <w:color w:val="auto"/>
              </w:rPr>
            </w:pPr>
            <w:r>
              <w:rPr>
                <w:rFonts w:ascii="Courier New" w:cs="Courier New" w:eastAsia="Courier New" w:hAnsi="Courier New"/>
                <w:sz w:val="14"/>
                <w:szCs w:val="14"/>
                <w:color w:val="auto"/>
              </w:rPr>
              <w:t>as a group (25 persons)..........</w:t>
            </w:r>
          </w:p>
        </w:tc>
        <w:tc>
          <w:tcPr>
            <w:tcW w:w="214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20" w:right="3379" w:hanging="511"/>
        <w:spacing w:after="0" w:line="253" w:lineRule="auto"/>
        <w:tabs>
          <w:tab w:leader="none" w:pos="5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individual Director or nominee for Director or named executive officer beneficially owns 1% or more of the outstanding Class A shares or Class B shares, nor do the Directors and executive officers as a group own more than 1% of the outstanding Class A shares. The Directors and executive officers as a group own approximately 2.5% of the outstanding Class B shares.</w:t>
      </w:r>
    </w:p>
    <w:p>
      <w:pPr>
        <w:spacing w:after="0" w:line="332" w:lineRule="exact"/>
        <w:rPr>
          <w:rFonts w:ascii="Courier New" w:cs="Courier New" w:eastAsia="Courier New" w:hAnsi="Courier New"/>
          <w:sz w:val="14"/>
          <w:szCs w:val="14"/>
          <w:color w:val="auto"/>
        </w:rPr>
      </w:pPr>
    </w:p>
    <w:p>
      <w:pPr>
        <w:ind w:left="520" w:right="3279" w:hanging="511"/>
        <w:spacing w:after="0" w:line="255" w:lineRule="auto"/>
        <w:tabs>
          <w:tab w:leader="none" w:pos="5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276,622 restricted units awarded to Mr. Burnham under the company's employee incentive compensation plans, over which he currently has no voting or in-</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19" w:name="page20"/>
    <w:bookmarkEnd w:id="19"/>
    <w:p>
      <w:pPr>
        <w:ind w:left="511" w:right="3459"/>
        <w:spacing w:after="0" w:line="253" w:lineRule="auto"/>
        <w:rPr>
          <w:sz w:val="20"/>
          <w:szCs w:val="20"/>
          <w:color w:val="auto"/>
        </w:rPr>
      </w:pPr>
      <w:r>
        <w:rPr>
          <w:rFonts w:ascii="Courier New" w:cs="Courier New" w:eastAsia="Courier New" w:hAnsi="Courier New"/>
          <w:sz w:val="14"/>
          <w:szCs w:val="14"/>
          <w:color w:val="auto"/>
        </w:rPr>
        <w:t>vestment power. Upon vesting, the units will be settled on a one-for-one basis in Class B shares. Includes 669,333 shares which Mr. Burnham has the right to acquire upon the exercise of stock options; 100,254 shares held in trust, over which he has voting power but no investment power; and 4,742 shares held in the Raytheon Savings and Investment Plan and in the Raytheon Excess Savings Plan.</w:t>
      </w:r>
    </w:p>
    <w:p>
      <w:pPr>
        <w:spacing w:after="0" w:line="165" w:lineRule="exact"/>
        <w:rPr>
          <w:sz w:val="20"/>
          <w:szCs w:val="20"/>
          <w:color w:val="auto"/>
        </w:rPr>
      </w:pPr>
    </w:p>
    <w:p>
      <w:pPr>
        <w:ind w:left="511" w:right="3459" w:hanging="511"/>
        <w:spacing w:after="0" w:line="254" w:lineRule="auto"/>
        <w:tabs>
          <w:tab w:leader="none" w:pos="51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5,373 shares held in trust for the benefit of the individual Director. Each Director has the power to vote the shares held for his or her account. The shares were issued pursuant to the company's Deferral Plan for Directors.</w:t>
      </w:r>
    </w:p>
    <w:p>
      <w:pPr>
        <w:spacing w:after="0" w:line="163" w:lineRule="exact"/>
        <w:rPr>
          <w:rFonts w:ascii="Courier New" w:cs="Courier New" w:eastAsia="Courier New" w:hAnsi="Courier New"/>
          <w:sz w:val="14"/>
          <w:szCs w:val="14"/>
          <w:color w:val="auto"/>
        </w:rPr>
      </w:pPr>
    </w:p>
    <w:p>
      <w:pPr>
        <w:ind w:left="511" w:right="3279" w:hanging="511"/>
        <w:spacing w:after="0" w:line="254" w:lineRule="auto"/>
        <w:tabs>
          <w:tab w:leader="none" w:pos="51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restricted stock issued under the company's Nonemployee Directors Restricted Stock Plan: Ms. Barrett and Messrs. Picard and Spivey - 2,000 shares each; Messrs. Colloredo-Mansfeld, Galvin, Kozlowski, Rudman and Zeien - 2,890 shares each; Messrs. Deutch, Everhart and Meirelles - 2,730 shares each.</w:t>
      </w:r>
    </w:p>
    <w:p>
      <w:pPr>
        <w:spacing w:after="0" w:line="162" w:lineRule="exact"/>
        <w:rPr>
          <w:rFonts w:ascii="Courier New" w:cs="Courier New" w:eastAsia="Courier New" w:hAnsi="Courier New"/>
          <w:sz w:val="14"/>
          <w:szCs w:val="14"/>
          <w:color w:val="auto"/>
        </w:rPr>
      </w:pPr>
    </w:p>
    <w:p>
      <w:pPr>
        <w:ind w:left="511" w:right="3279" w:hanging="511"/>
        <w:spacing w:after="0" w:line="254" w:lineRule="auto"/>
        <w:tabs>
          <w:tab w:leader="none" w:pos="51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shares held by various mutual funds of the Seligman Group of Investment Companies. As a Director or Trustee, Gen. Galvin shares voting and investment power in these shares with other Seligman Directors and Trustees. Gen. Galvin disclaims beneficial ownership of all such shares.</w:t>
      </w:r>
    </w:p>
    <w:p>
      <w:pPr>
        <w:spacing w:after="0" w:line="330" w:lineRule="exact"/>
        <w:rPr>
          <w:rFonts w:ascii="Courier New" w:cs="Courier New" w:eastAsia="Courier New" w:hAnsi="Courier New"/>
          <w:sz w:val="14"/>
          <w:szCs w:val="14"/>
          <w:color w:val="auto"/>
        </w:rPr>
      </w:pPr>
    </w:p>
    <w:p>
      <w:pPr>
        <w:ind w:left="511" w:right="3279" w:hanging="511"/>
        <w:spacing w:after="0" w:line="254" w:lineRule="auto"/>
        <w:tabs>
          <w:tab w:leader="none" w:pos="51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1,485,264 shares which Mr. Picard has the right to acquire upon the exercise of stock options; 116,189 shares held in the Dennis J. Picard Revocable Trust; and 183 shares held in the Raytheon Savings and Investment Plan.</w:t>
      </w:r>
    </w:p>
    <w:p>
      <w:pPr>
        <w:spacing w:after="0" w:line="163" w:lineRule="exact"/>
        <w:rPr>
          <w:rFonts w:ascii="Courier New" w:cs="Courier New" w:eastAsia="Courier New" w:hAnsi="Courier New"/>
          <w:sz w:val="14"/>
          <w:szCs w:val="14"/>
          <w:color w:val="auto"/>
        </w:rPr>
      </w:pPr>
    </w:p>
    <w:p>
      <w:pPr>
        <w:ind w:left="511" w:right="3279" w:hanging="511"/>
        <w:spacing w:after="0" w:line="254" w:lineRule="auto"/>
        <w:tabs>
          <w:tab w:leader="none" w:pos="51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shares held by any of the mutual funds of Dreyfus Corporation. As a Director of several funds managed by Dreyfus Corporation, Sen. Rudman shares voting and investment power in the shares held by such funds with the other Directors of those funds and with the Directors of the Dreyfus Corporation. Sen. Rudman disclaims beneficial ownership of all such shares.</w:t>
      </w:r>
    </w:p>
    <w:p>
      <w:pPr>
        <w:spacing w:after="0" w:line="329" w:lineRule="exact"/>
        <w:rPr>
          <w:rFonts w:ascii="Courier New" w:cs="Courier New" w:eastAsia="Courier New" w:hAnsi="Courier New"/>
          <w:sz w:val="14"/>
          <w:szCs w:val="14"/>
          <w:color w:val="auto"/>
        </w:rPr>
      </w:pPr>
    </w:p>
    <w:p>
      <w:pPr>
        <w:jc w:val="both"/>
        <w:ind w:left="511" w:right="3379" w:hanging="511"/>
        <w:spacing w:after="0" w:line="255" w:lineRule="auto"/>
        <w:tabs>
          <w:tab w:leader="none" w:pos="51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390,000 shares which Mr. Caine has the right to acquire upon the exercise of stock options and 172,000 restricted shares over which he has voting power but no investment power.</w:t>
      </w:r>
    </w:p>
    <w:p>
      <w:pPr>
        <w:spacing w:after="0" w:line="162" w:lineRule="exact"/>
        <w:rPr>
          <w:rFonts w:ascii="Courier New" w:cs="Courier New" w:eastAsia="Courier New" w:hAnsi="Courier New"/>
          <w:sz w:val="14"/>
          <w:szCs w:val="14"/>
          <w:color w:val="auto"/>
        </w:rPr>
      </w:pPr>
    </w:p>
    <w:p>
      <w:pPr>
        <w:ind w:left="511" w:right="3279" w:hanging="511"/>
        <w:spacing w:after="0" w:line="254" w:lineRule="auto"/>
        <w:tabs>
          <w:tab w:leader="none" w:pos="51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100,336 shares which Mr. Marchilena has the right to acquire upon the exercise of stock options; 83,500 restricted shares over which he has voting power but no investment power; and 2,031 shares held in the Raytheon Savings and Investment Plan and in the Raytheon Excess Savings Plan.</w:t>
      </w:r>
    </w:p>
    <w:p>
      <w:pPr>
        <w:spacing w:after="0" w:line="330" w:lineRule="exact"/>
        <w:rPr>
          <w:rFonts w:ascii="Courier New" w:cs="Courier New" w:eastAsia="Courier New" w:hAnsi="Courier New"/>
          <w:sz w:val="14"/>
          <w:szCs w:val="14"/>
          <w:color w:val="auto"/>
        </w:rPr>
      </w:pPr>
    </w:p>
    <w:p>
      <w:pPr>
        <w:ind w:left="511" w:right="3279" w:hanging="511"/>
        <w:spacing w:after="0" w:line="254" w:lineRule="auto"/>
        <w:tabs>
          <w:tab w:leader="none" w:pos="51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477,533 shares which Mr. Swanson has the right to acquire upon the exercise of stock options; 128,250 restricted shares over which he has voting power but no investment power; and 3,583 shares held in the Raytheon Savings and Investment Plan and in the Raytheon Excess Savings Plan.</w:t>
      </w:r>
    </w:p>
    <w:p>
      <w:pPr>
        <w:spacing w:after="0" w:line="330" w:lineRule="exact"/>
        <w:rPr>
          <w:rFonts w:ascii="Courier New" w:cs="Courier New" w:eastAsia="Courier New" w:hAnsi="Courier New"/>
          <w:sz w:val="14"/>
          <w:szCs w:val="14"/>
          <w:color w:val="auto"/>
        </w:rPr>
      </w:pPr>
    </w:p>
    <w:p>
      <w:pPr>
        <w:ind w:left="511" w:right="3279" w:hanging="511"/>
        <w:spacing w:after="0" w:line="255" w:lineRule="auto"/>
        <w:tabs>
          <w:tab w:leader="none" w:pos="51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107,333 shares which Mr. Tookes has the right to acquire upon the exercise of stock options; 112,500 restricted shares over which he has voting power but no invest-</w:t>
      </w:r>
    </w:p>
    <w:p>
      <w:pPr>
        <w:spacing w:after="0" w:line="162"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0"/>
          </w:cols>
          <w:pgMar w:left="229" w:top="620" w:right="1440" w:bottom="1440" w:gutter="0" w:footer="0" w:header="0"/>
        </w:sectPr>
      </w:pPr>
    </w:p>
    <w:bookmarkStart w:id="20" w:name="page21"/>
    <w:bookmarkEnd w:id="20"/>
    <w:p>
      <w:pPr>
        <w:ind w:left="511"/>
        <w:spacing w:after="0"/>
        <w:rPr>
          <w:sz w:val="20"/>
          <w:szCs w:val="20"/>
          <w:color w:val="auto"/>
        </w:rPr>
      </w:pPr>
      <w:r>
        <w:rPr>
          <w:rFonts w:ascii="Courier New" w:cs="Courier New" w:eastAsia="Courier New" w:hAnsi="Courier New"/>
          <w:sz w:val="14"/>
          <w:szCs w:val="14"/>
          <w:color w:val="auto"/>
        </w:rPr>
        <w:t>ment power; and 1,798 shares held in the</w:t>
      </w:r>
    </w:p>
    <w:p>
      <w:pPr>
        <w:spacing w:after="0" w:line="8" w:lineRule="exact"/>
        <w:rPr>
          <w:sz w:val="20"/>
          <w:szCs w:val="20"/>
          <w:color w:val="auto"/>
        </w:rPr>
      </w:pPr>
    </w:p>
    <w:p>
      <w:pPr>
        <w:ind w:left="511" w:right="3539"/>
        <w:spacing w:after="0" w:line="258" w:lineRule="auto"/>
        <w:rPr>
          <w:sz w:val="20"/>
          <w:szCs w:val="20"/>
          <w:color w:val="auto"/>
        </w:rPr>
      </w:pPr>
      <w:r>
        <w:rPr>
          <w:rFonts w:ascii="Courier New" w:cs="Courier New" w:eastAsia="Courier New" w:hAnsi="Courier New"/>
          <w:sz w:val="14"/>
          <w:szCs w:val="14"/>
          <w:color w:val="auto"/>
        </w:rPr>
        <w:t>Raytheon Savings and Investment Plan and in the Raytheon Excess Savings Plan.</w:t>
      </w:r>
    </w:p>
    <w:p>
      <w:pPr>
        <w:spacing w:after="0" w:line="160" w:lineRule="exact"/>
        <w:rPr>
          <w:sz w:val="20"/>
          <w:szCs w:val="20"/>
          <w:color w:val="auto"/>
        </w:rPr>
      </w:pPr>
    </w:p>
    <w:p>
      <w:pPr>
        <w:ind w:left="511" w:right="3379" w:hanging="511"/>
        <w:spacing w:after="0" w:line="255" w:lineRule="auto"/>
        <w:tabs>
          <w:tab w:leader="none" w:pos="51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ownership includes, in the case of certain officers, a minor number of shares held by trusts or family members as to which beneficial ownership is disclaimed.</w:t>
      </w:r>
    </w:p>
    <w:p>
      <w:pPr>
        <w:spacing w:after="0" w:line="162" w:lineRule="exact"/>
        <w:rPr>
          <w:rFonts w:ascii="Courier New" w:cs="Courier New" w:eastAsia="Courier New" w:hAnsi="Courier New"/>
          <w:sz w:val="14"/>
          <w:szCs w:val="14"/>
          <w:color w:val="auto"/>
        </w:rPr>
      </w:pPr>
    </w:p>
    <w:p>
      <w:pPr>
        <w:ind w:left="511" w:right="3279" w:hanging="511"/>
        <w:spacing w:after="0" w:line="253" w:lineRule="auto"/>
        <w:tabs>
          <w:tab w:leader="none" w:pos="51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4,498,546 shares which individual members of the group have the right to acquire upon the exercise of stock options; 881,890 restricted shares over which individual members of the group have voting power but no investment power; 167,638 shares held in trust and over which the individual has voting power; and 29,271 shares held in the Raytheon Savings and Investment Plan and in the Raytheon Excess Savings Plan.</w:t>
      </w:r>
    </w:p>
    <w:p>
      <w:pPr>
        <w:spacing w:after="0" w:line="165" w:lineRule="exact"/>
        <w:rPr>
          <w:rFonts w:ascii="Courier New" w:cs="Courier New" w:eastAsia="Courier New" w:hAnsi="Courier New"/>
          <w:sz w:val="14"/>
          <w:szCs w:val="14"/>
          <w:color w:val="auto"/>
        </w:rPr>
      </w:pPr>
    </w:p>
    <w:p>
      <w:pPr>
        <w:ind w:left="511" w:right="3459" w:hanging="511"/>
        <w:spacing w:after="0" w:line="258" w:lineRule="auto"/>
        <w:tabs>
          <w:tab w:leader="none" w:pos="51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966 shares held in the Raytheon Savings and Investment Plan and in the Raytheon Excess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0"/>
          </w:cols>
          <w:pgMar w:left="229" w:top="453"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26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SUMMARY COMPENSATION TABLE</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668"/>
        </w:trPr>
        <w:tc>
          <w:tcPr>
            <w:tcW w:w="2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LONG-TERM</w:t>
            </w: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7"/>
        </w:trPr>
        <w:tc>
          <w:tcPr>
            <w:tcW w:w="2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80" w:type="dxa"/>
            <w:vAlign w:val="bottom"/>
            <w:gridSpan w:val="2"/>
          </w:tcPr>
          <w:p>
            <w:pPr>
              <w:jc w:val="right"/>
              <w:ind w:right="848"/>
              <w:spacing w:after="0"/>
              <w:rPr>
                <w:sz w:val="20"/>
                <w:szCs w:val="20"/>
                <w:color w:val="auto"/>
              </w:rPr>
            </w:pPr>
            <w:r>
              <w:rPr>
                <w:rFonts w:ascii="Courier New" w:cs="Courier New" w:eastAsia="Courier New" w:hAnsi="Courier New"/>
                <w:sz w:val="14"/>
                <w:szCs w:val="14"/>
                <w:color w:val="auto"/>
              </w:rPr>
              <w:t>ANNUAL COMPENSATION</w:t>
            </w:r>
          </w:p>
        </w:tc>
        <w:tc>
          <w:tcPr>
            <w:tcW w:w="1300" w:type="dxa"/>
            <w:vAlign w:val="bottom"/>
          </w:tcPr>
          <w:p>
            <w:pPr>
              <w:spacing w:after="0"/>
              <w:rPr>
                <w:sz w:val="14"/>
                <w:szCs w:val="14"/>
                <w:color w:val="auto"/>
              </w:rPr>
            </w:pPr>
          </w:p>
        </w:tc>
        <w:tc>
          <w:tcPr>
            <w:tcW w:w="26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COMPENSATION AWARDS</w:t>
            </w:r>
          </w:p>
        </w:tc>
        <w:tc>
          <w:tcPr>
            <w:tcW w:w="1680" w:type="dxa"/>
            <w:vAlign w:val="bottom"/>
          </w:tcPr>
          <w:p>
            <w:pPr>
              <w:spacing w:after="0"/>
              <w:rPr>
                <w:sz w:val="14"/>
                <w:szCs w:val="14"/>
                <w:color w:val="auto"/>
              </w:rPr>
            </w:pPr>
          </w:p>
        </w:tc>
      </w:tr>
      <w:tr>
        <w:trPr>
          <w:trHeight w:val="167"/>
        </w:trPr>
        <w:tc>
          <w:tcPr>
            <w:tcW w:w="2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26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r>
      <w:tr>
        <w:trPr>
          <w:trHeight w:val="167"/>
        </w:trPr>
        <w:tc>
          <w:tcPr>
            <w:tcW w:w="2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OTHER AN-</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7"/>
        </w:trPr>
        <w:tc>
          <w:tcPr>
            <w:tcW w:w="2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NUAL</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RESTRICTED</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NAME AND</w:t>
            </w: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COMPENSA-</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STOCK/UNIT</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OP-</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ALL OTHER</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PRINCIPAL POSITION</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YEAR</w:t>
            </w: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SALARY($)</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BONUS($)</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TION(2)($)</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AWARDS(3)($)</w:t>
            </w: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TIONS(4)(#)</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COMPENSATION(5)($)</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Daniel P. Burnham</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2000</w:t>
            </w:r>
          </w:p>
        </w:tc>
        <w:tc>
          <w:tcPr>
            <w:tcW w:w="178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$973,500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$1,750,000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$76,606</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$5,281,2</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629,000</w:t>
            </w:r>
          </w:p>
        </w:tc>
        <w:tc>
          <w:tcPr>
            <w:tcW w:w="16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$78,862</w:t>
            </w:r>
          </w:p>
        </w:tc>
      </w:tr>
      <w:tr>
        <w:trPr>
          <w:trHeight w:val="167"/>
        </w:trPr>
        <w:tc>
          <w:tcPr>
            <w:tcW w:w="2000" w:type="dxa"/>
            <w:vAlign w:val="bottom"/>
          </w:tcPr>
          <w:p>
            <w:pPr>
              <w:ind w:left="180"/>
              <w:spacing w:after="0"/>
              <w:rPr>
                <w:sz w:val="20"/>
                <w:szCs w:val="20"/>
                <w:color w:val="auto"/>
              </w:rPr>
            </w:pPr>
            <w:r>
              <w:rPr>
                <w:rFonts w:ascii="Courier New" w:cs="Courier New" w:eastAsia="Courier New" w:hAnsi="Courier New"/>
                <w:sz w:val="14"/>
                <w:szCs w:val="14"/>
                <w:color w:val="auto"/>
              </w:rPr>
              <w:t>Chairman and Chief</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1999</w:t>
            </w:r>
          </w:p>
        </w:tc>
        <w:tc>
          <w:tcPr>
            <w:tcW w:w="178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901,004</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900,000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82,488</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300,000</w:t>
            </w:r>
          </w:p>
        </w:tc>
        <w:tc>
          <w:tcPr>
            <w:tcW w:w="16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72,360</w:t>
            </w:r>
          </w:p>
        </w:tc>
      </w:tr>
      <w:tr>
        <w:trPr>
          <w:trHeight w:val="167"/>
        </w:trPr>
        <w:tc>
          <w:tcPr>
            <w:tcW w:w="2000" w:type="dxa"/>
            <w:vAlign w:val="bottom"/>
          </w:tcPr>
          <w:p>
            <w:pPr>
              <w:ind w:left="180"/>
              <w:spacing w:after="0"/>
              <w:rPr>
                <w:sz w:val="20"/>
                <w:szCs w:val="20"/>
                <w:color w:val="auto"/>
              </w:rPr>
            </w:pPr>
            <w:r>
              <w:rPr>
                <w:rFonts w:ascii="Courier New" w:cs="Courier New" w:eastAsia="Courier New" w:hAnsi="Courier New"/>
                <w:sz w:val="14"/>
                <w:szCs w:val="14"/>
                <w:color w:val="auto"/>
              </w:rPr>
              <w:t>Executive Officer</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1998</w:t>
            </w:r>
          </w:p>
        </w:tc>
        <w:tc>
          <w:tcPr>
            <w:tcW w:w="17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425,004(1)</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1,500,000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21,873,871</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250,000</w:t>
            </w:r>
          </w:p>
        </w:tc>
        <w:tc>
          <w:tcPr>
            <w:tcW w:w="16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286,395</w:t>
            </w:r>
          </w:p>
        </w:tc>
      </w:tr>
      <w:tr>
        <w:trPr>
          <w:trHeight w:val="501"/>
        </w:trPr>
        <w:tc>
          <w:tcPr>
            <w:tcW w:w="2000" w:type="dxa"/>
            <w:vAlign w:val="bottom"/>
          </w:tcPr>
          <w:p>
            <w:pPr>
              <w:spacing w:after="0"/>
              <w:rPr>
                <w:sz w:val="20"/>
                <w:szCs w:val="20"/>
                <w:color w:val="auto"/>
              </w:rPr>
            </w:pPr>
            <w:r>
              <w:rPr>
                <w:rFonts w:ascii="Courier New" w:cs="Courier New" w:eastAsia="Courier New" w:hAnsi="Courier New"/>
                <w:sz w:val="14"/>
                <w:szCs w:val="14"/>
                <w:color w:val="auto"/>
              </w:rPr>
              <w:t>William H. Swanson</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2000</w:t>
            </w:r>
          </w:p>
        </w:tc>
        <w:tc>
          <w:tcPr>
            <w:tcW w:w="178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576,500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875,000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2,112,500</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273,800</w:t>
            </w:r>
          </w:p>
        </w:tc>
        <w:tc>
          <w:tcPr>
            <w:tcW w:w="16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171,270</w:t>
            </w:r>
          </w:p>
        </w:tc>
      </w:tr>
      <w:tr>
        <w:trPr>
          <w:trHeight w:val="167"/>
        </w:trPr>
        <w:tc>
          <w:tcPr>
            <w:tcW w:w="2000" w:type="dxa"/>
            <w:vAlign w:val="bottom"/>
          </w:tcPr>
          <w:p>
            <w:pPr>
              <w:ind w:left="100"/>
              <w:spacing w:after="0"/>
              <w:rPr>
                <w:sz w:val="20"/>
                <w:szCs w:val="20"/>
                <w:color w:val="auto"/>
              </w:rPr>
            </w:pPr>
            <w:r>
              <w:rPr>
                <w:rFonts w:ascii="Courier New" w:cs="Courier New" w:eastAsia="Courier New" w:hAnsi="Courier New"/>
                <w:sz w:val="14"/>
                <w:szCs w:val="14"/>
                <w:color w:val="auto"/>
              </w:rPr>
              <w:t>Executive Vice</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1999</w:t>
            </w:r>
          </w:p>
        </w:tc>
        <w:tc>
          <w:tcPr>
            <w:tcW w:w="178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543,286</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778,641</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125,000</w:t>
            </w:r>
          </w:p>
        </w:tc>
        <w:tc>
          <w:tcPr>
            <w:tcW w:w="16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226,056</w:t>
            </w:r>
          </w:p>
        </w:tc>
      </w:tr>
      <w:tr>
        <w:trPr>
          <w:trHeight w:val="167"/>
        </w:trPr>
        <w:tc>
          <w:tcPr>
            <w:tcW w:w="2000" w:type="dxa"/>
            <w:vAlign w:val="bottom"/>
          </w:tcPr>
          <w:p>
            <w:pPr>
              <w:ind w:left="100"/>
              <w:spacing w:after="0"/>
              <w:rPr>
                <w:sz w:val="20"/>
                <w:szCs w:val="20"/>
                <w:color w:val="auto"/>
              </w:rPr>
            </w:pPr>
            <w:r>
              <w:rPr>
                <w:rFonts w:ascii="Courier New" w:cs="Courier New" w:eastAsia="Courier New" w:hAnsi="Courier New"/>
                <w:sz w:val="14"/>
                <w:szCs w:val="14"/>
                <w:color w:val="auto"/>
              </w:rPr>
              <w:t>President</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1998</w:t>
            </w:r>
          </w:p>
        </w:tc>
        <w:tc>
          <w:tcPr>
            <w:tcW w:w="178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479,940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800,000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100,000</w:t>
            </w:r>
          </w:p>
        </w:tc>
        <w:tc>
          <w:tcPr>
            <w:tcW w:w="16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193,158</w:t>
            </w:r>
          </w:p>
        </w:tc>
      </w:tr>
      <w:tr>
        <w:trPr>
          <w:trHeight w:val="167"/>
        </w:trPr>
        <w:tc>
          <w:tcPr>
            <w:tcW w:w="2000" w:type="dxa"/>
            <w:vAlign w:val="bottom"/>
          </w:tcPr>
          <w:p>
            <w:pPr>
              <w:ind w:left="100"/>
              <w:spacing w:after="0"/>
              <w:rPr>
                <w:sz w:val="20"/>
                <w:szCs w:val="20"/>
                <w:color w:val="auto"/>
              </w:rPr>
            </w:pPr>
            <w:r>
              <w:rPr>
                <w:rFonts w:ascii="Courier New" w:cs="Courier New" w:eastAsia="Courier New" w:hAnsi="Courier New"/>
                <w:sz w:val="14"/>
                <w:szCs w:val="14"/>
                <w:color w:val="auto"/>
              </w:rPr>
              <w:t>and President -</w:t>
            </w: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7"/>
        </w:trPr>
        <w:tc>
          <w:tcPr>
            <w:tcW w:w="2000" w:type="dxa"/>
            <w:vAlign w:val="bottom"/>
          </w:tcPr>
          <w:p>
            <w:pPr>
              <w:ind w:left="100"/>
              <w:spacing w:after="0"/>
              <w:rPr>
                <w:sz w:val="20"/>
                <w:szCs w:val="20"/>
                <w:color w:val="auto"/>
              </w:rPr>
            </w:pPr>
            <w:r>
              <w:rPr>
                <w:rFonts w:ascii="Courier New" w:cs="Courier New" w:eastAsia="Courier New" w:hAnsi="Courier New"/>
                <w:sz w:val="14"/>
                <w:szCs w:val="14"/>
                <w:color w:val="auto"/>
              </w:rPr>
              <w:t>Electronic Systems</w:t>
            </w: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501"/>
        </w:trPr>
        <w:tc>
          <w:tcPr>
            <w:tcW w:w="2000" w:type="dxa"/>
            <w:vAlign w:val="bottom"/>
          </w:tcPr>
          <w:p>
            <w:pPr>
              <w:spacing w:after="0"/>
              <w:rPr>
                <w:sz w:val="20"/>
                <w:szCs w:val="20"/>
                <w:color w:val="auto"/>
              </w:rPr>
            </w:pPr>
            <w:r>
              <w:rPr>
                <w:rFonts w:ascii="Courier New" w:cs="Courier New" w:eastAsia="Courier New" w:hAnsi="Courier New"/>
                <w:sz w:val="14"/>
                <w:szCs w:val="14"/>
                <w:color w:val="auto"/>
              </w:rPr>
              <w:t>Franklyn A. Caine</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2000</w:t>
            </w:r>
          </w:p>
        </w:tc>
        <w:tc>
          <w:tcPr>
            <w:tcW w:w="178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495,000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575,000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3,168,750</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335,000</w:t>
            </w:r>
          </w:p>
        </w:tc>
        <w:tc>
          <w:tcPr>
            <w:tcW w:w="16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2,415</w:t>
            </w:r>
          </w:p>
        </w:tc>
      </w:tr>
      <w:tr>
        <w:trPr>
          <w:trHeight w:val="167"/>
        </w:trPr>
        <w:tc>
          <w:tcPr>
            <w:tcW w:w="2000" w:type="dxa"/>
            <w:vAlign w:val="bottom"/>
          </w:tcPr>
          <w:p>
            <w:pPr>
              <w:ind w:left="100"/>
              <w:spacing w:after="0"/>
              <w:rPr>
                <w:sz w:val="20"/>
                <w:szCs w:val="20"/>
                <w:color w:val="auto"/>
              </w:rPr>
            </w:pPr>
            <w:r>
              <w:rPr>
                <w:rFonts w:ascii="Courier New" w:cs="Courier New" w:eastAsia="Courier New" w:hAnsi="Courier New"/>
                <w:sz w:val="14"/>
                <w:szCs w:val="14"/>
                <w:color w:val="auto"/>
              </w:rPr>
              <w:t>Senior Vice President</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1999</w:t>
            </w:r>
          </w:p>
        </w:tc>
        <w:tc>
          <w:tcPr>
            <w:tcW w:w="17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321,235(6)</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606,375</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250,000</w:t>
            </w:r>
          </w:p>
        </w:tc>
        <w:tc>
          <w:tcPr>
            <w:tcW w:w="16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990</w:t>
            </w:r>
          </w:p>
        </w:tc>
      </w:tr>
      <w:tr>
        <w:trPr>
          <w:trHeight w:val="167"/>
        </w:trPr>
        <w:tc>
          <w:tcPr>
            <w:tcW w:w="2000" w:type="dxa"/>
            <w:vAlign w:val="bottom"/>
          </w:tcPr>
          <w:p>
            <w:pPr>
              <w:ind w:left="100"/>
              <w:spacing w:after="0"/>
              <w:rPr>
                <w:sz w:val="20"/>
                <w:szCs w:val="20"/>
                <w:color w:val="auto"/>
              </w:rPr>
            </w:pPr>
            <w:r>
              <w:rPr>
                <w:rFonts w:ascii="Courier New" w:cs="Courier New" w:eastAsia="Courier New" w:hAnsi="Courier New"/>
                <w:sz w:val="14"/>
                <w:szCs w:val="14"/>
                <w:color w:val="auto"/>
              </w:rPr>
              <w:t>and Chief Financial</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1998</w:t>
            </w: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7"/>
        </w:trPr>
        <w:tc>
          <w:tcPr>
            <w:tcW w:w="2000" w:type="dxa"/>
            <w:vAlign w:val="bottom"/>
          </w:tcPr>
          <w:p>
            <w:pPr>
              <w:ind w:left="100"/>
              <w:spacing w:after="0"/>
              <w:rPr>
                <w:sz w:val="20"/>
                <w:szCs w:val="20"/>
                <w:color w:val="auto"/>
              </w:rPr>
            </w:pPr>
            <w:r>
              <w:rPr>
                <w:rFonts w:ascii="Courier New" w:cs="Courier New" w:eastAsia="Courier New" w:hAnsi="Courier New"/>
                <w:sz w:val="14"/>
                <w:szCs w:val="14"/>
                <w:color w:val="auto"/>
              </w:rPr>
              <w:t>Officer</w:t>
            </w: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501"/>
        </w:trPr>
        <w:tc>
          <w:tcPr>
            <w:tcW w:w="2000" w:type="dxa"/>
            <w:vAlign w:val="bottom"/>
          </w:tcPr>
          <w:p>
            <w:pPr>
              <w:spacing w:after="0"/>
              <w:rPr>
                <w:sz w:val="20"/>
                <w:szCs w:val="20"/>
                <w:color w:val="auto"/>
              </w:rPr>
            </w:pPr>
            <w:r>
              <w:rPr>
                <w:rFonts w:ascii="Courier New" w:cs="Courier New" w:eastAsia="Courier New" w:hAnsi="Courier New"/>
                <w:sz w:val="14"/>
                <w:szCs w:val="14"/>
                <w:color w:val="auto"/>
              </w:rPr>
              <w:t>Hansel E. Tookes, II</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2000</w:t>
            </w:r>
          </w:p>
        </w:tc>
        <w:tc>
          <w:tcPr>
            <w:tcW w:w="178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460,129</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2,234,532</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131,000</w:t>
            </w:r>
          </w:p>
        </w:tc>
        <w:tc>
          <w:tcPr>
            <w:tcW w:w="16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68,707</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Executive Vice</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1999</w:t>
            </w:r>
          </w:p>
        </w:tc>
        <w:tc>
          <w:tcPr>
            <w:tcW w:w="17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112,502(7)</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682,500</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90,000</w:t>
            </w:r>
          </w:p>
        </w:tc>
        <w:tc>
          <w:tcPr>
            <w:tcW w:w="16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261,858</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President and</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1998</w:t>
            </w: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Chairman and</w:t>
            </w: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CEO Raytheon</w:t>
            </w: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Aircraft Company</w:t>
            </w: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501"/>
        </w:trPr>
        <w:tc>
          <w:tcPr>
            <w:tcW w:w="2000" w:type="dxa"/>
            <w:vAlign w:val="bottom"/>
          </w:tcPr>
          <w:p>
            <w:pPr>
              <w:spacing w:after="0"/>
              <w:rPr>
                <w:sz w:val="20"/>
                <w:szCs w:val="20"/>
                <w:color w:val="auto"/>
              </w:rPr>
            </w:pPr>
            <w:r>
              <w:rPr>
                <w:rFonts w:ascii="Courier New" w:cs="Courier New" w:eastAsia="Courier New" w:hAnsi="Courier New"/>
                <w:sz w:val="14"/>
                <w:szCs w:val="14"/>
                <w:color w:val="auto"/>
              </w:rPr>
              <w:t>Francis S. Marchilena</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2000</w:t>
            </w:r>
          </w:p>
        </w:tc>
        <w:tc>
          <w:tcPr>
            <w:tcW w:w="178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370,000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1,584,375</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88,000</w:t>
            </w:r>
          </w:p>
        </w:tc>
        <w:tc>
          <w:tcPr>
            <w:tcW w:w="168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26,175</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Executive Vice Pres-</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1999</w:t>
            </w:r>
          </w:p>
        </w:tc>
        <w:tc>
          <w:tcPr>
            <w:tcW w:w="178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321,920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185,000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234,281</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30,000</w:t>
            </w:r>
          </w:p>
        </w:tc>
        <w:tc>
          <w:tcPr>
            <w:tcW w:w="168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56,933</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ident and President -</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1998</w:t>
            </w: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Command, Control,</w:t>
            </w: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Communication and</w:t>
            </w: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Information Systems</w:t>
            </w: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right="5020" w:hanging="431"/>
        <w:spacing w:after="0" w:line="258"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salary from July 1, 1998, Mr. Burnham's date of hire, through December 31, 1998.</w:t>
      </w:r>
    </w:p>
    <w:p>
      <w:pPr>
        <w:spacing w:after="0" w:line="159" w:lineRule="exact"/>
        <w:rPr>
          <w:rFonts w:ascii="Courier New" w:cs="Courier New" w:eastAsia="Courier New" w:hAnsi="Courier New"/>
          <w:sz w:val="14"/>
          <w:szCs w:val="14"/>
          <w:color w:val="auto"/>
        </w:rPr>
      </w:pPr>
    </w:p>
    <w:p>
      <w:pPr>
        <w:ind w:left="440" w:right="4760" w:hanging="431"/>
        <w:spacing w:after="0" w:line="254"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shown for Mr. Burnham includes imputed income of $32,554 for personal use of company aircraft and $29,052 for personal use of a company-leased automobile. Mr. Burnham is responsible for paying taxes on these amounts.</w:t>
      </w:r>
    </w:p>
    <w:p>
      <w:pPr>
        <w:spacing w:after="0" w:line="163" w:lineRule="exact"/>
        <w:rPr>
          <w:rFonts w:ascii="Courier New" w:cs="Courier New" w:eastAsia="Courier New" w:hAnsi="Courier New"/>
          <w:sz w:val="14"/>
          <w:szCs w:val="14"/>
          <w:color w:val="auto"/>
        </w:rPr>
      </w:pPr>
    </w:p>
    <w:p>
      <w:pPr>
        <w:ind w:left="440" w:right="4680" w:hanging="431"/>
        <w:spacing w:after="0" w:line="253"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shown is the value of the restricted stock or unit award on the date of grant. The executive is not entitled to the cash amount shown in the year the restricted stock or unit award is made. The award vests over time and is subject to the executive remaining employed by the company. Dividends are paid on the restricted stock shown and dividend equivalents are paid on the restricted units.</w:t>
      </w:r>
    </w:p>
    <w:p>
      <w:pPr>
        <w:spacing w:after="0" w:line="165" w:lineRule="exact"/>
        <w:rPr>
          <w:rFonts w:ascii="Courier New" w:cs="Courier New" w:eastAsia="Courier New" w:hAnsi="Courier New"/>
          <w:sz w:val="14"/>
          <w:szCs w:val="14"/>
          <w:color w:val="auto"/>
        </w:rPr>
      </w:pPr>
    </w:p>
    <w:p>
      <w:pPr>
        <w:ind w:left="440" w:right="4580"/>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During 2000, the named executives were awarded the following restricted stock grants: Mr. Burnham - 250,000 shares; Mr. Swanson - 100,000 shares; Mr. Caine - 150,000 shares; Mr. Tookes - 100,000 shares; and Mr. Marchilena - 75,000 shares. Each award vests on the following schedule: one-third of the award vests on the second anniversary of the award date; one-third vests on the fourth anniversary of the award date; and the final one-third vests on the sixth anniversary of the award date. During 2000, Mr. Tookes was awarded an additional</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1540"/>
          </w:cols>
          <w:pgMar w:left="220" w:top="1121" w:right="139" w:bottom="1440" w:gutter="0" w:footer="0" w:header="0"/>
        </w:sectPr>
      </w:pPr>
    </w:p>
    <w:bookmarkStart w:id="22" w:name="page23"/>
    <w:bookmarkEnd w:id="22"/>
    <w:p>
      <w:pPr>
        <w:jc w:val="both"/>
        <w:ind w:left="431" w:right="3379"/>
        <w:spacing w:after="0" w:line="255" w:lineRule="auto"/>
        <w:rPr>
          <w:sz w:val="20"/>
          <w:szCs w:val="20"/>
          <w:color w:val="auto"/>
        </w:rPr>
      </w:pPr>
      <w:r>
        <w:rPr>
          <w:rFonts w:ascii="Courier New" w:cs="Courier New" w:eastAsia="Courier New" w:hAnsi="Courier New"/>
          <w:sz w:val="14"/>
          <w:szCs w:val="14"/>
          <w:color w:val="auto"/>
        </w:rPr>
        <w:t>5,000 shares of restricted stock. One-half of the award vests on the first anniversary of the award date, and the remainder of the award vests on the second anniversary of the award date.</w:t>
      </w:r>
    </w:p>
    <w:p>
      <w:pPr>
        <w:spacing w:after="0" w:line="162" w:lineRule="exact"/>
        <w:rPr>
          <w:sz w:val="20"/>
          <w:szCs w:val="20"/>
          <w:color w:val="auto"/>
        </w:rPr>
      </w:pPr>
    </w:p>
    <w:p>
      <w:pPr>
        <w:ind w:left="431" w:right="3279"/>
        <w:spacing w:after="0" w:line="253" w:lineRule="auto"/>
        <w:rPr>
          <w:sz w:val="20"/>
          <w:szCs w:val="20"/>
          <w:color w:val="auto"/>
        </w:rPr>
      </w:pPr>
      <w:r>
        <w:rPr>
          <w:rFonts w:ascii="Courier New" w:cs="Courier New" w:eastAsia="Courier New" w:hAnsi="Courier New"/>
          <w:sz w:val="14"/>
          <w:szCs w:val="14"/>
          <w:color w:val="auto"/>
        </w:rPr>
        <w:t>Restricted stock grants awarded during 1999 to Mr. Swanson (28,250 shares), Mr. Caine (22,000 shares) and Mr. Marchilena (8,500 shares) lapse in their entirety on the second anniversary of the award date. During 1999 Mr. Tookes was awarded a restricted stock grant of 15,000 shares. One-half of the award vests on the first anniversary of the award date, and the remainder of the award vests on the second anniversary of the award date.</w:t>
      </w:r>
    </w:p>
    <w:p>
      <w:pPr>
        <w:spacing w:after="0" w:line="165" w:lineRule="exact"/>
        <w:rPr>
          <w:sz w:val="20"/>
          <w:szCs w:val="20"/>
          <w:color w:val="auto"/>
        </w:rPr>
      </w:pPr>
    </w:p>
    <w:p>
      <w:pPr>
        <w:ind w:left="431" w:right="3279"/>
        <w:spacing w:after="0" w:line="253" w:lineRule="auto"/>
        <w:rPr>
          <w:sz w:val="20"/>
          <w:szCs w:val="20"/>
          <w:color w:val="auto"/>
        </w:rPr>
      </w:pPr>
      <w:r>
        <w:rPr>
          <w:rFonts w:ascii="Courier New" w:cs="Courier New" w:eastAsia="Courier New" w:hAnsi="Courier New"/>
          <w:sz w:val="14"/>
          <w:szCs w:val="14"/>
          <w:color w:val="auto"/>
        </w:rPr>
        <w:t>Mr. Burnham's 1998 restricted unit award was intended to compensate him for forfeitures he incurred in leaving his prior employer and consisted of a total of 374,713 units. The units vest on a one-for-one basis in Class B shares. A total of 98,091 shares have vested to date, and Mr. Burnham has elected to defer receipt of the 98,091 shares until after his retirement. The vesting schedule for the remaining units is as follows:</w:t>
      </w:r>
    </w:p>
    <w:p>
      <w:pPr>
        <w:spacing w:after="0" w:line="165" w:lineRule="exact"/>
        <w:rPr>
          <w:sz w:val="20"/>
          <w:szCs w:val="20"/>
          <w:color w:val="auto"/>
        </w:rPr>
      </w:pPr>
    </w:p>
    <w:tbl>
      <w:tblPr>
        <w:tblLayout w:type="fixed"/>
        <w:tblInd w:w="1131"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VESTING DATE</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NO. OF UNITS</w:t>
            </w:r>
          </w:p>
        </w:tc>
      </w:tr>
      <w:tr>
        <w:trPr>
          <w:trHeight w:val="167"/>
        </w:trPr>
        <w:tc>
          <w:tcPr>
            <w:tcW w:w="2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160" w:type="dxa"/>
            <w:vAlign w:val="bottom"/>
          </w:tcPr>
          <w:p>
            <w:pPr>
              <w:spacing w:after="0"/>
              <w:rPr>
                <w:sz w:val="20"/>
                <w:szCs w:val="20"/>
                <w:color w:val="auto"/>
              </w:rPr>
            </w:pPr>
            <w:r>
              <w:rPr>
                <w:rFonts w:ascii="Courier New" w:cs="Courier New" w:eastAsia="Courier New" w:hAnsi="Courier New"/>
                <w:sz w:val="14"/>
                <w:szCs w:val="14"/>
                <w:color w:val="auto"/>
              </w:rPr>
              <w:t>July 1, 2001............</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48,518</w:t>
            </w:r>
          </w:p>
        </w:tc>
      </w:tr>
      <w:tr>
        <w:trPr>
          <w:trHeight w:val="167"/>
        </w:trPr>
        <w:tc>
          <w:tcPr>
            <w:tcW w:w="2160" w:type="dxa"/>
            <w:vAlign w:val="bottom"/>
          </w:tcPr>
          <w:p>
            <w:pPr>
              <w:spacing w:after="0"/>
              <w:rPr>
                <w:sz w:val="20"/>
                <w:szCs w:val="20"/>
                <w:color w:val="auto"/>
              </w:rPr>
            </w:pPr>
            <w:r>
              <w:rPr>
                <w:rFonts w:ascii="Courier New" w:cs="Courier New" w:eastAsia="Courier New" w:hAnsi="Courier New"/>
                <w:sz w:val="14"/>
                <w:szCs w:val="14"/>
                <w:color w:val="auto"/>
              </w:rPr>
              <w:t>July 1, 2002............</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45,353</w:t>
            </w:r>
          </w:p>
        </w:tc>
      </w:tr>
      <w:tr>
        <w:trPr>
          <w:trHeight w:val="167"/>
        </w:trPr>
        <w:tc>
          <w:tcPr>
            <w:tcW w:w="2160" w:type="dxa"/>
            <w:vAlign w:val="bottom"/>
          </w:tcPr>
          <w:p>
            <w:pPr>
              <w:spacing w:after="0"/>
              <w:rPr>
                <w:sz w:val="20"/>
                <w:szCs w:val="20"/>
                <w:color w:val="auto"/>
              </w:rPr>
            </w:pPr>
            <w:r>
              <w:rPr>
                <w:rFonts w:ascii="Courier New" w:cs="Courier New" w:eastAsia="Courier New" w:hAnsi="Courier New"/>
                <w:sz w:val="14"/>
                <w:szCs w:val="14"/>
                <w:color w:val="auto"/>
              </w:rPr>
              <w:t>July 1, 2003............</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45,353</w:t>
            </w:r>
          </w:p>
        </w:tc>
      </w:tr>
      <w:tr>
        <w:trPr>
          <w:trHeight w:val="167"/>
        </w:trPr>
        <w:tc>
          <w:tcPr>
            <w:tcW w:w="2160" w:type="dxa"/>
            <w:vAlign w:val="bottom"/>
          </w:tcPr>
          <w:p>
            <w:pPr>
              <w:spacing w:after="0"/>
              <w:rPr>
                <w:sz w:val="20"/>
                <w:szCs w:val="20"/>
                <w:color w:val="auto"/>
              </w:rPr>
            </w:pPr>
            <w:r>
              <w:rPr>
                <w:rFonts w:ascii="Courier New" w:cs="Courier New" w:eastAsia="Courier New" w:hAnsi="Courier New"/>
                <w:sz w:val="14"/>
                <w:szCs w:val="14"/>
                <w:color w:val="auto"/>
              </w:rPr>
              <w:t>July 1, 2004............</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45,354</w:t>
            </w:r>
          </w:p>
        </w:tc>
      </w:tr>
      <w:tr>
        <w:trPr>
          <w:trHeight w:val="167"/>
        </w:trPr>
        <w:tc>
          <w:tcPr>
            <w:tcW w:w="2160" w:type="dxa"/>
            <w:vAlign w:val="bottom"/>
          </w:tcPr>
          <w:p>
            <w:pPr>
              <w:spacing w:after="0"/>
              <w:rPr>
                <w:sz w:val="20"/>
                <w:szCs w:val="20"/>
                <w:color w:val="auto"/>
              </w:rPr>
            </w:pPr>
            <w:r>
              <w:rPr>
                <w:rFonts w:ascii="Courier New" w:cs="Courier New" w:eastAsia="Courier New" w:hAnsi="Courier New"/>
                <w:sz w:val="14"/>
                <w:szCs w:val="14"/>
                <w:color w:val="auto"/>
              </w:rPr>
              <w:t>July 1, 2005............</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92,044</w:t>
            </w:r>
          </w:p>
        </w:tc>
      </w:tr>
      <w:tr>
        <w:trPr>
          <w:trHeight w:val="167"/>
        </w:trPr>
        <w:tc>
          <w:tcPr>
            <w:tcW w:w="21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21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276,622</w:t>
            </w:r>
          </w:p>
        </w:tc>
      </w:tr>
    </w:tbl>
    <w:p>
      <w:pPr>
        <w:spacing w:after="0" w:line="171" w:lineRule="exact"/>
        <w:rPr>
          <w:sz w:val="20"/>
          <w:szCs w:val="20"/>
          <w:color w:val="auto"/>
        </w:rPr>
      </w:pPr>
    </w:p>
    <w:p>
      <w:pPr>
        <w:ind w:left="431" w:right="3279"/>
        <w:spacing w:after="0" w:line="252" w:lineRule="auto"/>
        <w:rPr>
          <w:sz w:val="20"/>
          <w:szCs w:val="20"/>
          <w:color w:val="auto"/>
        </w:rPr>
      </w:pPr>
      <w:r>
        <w:rPr>
          <w:rFonts w:ascii="Courier New" w:cs="Courier New" w:eastAsia="Courier New" w:hAnsi="Courier New"/>
          <w:sz w:val="14"/>
          <w:szCs w:val="14"/>
          <w:color w:val="auto"/>
        </w:rPr>
        <w:t>The number and value, based on the closing price of the Class B shares on December 29, 2000, of the aggregate restricted holdings of Messrs. Burnham, Swanson, Caine, Tookes and Marchilena is as follows: Mr. Burnham --526,622 shares, $16,356,879; Mr. Swanson -- 128,250 shares, $3,983,445; Mr. Caine</w:t>
      </w:r>
    </w:p>
    <w:p>
      <w:pPr>
        <w:spacing w:after="0" w:line="2" w:lineRule="exact"/>
        <w:rPr>
          <w:sz w:val="20"/>
          <w:szCs w:val="20"/>
          <w:color w:val="auto"/>
        </w:rPr>
      </w:pPr>
    </w:p>
    <w:p>
      <w:pPr>
        <w:ind w:left="431" w:right="3279" w:firstLine="3"/>
        <w:spacing w:after="0" w:line="258" w:lineRule="auto"/>
        <w:tabs>
          <w:tab w:leader="none" w:pos="691"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172,000 shares, $5,342,320; Mr. Tookes - 115,000 shares, $3,571,900; and Mr. Marchilena - 83,500 shares, $2,593,510.</w:t>
      </w:r>
    </w:p>
    <w:p>
      <w:pPr>
        <w:spacing w:after="0" w:line="160" w:lineRule="exact"/>
        <w:rPr>
          <w:sz w:val="20"/>
          <w:szCs w:val="20"/>
          <w:color w:val="auto"/>
        </w:rPr>
      </w:pPr>
    </w:p>
    <w:p>
      <w:pPr>
        <w:ind w:left="431" w:right="3379"/>
        <w:spacing w:after="0" w:line="253" w:lineRule="auto"/>
        <w:rPr>
          <w:sz w:val="20"/>
          <w:szCs w:val="20"/>
          <w:color w:val="auto"/>
        </w:rPr>
      </w:pPr>
      <w:r>
        <w:rPr>
          <w:rFonts w:ascii="Courier New" w:cs="Courier New" w:eastAsia="Courier New" w:hAnsi="Courier New"/>
          <w:sz w:val="14"/>
          <w:szCs w:val="14"/>
          <w:color w:val="auto"/>
        </w:rPr>
        <w:t>In accordance with the terms of the company's stock incentive plans, all awards of restricted stock are made in the company's Class B shares. Management is proposing to reclassify the company's Class A shares and Class B shares into a single new class of common stock. Please review management's proposal to reclassify the company's shares beginning on page 48 of this proxy statement.</w:t>
      </w:r>
    </w:p>
    <w:p>
      <w:pPr>
        <w:spacing w:after="0" w:line="165" w:lineRule="exact"/>
        <w:rPr>
          <w:sz w:val="20"/>
          <w:szCs w:val="20"/>
          <w:color w:val="auto"/>
        </w:rPr>
      </w:pPr>
    </w:p>
    <w:p>
      <w:pPr>
        <w:ind w:left="431" w:right="3279" w:hanging="431"/>
        <w:spacing w:after="0" w:line="253" w:lineRule="auto"/>
        <w:tabs>
          <w:tab w:leader="none" w:pos="431"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2000, the total number of stock options reported for each named executive includes the following Long-Term Achievement Plan (LTAP) performance-based options: Mr. Burnham - 179,000; Mr. Swanson - 86,300; Mr. Caine - 60,000; Mr. Tookes - 56,000; and Mr. Marchilena - 43,000. Please refer to the table immediately below entitled Option Grants in Last Fiscal Year for a description of the performance features of the LTAP options.</w:t>
      </w:r>
    </w:p>
    <w:p>
      <w:pPr>
        <w:spacing w:after="0" w:line="165" w:lineRule="exact"/>
        <w:rPr>
          <w:rFonts w:ascii="Courier New" w:cs="Courier New" w:eastAsia="Courier New" w:hAnsi="Courier New"/>
          <w:sz w:val="14"/>
          <w:szCs w:val="14"/>
          <w:color w:val="auto"/>
        </w:rPr>
      </w:pPr>
    </w:p>
    <w:p>
      <w:pPr>
        <w:ind w:left="431" w:right="35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terms of the company's stock incentive plans, all stock options are made in the company's Class B shares. Management is proposing to reclassify the company's Class A shares and Class B shares into a single new class of common stock. Please</w:t>
      </w:r>
    </w:p>
    <w:p>
      <w:pPr>
        <w:spacing w:after="0" w:line="163"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0"/>
          </w:cols>
          <w:pgMar w:left="229" w:top="620" w:right="1440" w:bottom="1440" w:gutter="0" w:footer="0" w:header="0"/>
        </w:sectPr>
      </w:pPr>
    </w:p>
    <w:bookmarkStart w:id="23" w:name="page24"/>
    <w:bookmarkEnd w:id="23"/>
    <w:p>
      <w:pPr>
        <w:ind w:left="431" w:right="3459"/>
        <w:spacing w:after="0" w:line="258" w:lineRule="auto"/>
        <w:rPr>
          <w:sz w:val="20"/>
          <w:szCs w:val="20"/>
          <w:color w:val="auto"/>
        </w:rPr>
      </w:pPr>
      <w:r>
        <w:rPr>
          <w:rFonts w:ascii="Courier New" w:cs="Courier New" w:eastAsia="Courier New" w:hAnsi="Courier New"/>
          <w:sz w:val="14"/>
          <w:szCs w:val="14"/>
          <w:color w:val="auto"/>
        </w:rPr>
        <w:t>review management's proposal to reclassify the company's shares beginning on page 48 of this proxy statement.</w:t>
      </w:r>
    </w:p>
    <w:p>
      <w:pPr>
        <w:spacing w:after="0" w:line="327" w:lineRule="exact"/>
        <w:rPr>
          <w:sz w:val="20"/>
          <w:szCs w:val="20"/>
          <w:color w:val="auto"/>
        </w:rPr>
      </w:pPr>
    </w:p>
    <w:p>
      <w:pPr>
        <w:ind w:left="431" w:right="3279" w:hanging="431"/>
        <w:spacing w:after="0" w:line="252" w:lineRule="auto"/>
        <w:tabs>
          <w:tab w:leader="none" w:pos="431"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2000, the amounts include: (a) the value of life insurance premiums paid by the company (Mr. Burnham -- $3,122; Mr. Swanson -- $2,397; Mr. Caine -- $1,615; Mr. Tookes - $32,917; and Mr. Marchilena - $3,176); (b) company contributions of $563 for Mr. Tookes and $800 for each executive other than Mr. Tookes under the company's Stock Ownership Plan; (c) company contributions under the company's Savings and Investment Plan (Mr. Burnham -- $6,200; Mr. Swanson -- $6,800; Mr. Caine -- $0; Mr. Tookes -- $6,346; and Mr. Marchilena -- $6,800); and (d) company contributions under the company's Excess Savings Plan (Mr. Burnham -- $68,740; Mr. Swanson -- $30,260; Mr. Caine - $0; Mr. Tookes -- $28,882; and Mr. Marchilena -- $15,400). In 1999, the company provided Mr. Swanson an interest-free loan in the original principal amount of $1,000,000 to assist him in his relocation from Washington, D.C. to California in connection with the reorganization of the company's defense businesses. The loan is secured by a mortgage on Mr. Swanson's home. The amount reported for Mr. Swanson includes $75,000, representing the difference between the market rate for such loans and the actual interest rate. In addition, the total amount shown for Mr. Swanson includes relocation expenses of $41,026 and $14,987 in related tax reimbursement payments.</w:t>
      </w:r>
    </w:p>
    <w:p>
      <w:pPr>
        <w:spacing w:after="0" w:line="174" w:lineRule="exact"/>
        <w:rPr>
          <w:rFonts w:ascii="Courier New" w:cs="Courier New" w:eastAsia="Courier New" w:hAnsi="Courier New"/>
          <w:sz w:val="14"/>
          <w:szCs w:val="14"/>
          <w:color w:val="auto"/>
        </w:rPr>
      </w:pPr>
    </w:p>
    <w:p>
      <w:pPr>
        <w:ind w:left="431" w:hanging="431"/>
        <w:spacing w:after="0"/>
        <w:tabs>
          <w:tab w:leader="none" w:pos="431"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salary from Mr. Caine's date of hire through December 31, 1999.</w:t>
      </w:r>
    </w:p>
    <w:p>
      <w:pPr>
        <w:spacing w:after="0" w:line="342" w:lineRule="exact"/>
        <w:rPr>
          <w:rFonts w:ascii="Courier New" w:cs="Courier New" w:eastAsia="Courier New" w:hAnsi="Courier New"/>
          <w:sz w:val="14"/>
          <w:szCs w:val="14"/>
          <w:color w:val="auto"/>
        </w:rPr>
      </w:pPr>
    </w:p>
    <w:p>
      <w:pPr>
        <w:ind w:left="431" w:hanging="431"/>
        <w:spacing w:after="0"/>
        <w:tabs>
          <w:tab w:leader="none" w:pos="431"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salary from Mr. Tookes' date of hire through December 31,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0"/>
          </w:cols>
          <w:pgMar w:left="229" w:top="620" w:right="1440" w:bottom="1440" w:gutter="0" w:footer="0" w:header="0"/>
        </w:sectPr>
      </w:pPr>
    </w:p>
    <w:bookmarkStart w:id="24" w:name="page25"/>
    <w:bookmarkEnd w:id="24"/>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1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OPTION GRANTS</w:t>
            </w:r>
          </w:p>
        </w:tc>
        <w:tc>
          <w:tcPr>
            <w:tcW w:w="2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 LAST FISCAL YEAR</w:t>
            </w: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4"/>
        </w:trPr>
        <w:tc>
          <w:tcPr>
            <w:tcW w:w="1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GRANT DATE</w:t>
            </w:r>
          </w:p>
        </w:tc>
      </w:tr>
      <w:tr>
        <w:trPr>
          <w:trHeight w:val="167"/>
        </w:trPr>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40" w:type="dxa"/>
            <w:vAlign w:val="bottom"/>
            <w:gridSpan w:val="3"/>
          </w:tcPr>
          <w:p>
            <w:pPr>
              <w:jc w:val="right"/>
              <w:ind w:right="1148"/>
              <w:spacing w:after="0"/>
              <w:rPr>
                <w:sz w:val="20"/>
                <w:szCs w:val="20"/>
                <w:color w:val="auto"/>
              </w:rPr>
            </w:pPr>
            <w:r>
              <w:rPr>
                <w:rFonts w:ascii="Courier New" w:cs="Courier New" w:eastAsia="Courier New" w:hAnsi="Courier New"/>
                <w:sz w:val="14"/>
                <w:szCs w:val="14"/>
                <w:color w:val="auto"/>
              </w:rPr>
              <w:t>INDIVIDUAL GRANTS (1)</w:t>
            </w:r>
          </w:p>
        </w:tc>
        <w:tc>
          <w:tcPr>
            <w:tcW w:w="1140" w:type="dxa"/>
            <w:vAlign w:val="bottom"/>
          </w:tcPr>
          <w:p>
            <w:pPr>
              <w:spacing w:after="0"/>
              <w:rPr>
                <w:sz w:val="14"/>
                <w:szCs w:val="14"/>
                <w:color w:val="auto"/>
              </w:rPr>
            </w:pPr>
          </w:p>
        </w:tc>
        <w:tc>
          <w:tcPr>
            <w:tcW w:w="146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95"/>
              </w:rPr>
              <w:t>VALUE</w:t>
            </w:r>
          </w:p>
        </w:tc>
      </w:tr>
      <w:tr>
        <w:trPr>
          <w:trHeight w:val="167"/>
        </w:trPr>
        <w:tc>
          <w:tcPr>
            <w:tcW w:w="184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Courier New" w:cs="Courier New" w:eastAsia="Courier New" w:hAnsi="Courier New"/>
                <w:sz w:val="7"/>
                <w:szCs w:val="7"/>
                <w:color w:val="auto"/>
                <w:w w:val="71"/>
              </w:rPr>
              <w:t>---------------------------------------------</w:t>
            </w:r>
          </w:p>
        </w:tc>
        <w:tc>
          <w:tcPr>
            <w:tcW w:w="1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84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NO. OF</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OF TOTAL</w:t>
            </w: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18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8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18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UNDERLYING</w:t>
            </w:r>
          </w:p>
        </w:tc>
        <w:tc>
          <w:tcPr>
            <w:tcW w:w="18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GRANTED TO</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EXERCISE OR</w:t>
            </w:r>
          </w:p>
        </w:tc>
        <w:tc>
          <w:tcPr>
            <w:tcW w:w="1140" w:type="dxa"/>
            <w:vAlign w:val="bottom"/>
          </w:tcPr>
          <w:p>
            <w:pPr>
              <w:spacing w:after="0"/>
              <w:rPr>
                <w:sz w:val="14"/>
                <w:szCs w:val="14"/>
                <w:color w:val="auto"/>
              </w:rPr>
            </w:pP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GRANT DATE</w:t>
            </w:r>
          </w:p>
        </w:tc>
      </w:tr>
      <w:tr>
        <w:trPr>
          <w:trHeight w:val="167"/>
        </w:trPr>
        <w:tc>
          <w:tcPr>
            <w:tcW w:w="184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OPTIONS</w:t>
            </w:r>
          </w:p>
        </w:tc>
        <w:tc>
          <w:tcPr>
            <w:tcW w:w="18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EMPLOYEES</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BASE PRICE</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EXPIRATION</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PRESENT</w:t>
            </w:r>
          </w:p>
        </w:tc>
      </w:tr>
      <w:tr>
        <w:trPr>
          <w:trHeight w:val="167"/>
        </w:trPr>
        <w:tc>
          <w:tcPr>
            <w:tcW w:w="1840" w:type="dxa"/>
            <w:vAlign w:val="bottom"/>
          </w:tcPr>
          <w:p>
            <w:pPr>
              <w:ind w:left="440"/>
              <w:spacing w:after="0"/>
              <w:rPr>
                <w:sz w:val="20"/>
                <w:szCs w:val="20"/>
                <w:color w:val="auto"/>
              </w:rPr>
            </w:pPr>
            <w:r>
              <w:rPr>
                <w:rFonts w:ascii="Courier New" w:cs="Courier New" w:eastAsia="Courier New" w:hAnsi="Courier New"/>
                <w:sz w:val="14"/>
                <w:szCs w:val="14"/>
                <w:color w:val="auto"/>
              </w:rPr>
              <w:t>NAME</w:t>
            </w:r>
          </w:p>
        </w:tc>
        <w:tc>
          <w:tcPr>
            <w:tcW w:w="2720" w:type="dxa"/>
            <w:vAlign w:val="bottom"/>
            <w:gridSpan w:val="3"/>
          </w:tcPr>
          <w:p>
            <w:pPr>
              <w:spacing w:after="0"/>
              <w:rPr>
                <w:sz w:val="20"/>
                <w:szCs w:val="20"/>
                <w:color w:val="auto"/>
              </w:rPr>
            </w:pPr>
            <w:r>
              <w:rPr>
                <w:rFonts w:ascii="Courier New" w:cs="Courier New" w:eastAsia="Courier New" w:hAnsi="Courier New"/>
                <w:sz w:val="14"/>
                <w:szCs w:val="14"/>
                <w:color w:val="auto"/>
              </w:rPr>
              <w:t>GRANTED (#)(2) IN FISCAL YEAR</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($/SHARE)(3)</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DATE</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VALUE ($)(4)</w:t>
            </w:r>
          </w:p>
        </w:tc>
      </w:tr>
      <w:tr>
        <w:trPr>
          <w:trHeight w:val="167"/>
        </w:trPr>
        <w:tc>
          <w:tcPr>
            <w:tcW w:w="18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Daniel P. Burnham..</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10,322</w:t>
            </w:r>
          </w:p>
        </w:tc>
        <w:tc>
          <w:tcPr>
            <w:tcW w:w="18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0.08%</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$19.375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2/24/2010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$43,662</w:t>
            </w:r>
          </w:p>
        </w:tc>
      </w:tr>
      <w:tr>
        <w:trPr>
          <w:trHeight w:val="167"/>
        </w:trPr>
        <w:tc>
          <w:tcPr>
            <w:tcW w:w="184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439,678</w:t>
            </w:r>
          </w:p>
        </w:tc>
        <w:tc>
          <w:tcPr>
            <w:tcW w:w="18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3.50%</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$19.375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2/25/2010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$1,859,838</w:t>
            </w:r>
          </w:p>
        </w:tc>
      </w:tr>
      <w:tr>
        <w:trPr>
          <w:trHeight w:val="167"/>
        </w:trPr>
        <w:tc>
          <w:tcPr>
            <w:tcW w:w="184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179,000</w:t>
            </w:r>
          </w:p>
        </w:tc>
        <w:tc>
          <w:tcPr>
            <w:tcW w:w="18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1.42%</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$19.375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2/25/2010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$506,570</w:t>
            </w:r>
          </w:p>
        </w:tc>
      </w:tr>
      <w:tr>
        <w:trPr>
          <w:trHeight w:val="334"/>
        </w:trPr>
        <w:tc>
          <w:tcPr>
            <w:tcW w:w="1840" w:type="dxa"/>
            <w:vAlign w:val="bottom"/>
          </w:tcPr>
          <w:p>
            <w:pPr>
              <w:spacing w:after="0"/>
              <w:rPr>
                <w:sz w:val="20"/>
                <w:szCs w:val="20"/>
                <w:color w:val="auto"/>
              </w:rPr>
            </w:pPr>
            <w:r>
              <w:rPr>
                <w:rFonts w:ascii="Courier New" w:cs="Courier New" w:eastAsia="Courier New" w:hAnsi="Courier New"/>
                <w:sz w:val="14"/>
                <w:szCs w:val="14"/>
                <w:color w:val="auto"/>
              </w:rPr>
              <w:t>William H. Swanson..</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10,322</w:t>
            </w:r>
          </w:p>
        </w:tc>
        <w:tc>
          <w:tcPr>
            <w:tcW w:w="180" w:type="dxa"/>
            <w:vAlign w:val="bottom"/>
          </w:tcPr>
          <w:p>
            <w:pPr>
              <w:spacing w:after="0"/>
              <w:rPr>
                <w:sz w:val="24"/>
                <w:szCs w:val="2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0.08%</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$19.375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2/24/2010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$43,662</w:t>
            </w:r>
          </w:p>
        </w:tc>
      </w:tr>
      <w:tr>
        <w:trPr>
          <w:trHeight w:val="167"/>
        </w:trPr>
        <w:tc>
          <w:tcPr>
            <w:tcW w:w="184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177,178</w:t>
            </w:r>
          </w:p>
        </w:tc>
        <w:tc>
          <w:tcPr>
            <w:tcW w:w="18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1.41%</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$19.375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2/25/2010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$749,463</w:t>
            </w:r>
          </w:p>
        </w:tc>
      </w:tr>
      <w:tr>
        <w:trPr>
          <w:trHeight w:val="167"/>
        </w:trPr>
        <w:tc>
          <w:tcPr>
            <w:tcW w:w="184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86,300</w:t>
            </w:r>
          </w:p>
        </w:tc>
        <w:tc>
          <w:tcPr>
            <w:tcW w:w="18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0.69%</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$19.375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2/25/2010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$244,229</w:t>
            </w:r>
          </w:p>
        </w:tc>
      </w:tr>
      <w:tr>
        <w:trPr>
          <w:trHeight w:val="334"/>
        </w:trPr>
        <w:tc>
          <w:tcPr>
            <w:tcW w:w="1840" w:type="dxa"/>
            <w:vAlign w:val="bottom"/>
          </w:tcPr>
          <w:p>
            <w:pPr>
              <w:spacing w:after="0"/>
              <w:rPr>
                <w:sz w:val="20"/>
                <w:szCs w:val="20"/>
                <w:color w:val="auto"/>
              </w:rPr>
            </w:pPr>
            <w:r>
              <w:rPr>
                <w:rFonts w:ascii="Courier New" w:cs="Courier New" w:eastAsia="Courier New" w:hAnsi="Courier New"/>
                <w:sz w:val="14"/>
                <w:szCs w:val="14"/>
                <w:color w:val="auto"/>
              </w:rPr>
              <w:t>Franklyn A. Caine..</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200,000</w:t>
            </w:r>
          </w:p>
        </w:tc>
        <w:tc>
          <w:tcPr>
            <w:tcW w:w="180" w:type="dxa"/>
            <w:vAlign w:val="bottom"/>
          </w:tcPr>
          <w:p>
            <w:pPr>
              <w:spacing w:after="0"/>
              <w:rPr>
                <w:sz w:val="24"/>
                <w:szCs w:val="2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1.59%</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$19.500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1/25/2010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$846,000</w:t>
            </w:r>
          </w:p>
        </w:tc>
      </w:tr>
      <w:tr>
        <w:trPr>
          <w:trHeight w:val="167"/>
        </w:trPr>
        <w:tc>
          <w:tcPr>
            <w:tcW w:w="184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10,322</w:t>
            </w:r>
          </w:p>
        </w:tc>
        <w:tc>
          <w:tcPr>
            <w:tcW w:w="18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0.08%</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$19.375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2/24/2010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$43,662</w:t>
            </w:r>
          </w:p>
        </w:tc>
      </w:tr>
      <w:tr>
        <w:trPr>
          <w:trHeight w:val="167"/>
        </w:trPr>
        <w:tc>
          <w:tcPr>
            <w:tcW w:w="184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64,678</w:t>
            </w:r>
          </w:p>
        </w:tc>
        <w:tc>
          <w:tcPr>
            <w:tcW w:w="18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0.51%</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$19.375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2/25/2010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$273,588</w:t>
            </w:r>
          </w:p>
        </w:tc>
      </w:tr>
      <w:tr>
        <w:trPr>
          <w:trHeight w:val="167"/>
        </w:trPr>
        <w:tc>
          <w:tcPr>
            <w:tcW w:w="184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60,000</w:t>
            </w:r>
          </w:p>
        </w:tc>
        <w:tc>
          <w:tcPr>
            <w:tcW w:w="18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0.48%</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$19.375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2/25/2010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$169,800</w:t>
            </w:r>
          </w:p>
        </w:tc>
      </w:tr>
      <w:tr>
        <w:trPr>
          <w:trHeight w:val="334"/>
        </w:trPr>
        <w:tc>
          <w:tcPr>
            <w:tcW w:w="1840" w:type="dxa"/>
            <w:vAlign w:val="bottom"/>
          </w:tcPr>
          <w:p>
            <w:pPr>
              <w:spacing w:after="0"/>
              <w:rPr>
                <w:sz w:val="20"/>
                <w:szCs w:val="20"/>
                <w:color w:val="auto"/>
              </w:rPr>
            </w:pPr>
            <w:r>
              <w:rPr>
                <w:rFonts w:ascii="Courier New" w:cs="Courier New" w:eastAsia="Courier New" w:hAnsi="Courier New"/>
                <w:sz w:val="14"/>
                <w:szCs w:val="14"/>
                <w:color w:val="auto"/>
              </w:rPr>
              <w:t>Hansel E. Tookes II..</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10,322</w:t>
            </w:r>
          </w:p>
        </w:tc>
        <w:tc>
          <w:tcPr>
            <w:tcW w:w="180" w:type="dxa"/>
            <w:vAlign w:val="bottom"/>
          </w:tcPr>
          <w:p>
            <w:pPr>
              <w:spacing w:after="0"/>
              <w:rPr>
                <w:sz w:val="24"/>
                <w:szCs w:val="2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0.08%</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$19.375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2/24/2010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$43,662</w:t>
            </w:r>
          </w:p>
        </w:tc>
      </w:tr>
      <w:tr>
        <w:trPr>
          <w:trHeight w:val="167"/>
        </w:trPr>
        <w:tc>
          <w:tcPr>
            <w:tcW w:w="184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64,678</w:t>
            </w:r>
          </w:p>
        </w:tc>
        <w:tc>
          <w:tcPr>
            <w:tcW w:w="18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0.51%</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$19.375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2/25/2010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$273,588</w:t>
            </w:r>
          </w:p>
        </w:tc>
      </w:tr>
      <w:tr>
        <w:trPr>
          <w:trHeight w:val="167"/>
        </w:trPr>
        <w:tc>
          <w:tcPr>
            <w:tcW w:w="184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56,000</w:t>
            </w:r>
          </w:p>
        </w:tc>
        <w:tc>
          <w:tcPr>
            <w:tcW w:w="18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0.45%</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$19.375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2/25/2010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$158,480</w:t>
            </w:r>
          </w:p>
        </w:tc>
      </w:tr>
      <w:tr>
        <w:trPr>
          <w:trHeight w:val="334"/>
        </w:trPr>
        <w:tc>
          <w:tcPr>
            <w:tcW w:w="1840" w:type="dxa"/>
            <w:vAlign w:val="bottom"/>
          </w:tcPr>
          <w:p>
            <w:pPr>
              <w:spacing w:after="0"/>
              <w:rPr>
                <w:sz w:val="20"/>
                <w:szCs w:val="20"/>
                <w:color w:val="auto"/>
              </w:rPr>
            </w:pPr>
            <w:r>
              <w:rPr>
                <w:rFonts w:ascii="Courier New" w:cs="Courier New" w:eastAsia="Courier New" w:hAnsi="Courier New"/>
                <w:sz w:val="14"/>
                <w:szCs w:val="14"/>
                <w:color w:val="auto"/>
              </w:rPr>
              <w:t>Francis S. Marchilena</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10,322</w:t>
            </w:r>
          </w:p>
        </w:tc>
        <w:tc>
          <w:tcPr>
            <w:tcW w:w="180" w:type="dxa"/>
            <w:vAlign w:val="bottom"/>
          </w:tcPr>
          <w:p>
            <w:pPr>
              <w:spacing w:after="0"/>
              <w:rPr>
                <w:sz w:val="24"/>
                <w:szCs w:val="2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0.08%</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$19.375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2/24/2010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$43,662</w:t>
            </w:r>
          </w:p>
        </w:tc>
      </w:tr>
      <w:tr>
        <w:trPr>
          <w:trHeight w:val="167"/>
        </w:trPr>
        <w:tc>
          <w:tcPr>
            <w:tcW w:w="184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34,678</w:t>
            </w:r>
          </w:p>
        </w:tc>
        <w:tc>
          <w:tcPr>
            <w:tcW w:w="18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0.28%</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$19.375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2/25/2010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$146,688</w:t>
            </w:r>
          </w:p>
        </w:tc>
      </w:tr>
      <w:tr>
        <w:trPr>
          <w:trHeight w:val="167"/>
        </w:trPr>
        <w:tc>
          <w:tcPr>
            <w:tcW w:w="184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43,000</w:t>
            </w:r>
          </w:p>
        </w:tc>
        <w:tc>
          <w:tcPr>
            <w:tcW w:w="18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0.34%</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$19.375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2/25/2010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$121,690</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right="3379" w:hanging="431"/>
        <w:spacing w:after="0" w:line="253" w:lineRule="auto"/>
        <w:tabs>
          <w:tab w:leader="none" w:pos="4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table contains three separate lines for each individual other than Mr. Caine. The first line represents the grant of incentive stock options. The second line represents the grant of nonqualified stock options. The third line represents Long-Term Achievement Plan (LTAP) nonqualified options. In Mr. Caine's case, the first and third lines represent the grant of nonqualified stock options; the second line represents the grant of incentive stock options; and the fourth line represents LTAP nonqualified options.</w:t>
      </w:r>
    </w:p>
    <w:p>
      <w:pPr>
        <w:spacing w:after="0" w:line="164" w:lineRule="exact"/>
        <w:rPr>
          <w:rFonts w:ascii="Courier New" w:cs="Courier New" w:eastAsia="Courier New" w:hAnsi="Courier New"/>
          <w:sz w:val="14"/>
          <w:szCs w:val="14"/>
          <w:color w:val="auto"/>
        </w:rPr>
      </w:pPr>
    </w:p>
    <w:p>
      <w:pPr>
        <w:ind w:left="440" w:right="3459" w:hanging="431"/>
        <w:spacing w:after="0" w:line="254" w:lineRule="auto"/>
        <w:tabs>
          <w:tab w:leader="none" w:pos="4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One-third of the total incentive and nonqualified stock options becomes exercisable on each of the first, second, and third anniversaries of the grant date. Mr. Caine's grant of 200,000 shares becomes fully exercisable on the first anniversary of the grant date.</w:t>
      </w:r>
    </w:p>
    <w:p>
      <w:pPr>
        <w:spacing w:after="0" w:line="163" w:lineRule="exact"/>
        <w:rPr>
          <w:rFonts w:ascii="Courier New" w:cs="Courier New" w:eastAsia="Courier New" w:hAnsi="Courier New"/>
          <w:sz w:val="14"/>
          <w:szCs w:val="14"/>
          <w:color w:val="auto"/>
        </w:rPr>
      </w:pPr>
    </w:p>
    <w:p>
      <w:pPr>
        <w:ind w:left="4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LTAP options are performance-based options, with exercisability tied to stock price appreciation. Specifically, the LTAP options become exercisable in three equal installments based on appreciation in the price of the company's Class B shares over the $19.375 price on the date of grant. The first installment vested on August 25, 2000 after the Class B shares achieved a price of $23.25, or a 20% appreciation in value over the grant date price, and sustained that level for a period of 20 trading days. The second installment vested on October 30, 2000 after the Class B shares achieved a price of $27.90, or a further 20% appreciation in value, and sustained that level for a period of 20 trading days. The final installment will vest on the earlier of the date the Class B shares have achieved a price of $33.48, or a further 20%</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1440" w:right="1440" w:bottom="1440" w:gutter="0" w:footer="0" w:header="0"/>
        </w:sectPr>
      </w:pPr>
    </w:p>
    <w:bookmarkStart w:id="25" w:name="page26"/>
    <w:bookmarkEnd w:id="25"/>
    <w:p>
      <w:pPr>
        <w:ind w:left="440" w:right="3379"/>
        <w:spacing w:after="0" w:line="258" w:lineRule="auto"/>
        <w:rPr>
          <w:sz w:val="20"/>
          <w:szCs w:val="20"/>
          <w:color w:val="auto"/>
        </w:rPr>
      </w:pPr>
      <w:r>
        <w:rPr>
          <w:rFonts w:ascii="Courier New" w:cs="Courier New" w:eastAsia="Courier New" w:hAnsi="Courier New"/>
          <w:sz w:val="14"/>
          <w:szCs w:val="14"/>
          <w:color w:val="auto"/>
        </w:rPr>
        <w:t>appreciation in value, and sustained that level for a period of 20 trading days or the sixth anniversary of the grant date.</w:t>
      </w:r>
    </w:p>
    <w:p>
      <w:pPr>
        <w:spacing w:after="0" w:line="160" w:lineRule="exact"/>
        <w:rPr>
          <w:sz w:val="20"/>
          <w:szCs w:val="20"/>
          <w:color w:val="auto"/>
        </w:rPr>
      </w:pPr>
    </w:p>
    <w:p>
      <w:pPr>
        <w:ind w:left="440" w:hanging="431"/>
        <w:spacing w:after="0"/>
        <w:tabs>
          <w:tab w:leader="none" w:pos="4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of underlying shares on the date of grant.</w:t>
      </w:r>
    </w:p>
    <w:p>
      <w:pPr>
        <w:spacing w:after="0" w:line="175" w:lineRule="exact"/>
        <w:rPr>
          <w:rFonts w:ascii="Courier New" w:cs="Courier New" w:eastAsia="Courier New" w:hAnsi="Courier New"/>
          <w:sz w:val="14"/>
          <w:szCs w:val="14"/>
          <w:color w:val="auto"/>
        </w:rPr>
      </w:pPr>
    </w:p>
    <w:p>
      <w:pPr>
        <w:ind w:left="440" w:right="3379" w:hanging="431"/>
        <w:spacing w:after="0" w:line="253" w:lineRule="auto"/>
        <w:tabs>
          <w:tab w:leader="none" w:pos="4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ultimate values of the options will depend on the future market price of the Class B shares which cannot be forecast with reasonable accuracy. The actual value, if any, an optionee will realize upon exercise of an option will depend on the excess of the market value of the Class B shares over the exercise price on the date the option is exercised. Management is proposing to reclassify the company's Class A shares and Class B shares into a single new class of common stock. Please review management's proposal to reclassify the company's shares beginning at page 48 of this proxy statement.</w:t>
      </w:r>
    </w:p>
    <w:p>
      <w:pPr>
        <w:spacing w:after="0" w:line="331" w:lineRule="exact"/>
        <w:rPr>
          <w:rFonts w:ascii="Courier New" w:cs="Courier New" w:eastAsia="Courier New" w:hAnsi="Courier New"/>
          <w:sz w:val="14"/>
          <w:szCs w:val="14"/>
          <w:color w:val="auto"/>
        </w:rPr>
      </w:pPr>
    </w:p>
    <w:p>
      <w:pPr>
        <w:ind w:left="4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estimated grant date present value reflected in the above table is determined using the Black-Scholes model. The material assumptions and adjustments incorporated in the Black-Scholes model in estimating the value of the options reflected in the table (other than the LTAP options) include the following: an exercise price equal to the fair market value of the underlying stock on the date of grant ($19.375 for all grants shown other than the 200,000 shares granted to Mr. Caine at $19.50); an option term of 10 years; an interest rate of 6.69% that represents the interest rate on a U.S. Treasury security on the date of grant with a maturity date corresponding to that of the option term; volatility of 30%; an assumed dividend yield of 4.13%; and reductions of approximately 16.5% to reflect the probability of forfeiture due to termination prior to vesting and to the shortened exercise period on the vested options due to termination. For LTAP options the factors are $19.375, 10 years, 6.71%, 30%, 4.13%, and 54%, respectively.</w:t>
      </w:r>
    </w:p>
    <w:p>
      <w:pPr>
        <w:spacing w:after="0" w:line="200" w:lineRule="exact"/>
        <w:rPr>
          <w:sz w:val="20"/>
          <w:szCs w:val="20"/>
          <w:color w:val="auto"/>
        </w:rPr>
      </w:pPr>
    </w:p>
    <w:p>
      <w:pPr>
        <w:spacing w:after="0" w:line="297"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AGGREGATED OPTION EXERCISES IN LAST FISCAL YEAR</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AND FISCAL YEAR END OPTION VALUES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4"/>
                <w:szCs w:val="14"/>
                <w:color w:val="auto"/>
              </w:rPr>
              <w:t>SECURITIES</w:t>
            </w:r>
          </w:p>
        </w:tc>
        <w:tc>
          <w:tcPr>
            <w:tcW w:w="214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4"/>
                <w:szCs w:val="14"/>
                <w:color w:val="auto"/>
              </w:rPr>
              <w:t>UNDERLYING</w:t>
            </w:r>
          </w:p>
        </w:tc>
        <w:tc>
          <w:tcPr>
            <w:tcW w:w="214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4"/>
                <w:szCs w:val="14"/>
                <w:color w:val="auto"/>
              </w:rPr>
              <w:t>UNEXERCISED</w:t>
            </w:r>
          </w:p>
        </w:tc>
        <w:tc>
          <w:tcPr>
            <w:tcW w:w="214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VALUE OF IN-THE</w:t>
            </w:r>
          </w:p>
        </w:tc>
      </w:tr>
      <w:tr>
        <w:trPr>
          <w:trHeight w:val="167"/>
        </w:trPr>
        <w:tc>
          <w:tcPr>
            <w:tcW w:w="2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4"/>
                <w:szCs w:val="14"/>
                <w:color w:val="auto"/>
              </w:rPr>
              <w:t>OPTIONS AT</w:t>
            </w:r>
          </w:p>
        </w:tc>
        <w:tc>
          <w:tcPr>
            <w:tcW w:w="21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MONEY OPTIONS</w:t>
            </w:r>
          </w:p>
        </w:tc>
      </w:tr>
      <w:tr>
        <w:trPr>
          <w:trHeight w:val="167"/>
        </w:trPr>
        <w:tc>
          <w:tcPr>
            <w:tcW w:w="21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SHARES</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ind w:left="400"/>
              <w:spacing w:after="0"/>
              <w:rPr>
                <w:sz w:val="20"/>
                <w:szCs w:val="20"/>
                <w:color w:val="auto"/>
              </w:rPr>
            </w:pPr>
            <w:r>
              <w:rPr>
                <w:rFonts w:ascii="Courier New" w:cs="Courier New" w:eastAsia="Courier New" w:hAnsi="Courier New"/>
                <w:sz w:val="14"/>
                <w:szCs w:val="14"/>
                <w:color w:val="auto"/>
              </w:rPr>
              <w:t>FISCAL</w:t>
            </w:r>
          </w:p>
        </w:tc>
        <w:tc>
          <w:tcPr>
            <w:tcW w:w="2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AT FISCAL YEAR</w:t>
            </w:r>
          </w:p>
        </w:tc>
      </w:tr>
      <w:tr>
        <w:trPr>
          <w:trHeight w:val="167"/>
        </w:trPr>
        <w:tc>
          <w:tcPr>
            <w:tcW w:w="2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ACQUIRED ON</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4"/>
                <w:szCs w:val="14"/>
                <w:color w:val="auto"/>
              </w:rPr>
              <w:t>YEAR END (#)</w:t>
            </w:r>
          </w:p>
        </w:tc>
        <w:tc>
          <w:tcPr>
            <w:tcW w:w="21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END ($)</w:t>
            </w:r>
          </w:p>
        </w:tc>
      </w:tr>
      <w:tr>
        <w:trPr>
          <w:trHeight w:val="167"/>
        </w:trPr>
        <w:tc>
          <w:tcPr>
            <w:tcW w:w="2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EXERCISE</w:t>
            </w:r>
          </w:p>
        </w:tc>
        <w:tc>
          <w:tcPr>
            <w:tcW w:w="22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VALUE</w:t>
            </w:r>
          </w:p>
        </w:tc>
        <w:tc>
          <w:tcPr>
            <w:tcW w:w="1560" w:type="dxa"/>
            <w:vAlign w:val="bottom"/>
          </w:tcPr>
          <w:p>
            <w:pPr>
              <w:ind w:left="220"/>
              <w:spacing w:after="0"/>
              <w:rPr>
                <w:sz w:val="20"/>
                <w:szCs w:val="20"/>
                <w:color w:val="auto"/>
              </w:rPr>
            </w:pPr>
            <w:r>
              <w:rPr>
                <w:rFonts w:ascii="Courier New" w:cs="Courier New" w:eastAsia="Courier New" w:hAnsi="Courier New"/>
                <w:sz w:val="14"/>
                <w:szCs w:val="14"/>
                <w:color w:val="auto"/>
              </w:rPr>
              <w:t>EXERCISABLE/</w:t>
            </w:r>
          </w:p>
        </w:tc>
        <w:tc>
          <w:tcPr>
            <w:tcW w:w="2140" w:type="dxa"/>
            <w:vAlign w:val="bottom"/>
          </w:tcPr>
          <w:p>
            <w:pPr>
              <w:ind w:left="400"/>
              <w:spacing w:after="0"/>
              <w:rPr>
                <w:sz w:val="20"/>
                <w:szCs w:val="20"/>
                <w:color w:val="auto"/>
              </w:rPr>
            </w:pPr>
            <w:r>
              <w:rPr>
                <w:rFonts w:ascii="Courier New" w:cs="Courier New" w:eastAsia="Courier New" w:hAnsi="Courier New"/>
                <w:sz w:val="14"/>
                <w:szCs w:val="14"/>
                <w:color w:val="auto"/>
              </w:rPr>
              <w:t>EXERCISABLE/</w:t>
            </w:r>
          </w:p>
        </w:tc>
      </w:tr>
      <w:tr>
        <w:trPr>
          <w:trHeight w:val="167"/>
        </w:trPr>
        <w:tc>
          <w:tcPr>
            <w:tcW w:w="2180" w:type="dxa"/>
            <w:vAlign w:val="bottom"/>
          </w:tcPr>
          <w:p>
            <w:pPr>
              <w:ind w:left="700"/>
              <w:spacing w:after="0"/>
              <w:rPr>
                <w:sz w:val="20"/>
                <w:szCs w:val="20"/>
                <w:color w:val="auto"/>
              </w:rPr>
            </w:pPr>
            <w:r>
              <w:rPr>
                <w:rFonts w:ascii="Courier New" w:cs="Courier New" w:eastAsia="Courier New" w:hAnsi="Courier New"/>
                <w:sz w:val="14"/>
                <w:szCs w:val="14"/>
                <w:color w:val="auto"/>
              </w:rPr>
              <w:t>NAME</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REALIZED ($)</w:t>
            </w:r>
          </w:p>
        </w:tc>
        <w:tc>
          <w:tcPr>
            <w:tcW w:w="1560" w:type="dxa"/>
            <w:vAlign w:val="bottom"/>
          </w:tcPr>
          <w:p>
            <w:pPr>
              <w:ind w:left="140"/>
              <w:spacing w:after="0"/>
              <w:rPr>
                <w:sz w:val="20"/>
                <w:szCs w:val="20"/>
                <w:color w:val="auto"/>
              </w:rPr>
            </w:pPr>
            <w:r>
              <w:rPr>
                <w:rFonts w:ascii="Courier New" w:cs="Courier New" w:eastAsia="Courier New" w:hAnsi="Courier New"/>
                <w:sz w:val="14"/>
                <w:szCs w:val="14"/>
                <w:color w:val="auto"/>
              </w:rPr>
              <w:t>UNEXERCISABLE</w:t>
            </w:r>
          </w:p>
        </w:tc>
        <w:tc>
          <w:tcPr>
            <w:tcW w:w="21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UNEXERCISABLE (1)</w:t>
            </w:r>
          </w:p>
        </w:tc>
      </w:tr>
      <w:tr>
        <w:trPr>
          <w:trHeight w:val="167"/>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220" w:type="dxa"/>
            <w:vAlign w:val="bottom"/>
          </w:tcPr>
          <w:p>
            <w:pPr>
              <w:spacing w:after="0"/>
              <w:rPr>
                <w:sz w:val="14"/>
                <w:szCs w:val="14"/>
                <w:color w:val="auto"/>
              </w:rPr>
            </w:pPr>
          </w:p>
        </w:tc>
        <w:tc>
          <w:tcPr>
            <w:tcW w:w="26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2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Daniel P. Burnham..</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519,333/659,667</w:t>
            </w:r>
          </w:p>
        </w:tc>
        <w:tc>
          <w:tcPr>
            <w:tcW w:w="2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$1,394,406/5,955,459</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William H. Swanson.</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6,612</w:t>
            </w:r>
          </w:p>
        </w:tc>
        <w:tc>
          <w:tcPr>
            <w:tcW w:w="22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42,668</w:t>
            </w:r>
          </w:p>
        </w:tc>
        <w:tc>
          <w:tcPr>
            <w:tcW w:w="1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415,033/278,767</w:t>
            </w:r>
          </w:p>
        </w:tc>
        <w:tc>
          <w:tcPr>
            <w:tcW w:w="2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1,075,808/2,527,080</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Franklyn A. Caine..</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c>
          <w:tcPr>
            <w:tcW w:w="22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365,000/220,000</w:t>
            </w:r>
          </w:p>
        </w:tc>
        <w:tc>
          <w:tcPr>
            <w:tcW w:w="2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2,779,400/1,110,075</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Hansel E. Tookes II..</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c>
          <w:tcPr>
            <w:tcW w:w="22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82,333/138,667</w:t>
            </w:r>
          </w:p>
        </w:tc>
        <w:tc>
          <w:tcPr>
            <w:tcW w:w="2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436,236/1,094,499</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Francis S. Marchilena..</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c>
          <w:tcPr>
            <w:tcW w:w="22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85,366/74,334</w:t>
            </w:r>
          </w:p>
        </w:tc>
        <w:tc>
          <w:tcPr>
            <w:tcW w:w="2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347,077/693,318</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right="3279" w:hanging="431"/>
        <w:spacing w:after="0" w:line="258" w:lineRule="auto"/>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the $31.06 closing price per share of the company's Class B shares on December 29, 2000.</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20" w:right="1440" w:bottom="1440" w:gutter="0" w:footer="0" w:header="0"/>
        </w:sectPr>
      </w:pPr>
    </w:p>
    <w:bookmarkStart w:id="26" w:name="page27"/>
    <w:bookmarkEnd w:id="26"/>
    <w:p>
      <w:pPr>
        <w:jc w:val="center"/>
        <w:ind w:right="3179"/>
        <w:spacing w:after="0"/>
        <w:rPr>
          <w:sz w:val="20"/>
          <w:szCs w:val="20"/>
          <w:color w:val="auto"/>
        </w:rPr>
      </w:pPr>
      <w:r>
        <w:rPr>
          <w:rFonts w:ascii="Courier New" w:cs="Courier New" w:eastAsia="Courier New" w:hAnsi="Courier New"/>
          <w:sz w:val="14"/>
          <w:szCs w:val="14"/>
          <w:color w:val="auto"/>
        </w:rPr>
        <w:t>COMPENSATION COMMITTEE INTERLOCKS</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AND INSIDER PARTICIPATION</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The Management Development and Compensation Committee of the Board of Directors consists of Barbara M. Barrett, Ferdinand Colloredo-Mansfeld, John R. Galvin, Warren B. Rudman, Michael C. Ruettgers and Alfred M. Zeien. During 2000, the company retained the law firm of Paul, Weiss, Rifkind, Wharton &amp; Garrison for various legal services. Warren B. Rudman is a member of this firm. Senator Rudman also acted as consultant on behalf of the company through August 2000.</w:t>
      </w:r>
    </w:p>
    <w:p>
      <w:pPr>
        <w:spacing w:after="0" w:line="332"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THE FOLLOWING REPORT OF THE MANAGEMENT DEVELOPMENT AND COMPENSATION COMMITTEE AND THE PERFORMANCE GRAPH SHALL NOT BE DEEMED INCORPORATED BY REFERENCE BY ANY GENERAL STATEMENT INCORPORATING THIS PROXY STATEMENT INTO ANY OTHER FILING UNDER THE SECURITIES ACT OF 1933 OR UNDER THE SECURITIES EXCHANGE ACT OF 1934, EXCEPT TO THE EXTENT THE COMPANY SPECIFICALLY INCORPORATES THIS INFORMATION BY REFERENCE, AND SHALL NOT OTHERWISE BE DEEMED FILED UNDER SUCH ACTS.</w:t>
      </w:r>
    </w:p>
    <w:p>
      <w:pPr>
        <w:spacing w:after="0" w:line="33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BOARD COMPENSATION COMMITTEE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REPORT ON EXECUTIVE COMPENSATION</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The Management Development and Compensation Committee develops the company's executive compensation programs. We then review those programs with the full Board of Directors. We believe that these programs align executive compensation with the company's business strategy and management initiatives and are intended to attract, retain, motivate and reward executive leadership of a caliber and level of experience necessary to achieve the overall business objectives of the company. We support an integrated, performance-oriented compensation program that balances short- and long-term objectives to enhance shareholder value and that places company executives in a responsible competitive range of total compensation considering the magnitude of business operations, strategic accomplishments, and company performance.</w:t>
      </w:r>
    </w:p>
    <w:p>
      <w:pPr>
        <w:spacing w:after="0" w:line="164"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We make recommendations to the Board of Directors with respect to base salary and annual incentive awards, and our Options Subcommittee grants stock options and restricted stock/unit awards. We work closely with an independent compensation consultant, which provides information regarding current industry and marketplace compensation practices and provides analysis of individual compensation compared to the external market. Raytheon's executive compensation program is designed to increase the total portion of risk-based cash and stock incentives at progressively higher levels of leadership.</w:t>
      </w:r>
    </w:p>
    <w:p>
      <w:pPr>
        <w:spacing w:after="0" w:line="16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Individual compensation awards are established based upon the contribution the executive has made to attain the company's short-term and strategic performance objectives, as well as the executive's anticipated future contribution. We review performance in four areas specifically, financial, operational, Six Sigma and people. Further, we take into consideration the attainment of both operational short-term and enterprise wide long-term objectives of the company that may not be reflected in the current period's earnings and stock performance.</w:t>
      </w:r>
    </w:p>
    <w:p>
      <w:pPr>
        <w:spacing w:after="0" w:line="165" w:lineRule="exact"/>
        <w:rPr>
          <w:sz w:val="20"/>
          <w:szCs w:val="20"/>
          <w:color w:val="auto"/>
        </w:rPr>
      </w:pPr>
    </w:p>
    <w:p>
      <w:pPr>
        <w:ind w:right="3459" w:firstLine="1042"/>
        <w:spacing w:after="0" w:line="258" w:lineRule="auto"/>
        <w:rPr>
          <w:sz w:val="20"/>
          <w:szCs w:val="20"/>
          <w:color w:val="auto"/>
        </w:rPr>
      </w:pPr>
      <w:r>
        <w:rPr>
          <w:rFonts w:ascii="Courier New" w:cs="Courier New" w:eastAsia="Courier New" w:hAnsi="Courier New"/>
          <w:sz w:val="14"/>
          <w:szCs w:val="14"/>
          <w:color w:val="auto"/>
        </w:rPr>
        <w:t>The company's executive compensation programs consist primarily of the following integrated components:</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27" w:name="page28"/>
    <w:bookmarkEnd w:id="27"/>
    <w:p>
      <w:pPr>
        <w:ind w:right="3279" w:firstLine="1042"/>
        <w:spacing w:after="0" w:line="254" w:lineRule="auto"/>
        <w:rPr>
          <w:sz w:val="20"/>
          <w:szCs w:val="20"/>
          <w:color w:val="auto"/>
        </w:rPr>
      </w:pPr>
      <w:r>
        <w:rPr>
          <w:rFonts w:ascii="Courier New" w:cs="Courier New" w:eastAsia="Courier New" w:hAnsi="Courier New"/>
          <w:sz w:val="14"/>
          <w:szCs w:val="14"/>
          <w:color w:val="auto"/>
        </w:rPr>
        <w:t>BASE SALARY -- which is designed to compensate executives competitively within the industry and competitive marketplace. When establishing base rates of pay for executives, the Committee considers marketplace data for comparable positions and the relative performance and contribution of each executive to the business.</w:t>
      </w:r>
    </w:p>
    <w:p>
      <w:pPr>
        <w:spacing w:after="0" w:line="162"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ANNUAL INCENTIVE AWARDS -- which provide a direct link between executive compensation and the total company's performance. Annual awards take into account the financial and operational performance of each business. Consideration is given to strategic acquisitions, which complement and add value to the company's core businesses and to the successful divestiture of non-core businesses. Executive performance is also assessed against standards of ethical business conduct, leadership competencies, Six Sigma and people-related initiatives.</w:t>
      </w:r>
    </w:p>
    <w:p>
      <w:pPr>
        <w:spacing w:after="0" w:line="16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LONG-TERM INCENTIVES -- which consist of stock options and restricted stock and restricted unit awards that link management decision-making with the company's strategic business plan and long-term company performance. These awards align the executive's interest with those of the stockholders. During 2000, 13.8% of eligible exempt employees received stock option grants. This represents a broader level of participation than among the company's compensation peer groups.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COMPENSATION</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BASE SALARY. Base salary levels for the Chief Executive Officer and other executive officers of the company are reviewed by us and approved annually to ensure competitiveness. Our policy has been and continues to be to maintain base salaries at competitive levels with a peer group established for compensation comparisons. The compensation peer group includes industry competitors as well as other large corporations.</w:t>
      </w:r>
    </w:p>
    <w:p>
      <w:pPr>
        <w:spacing w:after="0" w:line="165" w:lineRule="exact"/>
        <w:rPr>
          <w:sz w:val="20"/>
          <w:szCs w:val="20"/>
          <w:color w:val="auto"/>
        </w:rPr>
      </w:pPr>
    </w:p>
    <w:p>
      <w:pPr>
        <w:ind w:right="3639" w:firstLine="1042"/>
        <w:spacing w:after="0" w:line="254" w:lineRule="auto"/>
        <w:rPr>
          <w:sz w:val="20"/>
          <w:szCs w:val="20"/>
          <w:color w:val="auto"/>
        </w:rPr>
      </w:pPr>
      <w:r>
        <w:rPr>
          <w:rFonts w:ascii="Courier New" w:cs="Courier New" w:eastAsia="Courier New" w:hAnsi="Courier New"/>
          <w:sz w:val="14"/>
          <w:szCs w:val="14"/>
          <w:color w:val="auto"/>
        </w:rPr>
        <w:t>Each year we review a competitive analysis prepared by our independent compensation consultant. Based on this review and the individual performance of each executive, we recommend base salary increases, if appropriate.</w:t>
      </w:r>
    </w:p>
    <w:p>
      <w:pPr>
        <w:spacing w:after="0" w:line="163"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ANNUAL INCENTIVES. All executive officers, including the CEO, participate in a Results Based Incentive Plan, which is designed to focus management attention and effort on the attainment of pre-established performance metrics. Specific performance metrics and weightings were established at the corporate, business, and business unit levels early in 2000 encompassing revenue, operating cash flow, bookings, net sales, operating profit, Six Sigma, and people initiatives.</w:t>
      </w:r>
    </w:p>
    <w:p>
      <w:pPr>
        <w:spacing w:after="0" w:line="16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Individual awards under the company's Results Based Incentive Plan reflect an executive's contribution to the company's achievement of established performance goals, plus the successful management of human resources and the furtherance of ethical business behavior and leadership competencies. In the case of operating executives, the primary performance criteria are the financial performance of the executive's business and the performance against stated operational objectives in each unit's business plan. In the case of senior staff executives, the primary criterion is the effective performance of the staff function in support of strategic operating objectives as well as corporate wide financial metrics. In every case, consideration is given</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453" w:right="1440" w:bottom="1440" w:gutter="0" w:footer="0" w:header="0"/>
        </w:sectPr>
      </w:pPr>
    </w:p>
    <w:bookmarkStart w:id="28" w:name="page29"/>
    <w:bookmarkEnd w:id="28"/>
    <w:p>
      <w:pPr>
        <w:ind w:right="3639"/>
        <w:spacing w:after="0" w:line="258" w:lineRule="auto"/>
        <w:rPr>
          <w:sz w:val="20"/>
          <w:szCs w:val="20"/>
          <w:color w:val="auto"/>
        </w:rPr>
      </w:pPr>
      <w:r>
        <w:rPr>
          <w:rFonts w:ascii="Courier New" w:cs="Courier New" w:eastAsia="Courier New" w:hAnsi="Courier New"/>
          <w:sz w:val="14"/>
          <w:szCs w:val="14"/>
          <w:color w:val="auto"/>
        </w:rPr>
        <w:t>to the executive's contribution to the overall management of the company and specific people based initiatives.</w:t>
      </w:r>
    </w:p>
    <w:p>
      <w:pPr>
        <w:spacing w:after="0" w:line="160"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Officers listed in the Summary Compensation Table received incentive awards based on our review of their competitive marketplace position and their accomplishment of individual performance objectives. Based upon the analysis of our independent compensation consultant, individual incentive target awards were established for the CEO and each executive leader. These targets were based on a competitive level of annual incentive compensation received by executives holding comparable positions in the company's compensation peer group. In years where we deem that exceptional performance has been rendered by the executive, incentive awards above the median of the peer group may be awarded.</w:t>
      </w:r>
    </w:p>
    <w:p>
      <w:pPr>
        <w:spacing w:after="0" w:line="164" w:lineRule="exact"/>
        <w:rPr>
          <w:sz w:val="20"/>
          <w:szCs w:val="20"/>
          <w:color w:val="auto"/>
        </w:rPr>
      </w:pPr>
    </w:p>
    <w:p>
      <w:pPr>
        <w:ind w:right="3279" w:firstLine="1042"/>
        <w:spacing w:after="0" w:line="252" w:lineRule="auto"/>
        <w:rPr>
          <w:sz w:val="20"/>
          <w:szCs w:val="20"/>
          <w:color w:val="auto"/>
        </w:rPr>
      </w:pPr>
      <w:r>
        <w:rPr>
          <w:rFonts w:ascii="Courier New" w:cs="Courier New" w:eastAsia="Courier New" w:hAnsi="Courier New"/>
          <w:sz w:val="14"/>
          <w:szCs w:val="14"/>
          <w:color w:val="auto"/>
        </w:rPr>
        <w:t>LONG-TERM INCENTIVES. Stock option grants are the company's principal vehicle for long-term compensation. The company issues options at fair market value at the date of grant, and the executive only receives compensation from the grant if the stock appreciates in value. Similar to the process used in making annual base salary recommendations and results based incentive awards, option awards are based upon current industry and marketplace compensation data as presented by our independent compensation consultant. Award recommendations are made on the basis of an executive's level of responsibility, value to the organization, contribution to the overall management of the company and, as appropriate, the organization's performance or effective performance of the staff function. The size of each executive's award is determined by considering norms for comparable positions in the industry and marketplace. Equitable distribution within the company is also considered. The awards granted to the executives listed in the Summary Compensation Table are consistent with awards granted for comparable positions in the company's compensation peer group.</w:t>
      </w:r>
    </w:p>
    <w:p>
      <w:pPr>
        <w:spacing w:after="0" w:line="173"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We believe that granting stock options encourages executive officers to manage the company from the perspective of a stockholder with an equity stake in the business. As the value of the company increases over time, the value of the shares of stock underlying the options granted to each of the executive officers increases, providing a strong incentive for executive officers to enhance stockholder value over time. Participation in the option program is not limited to executive officers, but extends to a broad range of key employees of the company.</w:t>
      </w:r>
    </w:p>
    <w:p>
      <w:pPr>
        <w:spacing w:after="0" w:line="332"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Restricted stock awards are made for the purpose of attracting outstanding candidates in the marketplace and for the long-term retention of key executives. Awards are subject to restrictions for an extended period of time after the award is made, and thus the executive cannot sell the stock until the restriction expires. We believe that the award of restricted stock further encourages executive officers to manage the company from the perspective of an owner with an equity stake in the business. In addition, restricted stock awards serve as a strong device for retaining leaders, since a leader who leaves the company forfeits the restricted portion of the award.</w:t>
      </w:r>
    </w:p>
    <w:p>
      <w:pPr>
        <w:spacing w:after="0" w:line="164"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The Long-Term Achievement Plan was established in 1999 to focus senior leadership on the attainment of growth in the appreciation of the value of Raytheon stock. The current plan awards performance in this area through the use of performance based options. Specifically, when the price of Raytheon's Class B shares reaches the predefined growth level (20% compounded) and is sustained for a period of 20 trading days, one third of the options vest.</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53" w:right="1440" w:bottom="1440" w:gutter="0" w:footer="0" w:header="0"/>
        </w:sectPr>
      </w:pPr>
    </w:p>
    <w:bookmarkStart w:id="29" w:name="page30"/>
    <w:bookmarkEnd w:id="29"/>
    <w:p>
      <w:pPr>
        <w:ind w:right="3279"/>
        <w:spacing w:after="0" w:line="254" w:lineRule="auto"/>
        <w:rPr>
          <w:sz w:val="20"/>
          <w:szCs w:val="20"/>
          <w:color w:val="auto"/>
        </w:rPr>
      </w:pPr>
      <w:r>
        <w:rPr>
          <w:rFonts w:ascii="Courier New" w:cs="Courier New" w:eastAsia="Courier New" w:hAnsi="Courier New"/>
          <w:sz w:val="14"/>
          <w:szCs w:val="14"/>
          <w:color w:val="auto"/>
        </w:rPr>
        <w:t>The second third would become exercisable upon attaining an additional twenty percent growth with the final third becoming exercisable after the attainment of an additional twenty percent growth in the price of Raytheon's Class B shares. All options automatically vest at the end of six years and option awards terminate after ten years, if not exercised.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CEO COMPENSATION</w:t>
      </w:r>
    </w:p>
    <w:p>
      <w:pPr>
        <w:spacing w:after="0" w:line="175" w:lineRule="exact"/>
        <w:rPr>
          <w:sz w:val="20"/>
          <w:szCs w:val="20"/>
          <w:color w:val="auto"/>
        </w:rPr>
      </w:pPr>
    </w:p>
    <w:p>
      <w:pPr>
        <w:ind w:right="3459" w:firstLine="1042"/>
        <w:spacing w:after="0" w:line="258" w:lineRule="auto"/>
        <w:rPr>
          <w:sz w:val="20"/>
          <w:szCs w:val="20"/>
          <w:color w:val="auto"/>
        </w:rPr>
      </w:pPr>
      <w:r>
        <w:rPr>
          <w:rFonts w:ascii="Courier New" w:cs="Courier New" w:eastAsia="Courier New" w:hAnsi="Courier New"/>
          <w:sz w:val="14"/>
          <w:szCs w:val="14"/>
          <w:color w:val="auto"/>
        </w:rPr>
        <w:t>The compensation of Raytheon's CEO and other senior executives has historically been based on two factors -- performance and comparability.</w:t>
      </w:r>
    </w:p>
    <w:p>
      <w:pPr>
        <w:spacing w:after="0" w:line="160" w:lineRule="exact"/>
        <w:rPr>
          <w:sz w:val="20"/>
          <w:szCs w:val="20"/>
          <w:color w:val="auto"/>
        </w:rPr>
      </w:pPr>
    </w:p>
    <w:p>
      <w:pPr>
        <w:ind w:right="3459" w:firstLine="1042"/>
        <w:spacing w:after="0" w:line="254" w:lineRule="auto"/>
        <w:rPr>
          <w:sz w:val="20"/>
          <w:szCs w:val="20"/>
          <w:color w:val="auto"/>
        </w:rPr>
      </w:pPr>
      <w:r>
        <w:rPr>
          <w:rFonts w:ascii="Courier New" w:cs="Courier New" w:eastAsia="Courier New" w:hAnsi="Courier New"/>
          <w:sz w:val="14"/>
          <w:szCs w:val="14"/>
          <w:color w:val="auto"/>
        </w:rPr>
        <w:t>BASE SALARY. The current base salary of Daniel P. Burnham was established after reviewing his performance and a competitive analysis provided by our independent compensation consultant. The salary Mr. Burnham receives falls below the 50th percentile of the compensation peer group.</w:t>
      </w:r>
    </w:p>
    <w:p>
      <w:pPr>
        <w:spacing w:after="0" w:line="163"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ANNUAL INCENTIVE AWARD. In reviewing the CEO's total compensation package, we gave consideration to a number of key factors, including the company's financial and operational performance, Raytheon Six Sigma initiatives and people metrics for the year as well as competitive marketplace data.</w:t>
      </w:r>
    </w:p>
    <w:p>
      <w:pPr>
        <w:spacing w:after="0" w:line="163"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We noted that cash targets were exceeded, earnings per share targets were met, backlog for Raytheon products and services was at a record high and operating profit was on target. Additionally, targets involving people and Six Sigma initiatives were met or exceeded. Further, focus has been paid to our core businesses while the company continues to divest itself of non-core operations. We took these factors into account and awarded Mr. Burnham a higher incentive award for 2000.</w:t>
      </w:r>
    </w:p>
    <w:p>
      <w:pPr>
        <w:spacing w:after="0" w:line="165" w:lineRule="exact"/>
        <w:rPr>
          <w:sz w:val="20"/>
          <w:szCs w:val="20"/>
          <w:color w:val="auto"/>
        </w:rPr>
      </w:pPr>
    </w:p>
    <w:p>
      <w:pPr>
        <w:ind w:right="3539" w:firstLine="1042"/>
        <w:spacing w:after="0" w:line="255" w:lineRule="auto"/>
        <w:rPr>
          <w:sz w:val="20"/>
          <w:szCs w:val="20"/>
          <w:color w:val="auto"/>
        </w:rPr>
      </w:pPr>
      <w:r>
        <w:rPr>
          <w:rFonts w:ascii="Courier New" w:cs="Courier New" w:eastAsia="Courier New" w:hAnsi="Courier New"/>
          <w:sz w:val="14"/>
          <w:szCs w:val="14"/>
          <w:color w:val="auto"/>
        </w:rPr>
        <w:t>Mr. Burnham's annual results based incentive compensation, when combined with his base salary, provides for total cash compensation below the average of the compensation peer group.</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INCENTIVES</w:t>
      </w:r>
    </w:p>
    <w:p>
      <w:pPr>
        <w:spacing w:after="0" w:line="17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STOCK OPTIONS. We reviewed industry and marketplace analyses, developed and presented by our independent consultant, of stock option awards for comparable positions. Based on those comparisons, we chose to award the CEO an annual option grant and a restricted stock award that has restrictions that lapse over a six year period. In addition, as described above, we awarded the CEO performance based stock options under the Long-Term Achievement Plan.</w:t>
      </w:r>
    </w:p>
    <w:p>
      <w:pPr>
        <w:spacing w:after="0" w:line="165"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OTHER COMPENSATION. The company's compensation programs also include certain other items, which may include (i) life insurance coverage, (ii) an allocation of company stock under the Raytheon Stock Ownership Plan, (iii) matching contributions in company stock under the Raytheon Savings and Investment Plan and Excess Savings Plan, and (iv) other miscellaneous compensation.</w:t>
      </w:r>
    </w:p>
    <w:p>
      <w:pPr>
        <w:spacing w:after="0" w:line="329" w:lineRule="exact"/>
        <w:rPr>
          <w:sz w:val="20"/>
          <w:szCs w:val="20"/>
          <w:color w:val="auto"/>
        </w:rPr>
      </w:pPr>
    </w:p>
    <w:p>
      <w:pPr>
        <w:ind w:right="3459" w:firstLine="1042"/>
        <w:spacing w:after="0" w:line="255" w:lineRule="auto"/>
        <w:rPr>
          <w:sz w:val="20"/>
          <w:szCs w:val="20"/>
          <w:color w:val="auto"/>
        </w:rPr>
      </w:pPr>
      <w:r>
        <w:rPr>
          <w:rFonts w:ascii="Courier New" w:cs="Courier New" w:eastAsia="Courier New" w:hAnsi="Courier New"/>
          <w:sz w:val="14"/>
          <w:szCs w:val="14"/>
          <w:color w:val="auto"/>
        </w:rPr>
        <w:t>Raytheon's executive compensation plans have been designed to attract and retain outstanding management talent, by providing a broad program of competitive, equitable, and</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20" w:right="1440" w:bottom="1440" w:gutter="0" w:footer="0" w:header="0"/>
        </w:sectPr>
      </w:pPr>
    </w:p>
    <w:bookmarkStart w:id="30" w:name="page31"/>
    <w:bookmarkEnd w:id="30"/>
    <w:p>
      <w:pPr>
        <w:ind w:right="3719"/>
        <w:spacing w:after="0" w:line="254" w:lineRule="auto"/>
        <w:rPr>
          <w:sz w:val="20"/>
          <w:szCs w:val="20"/>
          <w:color w:val="auto"/>
        </w:rPr>
      </w:pPr>
      <w:r>
        <w:rPr>
          <w:rFonts w:ascii="Courier New" w:cs="Courier New" w:eastAsia="Courier New" w:hAnsi="Courier New"/>
          <w:sz w:val="14"/>
          <w:szCs w:val="14"/>
          <w:color w:val="auto"/>
        </w:rPr>
        <w:t>performance-based compensation, and to align executive rewards with the long-term interest of shareholders. To the extent consistent with these objectives, we award executive compensation that is fully deductible by the company under the Internal Revenue Code.</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MEMBERS OF THE MANAGEMENT DEVELOPMENT AND COMPENSATION COMMITTEE</w:t>
      </w:r>
    </w:p>
    <w:p>
      <w:pPr>
        <w:spacing w:after="0" w:line="175" w:lineRule="exact"/>
        <w:rPr>
          <w:sz w:val="20"/>
          <w:szCs w:val="20"/>
          <w:color w:val="auto"/>
        </w:rPr>
      </w:pPr>
    </w:p>
    <w:p>
      <w:pPr>
        <w:ind w:left="620" w:right="3899" w:firstLine="87"/>
        <w:spacing w:after="0" w:line="258" w:lineRule="auto"/>
        <w:rPr>
          <w:sz w:val="20"/>
          <w:szCs w:val="20"/>
          <w:color w:val="auto"/>
        </w:rPr>
      </w:pPr>
      <w:r>
        <w:rPr>
          <w:rFonts w:ascii="Courier New" w:cs="Courier New" w:eastAsia="Courier New" w:hAnsi="Courier New"/>
          <w:sz w:val="14"/>
          <w:szCs w:val="14"/>
          <w:color w:val="auto"/>
        </w:rPr>
        <w:t>Barbara M. Barrett, Ferdinand Colloredo-Mansfeld, John R. Galvin, Warren B. Rudman, Chairman, Michael C. Ruettgers, Alfred M. Zeien</w:t>
      </w:r>
    </w:p>
    <w:p>
      <w:pPr>
        <w:spacing w:after="0" w:line="160"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PERFORMANCE GRAPH</w:t>
      </w:r>
    </w:p>
    <w:p>
      <w:pPr>
        <w:spacing w:after="0" w:line="175" w:lineRule="exact"/>
        <w:rPr>
          <w:sz w:val="20"/>
          <w:szCs w:val="20"/>
          <w:color w:val="auto"/>
        </w:rPr>
      </w:pPr>
    </w:p>
    <w:p>
      <w:pPr>
        <w:ind w:right="3639" w:firstLine="1042"/>
        <w:spacing w:after="0" w:line="255" w:lineRule="auto"/>
        <w:rPr>
          <w:sz w:val="20"/>
          <w:szCs w:val="20"/>
          <w:color w:val="auto"/>
        </w:rPr>
      </w:pPr>
      <w:r>
        <w:rPr>
          <w:rFonts w:ascii="Courier New" w:cs="Courier New" w:eastAsia="Courier New" w:hAnsi="Courier New"/>
          <w:sz w:val="14"/>
          <w:szCs w:val="14"/>
          <w:color w:val="auto"/>
        </w:rPr>
        <w:t>The following graph provides an indicator of total stockholder returns for Raytheon as compared with the S&amp;P 500 Stock Index and the S&amp;P Aerospace/Defense Index, weighted by market value at each measurement point.</w:t>
      </w:r>
    </w:p>
    <w:p>
      <w:pPr>
        <w:spacing w:after="0" w:line="162"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The graph covers the period December 18, 1997, the date that Raytheon's Class A and Class B shares first began trading on the New York Stock Exchange following the merger of Raytheon Company and the defense electronics business of Hughes Electronics Corporation, through December 31, 2000.</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12/18/97</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12/31/97</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12/31/98</w:t>
            </w:r>
          </w:p>
        </w:tc>
        <w:tc>
          <w:tcPr>
            <w:tcW w:w="10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12/31/99</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12/31/00</w:t>
            </w:r>
          </w:p>
        </w:tc>
      </w:tr>
      <w:tr>
        <w:trPr>
          <w:trHeight w:val="167"/>
        </w:trPr>
        <w:tc>
          <w:tcPr>
            <w:tcW w:w="19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Class B Shares</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90.54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96.84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49.19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59.50</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Class A Shares</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90.55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96.19</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47.05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56.92</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S&amp;P Aerospace/Defense</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76.66</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74.68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117.74</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S&amp;P 500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128.58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155.64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141.46</w:t>
            </w:r>
          </w:p>
        </w:tc>
      </w:tr>
    </w:tbl>
    <w:p>
      <w:pPr>
        <w:spacing w:after="0" w:line="338" w:lineRule="exact"/>
        <w:rPr>
          <w:sz w:val="20"/>
          <w:szCs w:val="20"/>
          <w:color w:val="auto"/>
        </w:rPr>
      </w:pPr>
    </w:p>
    <w:p>
      <w:pPr>
        <w:ind w:right="3279" w:firstLine="1042"/>
        <w:spacing w:after="0" w:line="255" w:lineRule="auto"/>
        <w:rPr>
          <w:sz w:val="20"/>
          <w:szCs w:val="20"/>
          <w:color w:val="auto"/>
        </w:rPr>
      </w:pPr>
      <w:r>
        <w:rPr>
          <w:rFonts w:ascii="Courier New" w:cs="Courier New" w:eastAsia="Courier New" w:hAnsi="Courier New"/>
          <w:sz w:val="14"/>
          <w:szCs w:val="14"/>
          <w:color w:val="auto"/>
        </w:rPr>
        <w:t>Assumes $100 invested on December 18, 1997 in Raytheon's Class A and Class B shares, the S&amp;P 500 and the S&amp;P Aerospace/Defense Index. Assumes the reinvestment of dividends.</w:t>
      </w:r>
    </w:p>
    <w:p>
      <w:pPr>
        <w:spacing w:after="0" w:line="16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PENSION PLANS</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The company has a non-contributory pension plan which covers all of its executive officers and all of its salaried employees, other than those at certain subsidiaries and former Texas Instruments, E-Systems and Hughes Aircraft employees who are covered by separate plans. Pension benefits under the plan are based on final average compensation. The plan is company-funded and since 1981 does not require or permit employee contributions. Benefits are computed based on the following formula and are reduced by the employee's estimated primary social security benefit:</w:t>
      </w:r>
    </w:p>
    <w:p>
      <w:pPr>
        <w:spacing w:after="0" w:line="165" w:lineRule="exact"/>
        <w:rPr>
          <w:sz w:val="20"/>
          <w:szCs w:val="20"/>
          <w:color w:val="auto"/>
        </w:rPr>
      </w:pPr>
    </w:p>
    <w:p>
      <w:pPr>
        <w:ind w:left="520" w:right="3719"/>
        <w:spacing w:after="0" w:line="258" w:lineRule="auto"/>
        <w:rPr>
          <w:sz w:val="20"/>
          <w:szCs w:val="20"/>
          <w:color w:val="auto"/>
        </w:rPr>
      </w:pPr>
      <w:r>
        <w:rPr>
          <w:rFonts w:ascii="Courier New" w:cs="Courier New" w:eastAsia="Courier New" w:hAnsi="Courier New"/>
          <w:sz w:val="14"/>
          <w:szCs w:val="14"/>
          <w:color w:val="auto"/>
        </w:rPr>
        <w:t>1.8% of final average compensation for each of the first 20 years of benefit service; and</w:t>
      </w:r>
    </w:p>
    <w:p>
      <w:pPr>
        <w:spacing w:after="0" w:line="160" w:lineRule="exact"/>
        <w:rPr>
          <w:sz w:val="20"/>
          <w:szCs w:val="20"/>
          <w:color w:val="auto"/>
        </w:rPr>
      </w:pPr>
    </w:p>
    <w:p>
      <w:pPr>
        <w:ind w:left="520" w:right="3899"/>
        <w:spacing w:after="0" w:line="258" w:lineRule="auto"/>
        <w:rPr>
          <w:sz w:val="20"/>
          <w:szCs w:val="20"/>
          <w:color w:val="auto"/>
        </w:rPr>
      </w:pPr>
      <w:r>
        <w:rPr>
          <w:rFonts w:ascii="Courier New" w:cs="Courier New" w:eastAsia="Courier New" w:hAnsi="Courier New"/>
          <w:sz w:val="14"/>
          <w:szCs w:val="14"/>
          <w:color w:val="auto"/>
        </w:rPr>
        <w:t>1.2% of final average compensation for each year of benefit service thereafter.</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453" w:right="1440" w:bottom="1440" w:gutter="0" w:footer="0" w:header="0"/>
        </w:sectPr>
      </w:pPr>
    </w:p>
    <w:bookmarkStart w:id="31" w:name="page32"/>
    <w:bookmarkEnd w:id="31"/>
    <w:p>
      <w:pPr>
        <w:ind w:right="3279" w:firstLine="1042"/>
        <w:spacing w:after="0" w:line="253" w:lineRule="auto"/>
        <w:rPr>
          <w:sz w:val="20"/>
          <w:szCs w:val="20"/>
          <w:color w:val="auto"/>
        </w:rPr>
      </w:pPr>
      <w:r>
        <w:rPr>
          <w:rFonts w:ascii="Courier New" w:cs="Courier New" w:eastAsia="Courier New" w:hAnsi="Courier New"/>
          <w:sz w:val="14"/>
          <w:szCs w:val="14"/>
          <w:color w:val="auto"/>
        </w:rPr>
        <w:t>Final average compensation is based on the 60 highest consecutive months of compensation in the final 120 months of employment and includes base salary and annual bonus awards. Federal laws place limitations on compensation amounts that may be included under the plan. In 2000, up to $170,000 in eligible base salary and annual bonus could be included in the calculation of pensions under the plan. The normal retirement age under the plan is 65; however, employees who are at least 55 with at least 10 years of service can retire with reduced benefits. There is no reduction for employees who retire at age 60 or older with at least 10 years of service.</w:t>
      </w:r>
    </w:p>
    <w:p>
      <w:pPr>
        <w:spacing w:after="0" w:line="164"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The standard form of benefit for married participants is a 50% joint and survivor annuity. The standard form of benefit for single participants is a single life annuity. Both married and single participants can elect other optional forms of payment, including a 10-year certain and continuous benefit and joint and survivor annuities of 50%, 66-2/3%, 75% and 100%.</w:t>
      </w:r>
    </w:p>
    <w:p>
      <w:pPr>
        <w:spacing w:after="0" w:line="162" w:lineRule="exact"/>
        <w:rPr>
          <w:sz w:val="20"/>
          <w:szCs w:val="20"/>
          <w:color w:val="auto"/>
        </w:rPr>
      </w:pPr>
    </w:p>
    <w:p>
      <w:pPr>
        <w:ind w:right="3459" w:firstLine="1042"/>
        <w:spacing w:after="0" w:line="253" w:lineRule="auto"/>
        <w:rPr>
          <w:sz w:val="20"/>
          <w:szCs w:val="20"/>
          <w:color w:val="auto"/>
        </w:rPr>
      </w:pPr>
      <w:r>
        <w:rPr>
          <w:rFonts w:ascii="Courier New" w:cs="Courier New" w:eastAsia="Courier New" w:hAnsi="Courier New"/>
          <w:sz w:val="14"/>
          <w:szCs w:val="14"/>
          <w:color w:val="auto"/>
        </w:rPr>
        <w:t>The following table shows the estimated annual retirement benefits in straight life annuity amounts payable to salaried employees on normal retirement at age 65 under the plan and the company's excess benefit plan, a separate, unfunded plan. The excess benefit plan provides benefits that would otherwise be denied participants due to certain Internal Revenue Code limitations on qualified benefit plans.</w:t>
      </w:r>
    </w:p>
    <w:p>
      <w:pPr>
        <w:spacing w:after="0" w:line="332"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Annual Estimated Benefits Under The Pension Plan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2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And Excess Benefit Plan</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4"/>
        </w:trPr>
        <w:tc>
          <w:tcPr>
            <w:tcW w:w="1480" w:type="dxa"/>
            <w:vAlign w:val="bottom"/>
          </w:tcPr>
          <w:p>
            <w:pPr>
              <w:spacing w:after="0"/>
              <w:rPr>
                <w:sz w:val="24"/>
                <w:szCs w:val="24"/>
                <w:color w:val="auto"/>
              </w:rPr>
            </w:pPr>
          </w:p>
        </w:tc>
        <w:tc>
          <w:tcPr>
            <w:tcW w:w="4040" w:type="dxa"/>
            <w:vAlign w:val="bottom"/>
            <w:gridSpan w:val="5"/>
          </w:tcPr>
          <w:p>
            <w:pPr>
              <w:jc w:val="center"/>
              <w:spacing w:after="0"/>
              <w:rPr>
                <w:sz w:val="20"/>
                <w:szCs w:val="20"/>
                <w:color w:val="auto"/>
              </w:rPr>
            </w:pPr>
            <w:r>
              <w:rPr>
                <w:rFonts w:ascii="Courier New" w:cs="Courier New" w:eastAsia="Courier New" w:hAnsi="Courier New"/>
                <w:sz w:val="14"/>
                <w:szCs w:val="14"/>
                <w:color w:val="auto"/>
              </w:rPr>
              <w:t>Years of Credited Service at Age 65</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7"/>
        </w:trPr>
        <w:tc>
          <w:tcPr>
            <w:tcW w:w="1480" w:type="dxa"/>
            <w:vAlign w:val="bottom"/>
          </w:tcPr>
          <w:p>
            <w:pPr>
              <w:spacing w:after="0"/>
              <w:rPr>
                <w:sz w:val="14"/>
                <w:szCs w:val="14"/>
                <w:color w:val="auto"/>
              </w:rPr>
            </w:pPr>
          </w:p>
        </w:tc>
        <w:tc>
          <w:tcPr>
            <w:tcW w:w="54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Final Average</w:t>
            </w: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Compensation</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 Years</w:t>
            </w:r>
          </w:p>
        </w:tc>
        <w:tc>
          <w:tcPr>
            <w:tcW w:w="15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20 Years</w:t>
            </w:r>
          </w:p>
        </w:tc>
        <w:tc>
          <w:tcPr>
            <w:tcW w:w="15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30 Years</w:t>
            </w:r>
          </w:p>
        </w:tc>
        <w:tc>
          <w:tcPr>
            <w:tcW w:w="260" w:type="dxa"/>
            <w:vAlign w:val="bottom"/>
          </w:tcPr>
          <w:p>
            <w:pPr>
              <w:spacing w:after="0"/>
              <w:rPr>
                <w:sz w:val="14"/>
                <w:szCs w:val="14"/>
                <w:color w:val="auto"/>
              </w:rPr>
            </w:pP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 Years</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200,000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54,000</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72,000</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120,000</w:t>
            </w:r>
          </w:p>
        </w:tc>
      </w:tr>
      <w:tr>
        <w:trPr>
          <w:trHeight w:val="167"/>
        </w:trPr>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108,000</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144,000</w:t>
            </w:r>
          </w:p>
        </w:tc>
        <w:tc>
          <w:tcPr>
            <w:tcW w:w="5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192,000</w:t>
            </w:r>
          </w:p>
        </w:tc>
        <w:tc>
          <w:tcPr>
            <w:tcW w:w="2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240,000</w:t>
            </w:r>
          </w:p>
        </w:tc>
      </w:tr>
      <w:tr>
        <w:trPr>
          <w:trHeight w:val="167"/>
        </w:trPr>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162,000</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216,000</w:t>
            </w:r>
          </w:p>
        </w:tc>
        <w:tc>
          <w:tcPr>
            <w:tcW w:w="5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288,000</w:t>
            </w:r>
          </w:p>
        </w:tc>
        <w:tc>
          <w:tcPr>
            <w:tcW w:w="2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360,000</w:t>
            </w:r>
          </w:p>
        </w:tc>
      </w:tr>
      <w:tr>
        <w:trPr>
          <w:trHeight w:val="167"/>
        </w:trPr>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216,000</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288,000</w:t>
            </w:r>
          </w:p>
        </w:tc>
        <w:tc>
          <w:tcPr>
            <w:tcW w:w="5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384,000</w:t>
            </w:r>
          </w:p>
        </w:tc>
        <w:tc>
          <w:tcPr>
            <w:tcW w:w="2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480,000</w:t>
            </w:r>
          </w:p>
        </w:tc>
      </w:tr>
      <w:tr>
        <w:trPr>
          <w:trHeight w:val="167"/>
        </w:trPr>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270,000</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360,000</w:t>
            </w:r>
          </w:p>
        </w:tc>
        <w:tc>
          <w:tcPr>
            <w:tcW w:w="5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480,000</w:t>
            </w:r>
          </w:p>
        </w:tc>
        <w:tc>
          <w:tcPr>
            <w:tcW w:w="2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600,000</w:t>
            </w:r>
          </w:p>
        </w:tc>
      </w:tr>
      <w:tr>
        <w:trPr>
          <w:trHeight w:val="167"/>
        </w:trPr>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1,200,000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324,000</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432,000</w:t>
            </w:r>
          </w:p>
        </w:tc>
        <w:tc>
          <w:tcPr>
            <w:tcW w:w="5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576,000</w:t>
            </w:r>
          </w:p>
        </w:tc>
        <w:tc>
          <w:tcPr>
            <w:tcW w:w="2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720,000</w:t>
            </w:r>
          </w:p>
        </w:tc>
      </w:tr>
      <w:tr>
        <w:trPr>
          <w:trHeight w:val="167"/>
        </w:trPr>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1,400,000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378,000</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504,000</w:t>
            </w:r>
          </w:p>
        </w:tc>
        <w:tc>
          <w:tcPr>
            <w:tcW w:w="5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672,000</w:t>
            </w:r>
          </w:p>
        </w:tc>
        <w:tc>
          <w:tcPr>
            <w:tcW w:w="2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7"/>
        </w:trPr>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1,600,000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432,000</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576,000</w:t>
            </w:r>
          </w:p>
        </w:tc>
        <w:tc>
          <w:tcPr>
            <w:tcW w:w="5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768,000</w:t>
            </w:r>
          </w:p>
        </w:tc>
        <w:tc>
          <w:tcPr>
            <w:tcW w:w="2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960,000</w:t>
            </w:r>
          </w:p>
        </w:tc>
      </w:tr>
      <w:tr>
        <w:trPr>
          <w:trHeight w:val="167"/>
        </w:trPr>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1,800,000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486,000</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648,000</w:t>
            </w:r>
          </w:p>
        </w:tc>
        <w:tc>
          <w:tcPr>
            <w:tcW w:w="5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864,000</w:t>
            </w:r>
          </w:p>
        </w:tc>
        <w:tc>
          <w:tcPr>
            <w:tcW w:w="2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1,080,000</w:t>
            </w:r>
          </w:p>
        </w:tc>
      </w:tr>
      <w:tr>
        <w:trPr>
          <w:trHeight w:val="167"/>
        </w:trPr>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540,000</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720,000</w:t>
            </w:r>
          </w:p>
        </w:tc>
        <w:tc>
          <w:tcPr>
            <w:tcW w:w="5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960,000</w:t>
            </w:r>
          </w:p>
        </w:tc>
        <w:tc>
          <w:tcPr>
            <w:tcW w:w="2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1,200,000</w:t>
            </w:r>
          </w:p>
        </w:tc>
      </w:tr>
      <w:tr>
        <w:trPr>
          <w:trHeight w:val="167"/>
        </w:trPr>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2,200,000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594,000</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792,000</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1,056,000</w:t>
            </w:r>
          </w:p>
        </w:tc>
        <w:tc>
          <w:tcPr>
            <w:tcW w:w="2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1,320,000</w:t>
            </w:r>
          </w:p>
        </w:tc>
      </w:tr>
      <w:tr>
        <w:trPr>
          <w:trHeight w:val="167"/>
        </w:trPr>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2,400,000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648,000</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864,000</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1,152,000</w:t>
            </w:r>
          </w:p>
        </w:tc>
        <w:tc>
          <w:tcPr>
            <w:tcW w:w="2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1,440,000</w:t>
            </w:r>
          </w:p>
        </w:tc>
      </w:tr>
      <w:tr>
        <w:trPr>
          <w:trHeight w:val="167"/>
        </w:trPr>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2,600,000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702,000</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936,000</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1,248,000</w:t>
            </w:r>
          </w:p>
        </w:tc>
        <w:tc>
          <w:tcPr>
            <w:tcW w:w="2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1,560,000</w:t>
            </w:r>
          </w:p>
        </w:tc>
      </w:tr>
      <w:tr>
        <w:trPr>
          <w:trHeight w:val="167"/>
        </w:trPr>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2,800,000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756,000</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1,008,000</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1,344,000</w:t>
            </w:r>
          </w:p>
        </w:tc>
        <w:tc>
          <w:tcPr>
            <w:tcW w:w="2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1,680,000</w:t>
            </w:r>
          </w:p>
        </w:tc>
      </w:tr>
      <w:tr>
        <w:trPr>
          <w:trHeight w:val="167"/>
        </w:trPr>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3,000,000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810,000</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1,080,000</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1,440,000</w:t>
            </w:r>
          </w:p>
        </w:tc>
        <w:tc>
          <w:tcPr>
            <w:tcW w:w="2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1,800,000</w:t>
            </w:r>
          </w:p>
        </w:tc>
      </w:tr>
      <w:tr>
        <w:trPr>
          <w:trHeight w:val="334"/>
        </w:trPr>
        <w:tc>
          <w:tcPr>
            <w:tcW w:w="6960" w:type="dxa"/>
            <w:vAlign w:val="bottom"/>
            <w:gridSpan w:val="8"/>
          </w:tcPr>
          <w:p>
            <w:pPr>
              <w:jc w:val="right"/>
              <w:ind w:right="188"/>
              <w:spacing w:after="0"/>
              <w:rPr>
                <w:sz w:val="20"/>
                <w:szCs w:val="20"/>
                <w:color w:val="auto"/>
              </w:rPr>
            </w:pPr>
            <w:r>
              <w:rPr>
                <w:rFonts w:ascii="Courier New" w:cs="Courier New" w:eastAsia="Courier New" w:hAnsi="Courier New"/>
                <w:sz w:val="14"/>
                <w:szCs w:val="14"/>
                <w:color w:val="auto"/>
              </w:rPr>
              <w:t>The years of credited service as of December 31, 2000 for each of</w:t>
            </w:r>
          </w:p>
        </w:tc>
      </w:tr>
      <w:tr>
        <w:trPr>
          <w:trHeight w:val="167"/>
        </w:trPr>
        <w:tc>
          <w:tcPr>
            <w:tcW w:w="4560" w:type="dxa"/>
            <w:vAlign w:val="bottom"/>
            <w:gridSpan w:val="5"/>
          </w:tcPr>
          <w:p>
            <w:pPr>
              <w:spacing w:after="0"/>
              <w:rPr>
                <w:sz w:val="20"/>
                <w:szCs w:val="20"/>
                <w:color w:val="auto"/>
              </w:rPr>
            </w:pPr>
            <w:r>
              <w:rPr>
                <w:rFonts w:ascii="Courier New" w:cs="Courier New" w:eastAsia="Courier New" w:hAnsi="Courier New"/>
                <w:sz w:val="14"/>
                <w:szCs w:val="14"/>
                <w:color w:val="auto"/>
              </w:rPr>
              <w:t>the named executive officers were as follows: Daniel</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P. Burnham</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 years;</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Franklyn A. Caine</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-- 26.8</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4"/>
        </w:trPr>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32" w:name="page33"/>
    <w:bookmarkEnd w:id="32"/>
    <w:p>
      <w:pPr>
        <w:ind w:right="3379"/>
        <w:spacing w:after="0" w:line="254" w:lineRule="auto"/>
        <w:rPr>
          <w:sz w:val="20"/>
          <w:szCs w:val="20"/>
          <w:color w:val="auto"/>
        </w:rPr>
      </w:pPr>
      <w:r>
        <w:rPr>
          <w:rFonts w:ascii="Courier New" w:cs="Courier New" w:eastAsia="Courier New" w:hAnsi="Courier New"/>
          <w:sz w:val="14"/>
          <w:szCs w:val="14"/>
          <w:color w:val="auto"/>
        </w:rPr>
        <w:t>years; Francis S. Marchilena -- 32.5 years; Hansel E. Tookes, II -- 22.3 years; and William H. Swanson -- 27.3 years. Final average compensation for the named executive officers is the same as their salary and bonus shown in the Summary Compensation Table on page 20.</w:t>
      </w:r>
    </w:p>
    <w:p>
      <w:pPr>
        <w:spacing w:after="0" w:line="163"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The years of credited service shown above for Mr. Caine and Mr. Tookes include additional years of service granted to each of them as inducements for them to join the company. Mr. Caine was granted an additional 26 years, and Mr. Tookes was granted an additional 22 years. As a further inducement, Mr. Tookes was granted eligibility to receive reduced benefits upon early retirement after 5 years of credited service with the company. Upon retirement, the total pensions for Mr. Caine and Mr. Tookes will be calculated based on their respective combined service with the company and with their respective previous employers, offset by any retirement benefits they may receive from their previous employers and from Social Security.</w:t>
      </w:r>
    </w:p>
    <w:p>
      <w:pPr>
        <w:spacing w:after="0" w:line="164" w:lineRule="exact"/>
        <w:rPr>
          <w:sz w:val="20"/>
          <w:szCs w:val="20"/>
          <w:color w:val="auto"/>
        </w:rPr>
      </w:pPr>
    </w:p>
    <w:p>
      <w:pPr>
        <w:ind w:right="3459" w:firstLine="1042"/>
        <w:spacing w:after="0" w:line="253" w:lineRule="auto"/>
        <w:rPr>
          <w:sz w:val="20"/>
          <w:szCs w:val="20"/>
          <w:color w:val="auto"/>
        </w:rPr>
      </w:pPr>
      <w:r>
        <w:rPr>
          <w:rFonts w:ascii="Courier New" w:cs="Courier New" w:eastAsia="Courier New" w:hAnsi="Courier New"/>
          <w:sz w:val="14"/>
          <w:szCs w:val="14"/>
          <w:color w:val="auto"/>
        </w:rPr>
        <w:t>Mr. Burnham's total pension is fixed at 50% of his average covered compensation for the five consecutive years of employment with the company yielding the highest average, subject to offsets for his estimated primary social security benefit as well as pension benefits received from any previous employer. If Mr. Burnham continues in his current position at his current compensation level, and he retires at the normal retirement age of 65, the estimated annual pension benefits payable to him under the plan and the excess benefit plan would be $1,362,000. This amount does not reflect any offset for pension benefits payable by prior employers.</w:t>
      </w:r>
    </w:p>
    <w:p>
      <w:pPr>
        <w:spacing w:after="0" w:line="16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EXECUTIVE EMPLOYMENT AGREEMENTS</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MR. BURNHAM. The company hired Daniel P. Burnham in July 1998 as President and Chief Operating Officer. In order to encourage Mr. Burnham to leave his position as Vice Chairman of AlliedSignal, Inc., the company entered into an employment agreement with Mr. Burnham. The agreement provides that the company will pay Mr. Burnham a base salary of at least $850,000 per year and an annual incentive bonus, based on performance, targeted at 200% of his base salary. In order to replicate the value and vesting schedule of the compensation that Mr. Burnham would forego by joining Raytheon, the company awarded Mr. Burnham 374,713 restricted stock units that settle on a one-for-one basis in Class B shares on specified vesting dates. To date, 98,091 shares have vested and Mr. Burnham has elected to defer receipt of the shares until after his retirement. The company also granted Mr. Burnham an option to purchase 250,000 Class B shares. The option is fully vested.</w:t>
      </w:r>
    </w:p>
    <w:p>
      <w:pPr>
        <w:spacing w:after="0" w:line="163"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The company also entered into a severance agreement with Mr. Burnham. If the company terminates Mr. Burnham's employment or demotes him for any reason other than "cause" or "disability" (as those terms are defined in the agreement) or his death, the company is obligated to pay Mr. Burnham the sum of three times his base salary for the preceding calendar year plus three times his annual incentive bonus for the preceding calendar year.</w:t>
      </w:r>
    </w:p>
    <w:p>
      <w:pPr>
        <w:spacing w:after="0" w:line="16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MR. SWANSON. In 1995, the company entered into a change in control severance agreement with Mr. Swanson. The agreement provides severance pay and continuation of certain benefits upon the occurrence of a change in control of the company. Generally, a "change in control" means any of the following circumstances: (i) the acquisition of 25% or more of the outstanding voting stock of the company by any person, entity or group; (ii) the persons serving as Directors of the company as of the date of the agreement, and replacements or additions sub-</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453" w:right="1440" w:bottom="1440" w:gutter="0" w:footer="0" w:header="0"/>
        </w:sectPr>
      </w:pPr>
    </w:p>
    <w:bookmarkStart w:id="33" w:name="page34"/>
    <w:bookmarkEnd w:id="33"/>
    <w:p>
      <w:pPr>
        <w:ind w:right="3279"/>
        <w:spacing w:after="0" w:line="253" w:lineRule="auto"/>
        <w:rPr>
          <w:sz w:val="20"/>
          <w:szCs w:val="20"/>
          <w:color w:val="auto"/>
        </w:rPr>
      </w:pPr>
      <w:r>
        <w:rPr>
          <w:rFonts w:ascii="Courier New" w:cs="Courier New" w:eastAsia="Courier New" w:hAnsi="Courier New"/>
          <w:sz w:val="14"/>
          <w:szCs w:val="14"/>
          <w:color w:val="auto"/>
        </w:rPr>
        <w:t>sequently approved by a majority vote of the Board, cease to make up at least a majority of the Board; (iii) a merger, consolidation or reorganization in which the stockholders of the company prior to the merger wind up owning less than 50% of the voting power of the surviving corporation; (iv) the liquidation or dissolution of the company or disposition of all or substantially all of the assets of the company.</w:t>
      </w:r>
    </w:p>
    <w:p>
      <w:pPr>
        <w:spacing w:after="0" w:line="16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In order to receive benefits under the agreement, Mr. Swanson must be terminated from his current position within three years following a change in control of the company. Benefits under the agreement include (i) a cash payment of three times Mr. Swanson's current compensation (including base salary plus targeted bonus); (ii) special supplemental retirement benefits determined as if Mr. Swanson had three years additional credited service under the company's pension plans as of the date of termination; and (iii) continuation of fringe benefits pursuant to all welfare, benefit and retirement plans under which Mr. Swanson and his family are eligible to receive benefits for a period of up to three years. In addition, the agreement provides for a gross-up payment if Mr. Swanson is subject to excise taxes on payments made under his agreement.</w:t>
      </w:r>
    </w:p>
    <w:p>
      <w:pPr>
        <w:spacing w:after="0" w:line="164" w:lineRule="exact"/>
        <w:rPr>
          <w:sz w:val="20"/>
          <w:szCs w:val="20"/>
          <w:color w:val="auto"/>
        </w:rPr>
      </w:pPr>
    </w:p>
    <w:p>
      <w:pPr>
        <w:ind w:right="3279" w:firstLine="1042"/>
        <w:spacing w:after="0" w:line="252" w:lineRule="auto"/>
        <w:rPr>
          <w:sz w:val="20"/>
          <w:szCs w:val="20"/>
          <w:color w:val="auto"/>
        </w:rPr>
      </w:pPr>
      <w:r>
        <w:rPr>
          <w:rFonts w:ascii="Courier New" w:cs="Courier New" w:eastAsia="Courier New" w:hAnsi="Courier New"/>
          <w:sz w:val="14"/>
          <w:szCs w:val="14"/>
          <w:color w:val="auto"/>
        </w:rPr>
        <w:t>MR. CAINE. The company hired Franklyn A. Caine in April 1999 as Senior Vice President and Chief Financial Officer. In order to encourage Mr. Caine to leave his previous employer, the company entered into a change in control severance agreement with Mr. Caine. The terms of that agreement are substantially similar to the change in control severance agreement with Mr. Swanson described above, except that Mr. Caine will be entitled to benefits under his agreement if he is terminated from his position within two years, rather than three years, following a change in control of the company. On joining the company, Mr. Caine was also granted an option to purchase 200,000 Class B shares. One half of the option vested in 2000. The remainder is scheduled to vest in 2001. The company and Mr. Caine entered into a separate agreement which obligates the company to pay Mr. Caine two times his base salary plus two times his annual incentive bonus if the company terminates Mr. Caine's employment without cause. Mr. Caine is entitled to a gross-up payment if he is subject to excise taxes on payments made under this agreement.</w:t>
      </w:r>
    </w:p>
    <w:p>
      <w:pPr>
        <w:spacing w:after="0" w:line="173" w:lineRule="exact"/>
        <w:rPr>
          <w:sz w:val="20"/>
          <w:szCs w:val="20"/>
          <w:color w:val="auto"/>
        </w:rPr>
      </w:pPr>
    </w:p>
    <w:p>
      <w:pPr>
        <w:ind w:right="3279" w:firstLine="1042"/>
        <w:spacing w:after="0" w:line="252" w:lineRule="auto"/>
        <w:rPr>
          <w:sz w:val="20"/>
          <w:szCs w:val="20"/>
          <w:color w:val="auto"/>
        </w:rPr>
      </w:pPr>
      <w:r>
        <w:rPr>
          <w:rFonts w:ascii="Courier New" w:cs="Courier New" w:eastAsia="Courier New" w:hAnsi="Courier New"/>
          <w:sz w:val="14"/>
          <w:szCs w:val="14"/>
          <w:color w:val="auto"/>
        </w:rPr>
        <w:t>MR. TOOKES. The company hired Hansel E. Tookes, II in September 1999 as President and Chief Operating Officer of Raytheon Aircraft Company. In order to encourage Mr. Tookes to leave his previous employer, the company entered into a change in control severance agreement with Mr. Tookes. The agreement provides for severance pay and continuation of certain benefits upon either Mr. Tookes' termination of employment or retirement, or the occurrence of a change in control of the company or Raytheon Aircraft Company. Under the agreement, Raytheon agreed to provide Mr. Tookes with a severance or retirement transition payment of two and one half times his annual base salary if the company voluntarily separated him from employment without cause; if Mr. Tookes retired on an agreed upon date before his normal retirement date; or if Mr. Tookes retired at his normal retirement date or beyond. This agreement replicated the benefits Mr. Tookes was eligible for at his previous employer. Also under the agreement, Mr. Tookes is also entitled to receive a payment of three times his annual base salary and bonus in lieu of the severance or retirement transition payments referenced above, following a change in control of the company or of Raytheon Aircraft Company. Mr. Tookes is entitled to a gross-up payment if he is subject to excise taxes on payments made under this agreement.</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453" w:right="1440" w:bottom="1440" w:gutter="0" w:footer="0" w:header="0"/>
        </w:sectPr>
      </w:pPr>
    </w:p>
    <w:bookmarkStart w:id="34" w:name="page35"/>
    <w:bookmarkEnd w:id="34"/>
    <w:p>
      <w:pPr>
        <w:ind w:right="3279" w:firstLine="1042"/>
        <w:spacing w:after="0" w:line="253" w:lineRule="auto"/>
        <w:rPr>
          <w:sz w:val="20"/>
          <w:szCs w:val="20"/>
          <w:color w:val="auto"/>
        </w:rPr>
      </w:pPr>
      <w:r>
        <w:rPr>
          <w:rFonts w:ascii="Courier New" w:cs="Courier New" w:eastAsia="Courier New" w:hAnsi="Courier New"/>
          <w:sz w:val="14"/>
          <w:szCs w:val="14"/>
          <w:color w:val="auto"/>
        </w:rPr>
        <w:t>In August 2000, in connection with Mr. Tookes becoming Chairman and Chief Executive Officer of Raytheon Aircraft Company, the company and Mr. Tookes entered into a retention agreement. The retention agreement operates as an amendment to Mr. Tookes' existing change in control severance agreement by providing for the payment of three times the sum of his annual base salary and targeted results based incentive bonus following a change in control of Raytheon Aircraft Company. The retention agreement also amends the existing change in control severance agreement by providing for the payment to Mr. Tookes of a retention award, based on the value received by the company, resulting from a change in control of Raytheon Aircraft Company.</w:t>
      </w:r>
    </w:p>
    <w:p>
      <w:pPr>
        <w:spacing w:after="0" w:line="164"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MR. MARCHILENA. The company has entered into a change in control severance agreement with Mr. Marchilena. The terms of that agreement are substantially similar to the change in control severance agreement with Mr. Swanson described above, except that Mr. Marchilena will be entitled to receive benefits under his agreement if he is terminated from his position within two years, rather than three years, following a change in control of the company.</w:t>
      </w:r>
    </w:p>
    <w:p>
      <w:pPr>
        <w:spacing w:after="0" w:line="16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Unless otherwise covered under the change in control severance agreements and the retention agreement referenced above, the company's executive severance policy provides that Messrs. Swanson, Caine, Tookes and Marchilena are entitled to receive cash payments equal to two times their current compensation as severance benefits and continuation for two years of fringe benefits pursuant to all welfare, benefit and retirement plans if their employment with the company is terminated other than for cause.</w:t>
      </w:r>
    </w:p>
    <w:p>
      <w:pPr>
        <w:spacing w:after="0" w:line="165" w:lineRule="exact"/>
        <w:rPr>
          <w:sz w:val="20"/>
          <w:szCs w:val="20"/>
          <w:color w:val="auto"/>
        </w:rPr>
      </w:pPr>
    </w:p>
    <w:p>
      <w:pPr>
        <w:jc w:val="center"/>
        <w:ind w:right="3379"/>
        <w:spacing w:after="0" w:line="252" w:lineRule="auto"/>
        <w:rPr>
          <w:sz w:val="20"/>
          <w:szCs w:val="20"/>
          <w:color w:val="auto"/>
        </w:rPr>
      </w:pPr>
      <w:r>
        <w:rPr>
          <w:rFonts w:ascii="Courier New" w:cs="Courier New" w:eastAsia="Courier New" w:hAnsi="Courier New"/>
          <w:sz w:val="14"/>
          <w:szCs w:val="14"/>
          <w:color w:val="auto"/>
        </w:rPr>
        <w:t>PROPOSAL TO AMEND THE COMPANY'S RESTATED CERTIFICATE OF INCORPORATION TO EFFECT A REVERSE STOCK SPLIT FOLLOWED BY A FORWARD STOCK SPLIT OF THE COMPANY'S CLASS A AND CLASS B COMMON STOCK</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(Item No. 2 on Proxy Card)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175" w:lineRule="exact"/>
        <w:rPr>
          <w:sz w:val="20"/>
          <w:szCs w:val="20"/>
          <w:color w:val="auto"/>
        </w:rPr>
      </w:pPr>
    </w:p>
    <w:p>
      <w:pPr>
        <w:ind w:right="3799" w:firstLine="1042"/>
        <w:spacing w:after="0" w:line="252" w:lineRule="auto"/>
        <w:rPr>
          <w:sz w:val="20"/>
          <w:szCs w:val="20"/>
          <w:color w:val="auto"/>
        </w:rPr>
      </w:pPr>
      <w:r>
        <w:rPr>
          <w:rFonts w:ascii="Courier New" w:cs="Courier New" w:eastAsia="Courier New" w:hAnsi="Courier New"/>
          <w:sz w:val="14"/>
          <w:szCs w:val="14"/>
          <w:color w:val="auto"/>
        </w:rPr>
        <w:t>The Board of Directors has authorized, and recommends for your approval, a reverse 1-for-20 stock split followed immediately by a forward</w:t>
      </w:r>
    </w:p>
    <w:p>
      <w:pPr>
        <w:spacing w:after="0" w:line="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20-for-1 stock split of each of the company's Class A and Class B common stock. As permitted under Delaware state law, stockholders whose shares of stock are converted into less than 1 share in the reverse split will be converted into the right to receive cash payments equal to the fair value of those fractional interests. We refer to the reverse and forward stock splits, together with the related cash payments to stockholders with small holdings, as the "Reverse/Forward Split." The company believes the Reverse/Forward Split will result in significantly reduced shareholder record keeping and mailing expenses, and provide holders of less than 20 shares with a cost-effective way to cash out their investments efficiently.</w:t>
      </w:r>
    </w:p>
    <w:p>
      <w:pPr>
        <w:spacing w:after="0" w:line="164"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If approved, the Reverse/Forward Split will take place on [Month] [Date], 2001. The proposed amendments to Raytheon's Certificate of Incorporation are attached to this proxy statement as Appendix B. The highlights of the Reverse/Forward Split are as follows.</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20"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EFFECT ON STOCKHOLDERS:</w:t>
      </w:r>
    </w:p>
    <w:p>
      <w:pPr>
        <w:spacing w:after="0" w:line="175" w:lineRule="exact"/>
        <w:rPr>
          <w:sz w:val="20"/>
          <w:szCs w:val="20"/>
          <w:color w:val="auto"/>
        </w:rPr>
      </w:pPr>
    </w:p>
    <w:p>
      <w:pPr>
        <w:jc w:val="both"/>
        <w:ind w:right="3539" w:firstLine="1042"/>
        <w:spacing w:after="0" w:line="258" w:lineRule="auto"/>
        <w:rPr>
          <w:sz w:val="20"/>
          <w:szCs w:val="20"/>
          <w:color w:val="auto"/>
        </w:rPr>
      </w:pPr>
      <w:r>
        <w:rPr>
          <w:rFonts w:ascii="Courier New" w:cs="Courier New" w:eastAsia="Courier New" w:hAnsi="Courier New"/>
          <w:sz w:val="14"/>
          <w:szCs w:val="14"/>
          <w:color w:val="auto"/>
        </w:rPr>
        <w:t>If approved at the annual meeting, the Reverse/Forward Split will affect Raytheon Class A and Class B stockholders as follows after completion:</w:t>
      </w:r>
    </w:p>
    <w:p>
      <w:pPr>
        <w:spacing w:after="0" w:line="160" w:lineRule="exact"/>
        <w:rPr>
          <w:sz w:val="20"/>
          <w:szCs w:val="20"/>
          <w:color w:val="auto"/>
        </w:rPr>
      </w:pPr>
    </w:p>
    <w:p>
      <w:pPr>
        <w:ind w:left="100"/>
        <w:spacing w:after="0"/>
        <w:tabs>
          <w:tab w:leader="none" w:pos="4500" w:val="left"/>
        </w:tabs>
        <w:rPr>
          <w:sz w:val="20"/>
          <w:szCs w:val="20"/>
          <w:color w:val="auto"/>
        </w:rPr>
      </w:pPr>
      <w:r>
        <w:rPr>
          <w:rFonts w:ascii="Courier New" w:cs="Courier New" w:eastAsia="Courier New" w:hAnsi="Courier New"/>
          <w:sz w:val="14"/>
          <w:szCs w:val="14"/>
          <w:color w:val="auto"/>
        </w:rPr>
        <w:t>Class A or Class B Stockholder before</w:t>
      </w:r>
      <w:r>
        <w:rPr>
          <w:sz w:val="20"/>
          <w:szCs w:val="20"/>
          <w:color w:val="auto"/>
        </w:rPr>
        <w:tab/>
      </w:r>
      <w:r>
        <w:rPr>
          <w:rFonts w:ascii="Courier New" w:cs="Courier New" w:eastAsia="Courier New" w:hAnsi="Courier New"/>
          <w:sz w:val="14"/>
          <w:szCs w:val="14"/>
          <w:color w:val="auto"/>
        </w:rPr>
        <w:t>Net Effect After</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completion of the Reverse/Forward Split</w:t>
        <w:tab/>
        <w:t>Completion of the Reverse/Forward split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Registered stockholders holding 20 or</w:t>
      </w:r>
      <w:r>
        <w:rPr>
          <w:sz w:val="20"/>
          <w:szCs w:val="20"/>
          <w:color w:val="auto"/>
        </w:rPr>
        <w:tab/>
      </w:r>
      <w:r>
        <w:rPr>
          <w:rFonts w:ascii="Courier New" w:cs="Courier New" w:eastAsia="Courier New" w:hAnsi="Courier New"/>
          <w:sz w:val="14"/>
          <w:szCs w:val="14"/>
          <w:color w:val="auto"/>
        </w:rPr>
        <w:t>None.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more Class A shares or Class B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Registered stockholders holding fewer</w:t>
      </w:r>
      <w:r>
        <w:rPr>
          <w:sz w:val="20"/>
          <w:szCs w:val="20"/>
          <w:color w:val="auto"/>
        </w:rPr>
        <w:tab/>
      </w:r>
      <w:r>
        <w:rPr>
          <w:rFonts w:ascii="Courier New" w:cs="Courier New" w:eastAsia="Courier New" w:hAnsi="Courier New"/>
          <w:sz w:val="14"/>
          <w:szCs w:val="14"/>
          <w:color w:val="auto"/>
        </w:rPr>
        <w:t>Shares will be converted into the right</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Class A shares or Class B shares</w:t>
      </w:r>
      <w:r>
        <w:rPr>
          <w:sz w:val="20"/>
          <w:szCs w:val="20"/>
          <w:color w:val="auto"/>
        </w:rPr>
        <w:tab/>
      </w:r>
      <w:r>
        <w:rPr>
          <w:rFonts w:ascii="Courier New" w:cs="Courier New" w:eastAsia="Courier New" w:hAnsi="Courier New"/>
          <w:sz w:val="14"/>
          <w:szCs w:val="14"/>
          <w:color w:val="auto"/>
        </w:rPr>
        <w:t>to receive cash at a price based on the</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trading value of the shares at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that time (see "Determination of</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Trading Value" at page 41). You will</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not have to pay any commissions or</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other fees on this cash-out. Holders of</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these shares will not have any</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continuing equity interest in Raytheon.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Courier New" w:cs="Courier New" w:eastAsia="Courier New" w:hAnsi="Courier New"/>
                <w:sz w:val="14"/>
                <w:szCs w:val="14"/>
                <w:color w:val="auto"/>
              </w:rPr>
              <w:t>Stockholders holding Class A shares or</w:t>
            </w: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Raytheon intends</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for the</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Reverse/</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Class B shares in street name through a</w:t>
            </w: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Forward Split to</w:t>
            </w:r>
          </w:p>
        </w:tc>
        <w:tc>
          <w:tcPr>
            <w:tcW w:w="1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treat stockholders</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nominee (such as a bank or broker)</w:t>
            </w: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holding Raytheon</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Class A</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r>
      <w:tr>
        <w:trPr>
          <w:trHeight w:val="167"/>
        </w:trPr>
        <w:tc>
          <w:tcPr>
            <w:tcW w:w="3480" w:type="dxa"/>
            <w:vAlign w:val="bottom"/>
          </w:tcPr>
          <w:p>
            <w:pPr>
              <w:spacing w:after="0"/>
              <w:rPr>
                <w:sz w:val="14"/>
                <w:szCs w:val="14"/>
                <w:color w:val="auto"/>
              </w:rPr>
            </w:pPr>
          </w:p>
        </w:tc>
        <w:tc>
          <w:tcPr>
            <w:tcW w:w="22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Class B shares in street</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name through a</w:t>
            </w:r>
          </w:p>
        </w:tc>
      </w:tr>
      <w:tr>
        <w:trPr>
          <w:trHeight w:val="167"/>
        </w:trPr>
        <w:tc>
          <w:tcPr>
            <w:tcW w:w="348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nominee (such as</w:t>
            </w:r>
          </w:p>
        </w:tc>
        <w:tc>
          <w:tcPr>
            <w:tcW w:w="1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 bank or broker)</w:t>
            </w:r>
          </w:p>
        </w:tc>
      </w:tr>
      <w:tr>
        <w:trPr>
          <w:trHeight w:val="167"/>
        </w:trPr>
        <w:tc>
          <w:tcPr>
            <w:tcW w:w="3480" w:type="dxa"/>
            <w:vAlign w:val="bottom"/>
          </w:tcPr>
          <w:p>
            <w:pPr>
              <w:spacing w:after="0"/>
              <w:rPr>
                <w:sz w:val="14"/>
                <w:szCs w:val="14"/>
                <w:color w:val="auto"/>
              </w:rPr>
            </w:pPr>
          </w:p>
        </w:tc>
        <w:tc>
          <w:tcPr>
            <w:tcW w:w="34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identically as stockholders</w:t>
            </w:r>
          </w:p>
        </w:tc>
      </w:tr>
      <w:tr>
        <w:trPr>
          <w:trHeight w:val="167"/>
        </w:trPr>
        <w:tc>
          <w:tcPr>
            <w:tcW w:w="348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whose shares are</w:t>
            </w:r>
          </w:p>
        </w:tc>
        <w:tc>
          <w:tcPr>
            <w:tcW w:w="1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registered in their</w:t>
            </w:r>
          </w:p>
        </w:tc>
      </w:tr>
      <w:tr>
        <w:trPr>
          <w:trHeight w:val="167"/>
        </w:trPr>
        <w:tc>
          <w:tcPr>
            <w:tcW w:w="3480" w:type="dxa"/>
            <w:vAlign w:val="bottom"/>
          </w:tcPr>
          <w:p>
            <w:pPr>
              <w:spacing w:after="0"/>
              <w:rPr>
                <w:sz w:val="14"/>
                <w:szCs w:val="14"/>
                <w:color w:val="auto"/>
              </w:rPr>
            </w:pPr>
          </w:p>
        </w:tc>
        <w:tc>
          <w:tcPr>
            <w:tcW w:w="22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names. However, nominees</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may have</w:t>
            </w:r>
          </w:p>
        </w:tc>
      </w:tr>
      <w:tr>
        <w:trPr>
          <w:trHeight w:val="167"/>
        </w:trPr>
        <w:tc>
          <w:tcPr>
            <w:tcW w:w="3480" w:type="dxa"/>
            <w:vAlign w:val="bottom"/>
          </w:tcPr>
          <w:p>
            <w:pPr>
              <w:spacing w:after="0"/>
              <w:rPr>
                <w:sz w:val="14"/>
                <w:szCs w:val="14"/>
                <w:color w:val="auto"/>
              </w:rPr>
            </w:pPr>
          </w:p>
        </w:tc>
        <w:tc>
          <w:tcPr>
            <w:tcW w:w="22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different procedures and</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Raytheon</w:t>
            </w:r>
          </w:p>
        </w:tc>
      </w:tr>
    </w:tbl>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stockholders holding shares in street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name should contact their nominees to</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determine whether they will be affected</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by the Reverse/Forward Split.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REASONS FOR THE REVERSE/FORWARD SPLIT:</w:t>
      </w:r>
    </w:p>
    <w:p>
      <w:pPr>
        <w:spacing w:after="0" w:line="175"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The Board recommends that the stockholders approve the Reverse/Forward Split for the following reasons. These, and other reasons, are described in detail under "Background and Purpose of the Reverse/Forward Split" below.</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20" w:right="1440" w:bottom="1440" w:gutter="0" w:footer="0" w:header="0"/>
        </w:sectPr>
      </w:pPr>
    </w:p>
    <w:bookmarkStart w:id="36" w:name="page37"/>
    <w:bookmarkEnd w:id="36"/>
    <w:p>
      <w:pPr>
        <w:ind w:left="1480"/>
        <w:spacing w:after="0"/>
        <w:tabs>
          <w:tab w:leader="none" w:pos="4840" w:val="left"/>
        </w:tabs>
        <w:rPr>
          <w:sz w:val="20"/>
          <w:szCs w:val="20"/>
          <w:color w:val="auto"/>
        </w:rPr>
      </w:pPr>
      <w:r>
        <w:rPr>
          <w:rFonts w:ascii="Courier New" w:cs="Courier New" w:eastAsia="Courier New" w:hAnsi="Courier New"/>
          <w:sz w:val="14"/>
          <w:szCs w:val="14"/>
          <w:color w:val="auto"/>
        </w:rPr>
        <w:t>Issue</w:t>
      </w:r>
      <w:r>
        <w:rPr>
          <w:sz w:val="20"/>
          <w:szCs w:val="20"/>
          <w:color w:val="auto"/>
        </w:rPr>
        <w:tab/>
      </w:r>
      <w:r>
        <w:rPr>
          <w:rFonts w:ascii="Courier New" w:cs="Courier New" w:eastAsia="Courier New" w:hAnsi="Courier New"/>
          <w:sz w:val="14"/>
          <w:szCs w:val="14"/>
          <w:color w:val="auto"/>
        </w:rPr>
        <w:t>Solution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line="253" w:lineRule="auto"/>
        <w:rPr>
          <w:sz w:val="20"/>
          <w:szCs w:val="20"/>
          <w:color w:val="auto"/>
        </w:rPr>
      </w:pPr>
      <w:r>
        <w:rPr>
          <w:rFonts w:ascii="Courier New" w:cs="Courier New" w:eastAsia="Courier New" w:hAnsi="Courier New"/>
          <w:sz w:val="14"/>
          <w:szCs w:val="14"/>
          <w:color w:val="auto"/>
        </w:rPr>
        <w:t>Raytheon has almost 177,000 stockholders with fewer than 20 Class A shares in their records accounts, and almost 4,000 stockholders fewer than 20 Class B shares in their record accounts. Continuing to maintain accounts for these stockholders, including costs associated with required stockholder mailings, will cost Raytheon over $2.1 million per year.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Reverse/Forward Split will reduce the number of stockholders with small accounts and result in significant cost savings for Raytheon.</w:t>
      </w:r>
    </w:p>
    <w:p>
      <w:pPr>
        <w:spacing w:after="0" w:line="1331" w:lineRule="exact"/>
        <w:rPr>
          <w:sz w:val="20"/>
          <w:szCs w:val="20"/>
          <w:color w:val="auto"/>
        </w:rPr>
      </w:pPr>
    </w:p>
    <w:p>
      <w:pPr>
        <w:sectPr>
          <w:pgSz w:w="11900" w:h="16838" w:orient="portrait"/>
          <w:cols w:equalWidth="0" w:num="2">
            <w:col w:w="3140" w:space="260"/>
            <w:col w:w="683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 addition, based on our best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estimates, continuing to distribute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mailings to stockholders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fewer than 20 shares of Class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Class B common stock held in street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through a nominee (i.e. a bank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broker) will cost Raytheon 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$725,000 per year.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3380" w:val="left"/>
        </w:tabs>
        <w:rPr>
          <w:sz w:val="20"/>
          <w:szCs w:val="20"/>
          <w:color w:val="auto"/>
        </w:rPr>
      </w:pPr>
      <w:r>
        <w:rPr>
          <w:rFonts w:ascii="Courier New" w:cs="Courier New" w:eastAsia="Courier New" w:hAnsi="Courier New"/>
          <w:sz w:val="14"/>
          <w:szCs w:val="14"/>
          <w:color w:val="auto"/>
        </w:rPr>
        <w:t>In many cases it is prohibitively</w:t>
      </w:r>
      <w:r>
        <w:rPr>
          <w:sz w:val="20"/>
          <w:szCs w:val="20"/>
          <w:color w:val="auto"/>
        </w:rPr>
        <w:tab/>
      </w:r>
      <w:r>
        <w:rPr>
          <w:rFonts w:ascii="Courier New" w:cs="Courier New" w:eastAsia="Courier New" w:hAnsi="Courier New"/>
          <w:sz w:val="14"/>
          <w:szCs w:val="14"/>
          <w:color w:val="auto"/>
        </w:rPr>
        <w:t>The Reverse/Forward Split cashes out</w:t>
      </w:r>
    </w:p>
    <w:p>
      <w:pPr>
        <w:spacing w:after="0" w:line="8" w:lineRule="exact"/>
        <w:rPr>
          <w:sz w:val="20"/>
          <w:szCs w:val="20"/>
          <w:color w:val="auto"/>
        </w:rPr>
      </w:pPr>
    </w:p>
    <w:p>
      <w:pPr>
        <w:spacing w:after="0"/>
        <w:tabs>
          <w:tab w:leader="none" w:pos="3380" w:val="left"/>
        </w:tabs>
        <w:rPr>
          <w:sz w:val="20"/>
          <w:szCs w:val="20"/>
          <w:color w:val="auto"/>
        </w:rPr>
      </w:pPr>
      <w:r>
        <w:rPr>
          <w:rFonts w:ascii="Courier New" w:cs="Courier New" w:eastAsia="Courier New" w:hAnsi="Courier New"/>
          <w:sz w:val="14"/>
          <w:szCs w:val="14"/>
          <w:color w:val="auto"/>
        </w:rPr>
        <w:t>exnpensive for stockholders with</w:t>
      </w:r>
      <w:r>
        <w:rPr>
          <w:sz w:val="20"/>
          <w:szCs w:val="20"/>
          <w:color w:val="auto"/>
        </w:rPr>
        <w:tab/>
      </w:r>
      <w:r>
        <w:rPr>
          <w:rFonts w:ascii="Courier New" w:cs="Courier New" w:eastAsia="Courier New" w:hAnsi="Courier New"/>
          <w:sz w:val="14"/>
          <w:szCs w:val="14"/>
          <w:color w:val="auto"/>
        </w:rPr>
        <w:t>stockholders with small accounts without</w:t>
      </w:r>
    </w:p>
    <w:p>
      <w:pPr>
        <w:spacing w:after="0" w:line="8" w:lineRule="exact"/>
        <w:rPr>
          <w:sz w:val="20"/>
          <w:szCs w:val="20"/>
          <w:color w:val="auto"/>
        </w:rPr>
      </w:pPr>
    </w:p>
    <w:p>
      <w:pPr>
        <w:spacing w:after="0"/>
        <w:tabs>
          <w:tab w:leader="none" w:pos="3380" w:val="left"/>
        </w:tabs>
        <w:rPr>
          <w:sz w:val="20"/>
          <w:szCs w:val="20"/>
          <w:color w:val="auto"/>
        </w:rPr>
      </w:pPr>
      <w:r>
        <w:rPr>
          <w:rFonts w:ascii="Courier New" w:cs="Courier New" w:eastAsia="Courier New" w:hAnsi="Courier New"/>
          <w:sz w:val="14"/>
          <w:szCs w:val="14"/>
          <w:color w:val="auto"/>
        </w:rPr>
        <w:t>fewer than 20 shares to sell their</w:t>
      </w:r>
      <w:r>
        <w:rPr>
          <w:sz w:val="20"/>
          <w:szCs w:val="20"/>
          <w:color w:val="auto"/>
        </w:rPr>
        <w:tab/>
      </w:r>
      <w:r>
        <w:rPr>
          <w:rFonts w:ascii="Courier New" w:cs="Courier New" w:eastAsia="Courier New" w:hAnsi="Courier New"/>
          <w:sz w:val="14"/>
          <w:szCs w:val="14"/>
          <w:color w:val="auto"/>
        </w:rPr>
        <w:t>transaction costs such as brokerage fees.</w:t>
      </w:r>
    </w:p>
    <w:p>
      <w:pPr>
        <w:spacing w:after="0" w:line="8" w:lineRule="exact"/>
        <w:rPr>
          <w:sz w:val="20"/>
          <w:szCs w:val="20"/>
          <w:color w:val="auto"/>
        </w:rPr>
      </w:pPr>
    </w:p>
    <w:p>
      <w:pPr>
        <w:spacing w:after="0"/>
        <w:tabs>
          <w:tab w:leader="none" w:pos="3380" w:val="left"/>
        </w:tabs>
        <w:rPr>
          <w:sz w:val="20"/>
          <w:szCs w:val="20"/>
          <w:color w:val="auto"/>
        </w:rPr>
      </w:pPr>
      <w:r>
        <w:rPr>
          <w:rFonts w:ascii="Courier New" w:cs="Courier New" w:eastAsia="Courier New" w:hAnsi="Courier New"/>
          <w:sz w:val="14"/>
          <w:szCs w:val="14"/>
          <w:color w:val="auto"/>
        </w:rPr>
        <w:t>shares on the open market.</w:t>
      </w:r>
      <w:r>
        <w:rPr>
          <w:sz w:val="20"/>
          <w:szCs w:val="20"/>
          <w:color w:val="auto"/>
        </w:rPr>
        <w:tab/>
      </w:r>
      <w:r>
        <w:rPr>
          <w:rFonts w:ascii="Courier New" w:cs="Courier New" w:eastAsia="Courier New" w:hAnsi="Courier New"/>
          <w:sz w:val="14"/>
          <w:szCs w:val="14"/>
          <w:color w:val="auto"/>
        </w:rPr>
        <w:t>However, if these stockholders do not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want to cash out their holdings of</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Class A or Class B stock, they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may purchase additional shares on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the open market to increase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their account to at least 20 shares,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or, if applicable, consolidate/transfer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their accounts into an account with at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least 20 shares.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STRUCTURE OF THE REVERSE/FORWARD SPLIT</w:t>
      </w:r>
    </w:p>
    <w:p>
      <w:pPr>
        <w:spacing w:after="0" w:line="175" w:lineRule="exact"/>
        <w:rPr>
          <w:sz w:val="20"/>
          <w:szCs w:val="20"/>
          <w:color w:val="auto"/>
        </w:rPr>
      </w:pPr>
    </w:p>
    <w:p>
      <w:pPr>
        <w:ind w:right="3279" w:firstLine="1042"/>
        <w:spacing w:after="0" w:line="252" w:lineRule="auto"/>
        <w:rPr>
          <w:sz w:val="20"/>
          <w:szCs w:val="20"/>
          <w:color w:val="auto"/>
        </w:rPr>
      </w:pPr>
      <w:r>
        <w:rPr>
          <w:rFonts w:ascii="Courier New" w:cs="Courier New" w:eastAsia="Courier New" w:hAnsi="Courier New"/>
          <w:sz w:val="14"/>
          <w:szCs w:val="14"/>
          <w:color w:val="auto"/>
        </w:rPr>
        <w:t>The Reverse/Forward Split includes both a reverse stock split and a forward stock split of both Raytheon Class A and Class B shares. If the Reverse/Forward Split is approved and occurs, the reverse split will occur at [Time] on [Month] [Date], 2001. All Class A stockholders on [Month][Date], 2001 will receive 1 share of Raytheon Class A common stock for every 20 shares of Class A stock held in their accounts at that time; all Class B stockholders on [Month][Date], 2001 will receive 1 share of Raytheon Class B common stock for every 20 shares of Class B stock held in their accounts at that time. If a registered holder has 20 or more Class A shares or Class B shares, any fractional share in such account will not be cashed out after the reverse split and the total number of shares held will not change as a result of the Reverse/Forward Split. Any registered stockholder who holds fewer than 20 shares of Class A or Class B stock, as the case may be, at [Time] on [Month] [Date], 2001 (also referred to as a "Cashed-Out Stockholder"), will receive a cash payment instead of fractional shares. This cash payment will be based on the trading value of the cashed-out shares at that time. (See "Determination of Trading Value" at page 41 for a description of how the trading value will be determined upon completion of the Reverse/Forward Split.) Immediately following the reverse split, at [Time] on [Month] [Date], 2001, all Class A or Class B stockholders who are not Cashed-Out Stockholders will receive 20 shares of Class A or Class B common stock for every 1 share of Class A or Class B</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20" w:right="1440" w:bottom="1440" w:gutter="0" w:footer="0" w:header="0"/>
          <w:type w:val="continuous"/>
        </w:sectPr>
      </w:pPr>
    </w:p>
    <w:bookmarkStart w:id="37" w:name="page38"/>
    <w:bookmarkEnd w:id="37"/>
    <w:p>
      <w:pPr>
        <w:ind w:right="3379"/>
        <w:spacing w:after="0" w:line="253" w:lineRule="auto"/>
        <w:rPr>
          <w:sz w:val="20"/>
          <w:szCs w:val="20"/>
          <w:color w:val="auto"/>
        </w:rPr>
      </w:pPr>
      <w:r>
        <w:rPr>
          <w:rFonts w:ascii="Courier New" w:cs="Courier New" w:eastAsia="Courier New" w:hAnsi="Courier New"/>
          <w:sz w:val="14"/>
          <w:szCs w:val="14"/>
          <w:color w:val="auto"/>
        </w:rPr>
        <w:t>stock they received after the reverse stock split. We intend for the Reverse/Forward Split to treat stockholders holding Raytheon Class A shares or Class B shares in street name through a nominee (such as a bank or broker) identically as stockholders whose shares are registered in their names. Accordingly, we also refer to those street name holders who receive a cash payment instead of fractional shares as "Cashed-Out Stockholders." However, nominees may have different procedures and Raytheon stockholders holding shares in street name should contact their nominees to determine whether they will be affected by the Reverse/Forward Split.</w:t>
      </w:r>
    </w:p>
    <w:p>
      <w:pPr>
        <w:spacing w:after="0" w:line="164"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In general, the Reverse/Forward Split can be illustrated by the following examples:</w:t>
      </w:r>
    </w:p>
    <w:p>
      <w:pPr>
        <w:spacing w:after="0" w:line="160" w:lineRule="exact"/>
        <w:rPr>
          <w:sz w:val="20"/>
          <w:szCs w:val="20"/>
          <w:color w:val="auto"/>
        </w:rPr>
      </w:pPr>
    </w:p>
    <w:p>
      <w:pPr>
        <w:ind w:left="800"/>
        <w:spacing w:after="0"/>
        <w:tabs>
          <w:tab w:leader="none" w:pos="4940" w:val="left"/>
        </w:tabs>
        <w:rPr>
          <w:sz w:val="20"/>
          <w:szCs w:val="20"/>
          <w:color w:val="auto"/>
        </w:rPr>
      </w:pPr>
      <w:r>
        <w:rPr>
          <w:rFonts w:ascii="Courier New" w:cs="Courier New" w:eastAsia="Courier New" w:hAnsi="Courier New"/>
          <w:sz w:val="14"/>
          <w:szCs w:val="14"/>
          <w:color w:val="auto"/>
        </w:rPr>
        <w:t>Hypothetical Scenario</w:t>
      </w:r>
      <w:r>
        <w:rPr>
          <w:sz w:val="20"/>
          <w:szCs w:val="20"/>
          <w:color w:val="auto"/>
        </w:rPr>
        <w:tab/>
      </w:r>
      <w:r>
        <w:rPr>
          <w:rFonts w:ascii="Courier New" w:cs="Courier New" w:eastAsia="Courier New" w:hAnsi="Courier New"/>
          <w:sz w:val="14"/>
          <w:szCs w:val="14"/>
          <w:color w:val="auto"/>
        </w:rPr>
        <w:t>Result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line="253" w:lineRule="auto"/>
        <w:rPr>
          <w:sz w:val="20"/>
          <w:szCs w:val="20"/>
          <w:color w:val="auto"/>
        </w:rPr>
      </w:pPr>
      <w:r>
        <w:rPr>
          <w:rFonts w:ascii="Courier New" w:cs="Courier New" w:eastAsia="Courier New" w:hAnsi="Courier New"/>
          <w:sz w:val="14"/>
          <w:szCs w:val="14"/>
          <w:color w:val="auto"/>
        </w:rPr>
        <w:t>Mr. Brown is a registered stockholder who holds 19 Class A shares in his account immediately prior to the Reverse/Forward Split. At that time, assume the trading value of 1 share of Ratheon Class A stock is $30 (see "Determination of Trading Value" at page 41).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Instead of receiving a fractional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(19/20 of a share) of Raytheon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stock after the reverse split,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Brown's 19 shares will be converted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into the right to receive cash. Using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hypothetical trading value of $30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 Mr. Brown will receive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$570.00 ($30 x 19 shares).</w:t>
      </w:r>
    </w:p>
    <w:p>
      <w:pPr>
        <w:spacing w:after="0" w:line="342"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Note:</w:t>
        <w:tab/>
        <w:t>If Mr. Brown wants to continue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his investment in Raytheon, he can buy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least 1 more share of Raytheon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stock and hold it in his</w:t>
      </w:r>
    </w:p>
    <w:p>
      <w:pPr>
        <w:spacing w:after="0" w:line="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account.</w:t>
        <w:tab/>
        <w:t>Mr. Brown would have to act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far enough in advance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Reverse/Forward Split so that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is complete by the close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on the date of the split.</w:t>
      </w:r>
    </w:p>
    <w:p>
      <w:pPr>
        <w:spacing w:after="0" w:line="200" w:lineRule="exact"/>
        <w:rPr>
          <w:sz w:val="20"/>
          <w:szCs w:val="20"/>
          <w:color w:val="auto"/>
        </w:rPr>
      </w:pPr>
    </w:p>
    <w:p>
      <w:pPr>
        <w:sectPr>
          <w:pgSz w:w="11900" w:h="16838" w:orient="portrait"/>
          <w:cols w:equalWidth="0" w:num="2">
            <w:col w:w="3220" w:space="260"/>
            <w:col w:w="6759"/>
          </w:cols>
          <w:pgMar w:left="220" w:top="6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20" w:right="1440" w:bottom="1440" w:gutter="0" w:footer="0" w:header="0"/>
          <w:type w:val="continuous"/>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Mrs. Green</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has 2 separate record</w:t>
            </w:r>
          </w:p>
        </w:tc>
        <w:tc>
          <w:tcPr>
            <w:tcW w:w="580" w:type="dxa"/>
            <w:vAlign w:val="bottom"/>
          </w:tcPr>
          <w:p>
            <w:pPr>
              <w:spacing w:after="0"/>
              <w:rPr>
                <w:sz w:val="14"/>
                <w:szCs w:val="14"/>
                <w:color w:val="auto"/>
              </w:rPr>
            </w:pPr>
          </w:p>
        </w:tc>
        <w:tc>
          <w:tcPr>
            <w:tcW w:w="15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Mrs. Green will</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receive cash payments</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accounts.</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As of the date of the</w:t>
            </w:r>
          </w:p>
        </w:tc>
        <w:tc>
          <w:tcPr>
            <w:tcW w:w="58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equal to</w:t>
            </w:r>
          </w:p>
        </w:tc>
        <w:tc>
          <w:tcPr>
            <w:tcW w:w="2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trading value of her</w:t>
            </w:r>
          </w:p>
        </w:tc>
      </w:tr>
      <w:tr>
        <w:trPr>
          <w:trHeight w:val="167"/>
        </w:trPr>
        <w:tc>
          <w:tcPr>
            <w:tcW w:w="2820" w:type="dxa"/>
            <w:vAlign w:val="bottom"/>
            <w:gridSpan w:val="3"/>
          </w:tcPr>
          <w:p>
            <w:pPr>
              <w:spacing w:after="0"/>
              <w:rPr>
                <w:sz w:val="20"/>
                <w:szCs w:val="20"/>
                <w:color w:val="auto"/>
              </w:rPr>
            </w:pPr>
            <w:r>
              <w:rPr>
                <w:rFonts w:ascii="Courier New" w:cs="Courier New" w:eastAsia="Courier New" w:hAnsi="Courier New"/>
                <w:sz w:val="14"/>
                <w:szCs w:val="14"/>
                <w:color w:val="auto"/>
              </w:rPr>
              <w:t>Reverse/Forward Split, she holds</w:t>
            </w:r>
          </w:p>
        </w:tc>
        <w:tc>
          <w:tcPr>
            <w:tcW w:w="580" w:type="dxa"/>
            <w:vAlign w:val="bottom"/>
          </w:tcPr>
          <w:p>
            <w:pPr>
              <w:ind w:left="60"/>
              <w:spacing w:after="0"/>
              <w:rPr>
                <w:sz w:val="20"/>
                <w:szCs w:val="20"/>
                <w:color w:val="auto"/>
              </w:rPr>
            </w:pPr>
            <w:r>
              <w:rPr>
                <w:rFonts w:ascii="Courier New" w:cs="Courier New" w:eastAsia="Courier New" w:hAnsi="Courier New"/>
                <w:sz w:val="14"/>
                <w:szCs w:val="14"/>
                <w:color w:val="auto"/>
              </w:rPr>
              <w:t>7</w:t>
            </w:r>
          </w:p>
        </w:tc>
        <w:tc>
          <w:tcPr>
            <w:tcW w:w="34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Class B shares in each record account</w:t>
            </w:r>
          </w:p>
        </w:tc>
      </w:tr>
      <w:tr>
        <w:trPr>
          <w:trHeight w:val="167"/>
        </w:trPr>
        <w:tc>
          <w:tcPr>
            <w:tcW w:w="2560" w:type="dxa"/>
            <w:vAlign w:val="bottom"/>
            <w:gridSpan w:val="2"/>
          </w:tcPr>
          <w:p>
            <w:pPr>
              <w:spacing w:after="0"/>
              <w:rPr>
                <w:sz w:val="20"/>
                <w:szCs w:val="20"/>
                <w:color w:val="auto"/>
              </w:rPr>
            </w:pPr>
            <w:r>
              <w:rPr>
                <w:rFonts w:ascii="Courier New" w:cs="Courier New" w:eastAsia="Courier New" w:hAnsi="Courier New"/>
                <w:sz w:val="14"/>
                <w:szCs w:val="14"/>
                <w:color w:val="auto"/>
              </w:rPr>
              <w:t>Class B shares in one account</w:t>
            </w:r>
          </w:p>
        </w:tc>
        <w:tc>
          <w:tcPr>
            <w:tcW w:w="8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and 15</w:t>
            </w:r>
          </w:p>
        </w:tc>
        <w:tc>
          <w:tcPr>
            <w:tcW w:w="34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instead of receiving fractional shares</w:t>
            </w:r>
          </w:p>
        </w:tc>
      </w:tr>
      <w:tr>
        <w:trPr>
          <w:trHeight w:val="167"/>
        </w:trPr>
        <w:tc>
          <w:tcPr>
            <w:tcW w:w="2560" w:type="dxa"/>
            <w:vAlign w:val="bottom"/>
            <w:gridSpan w:val="2"/>
          </w:tcPr>
          <w:p>
            <w:pPr>
              <w:spacing w:after="0"/>
              <w:rPr>
                <w:sz w:val="20"/>
                <w:szCs w:val="20"/>
                <w:color w:val="auto"/>
              </w:rPr>
            </w:pPr>
            <w:r>
              <w:rPr>
                <w:rFonts w:ascii="Courier New" w:cs="Courier New" w:eastAsia="Courier New" w:hAnsi="Courier New"/>
                <w:sz w:val="14"/>
                <w:szCs w:val="14"/>
                <w:color w:val="auto"/>
              </w:rPr>
              <w:t>Class B shares in the other.</w:t>
            </w:r>
          </w:p>
        </w:tc>
        <w:tc>
          <w:tcPr>
            <w:tcW w:w="8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All of</w:t>
            </w:r>
          </w:p>
        </w:tc>
        <w:tc>
          <w:tcPr>
            <w:tcW w:w="15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(7/20 share and</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3/4 share). Assuming</w:t>
            </w:r>
          </w:p>
        </w:tc>
      </w:tr>
      <w:tr>
        <w:trPr>
          <w:trHeight w:val="167"/>
        </w:trPr>
        <w:tc>
          <w:tcPr>
            <w:tcW w:w="2820" w:type="dxa"/>
            <w:vAlign w:val="bottom"/>
            <w:gridSpan w:val="3"/>
          </w:tcPr>
          <w:p>
            <w:pPr>
              <w:spacing w:after="0"/>
              <w:rPr>
                <w:sz w:val="20"/>
                <w:szCs w:val="20"/>
                <w:color w:val="auto"/>
              </w:rPr>
            </w:pPr>
            <w:r>
              <w:rPr>
                <w:rFonts w:ascii="Courier New" w:cs="Courier New" w:eastAsia="Courier New" w:hAnsi="Courier New"/>
                <w:sz w:val="14"/>
                <w:szCs w:val="14"/>
                <w:color w:val="auto"/>
              </w:rPr>
              <w:t>her shares are registered in her</w:t>
            </w:r>
          </w:p>
        </w:tc>
        <w:tc>
          <w:tcPr>
            <w:tcW w:w="580" w:type="dxa"/>
            <w:vAlign w:val="bottom"/>
          </w:tcPr>
          <w:p>
            <w:pPr>
              <w:ind w:left="60"/>
              <w:spacing w:after="0"/>
              <w:rPr>
                <w:sz w:val="20"/>
                <w:szCs w:val="20"/>
                <w:color w:val="auto"/>
              </w:rPr>
            </w:pPr>
            <w:r>
              <w:rPr>
                <w:rFonts w:ascii="Courier New" w:cs="Courier New" w:eastAsia="Courier New" w:hAnsi="Courier New"/>
                <w:sz w:val="14"/>
                <w:szCs w:val="14"/>
                <w:color w:val="auto"/>
              </w:rPr>
              <w:t>name</w:t>
            </w:r>
          </w:p>
        </w:tc>
        <w:tc>
          <w:tcPr>
            <w:tcW w:w="34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a hypothetical trading value of Class</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only.</w:t>
            </w: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B shares</w:t>
            </w:r>
          </w:p>
        </w:tc>
        <w:tc>
          <w:tcPr>
            <w:tcW w:w="620" w:type="dxa"/>
            <w:vAlign w:val="bottom"/>
          </w:tcPr>
          <w:p>
            <w:pPr>
              <w:ind w:left="40"/>
              <w:spacing w:after="0"/>
              <w:rPr>
                <w:sz w:val="20"/>
                <w:szCs w:val="20"/>
                <w:color w:val="auto"/>
              </w:rPr>
            </w:pPr>
            <w:r>
              <w:rPr>
                <w:rFonts w:ascii="Courier New" w:cs="Courier New" w:eastAsia="Courier New" w:hAnsi="Courier New"/>
                <w:sz w:val="14"/>
                <w:szCs w:val="14"/>
                <w:color w:val="auto"/>
              </w:rPr>
              <w:t>at $30</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per share, Mrs. Green</w:t>
            </w:r>
          </w:p>
        </w:tc>
      </w:tr>
      <w:tr>
        <w:trPr>
          <w:trHeight w:val="167"/>
        </w:trPr>
        <w:tc>
          <w:tcPr>
            <w:tcW w:w="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would receive two checks totaling $660</w:t>
            </w:r>
          </w:p>
        </w:tc>
      </w:tr>
      <w:tr>
        <w:trPr>
          <w:trHeight w:val="167"/>
        </w:trPr>
        <w:tc>
          <w:tcPr>
            <w:tcW w:w="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(7 x $30</w:t>
            </w:r>
          </w:p>
        </w:tc>
        <w:tc>
          <w:tcPr>
            <w:tcW w:w="2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$210; 15 x $30 = $450; $210</w:t>
            </w:r>
          </w:p>
        </w:tc>
      </w:tr>
      <w:tr>
        <w:trPr>
          <w:trHeight w:val="167"/>
        </w:trPr>
        <w:tc>
          <w:tcPr>
            <w:tcW w:w="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 $450 =</w:t>
            </w:r>
          </w:p>
        </w:tc>
        <w:tc>
          <w:tcPr>
            <w:tcW w:w="620" w:type="dxa"/>
            <w:vAlign w:val="bottom"/>
          </w:tcPr>
          <w:p>
            <w:pPr>
              <w:ind w:left="40"/>
              <w:spacing w:after="0"/>
              <w:rPr>
                <w:sz w:val="20"/>
                <w:szCs w:val="20"/>
                <w:color w:val="auto"/>
              </w:rPr>
            </w:pPr>
            <w:r>
              <w:rPr>
                <w:rFonts w:ascii="Courier New" w:cs="Courier New" w:eastAsia="Courier New" w:hAnsi="Courier New"/>
                <w:sz w:val="14"/>
                <w:szCs w:val="14"/>
                <w:color w:val="auto"/>
              </w:rPr>
              <w:t>$660).</w:t>
            </w:r>
          </w:p>
        </w:tc>
        <w:tc>
          <w:tcPr>
            <w:tcW w:w="1940" w:type="dxa"/>
            <w:vAlign w:val="bottom"/>
          </w:tcPr>
          <w:p>
            <w:pPr>
              <w:spacing w:after="0"/>
              <w:rPr>
                <w:sz w:val="14"/>
                <w:szCs w:val="14"/>
                <w:color w:val="auto"/>
              </w:rPr>
            </w:pPr>
          </w:p>
        </w:tc>
      </w:tr>
    </w:tbl>
    <w:p>
      <w:pPr>
        <w:spacing w:after="0" w:line="171"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Note: If Mrs. Green wants to continue</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her investment in Raytheon, she can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consolidate/transfer her two record</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accounts prior to the date of the</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Reverse/Forward Split. Alternatively,</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Mrs. Green could buy at least 13 more</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shares of Raytheon Class B stock for</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her first account and at least 5 or</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more shares for her second account. In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either case, her holdings will not be</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cashed out in connection with the</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Reverse/Forward Split because she will</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hold at least 20 shares in record</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accounts. She would have to act far</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enough in advance so that the</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consolidation or the purchase is</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complete by the close of business on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the date of the split.</w:t>
      </w:r>
    </w:p>
    <w:p>
      <w:pPr>
        <w:spacing w:after="0" w:line="8" w:lineRule="exact"/>
        <w:rPr>
          <w:sz w:val="20"/>
          <w:szCs w:val="20"/>
          <w:color w:val="auto"/>
        </w:rPr>
      </w:pPr>
    </w:p>
    <w:p>
      <w:pPr>
        <w:ind w:left="180" w:hanging="171"/>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Mr. Blue holds 25 Class A shares in his  After the Reverse/Forward Split, Mr.</w:t>
      </w:r>
    </w:p>
    <w:p>
      <w:pPr>
        <w:spacing w:after="0" w:line="175" w:lineRule="exact"/>
        <w:rPr>
          <w:sz w:val="20"/>
          <w:szCs w:val="20"/>
          <w:color w:val="auto"/>
        </w:rPr>
      </w:pPr>
    </w:p>
    <w:p>
      <w:pPr>
        <w:jc w:val="both"/>
        <w:ind w:right="3799"/>
        <w:spacing w:after="0" w:line="252" w:lineRule="auto"/>
        <w:rPr>
          <w:sz w:val="20"/>
          <w:szCs w:val="20"/>
          <w:color w:val="auto"/>
        </w:rPr>
      </w:pPr>
      <w:r>
        <w:rPr>
          <w:rFonts w:ascii="Courier New" w:cs="Courier New" w:eastAsia="Courier New" w:hAnsi="Courier New"/>
          <w:sz w:val="14"/>
          <w:szCs w:val="14"/>
          <w:color w:val="auto"/>
        </w:rPr>
        <w:t>record account as of the date of the Blue will continue to hold all 25 Reverse/Forward Split. shares of Raytheon Class A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Mrs. White has 2 accounts. As of the</w:t>
            </w: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Mrs. White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will receive</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cash payments</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date of the Reverse/Forward Split, she</w:t>
            </w:r>
          </w:p>
        </w:tc>
        <w:tc>
          <w:tcPr>
            <w:tcW w:w="33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equal to the trading value of her</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holds 22 Class A shares in one account</w:t>
            </w:r>
          </w:p>
        </w:tc>
        <w:tc>
          <w:tcPr>
            <w:tcW w:w="33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Class B shares instead of receiving</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and 3 Class B shares in the other. All</w:t>
            </w: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fractional</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shares (3/20</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share).</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of her shares are registered in her</w:t>
            </w: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Assuming a</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hypothetical</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trading value</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name only.</w:t>
            </w: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of Class B</w:t>
            </w:r>
          </w:p>
        </w:tc>
        <w:tc>
          <w:tcPr>
            <w:tcW w:w="2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shares at $30 per share,</w:t>
            </w:r>
          </w:p>
        </w:tc>
      </w:tr>
      <w:tr>
        <w:trPr>
          <w:trHeight w:val="167"/>
        </w:trPr>
        <w:tc>
          <w:tcPr>
            <w:tcW w:w="344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Mrs. White</w:t>
            </w:r>
          </w:p>
        </w:tc>
        <w:tc>
          <w:tcPr>
            <w:tcW w:w="2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would receive a check</w:t>
            </w:r>
          </w:p>
        </w:tc>
      </w:tr>
      <w:tr>
        <w:trPr>
          <w:trHeight w:val="167"/>
        </w:trPr>
        <w:tc>
          <w:tcPr>
            <w:tcW w:w="3440" w:type="dxa"/>
            <w:vAlign w:val="bottom"/>
          </w:tcPr>
          <w:p>
            <w:pPr>
              <w:spacing w:after="0"/>
              <w:rPr>
                <w:sz w:val="14"/>
                <w:szCs w:val="14"/>
                <w:color w:val="auto"/>
              </w:rPr>
            </w:pPr>
          </w:p>
        </w:tc>
        <w:tc>
          <w:tcPr>
            <w:tcW w:w="2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totaling $90 (3 x $30 =</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$90). Mrs.</w:t>
            </w:r>
          </w:p>
        </w:tc>
      </w:tr>
      <w:tr>
        <w:trPr>
          <w:trHeight w:val="167"/>
        </w:trPr>
        <w:tc>
          <w:tcPr>
            <w:tcW w:w="344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White will</w:t>
            </w:r>
          </w:p>
        </w:tc>
        <w:tc>
          <w:tcPr>
            <w:tcW w:w="2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continue to hold all 22</w:t>
            </w:r>
          </w:p>
        </w:tc>
      </w:tr>
      <w:tr>
        <w:trPr>
          <w:trHeight w:val="167"/>
        </w:trPr>
        <w:tc>
          <w:tcPr>
            <w:tcW w:w="3440" w:type="dxa"/>
            <w:vAlign w:val="bottom"/>
          </w:tcPr>
          <w:p>
            <w:pPr>
              <w:spacing w:after="0"/>
              <w:rPr>
                <w:sz w:val="14"/>
                <w:szCs w:val="14"/>
                <w:color w:val="auto"/>
              </w:rPr>
            </w:pPr>
          </w:p>
        </w:tc>
        <w:tc>
          <w:tcPr>
            <w:tcW w:w="2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Class A shares.</w:t>
            </w:r>
          </w:p>
        </w:tc>
        <w:tc>
          <w:tcPr>
            <w:tcW w:w="1180" w:type="dxa"/>
            <w:vAlign w:val="bottom"/>
          </w:tcPr>
          <w:p>
            <w:pPr>
              <w:spacing w:after="0"/>
              <w:rPr>
                <w:sz w:val="14"/>
                <w:szCs w:val="14"/>
                <w:color w:val="auto"/>
              </w:rPr>
            </w:pPr>
          </w:p>
        </w:tc>
      </w:tr>
    </w:tbl>
    <w:p>
      <w:pPr>
        <w:spacing w:after="0" w:line="171" w:lineRule="exact"/>
        <w:rPr>
          <w:sz w:val="20"/>
          <w:szCs w:val="20"/>
          <w:color w:val="auto"/>
        </w:rPr>
      </w:pPr>
    </w:p>
    <w:p>
      <w:pPr>
        <w:ind w:left="3560"/>
        <w:spacing w:after="0"/>
        <w:tabs>
          <w:tab w:leader="none" w:pos="4160" w:val="left"/>
        </w:tabs>
        <w:rPr>
          <w:sz w:val="20"/>
          <w:szCs w:val="20"/>
          <w:color w:val="auto"/>
        </w:rPr>
      </w:pPr>
      <w:r>
        <w:rPr>
          <w:rFonts w:ascii="Courier New" w:cs="Courier New" w:eastAsia="Courier New" w:hAnsi="Courier New"/>
          <w:sz w:val="14"/>
          <w:szCs w:val="14"/>
          <w:color w:val="auto"/>
        </w:rPr>
        <w:t>Note:</w:t>
        <w:tab/>
        <w:t>If Mrs. White wants to continue</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her investment in Raytheon Class B</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shares, she can buy at least 17 more</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shares of Raytheon Class B stock and</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hold it in the same account as her</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existing Class B shares. Mrs. White</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would have to act far enough in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advance of the Reverse/Forward Split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so that the purchase is complete by</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the close of business on the date of</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the split.</w:t>
      </w:r>
    </w:p>
    <w:p>
      <w:pPr>
        <w:spacing w:after="0" w:line="8" w:lineRule="exact"/>
        <w:rPr>
          <w:sz w:val="20"/>
          <w:szCs w:val="20"/>
          <w:color w:val="auto"/>
        </w:rPr>
      </w:pPr>
    </w:p>
    <w:p>
      <w:pPr>
        <w:ind w:left="180" w:hanging="171"/>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3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453" w:right="1440" w:bottom="1440" w:gutter="0" w:footer="0" w:header="0"/>
        </w:sectPr>
      </w:pPr>
    </w:p>
    <w:bookmarkStart w:id="39" w:name="page40"/>
    <w:bookmarkEnd w:id="39"/>
    <w:p>
      <w:pPr>
        <w:spacing w:after="0" w:line="255" w:lineRule="auto"/>
        <w:rPr>
          <w:sz w:val="20"/>
          <w:szCs w:val="20"/>
          <w:color w:val="auto"/>
        </w:rPr>
      </w:pPr>
      <w:r>
        <w:rPr>
          <w:rFonts w:ascii="Courier New" w:cs="Courier New" w:eastAsia="Courier New" w:hAnsi="Courier New"/>
          <w:sz w:val="14"/>
          <w:szCs w:val="14"/>
          <w:color w:val="auto"/>
        </w:rPr>
        <w:t>Mr. Orange holds 6 Class A shares in a brokerage account as of the date of the Reverse/Forward Split.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Raytheon intends for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Reverse/Forward Split to treat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holding Raytheon Class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in street name through a nominee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as a bank or broker) identically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stockholders whose shares 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in their names. However,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may have different procedures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Raytheon Class A stockholders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holding Raytheon Class A stock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street name should contact their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to determine whether they will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affected by the Reverse/Forward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Split.</w:t>
      </w:r>
    </w:p>
    <w:p>
      <w:pPr>
        <w:spacing w:after="0" w:line="175" w:lineRule="exact"/>
        <w:rPr>
          <w:sz w:val="20"/>
          <w:szCs w:val="20"/>
          <w:color w:val="auto"/>
        </w:rPr>
      </w:pPr>
    </w:p>
    <w:p>
      <w:pPr>
        <w:sectPr>
          <w:pgSz w:w="11900" w:h="16838" w:orient="portrait"/>
          <w:cols w:equalWidth="0" w:num="2">
            <w:col w:w="3400" w:space="160"/>
            <w:col w:w="6679"/>
          </w:cols>
          <w:pgMar w:left="220" w:top="453"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BACKGROUND AND PURPOSE OF THE REVERSE/FORWARD SPLIT</w:t>
      </w:r>
    </w:p>
    <w:p>
      <w:pPr>
        <w:spacing w:after="0" w:line="17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Raytheon has a stockholder base of approximately 1,000,000 stockholders, including almost 270,000 registered stockholders. This large base is principally the result of the December 1997 merger (the "Hughes Merger"), pursuant to which Raytheon acquired the defense electronics business of Hughes Electronics Corporation from General Motors Corporation, a widely held public company. As a result of the Hughes Merger and related transactions, holders of General Motors Corporation common stock, and holders of General Motors Corporation Class H common stock became holders of Raytheon Class A shares.</w:t>
      </w:r>
    </w:p>
    <w:p>
      <w:pPr>
        <w:spacing w:after="0" w:line="16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As of [Month] [Date], 2001, approximately _00,000 registered holders of Raytheon Class A common stock owned fewer than 20 shares of stock. At that time, these stockholders represented approximately __% of the total number of registered holders of Raytheon Class A stock, but they owned less than ___% of the total number of outstanding shares of Class A stock. In addition, as of [Month] [Date], 2001, approximately _00,000 registered holders of Raytheon Class B common stock owned fewer than 20 shares of stock. At that time, these stockholders represented approximately __% of the total number of registered holders of Raytheon Class B stock, but they owned less than ___% of the total number of outstanding shares of Class B stock.</w:t>
      </w:r>
    </w:p>
    <w:p>
      <w:pPr>
        <w:spacing w:after="0" w:line="164"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The Reverse/Forward Split will provide Class A and Class B stockholders with fewer than 20 shares with a cost-effective way to cash out their investments, because Raytheon will pay all transaction costs such as brokerage or service fees in connection with the Reverse/Forward Split. In most other cases, small stockholders would likely incur brokerage fees disproportionately high relative to the market value of their shares if they wanted to sell their stock. In addition, some small stockholders might even have difficulty finding a broker willing to handle such small transactions. The Reverse/Forward Split, however, eliminates these problems for most small stockholders.</w:t>
      </w:r>
    </w:p>
    <w:p>
      <w:pPr>
        <w:spacing w:after="0" w:line="331"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Moreover, Raytheon will benefit from substantial cost savings as a result of the Reverse/Forward Split. The costs of administering each registered stockholder's account is the same regardless of the number of shares held in each account. Therefore, Raytheon's costs to maintain thousands of small accounts are disproportionately high when compared to the total number of shares involved. In 2001, we expect that each registered stockholder will cost the company in excess of $7.00 for transfer agent fees and the printing and postage costs to mail the</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453" w:right="1440" w:bottom="1440" w:gutter="0" w:footer="0" w:header="0"/>
          <w:type w:val="continuous"/>
        </w:sectPr>
      </w:pPr>
    </w:p>
    <w:bookmarkStart w:id="40" w:name="page41"/>
    <w:bookmarkEnd w:id="40"/>
    <w:p>
      <w:pPr>
        <w:ind w:right="3279"/>
        <w:spacing w:after="0" w:line="255" w:lineRule="auto"/>
        <w:rPr>
          <w:sz w:val="20"/>
          <w:szCs w:val="20"/>
          <w:color w:val="auto"/>
        </w:rPr>
      </w:pPr>
      <w:r>
        <w:rPr>
          <w:rFonts w:ascii="Courier New" w:cs="Courier New" w:eastAsia="Courier New" w:hAnsi="Courier New"/>
          <w:sz w:val="14"/>
          <w:szCs w:val="14"/>
          <w:color w:val="auto"/>
        </w:rPr>
        <w:t>proxy materials and annual report. We also incur costs associated with required mailings to stockholders holding shares in street name through a nominee (i.e. a bank or broker). We expect that these costs will only increase over time.</w:t>
      </w:r>
    </w:p>
    <w:p>
      <w:pPr>
        <w:spacing w:after="0" w:line="162" w:lineRule="exact"/>
        <w:rPr>
          <w:sz w:val="20"/>
          <w:szCs w:val="20"/>
          <w:color w:val="auto"/>
        </w:rPr>
      </w:pPr>
    </w:p>
    <w:p>
      <w:pPr>
        <w:ind w:right="3279" w:firstLine="1042"/>
        <w:spacing w:after="0" w:line="252" w:lineRule="auto"/>
        <w:rPr>
          <w:sz w:val="20"/>
          <w:szCs w:val="20"/>
          <w:color w:val="auto"/>
        </w:rPr>
      </w:pPr>
      <w:r>
        <w:rPr>
          <w:rFonts w:ascii="Courier New" w:cs="Courier New" w:eastAsia="Courier New" w:hAnsi="Courier New"/>
          <w:sz w:val="14"/>
          <w:szCs w:val="14"/>
          <w:color w:val="auto"/>
        </w:rPr>
        <w:t>In light of these disproportionate costs, the Board believes that it is in the best interests of the company and its stockholders as a whole to eliminate the administrative burden and costs associated with approximately 177,000 record accounts with fewer than 20 Class A shares and approximately 4,000 record accounts with fewer than 20 Class B shares. We expect that we will reduce the total cost of administering stockholder accounts by at least $2.1 million per year if we complete the Reverse/Forward Split. Although we do not have an accurate estimate of the number of street name stockholders with fewer than 20 Class A shares or 20 Class B shares, we believe that it is reasonable to assume that the number of street name stockholders with fewer than 20 Class A shares or 20 Class B shares is roughly equivalent to the number of registered stockholders with fewer than 20 Class A shares or 20 Class B shares. If our assumption is correct, continuing to distribute required mailings to street name stockholders with fewer than 20 Class A shares or 20 Class B shares will cost Raytheon an additional $725,000 per year.</w:t>
      </w:r>
    </w:p>
    <w:p>
      <w:pPr>
        <w:spacing w:after="0" w:line="173"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Raytheon may in the future pursue alternative methods of reducing its stockholder base, whether or not the Reverse/Forward Split is approved, including odd-lot tender offers and programs to facilitate sales by stockholders of odd-lot holdings. However, there can be no assurance that Raytheon will decide to engage in any such transaction.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THE REVERSE/FORWARD SPLIT ON RAYTHEON STOCKHOLDERS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Class A or Class B Stockholders with a Record Account of Fewer than 20 Shares: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If we complete the Reverse/Forward Split and you are a Cashed-Out Stockholder (i.e., a stockholder holding either fewer than 20 shares of Raytheon Class A common stock or fewer than 20 shares of Raytheon Class B common stock immediately prior to the reverse stock split):</w:t>
      </w:r>
    </w:p>
    <w:p>
      <w:pPr>
        <w:spacing w:after="0" w:line="330" w:lineRule="exact"/>
        <w:rPr>
          <w:sz w:val="20"/>
          <w:szCs w:val="20"/>
          <w:color w:val="auto"/>
        </w:rPr>
      </w:pPr>
    </w:p>
    <w:p>
      <w:pPr>
        <w:ind w:left="960" w:right="3899" w:hanging="257"/>
        <w:spacing w:after="0" w:line="258" w:lineRule="auto"/>
        <w:tabs>
          <w:tab w:leader="none" w:pos="9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will not receive fractional shares of stock as a result of the reverse split in respect of your shares being cashed out.</w:t>
      </w:r>
    </w:p>
    <w:p>
      <w:pPr>
        <w:spacing w:after="0" w:line="159" w:lineRule="exact"/>
        <w:rPr>
          <w:rFonts w:ascii="Courier New" w:cs="Courier New" w:eastAsia="Courier New" w:hAnsi="Courier New"/>
          <w:sz w:val="14"/>
          <w:szCs w:val="14"/>
          <w:color w:val="auto"/>
        </w:rPr>
      </w:pPr>
    </w:p>
    <w:p>
      <w:pPr>
        <w:ind w:left="960" w:right="3459" w:hanging="257"/>
        <w:spacing w:after="0" w:line="252" w:lineRule="auto"/>
        <w:tabs>
          <w:tab w:leader="none" w:pos="9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Instead of receiving fractional shares, you will receive a check in an amount equal to the trading value of your affected shares.</w:t>
      </w: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See "Determination of Trading Value" at page 41.</w:t>
      </w:r>
    </w:p>
    <w:p>
      <w:pPr>
        <w:spacing w:after="0" w:line="175" w:lineRule="exact"/>
        <w:rPr>
          <w:rFonts w:ascii="Courier New" w:cs="Courier New" w:eastAsia="Courier New" w:hAnsi="Courier New"/>
          <w:sz w:val="14"/>
          <w:szCs w:val="14"/>
          <w:color w:val="auto"/>
        </w:rPr>
      </w:pPr>
    </w:p>
    <w:p>
      <w:pPr>
        <w:ind w:left="960" w:right="3279" w:hanging="257"/>
        <w:spacing w:after="0" w:line="253" w:lineRule="auto"/>
        <w:tabs>
          <w:tab w:leader="none" w:pos="9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reverse split, you will have no further interest in Raytheon with respect to your cashed-out shares. These shares will no longer entitle you to the right to vote as a stockholder or share in the company's assets, earnings, or profits or in any dividends paid after the reverse split. In other words, you will no longer hold your cashed-out shares, you will just have the right to receive cash for these shares. In addition, you will not be entitled to receive interest with respect to the period of time between the date of the reverse split and the date you receive your check for the cashed out shares.</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20" w:right="1440" w:bottom="1440" w:gutter="0" w:footer="0" w:header="0"/>
        </w:sectPr>
      </w:pPr>
    </w:p>
    <w:bookmarkStart w:id="41" w:name="page42"/>
    <w:bookmarkEnd w:id="41"/>
    <w:p>
      <w:pPr>
        <w:jc w:val="both"/>
        <w:ind w:left="951" w:right="4319" w:hanging="257"/>
        <w:spacing w:after="0" w:line="258" w:lineRule="auto"/>
        <w:tabs>
          <w:tab w:leader="none" w:pos="951"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will not have to pay any service charges or brokerage commissions in connection with the Reverse/Forward Split.</w:t>
      </w:r>
    </w:p>
    <w:p>
      <w:pPr>
        <w:spacing w:after="0" w:line="159" w:lineRule="exact"/>
        <w:rPr>
          <w:rFonts w:ascii="Courier New" w:cs="Courier New" w:eastAsia="Courier New" w:hAnsi="Courier New"/>
          <w:sz w:val="14"/>
          <w:szCs w:val="14"/>
          <w:color w:val="auto"/>
        </w:rPr>
      </w:pPr>
    </w:p>
    <w:p>
      <w:pPr>
        <w:ind w:left="951" w:right="3899" w:hanging="257"/>
        <w:spacing w:after="0" w:line="254" w:lineRule="auto"/>
        <w:tabs>
          <w:tab w:leader="none" w:pos="951"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[Month] [Date], 2001, you will receive a check for the cashed out shares you held immediately prior to the reverse split in accordance with the procedures described below.</w:t>
      </w:r>
    </w:p>
    <w:p>
      <w:pPr>
        <w:spacing w:after="0" w:line="163" w:lineRule="exact"/>
        <w:rPr>
          <w:sz w:val="20"/>
          <w:szCs w:val="20"/>
          <w:color w:val="auto"/>
        </w:rPr>
      </w:pPr>
    </w:p>
    <w:p>
      <w:pPr>
        <w:ind w:left="611"/>
        <w:spacing w:after="0"/>
        <w:rPr>
          <w:sz w:val="20"/>
          <w:szCs w:val="20"/>
          <w:color w:val="auto"/>
        </w:rPr>
      </w:pPr>
      <w:r>
        <w:rPr>
          <w:rFonts w:ascii="Courier New" w:cs="Courier New" w:eastAsia="Courier New" w:hAnsi="Courier New"/>
          <w:sz w:val="14"/>
          <w:szCs w:val="14"/>
          <w:color w:val="auto"/>
        </w:rPr>
        <w:t>If you hold Book-Entry Shares:</w:t>
      </w:r>
    </w:p>
    <w:p>
      <w:pPr>
        <w:spacing w:after="0" w:line="8" w:lineRule="exact"/>
        <w:rPr>
          <w:sz w:val="20"/>
          <w:szCs w:val="20"/>
          <w:color w:val="auto"/>
        </w:rPr>
      </w:pPr>
    </w:p>
    <w:p>
      <w:pPr>
        <w:ind w:left="611"/>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71" w:right="3459" w:hanging="263"/>
        <w:spacing w:after="0" w:line="253" w:lineRule="auto"/>
        <w:tabs>
          <w:tab w:leader="none" w:pos="87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Most of Raytheon's registered Class A and Class B stockholders hold their shares of Raytheon Class A and Class B common stock in book-entry form under the Direct Registration System for securities. These stockholders do not have stock certificates evidencing their ownership of Raytheon's Class A or Class B common stock. They are, however, provided with a statement reflecting the number of shares registered in their accounts.</w:t>
      </w:r>
    </w:p>
    <w:p>
      <w:pPr>
        <w:spacing w:after="0" w:line="164" w:lineRule="exact"/>
        <w:rPr>
          <w:rFonts w:ascii="Courier New" w:cs="Courier New" w:eastAsia="Courier New" w:hAnsi="Courier New"/>
          <w:sz w:val="14"/>
          <w:szCs w:val="14"/>
          <w:color w:val="auto"/>
        </w:rPr>
      </w:pPr>
    </w:p>
    <w:p>
      <w:pPr>
        <w:ind w:left="871" w:right="3279" w:hanging="263"/>
        <w:spacing w:after="0" w:line="253" w:lineRule="auto"/>
        <w:tabs>
          <w:tab w:leader="none" w:pos="87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are a Cashed-Out Stockholder who holds registered shares in a book-entry account, you do not need to take any action to receive your cash payment. We will mail a check to you at your registered address as soon as practicable after [Month] [Date], 2001. By signing and cashing this check, you will warrant that you owned the shares for which you received a cash payment.</w:t>
      </w:r>
    </w:p>
    <w:p>
      <w:pPr>
        <w:spacing w:after="0" w:line="165" w:lineRule="exact"/>
        <w:rPr>
          <w:sz w:val="20"/>
          <w:szCs w:val="20"/>
          <w:color w:val="auto"/>
        </w:rPr>
      </w:pPr>
    </w:p>
    <w:p>
      <w:pPr>
        <w:ind w:left="611"/>
        <w:spacing w:after="0"/>
        <w:rPr>
          <w:sz w:val="20"/>
          <w:szCs w:val="20"/>
          <w:color w:val="auto"/>
        </w:rPr>
      </w:pPr>
      <w:r>
        <w:rPr>
          <w:rFonts w:ascii="Courier New" w:cs="Courier New" w:eastAsia="Courier New" w:hAnsi="Courier New"/>
          <w:sz w:val="14"/>
          <w:szCs w:val="14"/>
          <w:color w:val="auto"/>
        </w:rPr>
        <w:t>If you hold Certificated Shares:</w:t>
      </w:r>
    </w:p>
    <w:p>
      <w:pPr>
        <w:spacing w:after="0" w:line="8" w:lineRule="exact"/>
        <w:rPr>
          <w:sz w:val="20"/>
          <w:szCs w:val="20"/>
          <w:color w:val="auto"/>
        </w:rPr>
      </w:pPr>
    </w:p>
    <w:p>
      <w:pPr>
        <w:ind w:left="611"/>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71" w:right="3279" w:hanging="263"/>
        <w:spacing w:after="0" w:line="253" w:lineRule="auto"/>
        <w:tabs>
          <w:tab w:leader="none" w:pos="871"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are a Cashed-Out Stockholder with a stock certificate representing your cashed-out shares, you will receive a transmittal letter from Raytheon as soon as practicable after [Month] [Date], 2001. The letter of transmittal will contain instructions on how to surrender your certificate(s) to the company's transfer agent, EquiServe, for your cash payment. You will not receive your cash payment until you surrender your outstanding certificate(s) to EquiServe, together with a completed and executed copy of the letter of transmittal. Please do not send your certificates until you receive your letter of transmittal. For further information, see "Stock Certificates" below.</w:t>
      </w:r>
    </w:p>
    <w:p>
      <w:pPr>
        <w:spacing w:after="0" w:line="331" w:lineRule="exact"/>
        <w:rPr>
          <w:sz w:val="20"/>
          <w:szCs w:val="20"/>
          <w:color w:val="auto"/>
        </w:rPr>
      </w:pPr>
    </w:p>
    <w:p>
      <w:pPr>
        <w:ind w:left="1651" w:right="3279" w:hanging="262"/>
        <w:spacing w:after="0" w:line="258" w:lineRule="auto"/>
        <w:tabs>
          <w:tab w:leader="none" w:pos="1651"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amounts owed to you will be subject to applicable federal income tax and state abandoned property laws.</w:t>
      </w:r>
    </w:p>
    <w:p>
      <w:pPr>
        <w:spacing w:after="0" w:line="159" w:lineRule="exact"/>
        <w:rPr>
          <w:rFonts w:ascii="Courier New" w:cs="Courier New" w:eastAsia="Courier New" w:hAnsi="Courier New"/>
          <w:sz w:val="14"/>
          <w:szCs w:val="14"/>
          <w:color w:val="auto"/>
        </w:rPr>
      </w:pPr>
    </w:p>
    <w:p>
      <w:pPr>
        <w:ind w:left="1651" w:right="3539" w:hanging="262"/>
        <w:spacing w:after="0" w:line="258" w:lineRule="auto"/>
        <w:tabs>
          <w:tab w:leader="none" w:pos="1651"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will not receive any interest on cash payments owed to you as a result of the Reverse/Forward Split.</w:t>
      </w:r>
    </w:p>
    <w:p>
      <w:pPr>
        <w:spacing w:after="0" w:line="160" w:lineRule="exact"/>
        <w:rPr>
          <w:sz w:val="20"/>
          <w:szCs w:val="20"/>
          <w:color w:val="auto"/>
        </w:rPr>
      </w:pPr>
    </w:p>
    <w:p>
      <w:pPr>
        <w:ind w:left="791" w:right="3279" w:hanging="799"/>
        <w:spacing w:after="0" w:line="254" w:lineRule="auto"/>
        <w:tabs>
          <w:tab w:leader="none" w:pos="771" w:val="left"/>
        </w:tabs>
        <w:rPr>
          <w:sz w:val="20"/>
          <w:szCs w:val="20"/>
          <w:color w:val="auto"/>
        </w:rPr>
      </w:pPr>
      <w:r>
        <w:rPr>
          <w:rFonts w:ascii="Courier New" w:cs="Courier New" w:eastAsia="Courier New" w:hAnsi="Courier New"/>
          <w:sz w:val="14"/>
          <w:szCs w:val="14"/>
          <w:color w:val="auto"/>
        </w:rPr>
        <w:t>NOTE:</w:t>
      </w:r>
      <w:r>
        <w:rPr>
          <w:sz w:val="20"/>
          <w:szCs w:val="20"/>
          <w:color w:val="auto"/>
        </w:rPr>
        <w:tab/>
      </w:r>
      <w:r>
        <w:rPr>
          <w:rFonts w:ascii="Courier New" w:cs="Courier New" w:eastAsia="Courier New" w:hAnsi="Courier New"/>
          <w:sz w:val="14"/>
          <w:szCs w:val="14"/>
          <w:color w:val="auto"/>
        </w:rPr>
        <w:t>If you want to continue to hold Raytheon Class A or Class B stock after the Reverse/Forward Split, you may do so by taking either of the following actions far enough in advance so that it is complete by [Month] [Date], 2001:</w:t>
      </w:r>
    </w:p>
    <w:p>
      <w:pPr>
        <w:spacing w:after="0" w:line="163" w:lineRule="exact"/>
        <w:rPr>
          <w:sz w:val="20"/>
          <w:szCs w:val="20"/>
          <w:color w:val="auto"/>
        </w:rPr>
      </w:pPr>
    </w:p>
    <w:p>
      <w:pPr>
        <w:ind w:left="431" w:right="3379" w:hanging="431"/>
        <w:spacing w:after="0" w:line="254" w:lineRule="auto"/>
        <w:tabs>
          <w:tab w:leader="none" w:pos="431"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a sufficient number of shares of Raytheon Class A or Class B common stock, as the case may be, on the open market so that you hold at least 20 shares of Class A or Class B common stock, as the case may be, in your account prior to the reverse split; or</w:t>
      </w:r>
    </w:p>
    <w:p>
      <w:pPr>
        <w:spacing w:after="0" w:line="163"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0"/>
          </w:cols>
          <w:pgMar w:left="229" w:top="620" w:right="1440" w:bottom="1440" w:gutter="0" w:footer="0" w:header="0"/>
        </w:sectPr>
      </w:pPr>
    </w:p>
    <w:bookmarkStart w:id="42" w:name="page43"/>
    <w:bookmarkEnd w:id="42"/>
    <w:p>
      <w:pPr>
        <w:ind w:left="440" w:right="3379" w:hanging="431"/>
        <w:spacing w:after="0" w:line="255" w:lineRule="auto"/>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consolidate your accounts so that you hold at least 20 shares of Raytheon Class A or Class B common stock, as the case may be, in one account prior to the reverse split.</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Registered Stockholders With 20 or More Shares of Class A or</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Class B Common Stock:</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If you are a stockholder with 20 or more shares of either Class A or Class B common stock as of [Time] on [Month] [Date], 2001, we will first convert your shares into one twentieth (1/20) of the number of shares you held immediately prior to the reverse split. One minute after the reverse split, at [Time], we will reconvert your shares in the forward stock split into 20 times the number of shares you held after the reverse split, which is the same number of shares you held before the reverse split. For example, if you were an owner of 25 shares of either Raytheon Class A or Class B common stock immediately prior to the reverse split, your shares would be converted to 1.25 shares in the reverse split and back to 25 shares in the forward split. As a result, the Reverse/Forward Split will not affect the number of shares that you hold if you hold 20 or more shares of either Raytheon Class A or Class B stock account immediately prior to the reverse split.</w:t>
      </w:r>
    </w:p>
    <w:p>
      <w:pPr>
        <w:spacing w:after="0" w:line="33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Street Name Holders of Raytheon Class A or Class B Common Stock:</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Raytheon intends for the Reverse/Forward Split to treat stockholders holding Raytheon Class A or Class B common stock in street name through a nominee (such as a bank or broker) identically as stockholders whose shares are registered in their names. However, nominees may have different procedures and stockholders holding Raytheon Class A or Class B common stock in street name should contact their nominees to determine whether they will be affected by the Reverse/Forward Split.</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Current and Former Raytheon Employees and Directors:</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If you are an employee or director of Raytheon (or a former employee or director), you may own Raytheon restricted stock and/or hold options to purchase Raytheon stock through the company's stock plans. In addition, you may have invested in Raytheon stock under the Raytheon Savings and Investment Plan.</w:t>
      </w:r>
    </w:p>
    <w:p>
      <w:pPr>
        <w:spacing w:after="0" w:line="163"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If you have invested in Raytheon stock under the Raytheon Savings and Investment Plan, the Reverse/Forward Split will not affect your investment. In addition, the Reverse/Forward Split will not affect the number of options you hold to acquire Raytheon stock under the company's stock plans. If you hold fewer than 20 restricted shares of Raytheon stock in a registered account, those shares would be converted into the right to receive cash under the Reverse/Forward Split. However, the company does not believe that there are any such accounts.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DETERMINATION OF TRADING VALUE</w:t>
      </w:r>
    </w:p>
    <w:p>
      <w:pPr>
        <w:spacing w:after="0" w:line="175" w:lineRule="exact"/>
        <w:rPr>
          <w:sz w:val="20"/>
          <w:szCs w:val="20"/>
          <w:color w:val="auto"/>
        </w:rPr>
      </w:pPr>
    </w:p>
    <w:p>
      <w:pPr>
        <w:ind w:right="3459" w:firstLine="1042"/>
        <w:spacing w:after="0" w:line="253" w:lineRule="auto"/>
        <w:rPr>
          <w:sz w:val="20"/>
          <w:szCs w:val="20"/>
          <w:color w:val="auto"/>
        </w:rPr>
      </w:pPr>
      <w:r>
        <w:rPr>
          <w:rFonts w:ascii="Courier New" w:cs="Courier New" w:eastAsia="Courier New" w:hAnsi="Courier New"/>
          <w:sz w:val="14"/>
          <w:szCs w:val="14"/>
          <w:color w:val="auto"/>
        </w:rPr>
        <w:t>In order to avoid the expense and inconvenience of issuing fractional shares to stockholders who hold less than 1 share after the reverse split, under Delaware state law, Raytheon may either arrange for the sale of these fractional shares or pay cash for their fair value. If stockholders approve this proposal at the annual meeting and the Reverse/Forward Split is completed, the Board of Directors will elect either to arrange for Raytheon's transfer agent to sell</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20" w:right="1440" w:bottom="1440" w:gutter="0" w:footer="0" w:header="0"/>
        </w:sectPr>
      </w:pPr>
    </w:p>
    <w:bookmarkStart w:id="43" w:name="page44"/>
    <w:bookmarkEnd w:id="43"/>
    <w:p>
      <w:pPr>
        <w:ind w:right="3379"/>
        <w:spacing w:after="0" w:line="253" w:lineRule="auto"/>
        <w:rPr>
          <w:sz w:val="20"/>
          <w:szCs w:val="20"/>
          <w:color w:val="auto"/>
        </w:rPr>
      </w:pPr>
      <w:r>
        <w:rPr>
          <w:rFonts w:ascii="Courier New" w:cs="Courier New" w:eastAsia="Courier New" w:hAnsi="Courier New"/>
          <w:sz w:val="14"/>
          <w:szCs w:val="14"/>
          <w:color w:val="auto"/>
        </w:rPr>
        <w:t>these fractional shares of Class A and Class B common stock on the open market, or to have Raytheon pay cash for the fractional shares based on the trading value of the Raytheon Class A and Class B common stock that is cashed out. The Board will make this decision, in its sole discretion, as soon as practicable after the annual meeting and will publicly announce its decision in a press release and post it on our website at http://www.raytheon.com. The details of each of the Board's options and the manner of determining trading value under each option are summarized in the following chart:</w:t>
      </w:r>
    </w:p>
    <w:p>
      <w:pPr>
        <w:spacing w:after="0" w:line="165" w:lineRule="exact"/>
        <w:rPr>
          <w:sz w:val="20"/>
          <w:szCs w:val="20"/>
          <w:color w:val="auto"/>
        </w:rPr>
      </w:pPr>
    </w:p>
    <w:p>
      <w:pPr>
        <w:spacing w:after="0"/>
        <w:tabs>
          <w:tab w:leader="none" w:pos="3120" w:val="left"/>
        </w:tabs>
        <w:rPr>
          <w:sz w:val="20"/>
          <w:szCs w:val="20"/>
          <w:color w:val="auto"/>
        </w:rPr>
      </w:pPr>
      <w:r>
        <w:rPr>
          <w:rFonts w:ascii="Courier New" w:cs="Courier New" w:eastAsia="Courier New" w:hAnsi="Courier New"/>
          <w:sz w:val="14"/>
          <w:szCs w:val="14"/>
          <w:color w:val="auto"/>
        </w:rPr>
        <w:t>OPTION</w:t>
      </w:r>
      <w:r>
        <w:rPr>
          <w:sz w:val="20"/>
          <w:szCs w:val="20"/>
          <w:color w:val="auto"/>
        </w:rPr>
        <w:tab/>
      </w:r>
      <w:r>
        <w:rPr>
          <w:rFonts w:ascii="Courier New" w:cs="Courier New" w:eastAsia="Courier New" w:hAnsi="Courier New"/>
          <w:sz w:val="14"/>
          <w:szCs w:val="14"/>
          <w:color w:val="auto"/>
        </w:rPr>
        <w:t>DETERMINATION OF TRADING VALUE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jc w:val="both"/>
        <w:ind w:right="180"/>
        <w:spacing w:after="0" w:line="252" w:lineRule="auto"/>
        <w:rPr>
          <w:sz w:val="20"/>
          <w:szCs w:val="20"/>
          <w:color w:val="auto"/>
        </w:rPr>
      </w:pPr>
      <w:r>
        <w:rPr>
          <w:rFonts w:ascii="Courier New" w:cs="Courier New" w:eastAsia="Courier New" w:hAnsi="Courier New"/>
          <w:sz w:val="14"/>
          <w:szCs w:val="14"/>
          <w:color w:val="auto"/>
        </w:rPr>
        <w:t>ARRANGE FOR THE SALE OF FRACTIONAL SHARES ON THE OPEN MARKET:</w:t>
      </w:r>
    </w:p>
    <w:p>
      <w:pPr>
        <w:spacing w:after="0" w:line="1" w:lineRule="exact"/>
        <w:rPr>
          <w:sz w:val="20"/>
          <w:szCs w:val="20"/>
          <w:color w:val="auto"/>
        </w:rPr>
      </w:pPr>
    </w:p>
    <w:p>
      <w:pPr>
        <w:spacing w:after="0" w:line="253" w:lineRule="auto"/>
        <w:rPr>
          <w:sz w:val="20"/>
          <w:szCs w:val="20"/>
          <w:color w:val="auto"/>
        </w:rPr>
      </w:pPr>
      <w:r>
        <w:rPr>
          <w:rFonts w:ascii="Courier New" w:cs="Courier New" w:eastAsia="Courier New" w:hAnsi="Courier New"/>
          <w:sz w:val="14"/>
          <w:szCs w:val="14"/>
          <w:color w:val="auto"/>
        </w:rPr>
        <w:t>The fractional shares of Raytheon Class A and Class B common stock of the Cashed-Out Stockholders will be aggregated and sold by the company's transfer agent, EquiServe, acting as an exchange agent on behalf of the Cashed-Out Stockholders.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soon as practicable after [Month] [Date],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the exchange agent will sell the aggregated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Cashed-Out Stockholders fractional shares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prevailing prices on the open market.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 will be executed on the New York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in round lots to the extent practicable.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Raytheon expects that the exchange agent will conduct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sale in an orderly fashion at a reasonable pace.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Based on the average daily trading volume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Raytheon's Class A stock on the New York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as of [Month][Date], 2001, we expect that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 will take at least 10 business days to sell all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aggregated fractional shares of Class A and Class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stock. If the exchange agent attempts to sell these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too quickly, it could hurt the sales price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shares. There can be no assurance as to the sales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that the exchange agent will receive for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aggregated fractional shares.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After completing the sale of all the aggregated fractional shares, the exchange agent will make a cash payment (without interest) equal to each Cashed-Out Stockholder's proportionate interest in the net proceeds from the sale of the aggregated fractional shares. Raytheon will pay all of the commissions and other out-of-pocket transaction costs in connection with the sale. Until the proceeds of the sale have been distributed, the transfer agent will hold the proceeds in trust for the Cashed-Out Stockholders. As soon as practicable after the determination of the amount of cash to be paid in place of fractional shares, the transfer agent will pay the cash to the Cashed-Out Stockholders as described above in "Effect of the Reverse/Forward Split on Raytheon Stockholders."</w:t>
      </w:r>
    </w:p>
    <w:p>
      <w:pPr>
        <w:spacing w:after="0" w:line="173"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2">
            <w:col w:w="1920" w:space="440"/>
            <w:col w:w="7879"/>
          </w:cols>
          <w:pgMar w:left="220" w:top="620" w:right="1440"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20"/>
                <w:szCs w:val="20"/>
                <w:color w:val="auto"/>
              </w:rPr>
            </w:pPr>
            <w:r>
              <w:rPr>
                <w:rFonts w:ascii="Courier New" w:cs="Courier New" w:eastAsia="Courier New" w:hAnsi="Courier New"/>
                <w:sz w:val="14"/>
                <w:szCs w:val="14"/>
                <w:color w:val="auto"/>
              </w:rPr>
              <w:t>PURCHASE OF FRACTIONAL</w:t>
            </w:r>
          </w:p>
        </w:tc>
        <w:tc>
          <w:tcPr>
            <w:tcW w:w="478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The Cashed-Out Stockholders will receive cash equal</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SHARES: Raytheon will</w:t>
            </w:r>
          </w:p>
        </w:tc>
        <w:tc>
          <w:tcPr>
            <w:tcW w:w="1960" w:type="dxa"/>
            <w:vAlign w:val="bottom"/>
          </w:tcPr>
          <w:p>
            <w:pPr>
              <w:ind w:left="180"/>
              <w:spacing w:after="0"/>
              <w:rPr>
                <w:sz w:val="20"/>
                <w:szCs w:val="20"/>
                <w:color w:val="auto"/>
              </w:rPr>
            </w:pPr>
            <w:r>
              <w:rPr>
                <w:rFonts w:ascii="Courier New" w:cs="Courier New" w:eastAsia="Courier New" w:hAnsi="Courier New"/>
                <w:sz w:val="14"/>
                <w:szCs w:val="14"/>
                <w:color w:val="auto"/>
              </w:rPr>
              <w:t>to the trading value</w:t>
            </w:r>
          </w:p>
        </w:tc>
        <w:tc>
          <w:tcPr>
            <w:tcW w:w="1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the shares</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they</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held</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purchase the fractional</w:t>
            </w:r>
          </w:p>
        </w:tc>
        <w:tc>
          <w:tcPr>
            <w:tcW w:w="1960" w:type="dxa"/>
            <w:vAlign w:val="bottom"/>
          </w:tcPr>
          <w:p>
            <w:pPr>
              <w:ind w:left="180"/>
              <w:spacing w:after="0"/>
              <w:rPr>
                <w:sz w:val="20"/>
                <w:szCs w:val="20"/>
                <w:color w:val="auto"/>
              </w:rPr>
            </w:pPr>
            <w:r>
              <w:rPr>
                <w:rFonts w:ascii="Courier New" w:cs="Courier New" w:eastAsia="Courier New" w:hAnsi="Courier New"/>
                <w:sz w:val="14"/>
                <w:szCs w:val="14"/>
                <w:color w:val="auto"/>
              </w:rPr>
              <w:t>immediately prior to</w:t>
            </w:r>
          </w:p>
        </w:tc>
        <w:tc>
          <w:tcPr>
            <w:tcW w:w="28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the reverse split in accounts</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shares of Class A and</w:t>
            </w:r>
          </w:p>
        </w:tc>
        <w:tc>
          <w:tcPr>
            <w:tcW w:w="26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with fewer than 20 shares of</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Class</w:t>
            </w:r>
          </w:p>
        </w:tc>
        <w:tc>
          <w:tcPr>
            <w:tcW w:w="1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 and Class B</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Class B common stock</w:t>
            </w:r>
          </w:p>
        </w:tc>
        <w:tc>
          <w:tcPr>
            <w:tcW w:w="31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common stock. The trading value of</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each</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outstanding</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from the Cashed-Out</w:t>
            </w:r>
          </w:p>
        </w:tc>
        <w:tc>
          <w:tcPr>
            <w:tcW w:w="1960" w:type="dxa"/>
            <w:vAlign w:val="bottom"/>
          </w:tcPr>
          <w:p>
            <w:pPr>
              <w:ind w:left="180"/>
              <w:spacing w:after="0"/>
              <w:rPr>
                <w:sz w:val="20"/>
                <w:szCs w:val="20"/>
                <w:color w:val="auto"/>
              </w:rPr>
            </w:pPr>
            <w:r>
              <w:rPr>
                <w:rFonts w:ascii="Courier New" w:cs="Courier New" w:eastAsia="Courier New" w:hAnsi="Courier New"/>
                <w:sz w:val="14"/>
                <w:szCs w:val="14"/>
                <w:color w:val="auto"/>
              </w:rPr>
              <w:t>share of Class A and</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Class B</w:t>
            </w:r>
          </w:p>
        </w:tc>
        <w:tc>
          <w:tcPr>
            <w:tcW w:w="21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common stock at that</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Stockholders.</w:t>
            </w:r>
          </w:p>
        </w:tc>
        <w:tc>
          <w:tcPr>
            <w:tcW w:w="360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time will be based on the average daily</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closing price</w:t>
            </w:r>
          </w:p>
        </w:tc>
      </w:tr>
      <w:tr>
        <w:trPr>
          <w:trHeight w:val="167"/>
        </w:trPr>
        <w:tc>
          <w:tcPr>
            <w:tcW w:w="2180" w:type="dxa"/>
            <w:vAlign w:val="bottom"/>
          </w:tcPr>
          <w:p>
            <w:pPr>
              <w:spacing w:after="0"/>
              <w:rPr>
                <w:sz w:val="14"/>
                <w:szCs w:val="14"/>
                <w:color w:val="auto"/>
              </w:rPr>
            </w:pPr>
          </w:p>
        </w:tc>
        <w:tc>
          <w:tcPr>
            <w:tcW w:w="1960" w:type="dxa"/>
            <w:vAlign w:val="bottom"/>
          </w:tcPr>
          <w:p>
            <w:pPr>
              <w:ind w:left="180"/>
              <w:spacing w:after="0"/>
              <w:rPr>
                <w:sz w:val="20"/>
                <w:szCs w:val="20"/>
                <w:color w:val="auto"/>
              </w:rPr>
            </w:pPr>
            <w:r>
              <w:rPr>
                <w:rFonts w:ascii="Courier New" w:cs="Courier New" w:eastAsia="Courier New" w:hAnsi="Courier New"/>
                <w:sz w:val="14"/>
                <w:szCs w:val="14"/>
                <w:color w:val="auto"/>
              </w:rPr>
              <w:t>per share of Class A</w:t>
            </w:r>
          </w:p>
        </w:tc>
        <w:tc>
          <w:tcPr>
            <w:tcW w:w="16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and Class B common</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stock, as the</w:t>
            </w:r>
          </w:p>
        </w:tc>
      </w:tr>
      <w:tr>
        <w:trPr>
          <w:trHeight w:val="167"/>
        </w:trPr>
        <w:tc>
          <w:tcPr>
            <w:tcW w:w="2180" w:type="dxa"/>
            <w:vAlign w:val="bottom"/>
          </w:tcPr>
          <w:p>
            <w:pPr>
              <w:spacing w:after="0"/>
              <w:rPr>
                <w:sz w:val="14"/>
                <w:szCs w:val="14"/>
                <w:color w:val="auto"/>
              </w:rPr>
            </w:pPr>
          </w:p>
        </w:tc>
        <w:tc>
          <w:tcPr>
            <w:tcW w:w="26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case may be, on the New York</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1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Exchange for the</w:t>
            </w:r>
          </w:p>
        </w:tc>
      </w:tr>
      <w:tr>
        <w:trPr>
          <w:trHeight w:val="167"/>
        </w:trPr>
        <w:tc>
          <w:tcPr>
            <w:tcW w:w="2180" w:type="dxa"/>
            <w:vAlign w:val="bottom"/>
          </w:tcPr>
          <w:p>
            <w:pPr>
              <w:spacing w:after="0"/>
              <w:rPr>
                <w:sz w:val="14"/>
                <w:szCs w:val="14"/>
                <w:color w:val="auto"/>
              </w:rPr>
            </w:pPr>
          </w:p>
        </w:tc>
        <w:tc>
          <w:tcPr>
            <w:tcW w:w="26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ten trading days immediately</w:t>
            </w:r>
          </w:p>
        </w:tc>
        <w:tc>
          <w:tcPr>
            <w:tcW w:w="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before and</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including</w:t>
            </w:r>
          </w:p>
        </w:tc>
      </w:tr>
      <w:tr>
        <w:trPr>
          <w:trHeight w:val="167"/>
        </w:trPr>
        <w:tc>
          <w:tcPr>
            <w:tcW w:w="2180" w:type="dxa"/>
            <w:vAlign w:val="bottom"/>
          </w:tcPr>
          <w:p>
            <w:pPr>
              <w:spacing w:after="0"/>
              <w:rPr>
                <w:sz w:val="14"/>
                <w:szCs w:val="14"/>
                <w:color w:val="auto"/>
              </w:rPr>
            </w:pPr>
          </w:p>
        </w:tc>
        <w:tc>
          <w:tcPr>
            <w:tcW w:w="360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[Month] [Date], 2001, without interest.</w:t>
            </w:r>
          </w:p>
        </w:tc>
        <w:tc>
          <w:tcPr>
            <w:tcW w:w="1180" w:type="dxa"/>
            <w:vAlign w:val="bottom"/>
          </w:tcPr>
          <w:p>
            <w:pPr>
              <w:spacing w:after="0"/>
              <w:rPr>
                <w:sz w:val="14"/>
                <w:szCs w:val="14"/>
                <w:color w:val="auto"/>
              </w:rPr>
            </w:pPr>
          </w:p>
        </w:tc>
      </w:tr>
    </w:tbl>
    <w:p>
      <w:pPr>
        <w:spacing w:after="0" w:line="4" w:lineRule="exact"/>
        <w:rPr>
          <w:sz w:val="20"/>
          <w:szCs w:val="20"/>
          <w:color w:val="auto"/>
        </w:rPr>
      </w:pPr>
    </w:p>
    <w:p>
      <w:pPr>
        <w:ind w:left="180" w:hanging="171"/>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THE REVERSE/FORWARD SPLIT ON RAYTHEON</w:t>
      </w:r>
    </w:p>
    <w:p>
      <w:pPr>
        <w:spacing w:after="0" w:line="175"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The Reverse/Forward Split will not affect the public registration of Raytheon's Class A or Class B common stock with the SEC under the Securities Exchange Act of 1934, as amended. Similarly, we do not expect that the Reverse/Forward Split will affect the company's application for continued listing of Raytheon Class A or Class B common stock on the New York Stock Exchange.</w:t>
      </w:r>
    </w:p>
    <w:p>
      <w:pPr>
        <w:spacing w:after="0" w:line="329"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The number of shares of authorized common stock will not change as a result of the Reverse/Forward Split. On [Month] [Date], 2001, there were [ ] shares of Raytheon Class A common stock issued and outstanding and [ ] shares of Raytheon Class B common stock issued and outstanding. If the Board elects to arrange for the sale of the Cashed-Out Stockholders' fractional shares on the open market, there will be no effect on the number of issued and outstanding shares of Raytheon Class A or Class B common stock. On the other hand, if the Board elects to purchase the fractional shares of the Cashed-Out Stockholders, the total number of outstanding shares of Raytheon Class A or Class B common stock will be reduced by the number of shares held by the Cashed-Out Stockholders immediately prior to the reverse split.</w:t>
      </w:r>
    </w:p>
    <w:p>
      <w:pPr>
        <w:spacing w:after="0" w:line="164" w:lineRule="exact"/>
        <w:rPr>
          <w:sz w:val="20"/>
          <w:szCs w:val="20"/>
          <w:color w:val="auto"/>
        </w:rPr>
      </w:pPr>
    </w:p>
    <w:p>
      <w:pPr>
        <w:ind w:right="3279" w:firstLine="1042"/>
        <w:spacing w:after="0" w:line="252" w:lineRule="auto"/>
        <w:rPr>
          <w:sz w:val="20"/>
          <w:szCs w:val="20"/>
          <w:color w:val="auto"/>
        </w:rPr>
      </w:pPr>
      <w:r>
        <w:rPr>
          <w:rFonts w:ascii="Courier New" w:cs="Courier New" w:eastAsia="Courier New" w:hAnsi="Courier New"/>
          <w:sz w:val="14"/>
          <w:szCs w:val="14"/>
          <w:color w:val="auto"/>
        </w:rPr>
        <w:t>If the Board of Directors opts to purchase the fractional shares of Class A and Class B common stock from the Cashed-Out Stockholders, the total number of shares that will be purchased and the total cash to be paid by the company are unknown. Also, we do not know what the average daily closing price per share of Raytheon Class A or Class B common stock on the New York Stock Exchange for the ten trading days prior to and including [Month] [Date], 2001 will be or, if applicable, what the net proceeds of the sale of the aggregate fractional shares by the exchange agent will be. However, if the Reverse/Forward Split had been completed as of [Month] [Date], 2001, when the average daily closing price per share of Raytheon Class A common stock on the New York Stock Exchange for the ten trading days immediately preceding and including such date was [$ ], then the cash payments that would have been issued to Cashed-Out Stockholders instead of fractional shares would have been approximately [$ ], with approximately [ ] shares of Class A common stock purchased by the company. Similarly, as of [Month] [Date], 2001, when the average daily closing price per share of Raytheon Class B common stock on the New York Stock Exchange for the</w:t>
      </w:r>
    </w:p>
    <w:p>
      <w:pPr>
        <w:spacing w:after="0" w:line="17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20" w:right="1440" w:bottom="1440" w:gutter="0" w:footer="0" w:header="0"/>
        </w:sectPr>
      </w:pPr>
    </w:p>
    <w:bookmarkStart w:id="45" w:name="page46"/>
    <w:bookmarkEnd w:id="45"/>
    <w:p>
      <w:pPr>
        <w:ind w:right="3279"/>
        <w:spacing w:after="0" w:line="253" w:lineRule="auto"/>
        <w:rPr>
          <w:sz w:val="20"/>
          <w:szCs w:val="20"/>
          <w:color w:val="auto"/>
        </w:rPr>
      </w:pPr>
      <w:r>
        <w:rPr>
          <w:rFonts w:ascii="Courier New" w:cs="Courier New" w:eastAsia="Courier New" w:hAnsi="Courier New"/>
          <w:sz w:val="14"/>
          <w:szCs w:val="14"/>
          <w:color w:val="auto"/>
        </w:rPr>
        <w:t>ten trading days immediately preceding and including such date was [$ ], the cash payments that would have been issued to Cashed-Out Stockholders instead of fractional shares would have been approximately [$ ], with approximately [ ] shares of Class B common stock purchased by the company. The actual amounts will depend on the number of Cashed-Out Stockholders on [Month] [Date], 2001, which will vary from the number of such stockholders on [Month] [Date], 2001. The par value of Raytheon's Class A and Class B common stock will remain at $.01 per share after the Reverse/Forward Split under either option available to the Board under Delaware law.</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CERTIFICATES</w:t>
      </w:r>
    </w:p>
    <w:p>
      <w:pPr>
        <w:spacing w:after="0" w:line="175" w:lineRule="exact"/>
        <w:rPr>
          <w:sz w:val="20"/>
          <w:szCs w:val="20"/>
          <w:color w:val="auto"/>
        </w:rPr>
      </w:pPr>
    </w:p>
    <w:p>
      <w:pPr>
        <w:ind w:right="3279" w:firstLine="1042"/>
        <w:spacing w:after="0" w:line="252" w:lineRule="auto"/>
        <w:rPr>
          <w:sz w:val="20"/>
          <w:szCs w:val="20"/>
          <w:color w:val="auto"/>
        </w:rPr>
      </w:pPr>
      <w:r>
        <w:rPr>
          <w:rFonts w:ascii="Courier New" w:cs="Courier New" w:eastAsia="Courier New" w:hAnsi="Courier New"/>
          <w:sz w:val="14"/>
          <w:szCs w:val="14"/>
          <w:color w:val="auto"/>
        </w:rPr>
        <w:t>In connection with the Reverse/Forward Split, Raytheon's Class A and Class B common stock will each be identified by a new CUSIP number. These new CUSIP numbers will appear on any stock certificates representing shares of Raytheon Class A of Class B common stock after [Month] [Date], 2001. The Reverse/Forward Split will not affect any certificates representing shares of common stock or the book-entry account records held by registered stockholders owning 20 or more shares immediately prior to the reverse split. Old certificates held by any of these stockholders will continue to evidence ownership of the same number of shares as is set forth on the face of the certificate. Any Class A or Class B stockholder with 20 or more shares immediately prior to the reverse split who wants to receive a certificate bearing the new CUSIP number can do so at any time by contacting Raytheon's transfer agent at 1-800-360-4519 for instructions on how to surrender old certificates. After [Month] [Date], 2001, an old certificate presented to an exchange agent in settlement of a trade will be exchanged for a new certificate bearing the new CUSIP number. In addition, if the company completes the reclassification of its Class A and Class B shares, as described beginning on page 48, shareholders will receive instructions for surrendering their shares. See "Effective Time; Exchange of Certificates; Fractional Shares," at page 55.</w:t>
      </w:r>
    </w:p>
    <w:p>
      <w:pPr>
        <w:spacing w:after="0" w:line="174"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As described above, any Cashed-Out Stockholder with share certificates will receive a letter of transmittal after the Reverse/Forward Split is completed. These stockholders must complete and sign the letter of transmittal and return it with their stock certificate(s) to Raytheon's transfer agent before they can receive cash payment for those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FEDERAL INCOME TAX CONSEQUENCES</w:t>
      </w:r>
    </w:p>
    <w:p>
      <w:pPr>
        <w:spacing w:after="0" w:line="175" w:lineRule="exact"/>
        <w:rPr>
          <w:sz w:val="20"/>
          <w:szCs w:val="20"/>
          <w:color w:val="auto"/>
        </w:rPr>
      </w:pPr>
    </w:p>
    <w:p>
      <w:pPr>
        <w:ind w:right="3279" w:firstLine="1042"/>
        <w:spacing w:after="0" w:line="252" w:lineRule="auto"/>
        <w:rPr>
          <w:sz w:val="20"/>
          <w:szCs w:val="20"/>
          <w:color w:val="auto"/>
        </w:rPr>
      </w:pPr>
      <w:r>
        <w:rPr>
          <w:rFonts w:ascii="Courier New" w:cs="Courier New" w:eastAsia="Courier New" w:hAnsi="Courier New"/>
          <w:sz w:val="14"/>
          <w:szCs w:val="14"/>
          <w:color w:val="auto"/>
        </w:rPr>
        <w:t>We have summarized below certain federal income tax consequences to the company and stockholders resulting from the Reverse/Forward Split. This summary is based on existing U.S. federal income tax law, which may change, even retroactively. This summary does not discuss all aspects of federal income taxation which may be important to you in light of your individual circumstances. Many stockholders (such as financial institutions, insurance companies, broker-dealers, tax-exempt organizations, and foreign persons) may be subject to special tax rules. Other stockholders may also be subject to special tax rules, including but not limited to: stockholders who received Raytheon stock as compensation for services or pursuant to the exercise of an employee stock option, or stockholders who have held, or will hold, stock as part of a straddle, hedging, or conversion transaction for federal income tax purposes. In addition, this summary does not discuss any state, local, foreign, or other tax considerations. This summary assumes that you are a U.S. citizen and have held, and will hold, yourshares as capital assets for investment purposes under the Internal Revenue Code of 1986, as amended (the "Code").</w:t>
      </w:r>
    </w:p>
    <w:p>
      <w:pPr>
        <w:spacing w:after="0" w:line="17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20" w:right="1440" w:bottom="1440" w:gutter="0" w:footer="0" w:header="0"/>
        </w:sectPr>
      </w:pPr>
    </w:p>
    <w:bookmarkStart w:id="46" w:name="page47"/>
    <w:bookmarkEnd w:id="46"/>
    <w:p>
      <w:pPr>
        <w:ind w:right="3379"/>
        <w:spacing w:after="0" w:line="258" w:lineRule="auto"/>
        <w:rPr>
          <w:sz w:val="20"/>
          <w:szCs w:val="20"/>
          <w:color w:val="auto"/>
        </w:rPr>
      </w:pPr>
      <w:r>
        <w:rPr>
          <w:rFonts w:ascii="Courier New" w:cs="Courier New" w:eastAsia="Courier New" w:hAnsi="Courier New"/>
          <w:sz w:val="14"/>
          <w:szCs w:val="14"/>
          <w:color w:val="auto"/>
        </w:rPr>
        <w:t>You should consult your tax advisor as to the particular federal, state, local, foreign, and other tax consequences, in light of your specific circumstances.</w:t>
      </w:r>
    </w:p>
    <w:p>
      <w:pPr>
        <w:spacing w:after="0" w:line="160" w:lineRule="exact"/>
        <w:rPr>
          <w:sz w:val="20"/>
          <w:szCs w:val="20"/>
          <w:color w:val="auto"/>
        </w:rPr>
      </w:pPr>
    </w:p>
    <w:p>
      <w:pPr>
        <w:ind w:right="3279" w:firstLine="1042"/>
        <w:spacing w:after="0" w:line="255" w:lineRule="auto"/>
        <w:rPr>
          <w:sz w:val="20"/>
          <w:szCs w:val="20"/>
          <w:color w:val="auto"/>
        </w:rPr>
      </w:pPr>
      <w:r>
        <w:rPr>
          <w:rFonts w:ascii="Courier New" w:cs="Courier New" w:eastAsia="Courier New" w:hAnsi="Courier New"/>
          <w:sz w:val="14"/>
          <w:szCs w:val="14"/>
          <w:color w:val="auto"/>
        </w:rPr>
        <w:t>We believe that the Reverse/Forward Split will be treated as a tax-free "recapitalization" for federal income tax purposes. This will result in no material federal income tax consequences to the company.</w:t>
      </w:r>
    </w:p>
    <w:p>
      <w:pPr>
        <w:spacing w:after="0" w:line="162"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The federal income tax consequences to Class A and Class B stockholders will depend in part on whether the Board chooses to arrange for the sale of the Cashed-Out Stockholders' fractional shares on the open market, or to purchase these fractional shares directly. See "Determination of Trading Value" above. The tax consequences of these alternatives are discussed below.</w:t>
      </w:r>
    </w:p>
    <w:p>
      <w:pPr>
        <w:spacing w:after="0" w:line="162" w:lineRule="exact"/>
        <w:rPr>
          <w:sz w:val="20"/>
          <w:szCs w:val="20"/>
          <w:color w:val="auto"/>
        </w:rPr>
      </w:pPr>
    </w:p>
    <w:p>
      <w:pPr>
        <w:ind w:right="4419"/>
        <w:spacing w:after="0" w:line="258" w:lineRule="auto"/>
        <w:rPr>
          <w:sz w:val="20"/>
          <w:szCs w:val="20"/>
          <w:color w:val="auto"/>
        </w:rPr>
      </w:pPr>
      <w:r>
        <w:rPr>
          <w:rFonts w:ascii="Courier New" w:cs="Courier New" w:eastAsia="Courier New" w:hAnsi="Courier New"/>
          <w:sz w:val="14"/>
          <w:szCs w:val="14"/>
          <w:color w:val="auto"/>
        </w:rPr>
        <w:t>FEDERAL INCOME TAX CONSEQUENCES TO CLASS A AND CLASS B STOCKHOLDERS WHO ARE NOT CASHED OUT BY THE REVERSE/FORWARD SPLIT:</w:t>
      </w:r>
    </w:p>
    <w:p>
      <w:pPr>
        <w:spacing w:after="0" w:line="160"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If you (1) continue to hold Raytheon Class A or Class B common stock immediately after the Reverse/Forward Split, and (2) you receive no cash as a result of the Reverse/Forward Split, you will not recognize any gain or loss in the Reverse/Forward Split and you will have the same adjusted tax basis and holding period in your Raytheon Class A or Class B common stock, as the case may be, as you had in such stock immediately prior to the Reverse/Forward Split.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INCOME TAX CONSEQUENCES TO CASHED-OUT STOCKHOLDERS:</w:t>
      </w:r>
    </w:p>
    <w:p>
      <w:pPr>
        <w:spacing w:after="0" w:line="175" w:lineRule="exact"/>
        <w:rPr>
          <w:sz w:val="20"/>
          <w:szCs w:val="20"/>
          <w:color w:val="auto"/>
        </w:rPr>
      </w:pPr>
    </w:p>
    <w:p>
      <w:pPr>
        <w:ind w:right="3459" w:firstLine="1042"/>
        <w:spacing w:after="0" w:line="258" w:lineRule="auto"/>
        <w:rPr>
          <w:sz w:val="20"/>
          <w:szCs w:val="20"/>
          <w:color w:val="auto"/>
        </w:rPr>
      </w:pPr>
      <w:r>
        <w:rPr>
          <w:rFonts w:ascii="Courier New" w:cs="Courier New" w:eastAsia="Courier New" w:hAnsi="Courier New"/>
          <w:sz w:val="14"/>
          <w:szCs w:val="14"/>
          <w:color w:val="auto"/>
        </w:rPr>
        <w:t>Alternative 1. Raytheon's Board Chooses to Arrange for Sale of the Fractional Shares on the Open Market.</w:t>
      </w:r>
    </w:p>
    <w:p>
      <w:pPr>
        <w:spacing w:after="0" w:line="160"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If you receive cash as a result of the Reverse/Forward Split, you will recognize capital gain or loss in an amount equal to the difference between the cash you received in the Reverse/Forward Split and your aggregate adjusted tax basis in the shares of Raytheon Class A or Class B common stock cashed out.</w:t>
      </w:r>
    </w:p>
    <w:p>
      <w:pPr>
        <w:spacing w:after="0" w:line="163" w:lineRule="exact"/>
        <w:rPr>
          <w:sz w:val="20"/>
          <w:szCs w:val="20"/>
          <w:color w:val="auto"/>
        </w:rPr>
      </w:pPr>
    </w:p>
    <w:p>
      <w:pPr>
        <w:ind w:right="3459" w:firstLine="1042"/>
        <w:spacing w:after="0" w:line="258" w:lineRule="auto"/>
        <w:rPr>
          <w:sz w:val="20"/>
          <w:szCs w:val="20"/>
          <w:color w:val="auto"/>
        </w:rPr>
      </w:pPr>
      <w:r>
        <w:rPr>
          <w:rFonts w:ascii="Courier New" w:cs="Courier New" w:eastAsia="Courier New" w:hAnsi="Courier New"/>
          <w:sz w:val="14"/>
          <w:szCs w:val="14"/>
          <w:color w:val="auto"/>
        </w:rPr>
        <w:t>Alternative 2. Raytheon's Board Chooses to Purchase the Fractional Shares Directly.</w:t>
      </w:r>
    </w:p>
    <w:p>
      <w:pPr>
        <w:spacing w:after="0" w:line="160"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If you receive cash as a result of the Reverse/Forward Split, your tax consequences will depend on whether, in addition to receiving cash, you or a person or entity related to you continues to hold Raytheon Class A or Class B common stock immediately after the Reverse/Forward Split, as explained below.</w:t>
      </w:r>
    </w:p>
    <w:p>
      <w:pPr>
        <w:spacing w:after="0" w:line="163" w:lineRule="exact"/>
        <w:rPr>
          <w:sz w:val="20"/>
          <w:szCs w:val="20"/>
          <w:color w:val="auto"/>
        </w:rPr>
      </w:pPr>
    </w:p>
    <w:p>
      <w:pPr>
        <w:ind w:left="1060" w:right="3459" w:hanging="530"/>
        <w:spacing w:after="0" w:line="255" w:lineRule="auto"/>
        <w:tabs>
          <w:tab w:leader="none" w:pos="10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Class A or Class B Stockholders Who Exchange All of Their Raytheon Class A or Class B common stock for Cash as a Result of the Reverse/Forward Split.</w:t>
      </w:r>
    </w:p>
    <w:p>
      <w:pPr>
        <w:spacing w:after="0" w:line="162"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If you (1) receive cash in exchange for a fractional share as a result of the Reverse/Forward Split, (2) you do not continue to hold any Raytheon Class A or Class B stock immediately after the Reverse/Forward Split, and (3) you are not related to any person or entity which holds Raytheon Class A or Class B common stock immediately after the Reverse/Forward Split, you will recognize capital gain or immediately after the Reverse/Forward Split, you will recognize capital gain or between the cash you receive for your cashed-out stock and your aggregate adjusted tax basis in such stock.</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20" w:right="1440" w:bottom="1440" w:gutter="0" w:footer="0" w:header="0"/>
        </w:sectPr>
      </w:pPr>
    </w:p>
    <w:bookmarkStart w:id="47" w:name="page48"/>
    <w:bookmarkEnd w:id="47"/>
    <w:p>
      <w:pPr>
        <w:ind w:right="3459" w:firstLine="1042"/>
        <w:spacing w:after="0" w:line="253" w:lineRule="auto"/>
        <w:rPr>
          <w:sz w:val="20"/>
          <w:szCs w:val="20"/>
          <w:color w:val="auto"/>
        </w:rPr>
      </w:pPr>
      <w:r>
        <w:rPr>
          <w:rFonts w:ascii="Courier New" w:cs="Courier New" w:eastAsia="Courier New" w:hAnsi="Courier New"/>
          <w:sz w:val="14"/>
          <w:szCs w:val="14"/>
          <w:color w:val="auto"/>
        </w:rPr>
        <w:t>If you are related to a person or entity who continues to hold Raytheon Class A or Class B common stock immediately after the Reverse/Forward Split, you will recognize gain in the same manner as set forth in the previous paragraph, provided that your receipt of cash either (1) is "not essentially equivalent to a dividend," or (2) is a "substantially disproportionate redemption of stock," as described below.</w:t>
      </w:r>
    </w:p>
    <w:p>
      <w:pPr>
        <w:spacing w:after="0" w:line="165" w:lineRule="exact"/>
        <w:rPr>
          <w:sz w:val="20"/>
          <w:szCs w:val="20"/>
          <w:color w:val="auto"/>
        </w:rPr>
      </w:pPr>
    </w:p>
    <w:p>
      <w:pPr>
        <w:ind w:left="1220" w:right="3279" w:hanging="169"/>
        <w:spacing w:after="0" w:line="253" w:lineRule="auto"/>
        <w:tabs>
          <w:tab w:leader="none" w:pos="12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Essentially Equivalent to a Dividend." You will satisfy the "not essentially equivalent to a dividend" test if the reduction in your proportionate interest in the company resulting from the Reverse/Forward Split is considered a "meaningful reduction" given your particular facts and circumstances. The Internal Revenue Service has ruled that a small reduction by a minority stockholder whose relative stock interest is minimal and who exercises no control over the affairs of the corporation will meet this test.</w:t>
      </w:r>
    </w:p>
    <w:p>
      <w:pPr>
        <w:spacing w:after="0" w:line="164" w:lineRule="exact"/>
        <w:rPr>
          <w:rFonts w:ascii="Courier New" w:cs="Courier New" w:eastAsia="Courier New" w:hAnsi="Courier New"/>
          <w:sz w:val="14"/>
          <w:szCs w:val="14"/>
          <w:color w:val="auto"/>
        </w:rPr>
      </w:pPr>
    </w:p>
    <w:p>
      <w:pPr>
        <w:ind w:left="1220" w:right="3279" w:hanging="169"/>
        <w:spacing w:after="0" w:line="253" w:lineRule="auto"/>
        <w:tabs>
          <w:tab w:leader="none" w:pos="12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"Substantially Disproportionate Redemption of Stock." The receipt of cash in the Reverse/Forward Split will be a "substantially disproportionate redemption of stock" for you if the percentage of the outstanding shares of Raytheon Class A or Class B common stock owned by you immediately after the Reverse/Forward Split is less than 80% of the percentage of shares of Raytheon Class A or Class B common stock owned by you immediately before the Reverse/Forward Split.</w:t>
      </w:r>
    </w:p>
    <w:p>
      <w:pPr>
        <w:spacing w:after="0" w:line="16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In applying these tests, you will be treated as owning shares actually or constructively owned by certain individuals and entities related to you. If the taxable amount is not treated as capital gain under any of the tests, it will be treated first as ordinary dividend income to the extent of your ratable share of Raytheon's undistributed earnings and profits, then as a tax-free return of capital to the extent of your aggregate adjusted tax basis in your shares, and any remaining gain will be treated as capital gain. See "Maximum Tax Rates Applicable to Capital Gain" below.</w:t>
      </w:r>
    </w:p>
    <w:p>
      <w:pPr>
        <w:spacing w:after="0" w:line="165" w:lineRule="exact"/>
        <w:rPr>
          <w:sz w:val="20"/>
          <w:szCs w:val="20"/>
          <w:color w:val="auto"/>
        </w:rPr>
      </w:pPr>
    </w:p>
    <w:p>
      <w:pPr>
        <w:ind w:left="1060" w:right="3639" w:hanging="530"/>
        <w:spacing w:after="0" w:line="255" w:lineRule="auto"/>
        <w:tabs>
          <w:tab w:leader="none" w:pos="10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Who Both Receive Cash and Continue to Hold Raytheon Class A or Class B Common Stock Immediately After the Reverse/Forward Split.</w:t>
      </w:r>
    </w:p>
    <w:p>
      <w:pPr>
        <w:spacing w:after="0" w:line="162"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If you both receive cash as a result of the Reverse/Forward Split and continue to hold Raytheon Class A or Class B common stock immediately after the Reverse/Forward Split, you generally will recognize gain, but not loss, in an amount equal to the lesser of (1) the excess of the sum of aggregate fair market value of your shares of Raytheon Class A or Class B common stock plus the cash received over your adjusted tax basis in the shares, or (2) the amount of cash received in the Reverse/Forward Split. In determining whether you continue to hold Raytheon Class A or Class B common stock immediately after the Reverse/Forward Split, you will be treated as owning shares actually or constructively owned by certain individuals and entities</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20" w:right="1440" w:bottom="1440" w:gutter="0" w:footer="0" w:header="0"/>
        </w:sectPr>
      </w:pPr>
    </w:p>
    <w:bookmarkStart w:id="48" w:name="page49"/>
    <w:bookmarkEnd w:id="48"/>
    <w:p>
      <w:pPr>
        <w:ind w:right="3279"/>
        <w:spacing w:after="0" w:line="253" w:lineRule="auto"/>
        <w:rPr>
          <w:sz w:val="20"/>
          <w:szCs w:val="20"/>
          <w:color w:val="auto"/>
        </w:rPr>
      </w:pPr>
      <w:r>
        <w:rPr>
          <w:rFonts w:ascii="Courier New" w:cs="Courier New" w:eastAsia="Courier New" w:hAnsi="Courier New"/>
          <w:sz w:val="14"/>
          <w:szCs w:val="14"/>
          <w:color w:val="auto"/>
        </w:rPr>
        <w:t>related to you. Your aggregate adjusted tax basis in your shares of Raytheon Class A or Class B common stock held immediately after the Reverse/Forward Split will be equal to your aggregate adjusted tax basis in your shares of Raytheon Class A common stock held immediately prior to the Reverse/Forward Split, increased by any gain recognized in the Reverse/Forward Split, and decreased by the amount of cash received in the Reverse/Forward Split.</w:t>
      </w:r>
    </w:p>
    <w:p>
      <w:pPr>
        <w:spacing w:after="0" w:line="165" w:lineRule="exact"/>
        <w:rPr>
          <w:sz w:val="20"/>
          <w:szCs w:val="20"/>
          <w:color w:val="auto"/>
        </w:rPr>
      </w:pPr>
    </w:p>
    <w:p>
      <w:pPr>
        <w:ind w:right="3379" w:firstLine="1042"/>
        <w:spacing w:after="0" w:line="252" w:lineRule="auto"/>
        <w:rPr>
          <w:sz w:val="20"/>
          <w:szCs w:val="20"/>
          <w:color w:val="auto"/>
        </w:rPr>
      </w:pPr>
      <w:r>
        <w:rPr>
          <w:rFonts w:ascii="Courier New" w:cs="Courier New" w:eastAsia="Courier New" w:hAnsi="Courier New"/>
          <w:sz w:val="14"/>
          <w:szCs w:val="14"/>
          <w:color w:val="auto"/>
        </w:rPr>
        <w:t>Any gain recognized in the Reverse/Forward Split will be treated, for federal income tax purposes, as capital gain, provided that your receipt of cash either (1) is "not essentially equivalent to a dividend" with respect to you, or (2) is a "substantially disproportionate redemption of stock" with respect to you. (Each of the terms in quotation marks in the previous sentence is discussed above under the heading "Stockholders Who Exchange All of Their Raytheon Class A or Class B common stock for Cash as a Result of the Reverse/Forward Split.") In applying these tests, you may possibly take into account sales of shares of Raytheon Class A or Class B common stock that occur substantially contemporaneously with the Reverse/Forward Split. If your gain is not treated as capital gain under any of these tests, the gain will be treated as ordinary dividend income to you to the extent of your ratable share of Raytheon's undistributed earnings and profits, then as a tax-free return of capital to the extent of your aggregate adjusted tax basis in your shares, and any remaining gain will be treated as a capital gain.</w:t>
      </w:r>
    </w:p>
    <w:p>
      <w:pPr>
        <w:spacing w:after="0" w:line="173" w:lineRule="exact"/>
        <w:rPr>
          <w:sz w:val="20"/>
          <w:szCs w:val="20"/>
          <w:color w:val="auto"/>
        </w:rPr>
      </w:pPr>
    </w:p>
    <w:p>
      <w:pPr>
        <w:ind w:right="3379" w:firstLine="1042"/>
        <w:spacing w:after="0" w:line="255" w:lineRule="auto"/>
        <w:rPr>
          <w:sz w:val="20"/>
          <w:szCs w:val="20"/>
          <w:color w:val="auto"/>
        </w:rPr>
      </w:pPr>
      <w:r>
        <w:rPr>
          <w:rFonts w:ascii="Courier New" w:cs="Courier New" w:eastAsia="Courier New" w:hAnsi="Courier New"/>
          <w:sz w:val="14"/>
          <w:szCs w:val="14"/>
          <w:color w:val="auto"/>
        </w:rPr>
        <w:t>YOU SHOULD CONSULT YOUR TAX ADVISOR AS TO THE PARTICULAR FEDERAL, STATE, LOCAL, FOREIGN, AND OTHER TAX CONSEQUENCES OF THE REVERSE/FORWARD SPLIT, IN LIGHT OF YOUR SPECIFIC CIRCUMSTANCES.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APPRAISAL RIGHTS</w:t>
      </w:r>
    </w:p>
    <w:p>
      <w:pPr>
        <w:spacing w:after="0" w:line="175" w:lineRule="exact"/>
        <w:rPr>
          <w:sz w:val="20"/>
          <w:szCs w:val="20"/>
          <w:color w:val="auto"/>
        </w:rPr>
      </w:pPr>
    </w:p>
    <w:p>
      <w:pPr>
        <w:ind w:right="3379" w:firstLine="1042"/>
        <w:spacing w:after="0" w:line="255" w:lineRule="auto"/>
        <w:rPr>
          <w:sz w:val="20"/>
          <w:szCs w:val="20"/>
          <w:color w:val="auto"/>
        </w:rPr>
      </w:pPr>
      <w:r>
        <w:rPr>
          <w:rFonts w:ascii="Courier New" w:cs="Courier New" w:eastAsia="Courier New" w:hAnsi="Courier New"/>
          <w:sz w:val="14"/>
          <w:szCs w:val="14"/>
          <w:color w:val="auto"/>
        </w:rPr>
        <w:t>Dissenting stockholders do not have appraisal rights under Delaware state law or under the company's Certificate of Incorporation or By-laws in connection with the Reverse/Forward Split.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RESERVATION OF RIGHTS</w:t>
      </w:r>
    </w:p>
    <w:p>
      <w:pPr>
        <w:spacing w:after="0" w:line="175"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The Board of Directors reserves the right to abandon the Reverse/Forward Split without further action by the stockholders at any time before the filing of the amendments to the Restated Certificate of Incorporation with the Delaware Secretary of State, even if the Reverse/Forward Split has been authorized by the stockholders at the annual meeting.</w:t>
      </w:r>
    </w:p>
    <w:p>
      <w:pPr>
        <w:spacing w:after="0" w:line="162" w:lineRule="exact"/>
        <w:rPr>
          <w:sz w:val="20"/>
          <w:szCs w:val="20"/>
          <w:color w:val="auto"/>
        </w:rPr>
      </w:pPr>
    </w:p>
    <w:p>
      <w:pPr>
        <w:ind w:right="3459" w:firstLine="1042"/>
        <w:spacing w:after="0" w:line="255" w:lineRule="auto"/>
        <w:rPr>
          <w:sz w:val="20"/>
          <w:szCs w:val="20"/>
          <w:color w:val="auto"/>
        </w:rPr>
      </w:pPr>
      <w:r>
        <w:rPr>
          <w:rFonts w:ascii="Courier New" w:cs="Courier New" w:eastAsia="Courier New" w:hAnsi="Courier New"/>
          <w:sz w:val="14"/>
          <w:szCs w:val="14"/>
          <w:color w:val="auto"/>
        </w:rPr>
        <w:t>THE BOARD OF DIRECTORS RECOMMENDS THAT YOU VOTE FOR THIS PROPOSAL. PROXIES SOLICITED BY THE BOARD OF DIRECTORS WILL BE VOTED FOR THIS PROPOSAL, UNLESS YOU SPECIFY OTHERWISE IN YOUR PROXY.</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20" w:right="1440" w:bottom="1440" w:gutter="0" w:footer="0" w:header="0"/>
        </w:sectPr>
      </w:pPr>
    </w:p>
    <w:bookmarkStart w:id="49" w:name="page50"/>
    <w:bookmarkEnd w:id="49"/>
    <w:p>
      <w:pPr>
        <w:jc w:val="center"/>
        <w:ind w:right="3179"/>
        <w:spacing w:after="0"/>
        <w:rPr>
          <w:sz w:val="20"/>
          <w:szCs w:val="20"/>
          <w:color w:val="auto"/>
        </w:rPr>
      </w:pPr>
      <w:r>
        <w:rPr>
          <w:rFonts w:ascii="Courier New" w:cs="Courier New" w:eastAsia="Courier New" w:hAnsi="Courier New"/>
          <w:sz w:val="14"/>
          <w:szCs w:val="14"/>
          <w:color w:val="auto"/>
        </w:rPr>
        <w:t>PROPOSAL TO AMEND THE COMPANY'S</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RESTATED CERTIFICATE OF INCORPORATION</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TO RECLASSIFY THE COMPANY'S TWO CLASSES OF STOCK INTO A</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SINGLE NEW CLASS OF COMMON STOCK</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(Item No. 3 on Proxy Card)</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The Board of Directors has unanimously approved the proposal to amend the Certificate of Incorporation (which we refer to as the "Amendment") which, if approved, would eliminate the company's two classes of common stock and reclassify the Class A common stock and the Class B common stock into a single new class of common stock, $.01 par value, of the company (which we refer to as the "New Common Stock"). The reclassification will eliminate the trading disparities between the Class A shares and the Class B shares and eliminate any confusion from having two publicly traded classes of common stock. THE BOARD OF DIRECTORS RECOMMENDS THAT YOU VOTE "FOR" THE AMENDMENT.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OF AMENDMENT</w:t>
      </w:r>
    </w:p>
    <w:p>
      <w:pPr>
        <w:spacing w:after="0" w:line="175" w:lineRule="exact"/>
        <w:rPr>
          <w:sz w:val="20"/>
          <w:szCs w:val="20"/>
          <w:color w:val="auto"/>
        </w:rPr>
      </w:pPr>
    </w:p>
    <w:p>
      <w:pPr>
        <w:ind w:right="3539" w:firstLine="1042"/>
        <w:spacing w:after="0" w:line="254" w:lineRule="auto"/>
        <w:rPr>
          <w:sz w:val="20"/>
          <w:szCs w:val="20"/>
          <w:color w:val="auto"/>
        </w:rPr>
      </w:pPr>
      <w:r>
        <w:rPr>
          <w:rFonts w:ascii="Courier New" w:cs="Courier New" w:eastAsia="Courier New" w:hAnsi="Courier New"/>
          <w:sz w:val="14"/>
          <w:szCs w:val="14"/>
          <w:color w:val="auto"/>
        </w:rPr>
        <w:t>The company's dual class structure is the result of the Hughes Merger. Pursuant to the Hughes Merger, shareholders of the former Raytheon Company received Class B stock and stockholders of General Motors Corporation common stock, and holders of General Motors Corporation Class H common stock became holders of Raytheon Class A shares.</w:t>
      </w:r>
    </w:p>
    <w:p>
      <w:pPr>
        <w:spacing w:after="0" w:line="162"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At the time of the Hughes Merger, the Class A common stock represented approximately 30% of the outstanding equity value of Raytheon and the Class B common stock represented the remaining approximately 70% of the outstanding equity value. With respect to the election and removal of directors of Raytheon, the Class A common stockholders currently possess 80.1% of the voting power and the Class B common stockholders currently possess the remaining 19.9% of the voting power. Each class votes separately on all other matters. Except as to voting rights, the Class A common stock and Class B common stock are identical.</w:t>
      </w:r>
    </w:p>
    <w:p>
      <w:pPr>
        <w:spacing w:after="0" w:line="332"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This dual class capital structure was necessary in order for General Motors to obtain an IRS letter ruling to the effect that the Hughes Merger was tax-free to General Motors and its common stockholders for U.S. federal income tax purposes.</w:t>
      </w:r>
    </w:p>
    <w:p>
      <w:pPr>
        <w:spacing w:after="0" w:line="163"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In considering the Hughes Merger, the Board of Directors of former Raytheon had concern over the use of a dual class structure, especially since its shareholders were to receive low-vote stock. However, after careful consideration and consultation with investment bankers, the Board of Directors concluded that a dual class structure was advisable. The Board of Directors believed that, as both Class A and Class B common stock would be widely held and neither class had a dividend preference, the two classes of stock would trade roughly at parity and that a dual class structure would not create serious trading or financial constraints.</w:t>
      </w:r>
    </w:p>
    <w:p>
      <w:pPr>
        <w:spacing w:after="0" w:line="164" w:lineRule="exact"/>
        <w:rPr>
          <w:sz w:val="20"/>
          <w:szCs w:val="20"/>
          <w:color w:val="auto"/>
        </w:rPr>
      </w:pPr>
    </w:p>
    <w:p>
      <w:pPr>
        <w:ind w:right="3279" w:firstLine="1042"/>
        <w:spacing w:after="0" w:line="255" w:lineRule="auto"/>
        <w:rPr>
          <w:sz w:val="20"/>
          <w:szCs w:val="20"/>
          <w:color w:val="auto"/>
        </w:rPr>
      </w:pPr>
      <w:r>
        <w:rPr>
          <w:rFonts w:ascii="Courier New" w:cs="Courier New" w:eastAsia="Courier New" w:hAnsi="Courier New"/>
          <w:sz w:val="14"/>
          <w:szCs w:val="14"/>
          <w:color w:val="auto"/>
        </w:rPr>
        <w:t>Since the Hughes Merger, the two classes of stock have not traded at parity. With the exception of a very brief period, the Class B common stock has traded at a premium to the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20" w:right="1440" w:bottom="1440" w:gutter="0" w:footer="0" w:header="0"/>
        </w:sectPr>
      </w:pPr>
    </w:p>
    <w:bookmarkStart w:id="50" w:name="page51"/>
    <w:bookmarkEnd w:id="50"/>
    <w:p>
      <w:pPr>
        <w:ind w:right="3279"/>
        <w:spacing w:after="0" w:line="253" w:lineRule="auto"/>
        <w:rPr>
          <w:sz w:val="20"/>
          <w:szCs w:val="20"/>
          <w:color w:val="auto"/>
        </w:rPr>
      </w:pPr>
      <w:r>
        <w:rPr>
          <w:rFonts w:ascii="Courier New" w:cs="Courier New" w:eastAsia="Courier New" w:hAnsi="Courier New"/>
          <w:sz w:val="14"/>
          <w:szCs w:val="14"/>
          <w:color w:val="auto"/>
        </w:rPr>
        <w:t>Class A common stock, with an average premium of Class B common stock over Class A common stock since inception of approximately 2.3% and at times as high as 10%. In addition, certain other issues with respect to the dual class structure have arisen since the Hughes Merger. Among these issues are higher volatility in the Class A and Class B shares, the confusion from having two publicly traded classes of common stock and the difficulties in effecting potential acquisitions or other business combinations. In the Fall of 2000, while not deciding to reclassify the two classes of common stock, management decided to request advice from the Internal Revenue Service, as to whether a reclassification plan could be effected without a negative impact on the prior IRS letter ruling.</w:t>
      </w:r>
    </w:p>
    <w:p>
      <w:pPr>
        <w:spacing w:after="0" w:line="164" w:lineRule="exact"/>
        <w:rPr>
          <w:sz w:val="20"/>
          <w:szCs w:val="20"/>
          <w:color w:val="auto"/>
        </w:rPr>
      </w:pPr>
    </w:p>
    <w:p>
      <w:pPr>
        <w:ind w:right="3279" w:firstLine="1042"/>
        <w:spacing w:after="0" w:line="252" w:lineRule="auto"/>
        <w:rPr>
          <w:sz w:val="20"/>
          <w:szCs w:val="20"/>
          <w:color w:val="auto"/>
        </w:rPr>
      </w:pPr>
      <w:r>
        <w:rPr>
          <w:rFonts w:ascii="Courier New" w:cs="Courier New" w:eastAsia="Courier New" w:hAnsi="Courier New"/>
          <w:sz w:val="14"/>
          <w:szCs w:val="14"/>
          <w:color w:val="auto"/>
        </w:rPr>
        <w:t>In December 2000, in anticipation of receiving advice from the IRS, the company began speaking with Morgan Stanley &amp; Co. Incorporated to study the effects of a possible reclassification of its shares and its effects on the company's shareholders. On January 24, 2001 the Board of Directors formally considered a proposal to reclassify the Class A common stock and the Class B common stock into a single class of new common stock. The Board reviewed the history of the dual class structure. Outside counsel addressed the potential tax consequences of combining the two classes. Morgan Stanley made a presentation to the Board, and rendered its opinion that as of January 23, 2001 and subject to and based on the considerations described in its opinion that the exchange ratio pursuant to the amendment was fair to the holders of Class A common stock and the holders of Class B common stock from a financial point of view. The full text of the written opinion, which sets forth the assumptions made, the procedures followed, the matters considered and the limitations on the review undertaken by Morgan Stanley is attached as Appendix C to this proxy statement and is incorporated herein by reference. We urge you to read Morgan Stanley's opinion carefully and in its entirety.</w:t>
      </w:r>
    </w:p>
    <w:p>
      <w:pPr>
        <w:spacing w:after="0" w:line="173"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After consideration of the issues, the Board of Directors resolved to seek shareholder approval to reclassify the Class A and Class B common stock into a single class of new common stock, contingent upon receiving a ruling from the Internal Revenue Service that the Hughes Merger would remain tax-free to General Motors Corporation.</w:t>
      </w:r>
    </w:p>
    <w:p>
      <w:pPr>
        <w:spacing w:after="0" w:line="162"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On January 31, 2001, the IRS issued to the company a supplementary ruling to the effect that consummation of the proposed reclassification, as well as the Reverse/Forward Split, will not adversely affect the IRS ruling received in connection with the Hughes Merger.</w:t>
      </w:r>
    </w:p>
    <w:p>
      <w:pPr>
        <w:spacing w:after="0" w:line="163" w:lineRule="exact"/>
        <w:rPr>
          <w:sz w:val="20"/>
          <w:szCs w:val="20"/>
          <w:color w:val="auto"/>
        </w:rPr>
      </w:pPr>
    </w:p>
    <w:p>
      <w:pPr>
        <w:ind w:right="4499"/>
        <w:spacing w:after="0" w:line="258" w:lineRule="auto"/>
        <w:rPr>
          <w:sz w:val="20"/>
          <w:szCs w:val="20"/>
          <w:color w:val="auto"/>
        </w:rPr>
      </w:pPr>
      <w:r>
        <w:rPr>
          <w:rFonts w:ascii="Courier New" w:cs="Courier New" w:eastAsia="Courier New" w:hAnsi="Courier New"/>
          <w:sz w:val="14"/>
          <w:szCs w:val="14"/>
          <w:color w:val="auto"/>
        </w:rPr>
        <w:t>PRIMARY EFFECTS AND CONSEQUENCES OF THE AMENDMENT ON THE COMPANY'S CAPITALIZATION</w:t>
      </w:r>
    </w:p>
    <w:p>
      <w:pPr>
        <w:spacing w:after="0" w:line="160" w:lineRule="exact"/>
        <w:rPr>
          <w:sz w:val="20"/>
          <w:szCs w:val="20"/>
          <w:color w:val="auto"/>
        </w:rPr>
      </w:pPr>
    </w:p>
    <w:p>
      <w:pPr>
        <w:ind w:right="3539" w:firstLine="1042"/>
        <w:spacing w:after="0" w:line="255" w:lineRule="auto"/>
        <w:rPr>
          <w:sz w:val="20"/>
          <w:szCs w:val="20"/>
          <w:color w:val="auto"/>
        </w:rPr>
      </w:pPr>
      <w:r>
        <w:rPr>
          <w:rFonts w:ascii="Courier New" w:cs="Courier New" w:eastAsia="Courier New" w:hAnsi="Courier New"/>
          <w:sz w:val="14"/>
          <w:szCs w:val="14"/>
          <w:color w:val="auto"/>
        </w:rPr>
        <w:t>If the Amendment is approved, it will have the following effects, among others, on the company's capitalization and holders of both classes of common stock:</w:t>
      </w:r>
    </w:p>
    <w:p>
      <w:pPr>
        <w:spacing w:after="0" w:line="162" w:lineRule="exact"/>
        <w:rPr>
          <w:sz w:val="20"/>
          <w:szCs w:val="20"/>
          <w:color w:val="auto"/>
        </w:rPr>
      </w:pPr>
    </w:p>
    <w:p>
      <w:pPr>
        <w:ind w:left="1320" w:right="3279" w:hanging="269"/>
        <w:spacing w:after="0" w:line="253"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ON NUMBER OF ISSUED SHARES OF COMMON STOCK. Each issued share of Class A common stock outstanding after the Reverse/Forward Split (if the Reverse/Forward Split is approved), including each treasury share, will be reclassified into 1 share of New Common Stock. Each issued share of Class B common stock outstanding after the Reverse/Forward Split (assuming the Reverse/Forward Split is approved), including each treasury share, will be reclassified into 1 share of New Common Stock, rounded to the nearest whole share. As of [Month] [Date], 2001, [ ] shares of common stock</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20" w:right="1440" w:bottom="1440" w:gutter="0" w:footer="0" w:header="0"/>
        </w:sectPr>
      </w:pPr>
    </w:p>
    <w:bookmarkStart w:id="51" w:name="page52"/>
    <w:bookmarkEnd w:id="51"/>
    <w:p>
      <w:pPr>
        <w:ind w:left="269"/>
        <w:spacing w:after="0"/>
        <w:rPr>
          <w:sz w:val="20"/>
          <w:szCs w:val="20"/>
          <w:color w:val="auto"/>
        </w:rPr>
      </w:pPr>
      <w:r>
        <w:rPr>
          <w:rFonts w:ascii="Courier New" w:cs="Courier New" w:eastAsia="Courier New" w:hAnsi="Courier New"/>
          <w:sz w:val="14"/>
          <w:szCs w:val="14"/>
          <w:color w:val="auto"/>
        </w:rPr>
        <w:t>were outstanding, with holders of the Class A common stock owning</w:t>
      </w:r>
    </w:p>
    <w:p>
      <w:pPr>
        <w:spacing w:after="0" w:line="8" w:lineRule="exact"/>
        <w:rPr>
          <w:sz w:val="20"/>
          <w:szCs w:val="20"/>
          <w:color w:val="auto"/>
        </w:rPr>
      </w:pPr>
    </w:p>
    <w:p>
      <w:pPr>
        <w:ind w:left="269" w:right="3279"/>
        <w:spacing w:after="0" w:line="253" w:lineRule="auto"/>
        <w:rPr>
          <w:sz w:val="20"/>
          <w:szCs w:val="20"/>
          <w:color w:val="auto"/>
        </w:rPr>
      </w:pPr>
      <w:r>
        <w:rPr>
          <w:rFonts w:ascii="Courier New" w:cs="Courier New" w:eastAsia="Courier New" w:hAnsi="Courier New"/>
          <w:sz w:val="14"/>
          <w:szCs w:val="14"/>
          <w:color w:val="auto"/>
        </w:rPr>
        <w:t>[ ] or __._%, of all the shares of both classes of common stock combined and holders of the Class B common stock owning [ ] or __._%, of all the shares of both classes of common stock combined. After giving effect to the Amendment, as of [Month] [Date], 2001, there would be [ ] shares of New Common Stock outstanding, with holders of the Class A common stock owning [ ], or __._%, of all the shares of New Common Stock and holders of the Class B common stock owning [ ], or __._%, of all the shares of the New Common Stock outstanding.</w:t>
      </w:r>
    </w:p>
    <w:p>
      <w:pPr>
        <w:spacing w:after="0" w:line="164" w:lineRule="exact"/>
        <w:rPr>
          <w:sz w:val="20"/>
          <w:szCs w:val="20"/>
          <w:color w:val="auto"/>
        </w:rPr>
      </w:pPr>
    </w:p>
    <w:p>
      <w:pPr>
        <w:ind w:left="269" w:right="3279" w:hanging="269"/>
        <w:spacing w:after="0" w:line="252" w:lineRule="auto"/>
        <w:tabs>
          <w:tab w:leader="none" w:pos="269"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ON THE VOTING RIGHTS OF OUTSTANDING SHARES OF COMMON STOCK. The holders of the Class A common stock are currently entitled to cast 80.1% of all the votes entitled to be cast with respect to the election and removal of directors, and holders of shares of the Class B common stock are entitled to cast the remaining 19.9% of the votes with respect to the election and removal of directors. On all other matters on which holders of the company's common shares are entitled to vote, each Class A share and each Class B share has one vote per share and a majority of each of the Class A and Class B shares, with each voting as a separate class, is required to approve such other matters. After giving effect to the Amendment, as of [Month] [Date], 2001, the holders of the New Common Stock would be entitled to cast approximately [ ] votes on all matters as a single class, including the election of all of the directors, with holders of the Class A common stock entitled to cast approximately [ ] votes, or __._% of all the votes entitled to be cast, of the New Common Stock and with the holders of Class B common stock entitled to cast approximately [ ] votes, or __._% of all the votes entitled to be cast, of the New Common Stock. BASED ON THE AMENDMENT, AS OF [Month] [Date], 2001, THE VOTING POWER OF THE HOLDERS OF THE CLASS A COMMON STOCK WITH RESPECT TO THE ELECTION OF DIRECTORS WOULD BE DECREASED FROM 80.1% TO __._%.</w:t>
      </w:r>
    </w:p>
    <w:p>
      <w:pPr>
        <w:spacing w:after="0" w:line="342" w:lineRule="exact"/>
        <w:rPr>
          <w:rFonts w:ascii="Courier New" w:cs="Courier New" w:eastAsia="Courier New" w:hAnsi="Courier New"/>
          <w:sz w:val="14"/>
          <w:szCs w:val="14"/>
          <w:color w:val="auto"/>
        </w:rPr>
      </w:pPr>
    </w:p>
    <w:p>
      <w:pPr>
        <w:ind w:left="269" w:right="3279" w:hanging="269"/>
        <w:spacing w:after="0" w:line="253" w:lineRule="auto"/>
        <w:tabs>
          <w:tab w:leader="none" w:pos="269"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ON OPTIONS. The company will cause each option to purchase shares of Class B common stock to become an option to purchase the same number of shares of New Common Stock at the same exercise price. As of [Month] [Date], 2001, there were [ ] options to purchase shares of Class B common stock outstanding at a weighted average exercise price of $__.__. After giving effect to the Amendment, as of [Month] [Date], 2001, there would be [ ] options to purchase shares of New Common Stock at a weighted average exercise price of $__.__.</w:t>
      </w:r>
    </w:p>
    <w:p>
      <w:pPr>
        <w:spacing w:after="0" w:line="164" w:lineRule="exact"/>
        <w:rPr>
          <w:rFonts w:ascii="Courier New" w:cs="Courier New" w:eastAsia="Courier New" w:hAnsi="Courier New"/>
          <w:sz w:val="14"/>
          <w:szCs w:val="14"/>
          <w:color w:val="auto"/>
        </w:rPr>
      </w:pPr>
    </w:p>
    <w:p>
      <w:pPr>
        <w:ind w:left="269" w:right="3279" w:hanging="269"/>
        <w:spacing w:after="0" w:line="253" w:lineRule="auto"/>
        <w:tabs>
          <w:tab w:leader="none" w:pos="269"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ON RIGHTS AGREEMENT. The company will amend the Rights Agreement, dated December 15, 1997, between the company and State Street Bank and Trust Company, (the "Rights Agreement") so that holders of shares of Class A or Class B common stock that currently hold one right to purchase 1/100(th) of a share of Series A Junior Participating Preferred Stock, par value $.01 per share (the "Series A Preferred Stock") at $250 per 1/100(th) of a share of Series A Preferred Stock for each share of Class A or Class B com-</w:t>
      </w:r>
    </w:p>
    <w:p>
      <w:pPr>
        <w:spacing w:after="0" w:line="200" w:lineRule="exact"/>
        <w:rPr>
          <w:sz w:val="20"/>
          <w:szCs w:val="20"/>
          <w:color w:val="auto"/>
        </w:rPr>
      </w:pPr>
    </w:p>
    <w:p>
      <w:pPr>
        <w:spacing w:after="0" w:line="298" w:lineRule="exact"/>
        <w:rPr>
          <w:sz w:val="20"/>
          <w:szCs w:val="20"/>
          <w:color w:val="auto"/>
        </w:rPr>
      </w:pPr>
    </w:p>
    <w:p>
      <w:pPr>
        <w:ind w:left="2249"/>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9189"/>
          </w:cols>
          <w:pgMar w:left="1271" w:top="620" w:right="1440" w:bottom="1440" w:gutter="0" w:footer="0" w:header="0"/>
        </w:sectPr>
      </w:pPr>
    </w:p>
    <w:bookmarkStart w:id="52" w:name="page53"/>
    <w:bookmarkEnd w:id="52"/>
    <w:p>
      <w:pPr>
        <w:ind w:left="1320" w:right="3279"/>
        <w:spacing w:after="0" w:line="254" w:lineRule="auto"/>
        <w:rPr>
          <w:sz w:val="20"/>
          <w:szCs w:val="20"/>
          <w:color w:val="auto"/>
        </w:rPr>
      </w:pPr>
      <w:r>
        <w:rPr>
          <w:rFonts w:ascii="Courier New" w:cs="Courier New" w:eastAsia="Courier New" w:hAnsi="Courier New"/>
          <w:sz w:val="14"/>
          <w:szCs w:val="14"/>
          <w:color w:val="auto"/>
        </w:rPr>
        <w:t>mon stock they hold, will hold one right to purchase 1/100(th) of a share of Series A Preferred Stock at $250 per 1/100(th) of a share of Series A Preferred Stock for each share of New Common Stock they will hold.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REASONS FOR, ADVANTAGES OF AND POSSIBLE DISADVANTAGES OF, THE AMENDMENT</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In determining whether to recommend and adopt the Amendment,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considered a number of factors, including the following:</w:t>
      </w:r>
    </w:p>
    <w:p>
      <w:pPr>
        <w:spacing w:after="0" w:line="175" w:lineRule="exact"/>
        <w:rPr>
          <w:sz w:val="20"/>
          <w:szCs w:val="20"/>
          <w:color w:val="auto"/>
        </w:rPr>
      </w:pPr>
    </w:p>
    <w:p>
      <w:pPr>
        <w:ind w:left="1320" w:right="3379" w:hanging="183"/>
        <w:spacing w:after="0" w:line="255"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capital structure of the company would be simplified and potential investor confusion and additional administrative expenses caused by the dual class structure would be eliminated.</w:t>
      </w:r>
    </w:p>
    <w:p>
      <w:pPr>
        <w:spacing w:after="0" w:line="162" w:lineRule="exact"/>
        <w:rPr>
          <w:rFonts w:ascii="Courier New" w:cs="Courier New" w:eastAsia="Courier New" w:hAnsi="Courier New"/>
          <w:sz w:val="14"/>
          <w:szCs w:val="14"/>
          <w:color w:val="auto"/>
        </w:rPr>
      </w:pPr>
    </w:p>
    <w:p>
      <w:pPr>
        <w:ind w:left="1320" w:right="3379" w:hanging="183"/>
        <w:spacing w:after="0" w:line="258"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negative impact on the market price of the common stock that results from having a dual class structure would be eliminated.</w:t>
      </w:r>
    </w:p>
    <w:p>
      <w:pPr>
        <w:spacing w:after="0" w:line="159" w:lineRule="exact"/>
        <w:rPr>
          <w:rFonts w:ascii="Courier New" w:cs="Courier New" w:eastAsia="Courier New" w:hAnsi="Courier New"/>
          <w:sz w:val="14"/>
          <w:szCs w:val="14"/>
          <w:color w:val="auto"/>
        </w:rPr>
      </w:pPr>
    </w:p>
    <w:p>
      <w:pPr>
        <w:ind w:left="1320" w:right="3799" w:hanging="183"/>
        <w:spacing w:after="0" w:line="258"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Liquidity, trading efficiencies and the investor base would potentially increase.</w:t>
      </w:r>
    </w:p>
    <w:p>
      <w:pPr>
        <w:spacing w:after="0" w:line="159" w:lineRule="exact"/>
        <w:rPr>
          <w:rFonts w:ascii="Courier New" w:cs="Courier New" w:eastAsia="Courier New" w:hAnsi="Courier New"/>
          <w:sz w:val="14"/>
          <w:szCs w:val="14"/>
          <w:color w:val="auto"/>
        </w:rPr>
      </w:pPr>
    </w:p>
    <w:p>
      <w:pPr>
        <w:ind w:left="1320" w:right="3539" w:hanging="183"/>
        <w:spacing w:after="0" w:line="258"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of holders of Class A shares and Class B shares would be better aligned with their economic risk of ownership.</w:t>
      </w:r>
    </w:p>
    <w:p>
      <w:pPr>
        <w:spacing w:after="0" w:line="159" w:lineRule="exact"/>
        <w:rPr>
          <w:rFonts w:ascii="Courier New" w:cs="Courier New" w:eastAsia="Courier New" w:hAnsi="Courier New"/>
          <w:sz w:val="14"/>
          <w:szCs w:val="14"/>
          <w:color w:val="auto"/>
        </w:rPr>
      </w:pPr>
    </w:p>
    <w:p>
      <w:pPr>
        <w:ind w:left="1320" w:right="3279" w:hanging="183"/>
        <w:spacing w:after="0" w:line="258"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Flexibility to structure acquisitions and equity financings would likely increase.</w:t>
      </w:r>
    </w:p>
    <w:p>
      <w:pPr>
        <w:spacing w:after="0" w:line="159" w:lineRule="exact"/>
        <w:rPr>
          <w:rFonts w:ascii="Courier New" w:cs="Courier New" w:eastAsia="Courier New" w:hAnsi="Courier New"/>
          <w:sz w:val="14"/>
          <w:szCs w:val="14"/>
          <w:color w:val="auto"/>
        </w:rPr>
      </w:pPr>
    </w:p>
    <w:p>
      <w:pPr>
        <w:ind w:left="1320" w:right="3279" w:hanging="183"/>
        <w:spacing w:after="0" w:line="258"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reclassification is not expected to cause the shareholders to receive taxable income at the time of the reclassification.</w:t>
      </w:r>
    </w:p>
    <w:p>
      <w:pPr>
        <w:spacing w:after="0" w:line="160" w:lineRule="exact"/>
        <w:rPr>
          <w:sz w:val="20"/>
          <w:szCs w:val="20"/>
          <w:color w:val="auto"/>
        </w:rPr>
      </w:pPr>
    </w:p>
    <w:p>
      <w:pPr>
        <w:ind w:right="3799" w:firstLine="1042"/>
        <w:spacing w:after="0" w:line="255" w:lineRule="auto"/>
        <w:rPr>
          <w:sz w:val="20"/>
          <w:szCs w:val="20"/>
          <w:color w:val="auto"/>
        </w:rPr>
      </w:pPr>
      <w:r>
        <w:rPr>
          <w:rFonts w:ascii="Courier New" w:cs="Courier New" w:eastAsia="Courier New" w:hAnsi="Courier New"/>
          <w:sz w:val="14"/>
          <w:szCs w:val="14"/>
          <w:color w:val="auto"/>
        </w:rPr>
        <w:t>The Board of Directors also considered the following factors relating to the reclassification in connection with the recommendation and adoption of the Amendment:</w:t>
      </w:r>
    </w:p>
    <w:p>
      <w:pPr>
        <w:spacing w:after="0" w:line="162" w:lineRule="exact"/>
        <w:rPr>
          <w:sz w:val="20"/>
          <w:szCs w:val="20"/>
          <w:color w:val="auto"/>
        </w:rPr>
      </w:pPr>
    </w:p>
    <w:p>
      <w:pPr>
        <w:ind w:left="1320" w:right="3279" w:hanging="183"/>
        <w:spacing w:after="0" w:line="253" w:lineRule="auto"/>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opinion of Morgan Stanley that as of January 23, 2001 and, subject to and based on the considerations described in such opinion, the exchange ratio pursuant to the amendment was fair to the holders of Class A shares and to the holders of Class B shares from a financial point of view. The full text of the opinion, which sets forth the assumptions made, the procedures followed, the matters considered and the limitations on the review undertaken by Morgan Stanley is attached as Appendix C to this proxy statement and is incorporated herein by reference. We urge you to read Morgan Stanley's opinion carefully and in its entirety.</w:t>
      </w:r>
    </w:p>
    <w:p>
      <w:pPr>
        <w:spacing w:after="0" w:line="331" w:lineRule="exact"/>
        <w:rPr>
          <w:rFonts w:ascii="Courier New" w:cs="Courier New" w:eastAsia="Courier New" w:hAnsi="Courier New"/>
          <w:sz w:val="14"/>
          <w:szCs w:val="14"/>
          <w:color w:val="auto"/>
        </w:rPr>
      </w:pPr>
    </w:p>
    <w:p>
      <w:pPr>
        <w:ind w:left="1320" w:right="3539" w:hanging="183"/>
        <w:spacing w:after="0" w:line="258" w:lineRule="auto"/>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historical trading price of the Class A shares compared to the historical trading price of the Class B shares.</w:t>
      </w:r>
    </w:p>
    <w:p>
      <w:pPr>
        <w:spacing w:after="0" w:line="159" w:lineRule="exact"/>
        <w:rPr>
          <w:rFonts w:ascii="Courier New" w:cs="Courier New" w:eastAsia="Courier New" w:hAnsi="Courier New"/>
          <w:sz w:val="14"/>
          <w:szCs w:val="14"/>
          <w:color w:val="auto"/>
        </w:rPr>
      </w:pPr>
    </w:p>
    <w:p>
      <w:pPr>
        <w:ind w:left="1320" w:right="3459" w:hanging="183"/>
        <w:spacing w:after="0" w:line="258" w:lineRule="auto"/>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trading differentials between two classes of stock of other similarly situated companies.</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20" w:right="1440" w:bottom="1440" w:gutter="0" w:footer="0" w:header="0"/>
        </w:sectPr>
      </w:pPr>
    </w:p>
    <w:bookmarkStart w:id="53" w:name="page54"/>
    <w:bookmarkEnd w:id="53"/>
    <w:p>
      <w:pPr>
        <w:ind w:right="3279" w:firstLine="1042"/>
        <w:spacing w:after="0" w:line="253" w:lineRule="auto"/>
        <w:rPr>
          <w:sz w:val="20"/>
          <w:szCs w:val="20"/>
          <w:color w:val="auto"/>
        </w:rPr>
      </w:pPr>
      <w:r>
        <w:rPr>
          <w:rFonts w:ascii="Courier New" w:cs="Courier New" w:eastAsia="Courier New" w:hAnsi="Courier New"/>
          <w:sz w:val="14"/>
          <w:szCs w:val="14"/>
          <w:color w:val="auto"/>
        </w:rPr>
        <w:t>The foregoing discussion of information and factors considered by the Board of Directors is not intended to be exhaustive but includes all material factors considered by the Board of Directors in making their decision. In view of the wide variety of factors considered by the Board of Directors in connection with their evaluation of the reclassification and the complexity of those matters, the Board of Directors did not consider it practicable to, nor did they attempt to, quantify, rank or otherwise assign relative weights to the specific factors they considered in reaching their decision to approve the Amendment. In considering the factors described above, individual members of the Board of Directors may have given different weight to different factors.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IN CERTAIN PERSONS</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As of [Month] [Date], 2001, the members of the Board of Directors, beneficially owned and had voting control over a total of [ ] shares, or __%, of the Class A common stock, and beneficially owned and had voting control over [ ] shares, or __%, of the Class B common stock. The directors are not required to vote "FOR" the Amendment, but have indicated that it is their intention to do so. The directors may have different interests from you in voting on the Amendment.</w:t>
      </w:r>
    </w:p>
    <w:p>
      <w:pPr>
        <w:spacing w:after="0" w:line="332"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Morgan Stanley is a full service securities firm engaged in securities trading and brokerage activities, as well as providing investment banking, financing, and financial advisory services. In the ordinary course of our trading, brokerage and financing activities, Morgan Stanley or its affiliates may at any time hold long or short positions, and may trade or otherwise effect transactions, for its own account, Raytheon's account or the accounts of customers, in debt or equity securities or senior loans of Raytheon. In addition, from time to time, Morgan Stanley has provided and may in the future provide financial advisory and financing services to Raytheon and has received fees and may receive in the future in connection with such services.</w:t>
      </w:r>
    </w:p>
    <w:p>
      <w:pPr>
        <w:spacing w:after="0" w:line="164"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Pursuant to an engagement letter dated January 23, 2001, Raytheon formally engaged Morgan Stanley as its financial advisor to assist Raytheon in its consideration of the reclassification and to render a fairness opinion in connection with such transaction. Morgan Stanley will receive a customary fee in connection with its services. Raytheon has also agreed to reimburse Morgan Stanley for its reasonable expenses and to indemnify Morgan Stanley against certain liabilities, including liabilities under the U.S. federal securities laws.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APPRAISAL RIGHTS</w:t>
      </w:r>
    </w:p>
    <w:p>
      <w:pPr>
        <w:spacing w:after="0" w:line="175" w:lineRule="exact"/>
        <w:rPr>
          <w:sz w:val="20"/>
          <w:szCs w:val="20"/>
          <w:color w:val="auto"/>
        </w:rPr>
      </w:pPr>
    </w:p>
    <w:p>
      <w:pPr>
        <w:ind w:right="3639" w:firstLine="1042"/>
        <w:spacing w:after="0" w:line="255" w:lineRule="auto"/>
        <w:rPr>
          <w:sz w:val="20"/>
          <w:szCs w:val="20"/>
          <w:color w:val="auto"/>
        </w:rPr>
      </w:pPr>
      <w:r>
        <w:rPr>
          <w:rFonts w:ascii="Courier New" w:cs="Courier New" w:eastAsia="Courier New" w:hAnsi="Courier New"/>
          <w:sz w:val="14"/>
          <w:szCs w:val="14"/>
          <w:color w:val="auto"/>
        </w:rPr>
        <w:t>Under Delaware state law and the Certificate of Incorporation, holders of the Class A shares and Class B shares have no appraisal rights in connection with the proposal to amend the Certificate of Incorporation.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CAPITAL STOCK BEFORE AND AFTER AMENDMENT</w:t>
      </w:r>
    </w:p>
    <w:p>
      <w:pPr>
        <w:spacing w:after="0" w:line="175" w:lineRule="exact"/>
        <w:rPr>
          <w:sz w:val="20"/>
          <w:szCs w:val="20"/>
          <w:color w:val="auto"/>
        </w:rPr>
      </w:pPr>
    </w:p>
    <w:p>
      <w:pPr>
        <w:ind w:right="3459" w:firstLine="1042"/>
        <w:spacing w:after="0" w:line="254" w:lineRule="auto"/>
        <w:rPr>
          <w:sz w:val="20"/>
          <w:szCs w:val="20"/>
          <w:color w:val="auto"/>
        </w:rPr>
      </w:pPr>
      <w:r>
        <w:rPr>
          <w:rFonts w:ascii="Courier New" w:cs="Courier New" w:eastAsia="Courier New" w:hAnsi="Courier New"/>
          <w:sz w:val="14"/>
          <w:szCs w:val="14"/>
          <w:color w:val="auto"/>
        </w:rPr>
        <w:t>The existing rights, powers and limitations of Class A shares and Class B shares are set forth in Article Four of the Certificate of Incorporation. The rights, powers and limitations of the New Common Stock that will be issued pursuant to the Amendment will be set forth in the amended and restated Article Four of the Certificate of Incorporation. The following</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20" w:right="1440" w:bottom="1440" w:gutter="0" w:footer="0" w:header="0"/>
        </w:sectPr>
      </w:pPr>
    </w:p>
    <w:bookmarkStart w:id="54" w:name="page55"/>
    <w:bookmarkEnd w:id="54"/>
    <w:p>
      <w:pPr>
        <w:ind w:right="3379"/>
        <w:spacing w:after="0" w:line="255" w:lineRule="auto"/>
        <w:rPr>
          <w:sz w:val="20"/>
          <w:szCs w:val="20"/>
          <w:color w:val="auto"/>
        </w:rPr>
      </w:pPr>
      <w:r>
        <w:rPr>
          <w:rFonts w:ascii="Courier New" w:cs="Courier New" w:eastAsia="Courier New" w:hAnsi="Courier New"/>
          <w:sz w:val="14"/>
          <w:szCs w:val="14"/>
          <w:color w:val="auto"/>
        </w:rPr>
        <w:t>summary should be read in conjunction with, and is qualified in its entirety by reference to, the form of Amendment to the Certificate of Incorporation set forth in Appendix D hereto:</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COMPARISON OF CLASS A COMMON STOCK, CLASS B COMMON STOCK AND NEW COMMON STOCK</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RIGHT, POWER</w:t>
            </w:r>
          </w:p>
        </w:tc>
        <w:tc>
          <w:tcPr>
            <w:tcW w:w="180" w:type="dxa"/>
            <w:vAlign w:val="bottom"/>
          </w:tcPr>
          <w:p>
            <w:pPr>
              <w:spacing w:after="0"/>
              <w:rPr>
                <w:sz w:val="14"/>
                <w:szCs w:val="14"/>
                <w:color w:val="auto"/>
              </w:rPr>
            </w:pPr>
          </w:p>
        </w:tc>
        <w:tc>
          <w:tcPr>
            <w:tcW w:w="1780" w:type="dxa"/>
            <w:vAlign w:val="bottom"/>
          </w:tcPr>
          <w:p>
            <w:pPr>
              <w:ind w:left="220"/>
              <w:spacing w:after="0"/>
              <w:rPr>
                <w:sz w:val="20"/>
                <w:szCs w:val="20"/>
                <w:color w:val="auto"/>
              </w:rPr>
            </w:pPr>
            <w:r>
              <w:rPr>
                <w:rFonts w:ascii="Courier New" w:cs="Courier New" w:eastAsia="Courier New" w:hAnsi="Courier New"/>
                <w:sz w:val="14"/>
                <w:szCs w:val="14"/>
                <w:color w:val="auto"/>
              </w:rPr>
              <w:t>CLASS A</w:t>
            </w:r>
          </w:p>
        </w:tc>
        <w:tc>
          <w:tcPr>
            <w:tcW w:w="180" w:type="dxa"/>
            <w:vAlign w:val="bottom"/>
          </w:tcPr>
          <w:p>
            <w:pPr>
              <w:spacing w:after="0"/>
              <w:rPr>
                <w:sz w:val="14"/>
                <w:szCs w:val="14"/>
                <w:color w:val="auto"/>
              </w:rPr>
            </w:pPr>
          </w:p>
        </w:tc>
        <w:tc>
          <w:tcPr>
            <w:tcW w:w="1780" w:type="dxa"/>
            <w:vAlign w:val="bottom"/>
          </w:tcPr>
          <w:p>
            <w:pPr>
              <w:ind w:left="260"/>
              <w:spacing w:after="0"/>
              <w:rPr>
                <w:sz w:val="20"/>
                <w:szCs w:val="20"/>
                <w:color w:val="auto"/>
              </w:rPr>
            </w:pPr>
            <w:r>
              <w:rPr>
                <w:rFonts w:ascii="Courier New" w:cs="Courier New" w:eastAsia="Courier New" w:hAnsi="Courier New"/>
                <w:sz w:val="14"/>
                <w:szCs w:val="14"/>
                <w:color w:val="auto"/>
              </w:rPr>
              <w:t>CLASS B</w:t>
            </w:r>
          </w:p>
        </w:tc>
        <w:tc>
          <w:tcPr>
            <w:tcW w:w="16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NEW</w:t>
            </w:r>
          </w:p>
        </w:tc>
      </w:tr>
      <w:tr>
        <w:trPr>
          <w:trHeight w:val="167"/>
        </w:trPr>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OR LIMITATION</w:t>
            </w:r>
          </w:p>
        </w:tc>
        <w:tc>
          <w:tcPr>
            <w:tcW w:w="18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COMMON STOCK</w:t>
            </w:r>
          </w:p>
        </w:tc>
        <w:tc>
          <w:tcPr>
            <w:tcW w:w="18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16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COMMON STOCK</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r>
      <w:tr>
        <w:trPr>
          <w:trHeight w:val="334"/>
        </w:trPr>
        <w:tc>
          <w:tcPr>
            <w:tcW w:w="1520" w:type="dxa"/>
            <w:vAlign w:val="bottom"/>
          </w:tcPr>
          <w:p>
            <w:pPr>
              <w:spacing w:after="0"/>
              <w:rPr>
                <w:sz w:val="20"/>
                <w:szCs w:val="20"/>
                <w:color w:val="auto"/>
              </w:rPr>
            </w:pPr>
            <w:r>
              <w:rPr>
                <w:rFonts w:ascii="Courier New" w:cs="Courier New" w:eastAsia="Courier New" w:hAnsi="Courier New"/>
                <w:sz w:val="14"/>
                <w:szCs w:val="14"/>
                <w:color w:val="auto"/>
              </w:rPr>
              <w:t>Election or</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Holders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Holders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Holders</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Removal of</w:t>
            </w: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entitled to</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entitled to</w:t>
            </w:r>
          </w:p>
        </w:tc>
        <w:tc>
          <w:tcPr>
            <w:tcW w:w="16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entitled to</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80.1% of the</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19.9% of the</w:t>
            </w:r>
          </w:p>
        </w:tc>
        <w:tc>
          <w:tcPr>
            <w:tcW w:w="16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elect or</w:t>
            </w:r>
          </w:p>
        </w:tc>
      </w:tr>
      <w:tr>
        <w:trPr>
          <w:trHeight w:val="167"/>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total voting</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total voting</w:t>
            </w:r>
          </w:p>
        </w:tc>
        <w:tc>
          <w:tcPr>
            <w:tcW w:w="16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remove all</w:t>
            </w:r>
          </w:p>
        </w:tc>
      </w:tr>
      <w:tr>
        <w:trPr>
          <w:trHeight w:val="167"/>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power with</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power with</w:t>
            </w:r>
          </w:p>
        </w:tc>
        <w:tc>
          <w:tcPr>
            <w:tcW w:w="16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the directors.</w:t>
            </w:r>
          </w:p>
        </w:tc>
      </w:tr>
      <w:tr>
        <w:trPr>
          <w:trHeight w:val="167"/>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respect to the</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respect to the</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election or</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election or</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removal of</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removal of</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directors.</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directors.</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Class Voting:</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On all matters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On all matters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Holders vote</w:t>
            </w:r>
          </w:p>
        </w:tc>
      </w:tr>
      <w:tr>
        <w:trPr>
          <w:trHeight w:val="167"/>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(other than</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(other than</w:t>
            </w:r>
          </w:p>
        </w:tc>
        <w:tc>
          <w:tcPr>
            <w:tcW w:w="16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as a single</w:t>
            </w:r>
          </w:p>
        </w:tc>
      </w:tr>
      <w:tr>
        <w:trPr>
          <w:trHeight w:val="167"/>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the election</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the election</w:t>
            </w:r>
          </w:p>
        </w:tc>
        <w:tc>
          <w:tcPr>
            <w:tcW w:w="16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class on all</w:t>
            </w:r>
          </w:p>
        </w:tc>
      </w:tr>
      <w:tr>
        <w:trPr>
          <w:trHeight w:val="167"/>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or removal</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or removal</w:t>
            </w:r>
          </w:p>
        </w:tc>
        <w:tc>
          <w:tcPr>
            <w:tcW w:w="16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matters.</w:t>
            </w:r>
          </w:p>
        </w:tc>
      </w:tr>
      <w:tr>
        <w:trPr>
          <w:trHeight w:val="167"/>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of directors)</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of directors)</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the approval</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the approval</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of holders of</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of holders of</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each Class,</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each Class,</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voting separately,</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voting separately,</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is required.</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is required.</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668"/>
        </w:trPr>
        <w:tc>
          <w:tcPr>
            <w:tcW w:w="1520" w:type="dxa"/>
            <w:vAlign w:val="bottom"/>
          </w:tcPr>
          <w:p>
            <w:pPr>
              <w:spacing w:after="0"/>
              <w:rPr>
                <w:sz w:val="20"/>
                <w:szCs w:val="20"/>
                <w:color w:val="auto"/>
              </w:rPr>
            </w:pPr>
            <w:r>
              <w:rPr>
                <w:rFonts w:ascii="Courier New" w:cs="Courier New" w:eastAsia="Courier New" w:hAnsi="Courier New"/>
                <w:sz w:val="14"/>
                <w:szCs w:val="14"/>
                <w:color w:val="auto"/>
              </w:rPr>
              <w:t>Dividends and</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Dividends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Dividends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Except as</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Stock Splits</w:t>
            </w: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payable or</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payable or</w:t>
            </w:r>
          </w:p>
        </w:tc>
        <w:tc>
          <w:tcPr>
            <w:tcW w:w="16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prohibited</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and</w:t>
            </w: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stock divisions</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stock divisions</w:t>
            </w:r>
          </w:p>
        </w:tc>
        <w:tc>
          <w:tcPr>
            <w:tcW w:w="16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under Delaware</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Combinations:</w:t>
            </w: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or combinations</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or combinations</w:t>
            </w:r>
          </w:p>
        </w:tc>
        <w:tc>
          <w:tcPr>
            <w:tcW w:w="16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law, no</w:t>
            </w:r>
          </w:p>
        </w:tc>
      </w:tr>
      <w:tr>
        <w:trPr>
          <w:trHeight w:val="167"/>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with respect</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with respect</w:t>
            </w:r>
          </w:p>
        </w:tc>
        <w:tc>
          <w:tcPr>
            <w:tcW w:w="16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prohibition on</w:t>
            </w:r>
          </w:p>
        </w:tc>
      </w:tr>
      <w:tr>
        <w:trPr>
          <w:trHeight w:val="167"/>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to shares of</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to shares of</w:t>
            </w:r>
          </w:p>
        </w:tc>
        <w:tc>
          <w:tcPr>
            <w:tcW w:w="16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the payment of</w:t>
            </w:r>
          </w:p>
        </w:tc>
      </w:tr>
      <w:tr>
        <w:trPr>
          <w:trHeight w:val="167"/>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Class A common</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Class B common</w:t>
            </w:r>
          </w:p>
        </w:tc>
        <w:tc>
          <w:tcPr>
            <w:tcW w:w="16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dividends or</w:t>
            </w:r>
          </w:p>
        </w:tc>
      </w:tr>
      <w:tr>
        <w:trPr>
          <w:trHeight w:val="167"/>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stock must be</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stock must be</w:t>
            </w:r>
          </w:p>
        </w:tc>
        <w:tc>
          <w:tcPr>
            <w:tcW w:w="16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stock</w:t>
            </w:r>
          </w:p>
        </w:tc>
      </w:tr>
      <w:tr>
        <w:trPr>
          <w:trHeight w:val="167"/>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made pro rata</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made pro rata</w:t>
            </w:r>
          </w:p>
        </w:tc>
        <w:tc>
          <w:tcPr>
            <w:tcW w:w="16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divisions or</w:t>
            </w:r>
          </w:p>
        </w:tc>
      </w:tr>
      <w:tr>
        <w:trPr>
          <w:trHeight w:val="167"/>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with shares of</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with shares of</w:t>
            </w:r>
          </w:p>
        </w:tc>
        <w:tc>
          <w:tcPr>
            <w:tcW w:w="16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combinations.</w:t>
            </w:r>
          </w:p>
        </w:tc>
      </w:tr>
      <w:tr>
        <w:trPr>
          <w:trHeight w:val="167"/>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Class B common</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Class A common</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stock.</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stock.</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4"/>
        </w:trPr>
        <w:tc>
          <w:tcPr>
            <w:tcW w:w="1520" w:type="dxa"/>
            <w:vAlign w:val="bottom"/>
          </w:tcPr>
          <w:p>
            <w:pPr>
              <w:spacing w:after="0"/>
              <w:rPr>
                <w:sz w:val="20"/>
                <w:szCs w:val="20"/>
                <w:color w:val="auto"/>
              </w:rPr>
            </w:pPr>
            <w:r>
              <w:rPr>
                <w:rFonts w:ascii="Courier New" w:cs="Courier New" w:eastAsia="Courier New" w:hAnsi="Courier New"/>
                <w:sz w:val="14"/>
                <w:szCs w:val="14"/>
                <w:color w:val="auto"/>
              </w:rPr>
              <w:t>Liquidation,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Participate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Participate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Participate</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Dissolution,</w:t>
            </w: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pro rata with</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pro rata with</w:t>
            </w:r>
          </w:p>
        </w:tc>
        <w:tc>
          <w:tcPr>
            <w:tcW w:w="16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pro rata with</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Mergers,</w:t>
            </w: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the holders of</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the holders of</w:t>
            </w:r>
          </w:p>
        </w:tc>
        <w:tc>
          <w:tcPr>
            <w:tcW w:w="16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other holders</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Consolidations,</w:t>
            </w: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Class B common</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Class A common</w:t>
            </w:r>
          </w:p>
        </w:tc>
        <w:tc>
          <w:tcPr>
            <w:tcW w:w="16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of New Common</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or other</w:t>
            </w:r>
          </w:p>
        </w:tc>
        <w:tc>
          <w:tcPr>
            <w:tcW w:w="18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stock.</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stock.</w:t>
            </w:r>
          </w:p>
        </w:tc>
        <w:tc>
          <w:tcPr>
            <w:tcW w:w="16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Stock.</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reorganizations:</w:t>
            </w: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4"/>
        </w:trPr>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-53-</w:t>
            </w: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RIGHT, POWER</w:t>
            </w:r>
          </w:p>
        </w:tc>
        <w:tc>
          <w:tcPr>
            <w:tcW w:w="1840" w:type="dxa"/>
            <w:vAlign w:val="bottom"/>
          </w:tcPr>
          <w:p>
            <w:pPr>
              <w:ind w:left="400"/>
              <w:spacing w:after="0"/>
              <w:rPr>
                <w:sz w:val="20"/>
                <w:szCs w:val="20"/>
                <w:color w:val="auto"/>
              </w:rPr>
            </w:pPr>
            <w:r>
              <w:rPr>
                <w:rFonts w:ascii="Courier New" w:cs="Courier New" w:eastAsia="Courier New" w:hAnsi="Courier New"/>
                <w:sz w:val="14"/>
                <w:szCs w:val="14"/>
                <w:color w:val="auto"/>
              </w:rPr>
              <w:t>CLASS A</w:t>
            </w:r>
          </w:p>
        </w:tc>
        <w:tc>
          <w:tcPr>
            <w:tcW w:w="1900" w:type="dxa"/>
            <w:vAlign w:val="bottom"/>
          </w:tcPr>
          <w:p>
            <w:pPr>
              <w:ind w:left="560"/>
              <w:spacing w:after="0"/>
              <w:rPr>
                <w:sz w:val="20"/>
                <w:szCs w:val="20"/>
                <w:color w:val="auto"/>
              </w:rPr>
            </w:pPr>
            <w:r>
              <w:rPr>
                <w:rFonts w:ascii="Courier New" w:cs="Courier New" w:eastAsia="Courier New" w:hAnsi="Courier New"/>
                <w:sz w:val="14"/>
                <w:szCs w:val="14"/>
                <w:color w:val="auto"/>
              </w:rPr>
              <w:t>CLASS B</w:t>
            </w:r>
          </w:p>
        </w:tc>
        <w:tc>
          <w:tcPr>
            <w:tcW w:w="1780" w:type="dxa"/>
            <w:vAlign w:val="bottom"/>
          </w:tcPr>
          <w:p>
            <w:pPr>
              <w:ind w:left="660"/>
              <w:spacing w:after="0"/>
              <w:rPr>
                <w:sz w:val="20"/>
                <w:szCs w:val="20"/>
                <w:color w:val="auto"/>
              </w:rPr>
            </w:pPr>
            <w:r>
              <w:rPr>
                <w:rFonts w:ascii="Courier New" w:cs="Courier New" w:eastAsia="Courier New" w:hAnsi="Courier New"/>
                <w:sz w:val="14"/>
                <w:szCs w:val="14"/>
                <w:color w:val="auto"/>
              </w:rPr>
              <w:t>NEW</w:t>
            </w:r>
          </w:p>
        </w:tc>
      </w:tr>
      <w:tr>
        <w:trPr>
          <w:trHeight w:val="167"/>
        </w:trPr>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OR LIMITATION</w:t>
            </w:r>
          </w:p>
        </w:tc>
        <w:tc>
          <w:tcPr>
            <w:tcW w:w="1840" w:type="dxa"/>
            <w:vAlign w:val="bottom"/>
          </w:tcPr>
          <w:p>
            <w:pPr>
              <w:ind w:left="220"/>
              <w:spacing w:after="0"/>
              <w:rPr>
                <w:sz w:val="20"/>
                <w:szCs w:val="20"/>
                <w:color w:val="auto"/>
              </w:rPr>
            </w:pPr>
            <w:r>
              <w:rPr>
                <w:rFonts w:ascii="Courier New" w:cs="Courier New" w:eastAsia="Courier New" w:hAnsi="Courier New"/>
                <w:sz w:val="14"/>
                <w:szCs w:val="14"/>
                <w:color w:val="auto"/>
              </w:rPr>
              <w:t>COMMON STOCK</w:t>
            </w: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COMMON STOCK</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COMMON STOCK</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334"/>
        </w:trPr>
        <w:tc>
          <w:tcPr>
            <w:tcW w:w="15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840" w:type="dxa"/>
            <w:vAlign w:val="bottom"/>
          </w:tcPr>
          <w:p>
            <w:pPr>
              <w:ind w:left="60"/>
              <w:spacing w:after="0"/>
              <w:rPr>
                <w:sz w:val="20"/>
                <w:szCs w:val="20"/>
                <w:color w:val="auto"/>
              </w:rPr>
            </w:pPr>
            <w:r>
              <w:rPr>
                <w:rFonts w:ascii="Courier New" w:cs="Courier New" w:eastAsia="Courier New" w:hAnsi="Courier New"/>
                <w:sz w:val="14"/>
                <w:szCs w:val="14"/>
                <w:color w:val="auto"/>
              </w:rPr>
              <w:t>-  company</w:t>
            </w:r>
          </w:p>
        </w:tc>
        <w:tc>
          <w:tcPr>
            <w:tcW w:w="1900" w:type="dxa"/>
            <w:vAlign w:val="bottom"/>
          </w:tcPr>
          <w:p>
            <w:pPr>
              <w:ind w:left="200"/>
              <w:spacing w:after="0"/>
              <w:rPr>
                <w:sz w:val="20"/>
                <w:szCs w:val="20"/>
                <w:color w:val="auto"/>
              </w:rPr>
            </w:pPr>
            <w:r>
              <w:rPr>
                <w:rFonts w:ascii="Courier New" w:cs="Courier New" w:eastAsia="Courier New" w:hAnsi="Courier New"/>
                <w:sz w:val="14"/>
                <w:szCs w:val="14"/>
                <w:color w:val="auto"/>
              </w:rPr>
              <w:t>-  company</w:t>
            </w: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  Except as</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Repurchases:</w:t>
            </w:r>
          </w:p>
        </w:tc>
        <w:tc>
          <w:tcPr>
            <w:tcW w:w="1840" w:type="dxa"/>
            <w:vAlign w:val="bottom"/>
          </w:tcPr>
          <w:p>
            <w:pPr>
              <w:ind w:left="320"/>
              <w:spacing w:after="0"/>
              <w:rPr>
                <w:sz w:val="20"/>
                <w:szCs w:val="20"/>
                <w:color w:val="auto"/>
              </w:rPr>
            </w:pPr>
            <w:r>
              <w:rPr>
                <w:rFonts w:ascii="Courier New" w:cs="Courier New" w:eastAsia="Courier New" w:hAnsi="Courier New"/>
                <w:sz w:val="14"/>
                <w:szCs w:val="14"/>
                <w:color w:val="auto"/>
              </w:rPr>
              <w:t>repurchases of</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repurchases of</w:t>
            </w:r>
          </w:p>
        </w:tc>
        <w:tc>
          <w:tcPr>
            <w:tcW w:w="1780" w:type="dxa"/>
            <w:vAlign w:val="bottom"/>
          </w:tcPr>
          <w:p>
            <w:pPr>
              <w:ind w:left="400"/>
              <w:spacing w:after="0"/>
              <w:rPr>
                <w:sz w:val="20"/>
                <w:szCs w:val="20"/>
                <w:color w:val="auto"/>
              </w:rPr>
            </w:pPr>
            <w:r>
              <w:rPr>
                <w:rFonts w:ascii="Courier New" w:cs="Courier New" w:eastAsia="Courier New" w:hAnsi="Courier New"/>
                <w:sz w:val="14"/>
                <w:szCs w:val="14"/>
                <w:color w:val="auto"/>
              </w:rPr>
              <w:t>prohibited</w:t>
            </w:r>
          </w:p>
        </w:tc>
      </w:tr>
      <w:tr>
        <w:trPr>
          <w:trHeight w:val="167"/>
        </w:trPr>
        <w:tc>
          <w:tcPr>
            <w:tcW w:w="1520" w:type="dxa"/>
            <w:vAlign w:val="bottom"/>
          </w:tcPr>
          <w:p>
            <w:pPr>
              <w:spacing w:after="0"/>
              <w:rPr>
                <w:sz w:val="14"/>
                <w:szCs w:val="14"/>
                <w:color w:val="auto"/>
              </w:rPr>
            </w:pPr>
          </w:p>
        </w:tc>
        <w:tc>
          <w:tcPr>
            <w:tcW w:w="1840" w:type="dxa"/>
            <w:vAlign w:val="bottom"/>
          </w:tcPr>
          <w:p>
            <w:pPr>
              <w:ind w:left="320"/>
              <w:spacing w:after="0"/>
              <w:rPr>
                <w:sz w:val="20"/>
                <w:szCs w:val="20"/>
                <w:color w:val="auto"/>
              </w:rPr>
            </w:pPr>
            <w:r>
              <w:rPr>
                <w:rFonts w:ascii="Courier New" w:cs="Courier New" w:eastAsia="Courier New" w:hAnsi="Courier New"/>
                <w:sz w:val="14"/>
                <w:szCs w:val="14"/>
                <w:color w:val="auto"/>
              </w:rPr>
              <w:t>Class A stock</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Class B stock</w:t>
            </w:r>
          </w:p>
        </w:tc>
        <w:tc>
          <w:tcPr>
            <w:tcW w:w="1780" w:type="dxa"/>
            <w:vAlign w:val="bottom"/>
          </w:tcPr>
          <w:p>
            <w:pPr>
              <w:ind w:left="400"/>
              <w:spacing w:after="0"/>
              <w:rPr>
                <w:sz w:val="20"/>
                <w:szCs w:val="20"/>
                <w:color w:val="auto"/>
              </w:rPr>
            </w:pPr>
            <w:r>
              <w:rPr>
                <w:rFonts w:ascii="Courier New" w:cs="Courier New" w:eastAsia="Courier New" w:hAnsi="Courier New"/>
                <w:sz w:val="14"/>
                <w:szCs w:val="14"/>
                <w:color w:val="auto"/>
              </w:rPr>
              <w:t>under</w:t>
            </w:r>
          </w:p>
        </w:tc>
      </w:tr>
      <w:tr>
        <w:trPr>
          <w:trHeight w:val="167"/>
        </w:trPr>
        <w:tc>
          <w:tcPr>
            <w:tcW w:w="1520" w:type="dxa"/>
            <w:vAlign w:val="bottom"/>
          </w:tcPr>
          <w:p>
            <w:pPr>
              <w:spacing w:after="0"/>
              <w:rPr>
                <w:sz w:val="14"/>
                <w:szCs w:val="14"/>
                <w:color w:val="auto"/>
              </w:rPr>
            </w:pPr>
          </w:p>
        </w:tc>
        <w:tc>
          <w:tcPr>
            <w:tcW w:w="1840" w:type="dxa"/>
            <w:vAlign w:val="bottom"/>
          </w:tcPr>
          <w:p>
            <w:pPr>
              <w:ind w:left="320"/>
              <w:spacing w:after="0"/>
              <w:rPr>
                <w:sz w:val="20"/>
                <w:szCs w:val="20"/>
                <w:color w:val="auto"/>
              </w:rPr>
            </w:pPr>
            <w:r>
              <w:rPr>
                <w:rFonts w:ascii="Courier New" w:cs="Courier New" w:eastAsia="Courier New" w:hAnsi="Courier New"/>
                <w:sz w:val="14"/>
                <w:szCs w:val="14"/>
                <w:color w:val="auto"/>
              </w:rPr>
              <w:t>must be</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must be</w:t>
            </w:r>
          </w:p>
        </w:tc>
        <w:tc>
          <w:tcPr>
            <w:tcW w:w="1780" w:type="dxa"/>
            <w:vAlign w:val="bottom"/>
          </w:tcPr>
          <w:p>
            <w:pPr>
              <w:ind w:left="400"/>
              <w:spacing w:after="0"/>
              <w:rPr>
                <w:sz w:val="20"/>
                <w:szCs w:val="20"/>
                <w:color w:val="auto"/>
              </w:rPr>
            </w:pPr>
            <w:r>
              <w:rPr>
                <w:rFonts w:ascii="Courier New" w:cs="Courier New" w:eastAsia="Courier New" w:hAnsi="Courier New"/>
                <w:sz w:val="14"/>
                <w:szCs w:val="14"/>
                <w:color w:val="auto"/>
              </w:rPr>
              <w:t>applicable law,</w:t>
            </w:r>
          </w:p>
        </w:tc>
      </w:tr>
      <w:tr>
        <w:trPr>
          <w:trHeight w:val="167"/>
        </w:trPr>
        <w:tc>
          <w:tcPr>
            <w:tcW w:w="1520" w:type="dxa"/>
            <w:vAlign w:val="bottom"/>
          </w:tcPr>
          <w:p>
            <w:pPr>
              <w:spacing w:after="0"/>
              <w:rPr>
                <w:sz w:val="14"/>
                <w:szCs w:val="14"/>
                <w:color w:val="auto"/>
              </w:rPr>
            </w:pPr>
          </w:p>
        </w:tc>
        <w:tc>
          <w:tcPr>
            <w:tcW w:w="1840" w:type="dxa"/>
            <w:vAlign w:val="bottom"/>
          </w:tcPr>
          <w:p>
            <w:pPr>
              <w:ind w:left="320"/>
              <w:spacing w:after="0"/>
              <w:rPr>
                <w:sz w:val="20"/>
                <w:szCs w:val="20"/>
                <w:color w:val="auto"/>
              </w:rPr>
            </w:pPr>
            <w:r>
              <w:rPr>
                <w:rFonts w:ascii="Courier New" w:cs="Courier New" w:eastAsia="Courier New" w:hAnsi="Courier New"/>
                <w:sz w:val="14"/>
                <w:szCs w:val="14"/>
                <w:color w:val="auto"/>
              </w:rPr>
              <w:t>effected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effected</w:t>
            </w:r>
          </w:p>
        </w:tc>
        <w:tc>
          <w:tcPr>
            <w:tcW w:w="1780" w:type="dxa"/>
            <w:vAlign w:val="bottom"/>
          </w:tcPr>
          <w:p>
            <w:pPr>
              <w:ind w:left="400"/>
              <w:spacing w:after="0"/>
              <w:rPr>
                <w:sz w:val="20"/>
                <w:szCs w:val="20"/>
                <w:color w:val="auto"/>
              </w:rPr>
            </w:pPr>
            <w:r>
              <w:rPr>
                <w:rFonts w:ascii="Courier New" w:cs="Courier New" w:eastAsia="Courier New" w:hAnsi="Courier New"/>
                <w:sz w:val="14"/>
                <w:szCs w:val="14"/>
                <w:color w:val="auto"/>
              </w:rPr>
              <w:t>no prohibitions</w:t>
            </w:r>
          </w:p>
        </w:tc>
      </w:tr>
      <w:tr>
        <w:trPr>
          <w:trHeight w:val="167"/>
        </w:trPr>
        <w:tc>
          <w:tcPr>
            <w:tcW w:w="1520" w:type="dxa"/>
            <w:vAlign w:val="bottom"/>
          </w:tcPr>
          <w:p>
            <w:pPr>
              <w:spacing w:after="0"/>
              <w:rPr>
                <w:sz w:val="14"/>
                <w:szCs w:val="14"/>
                <w:color w:val="auto"/>
              </w:rPr>
            </w:pPr>
          </w:p>
        </w:tc>
        <w:tc>
          <w:tcPr>
            <w:tcW w:w="1840" w:type="dxa"/>
            <w:vAlign w:val="bottom"/>
          </w:tcPr>
          <w:p>
            <w:pPr>
              <w:ind w:left="320"/>
              <w:spacing w:after="0"/>
              <w:rPr>
                <w:sz w:val="20"/>
                <w:szCs w:val="20"/>
                <w:color w:val="auto"/>
              </w:rPr>
            </w:pPr>
            <w:r>
              <w:rPr>
                <w:rFonts w:ascii="Courier New" w:cs="Courier New" w:eastAsia="Courier New" w:hAnsi="Courier New"/>
                <w:sz w:val="14"/>
                <w:szCs w:val="14"/>
                <w:color w:val="auto"/>
              </w:rPr>
              <w:t>ratably, and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ratably, and</w:t>
            </w:r>
          </w:p>
        </w:tc>
        <w:tc>
          <w:tcPr>
            <w:tcW w:w="1780" w:type="dxa"/>
            <w:vAlign w:val="bottom"/>
          </w:tcPr>
          <w:p>
            <w:pPr>
              <w:ind w:left="400"/>
              <w:spacing w:after="0"/>
              <w:rPr>
                <w:sz w:val="20"/>
                <w:szCs w:val="20"/>
                <w:color w:val="auto"/>
              </w:rPr>
            </w:pPr>
            <w:r>
              <w:rPr>
                <w:rFonts w:ascii="Courier New" w:cs="Courier New" w:eastAsia="Courier New" w:hAnsi="Courier New"/>
                <w:sz w:val="14"/>
                <w:szCs w:val="14"/>
                <w:color w:val="auto"/>
              </w:rPr>
              <w:t>on stock</w:t>
            </w:r>
          </w:p>
        </w:tc>
      </w:tr>
      <w:tr>
        <w:trPr>
          <w:trHeight w:val="167"/>
        </w:trPr>
        <w:tc>
          <w:tcPr>
            <w:tcW w:w="1520" w:type="dxa"/>
            <w:vAlign w:val="bottom"/>
          </w:tcPr>
          <w:p>
            <w:pPr>
              <w:spacing w:after="0"/>
              <w:rPr>
                <w:sz w:val="14"/>
                <w:szCs w:val="14"/>
                <w:color w:val="auto"/>
              </w:rPr>
            </w:pPr>
          </w:p>
        </w:tc>
        <w:tc>
          <w:tcPr>
            <w:tcW w:w="1840" w:type="dxa"/>
            <w:vAlign w:val="bottom"/>
          </w:tcPr>
          <w:p>
            <w:pPr>
              <w:ind w:left="320"/>
              <w:spacing w:after="0"/>
              <w:rPr>
                <w:sz w:val="20"/>
                <w:szCs w:val="20"/>
                <w:color w:val="auto"/>
              </w:rPr>
            </w:pPr>
            <w:r>
              <w:rPr>
                <w:rFonts w:ascii="Courier New" w:cs="Courier New" w:eastAsia="Courier New" w:hAnsi="Courier New"/>
                <w:sz w:val="14"/>
                <w:szCs w:val="14"/>
                <w:color w:val="auto"/>
              </w:rPr>
              <w:t>in a</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in a</w:t>
            </w:r>
          </w:p>
        </w:tc>
        <w:tc>
          <w:tcPr>
            <w:tcW w:w="1780" w:type="dxa"/>
            <w:vAlign w:val="bottom"/>
          </w:tcPr>
          <w:p>
            <w:pPr>
              <w:ind w:left="400"/>
              <w:spacing w:after="0"/>
              <w:rPr>
                <w:sz w:val="20"/>
                <w:szCs w:val="20"/>
                <w:color w:val="auto"/>
              </w:rPr>
            </w:pPr>
            <w:r>
              <w:rPr>
                <w:rFonts w:ascii="Courier New" w:cs="Courier New" w:eastAsia="Courier New" w:hAnsi="Courier New"/>
                <w:sz w:val="14"/>
                <w:szCs w:val="14"/>
                <w:color w:val="auto"/>
              </w:rPr>
              <w:t>repurchases.</w:t>
            </w:r>
          </w:p>
        </w:tc>
      </w:tr>
      <w:tr>
        <w:trPr>
          <w:trHeight w:val="167"/>
        </w:trPr>
        <w:tc>
          <w:tcPr>
            <w:tcW w:w="1520" w:type="dxa"/>
            <w:vAlign w:val="bottom"/>
          </w:tcPr>
          <w:p>
            <w:pPr>
              <w:spacing w:after="0"/>
              <w:rPr>
                <w:sz w:val="14"/>
                <w:szCs w:val="14"/>
                <w:color w:val="auto"/>
              </w:rPr>
            </w:pPr>
          </w:p>
        </w:tc>
        <w:tc>
          <w:tcPr>
            <w:tcW w:w="1840" w:type="dxa"/>
            <w:vAlign w:val="bottom"/>
          </w:tcPr>
          <w:p>
            <w:pPr>
              <w:ind w:left="320"/>
              <w:spacing w:after="0"/>
              <w:rPr>
                <w:sz w:val="20"/>
                <w:szCs w:val="20"/>
                <w:color w:val="auto"/>
              </w:rPr>
            </w:pPr>
            <w:r>
              <w:rPr>
                <w:rFonts w:ascii="Courier New" w:cs="Courier New" w:eastAsia="Courier New" w:hAnsi="Courier New"/>
                <w:sz w:val="14"/>
                <w:szCs w:val="14"/>
                <w:color w:val="auto"/>
              </w:rPr>
              <w:t>non-prejudicial</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non-prejudicial</w:t>
            </w:r>
          </w:p>
        </w:tc>
        <w:tc>
          <w:tcPr>
            <w:tcW w:w="1780" w:type="dxa"/>
            <w:vAlign w:val="bottom"/>
          </w:tcPr>
          <w:p>
            <w:pPr>
              <w:spacing w:after="0"/>
              <w:rPr>
                <w:sz w:val="14"/>
                <w:szCs w:val="14"/>
                <w:color w:val="auto"/>
              </w:rPr>
            </w:pPr>
          </w:p>
        </w:tc>
      </w:tr>
      <w:tr>
        <w:trPr>
          <w:trHeight w:val="167"/>
        </w:trPr>
        <w:tc>
          <w:tcPr>
            <w:tcW w:w="1520" w:type="dxa"/>
            <w:vAlign w:val="bottom"/>
          </w:tcPr>
          <w:p>
            <w:pPr>
              <w:spacing w:after="0"/>
              <w:rPr>
                <w:sz w:val="14"/>
                <w:szCs w:val="14"/>
                <w:color w:val="auto"/>
              </w:rPr>
            </w:pPr>
          </w:p>
        </w:tc>
        <w:tc>
          <w:tcPr>
            <w:tcW w:w="1840" w:type="dxa"/>
            <w:vAlign w:val="bottom"/>
          </w:tcPr>
          <w:p>
            <w:pPr>
              <w:ind w:left="320"/>
              <w:spacing w:after="0"/>
              <w:rPr>
                <w:sz w:val="20"/>
                <w:szCs w:val="20"/>
                <w:color w:val="auto"/>
              </w:rPr>
            </w:pPr>
            <w:r>
              <w:rPr>
                <w:rFonts w:ascii="Courier New" w:cs="Courier New" w:eastAsia="Courier New" w:hAnsi="Courier New"/>
                <w:sz w:val="14"/>
                <w:szCs w:val="14"/>
                <w:color w:val="auto"/>
              </w:rPr>
              <w:t>way, with</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way, with</w:t>
            </w:r>
          </w:p>
        </w:tc>
        <w:tc>
          <w:tcPr>
            <w:tcW w:w="1780" w:type="dxa"/>
            <w:vAlign w:val="bottom"/>
          </w:tcPr>
          <w:p>
            <w:pPr>
              <w:spacing w:after="0"/>
              <w:rPr>
                <w:sz w:val="14"/>
                <w:szCs w:val="14"/>
                <w:color w:val="auto"/>
              </w:rPr>
            </w:pPr>
          </w:p>
        </w:tc>
      </w:tr>
      <w:tr>
        <w:trPr>
          <w:trHeight w:val="167"/>
        </w:trPr>
        <w:tc>
          <w:tcPr>
            <w:tcW w:w="1520" w:type="dxa"/>
            <w:vAlign w:val="bottom"/>
          </w:tcPr>
          <w:p>
            <w:pPr>
              <w:spacing w:after="0"/>
              <w:rPr>
                <w:sz w:val="14"/>
                <w:szCs w:val="14"/>
                <w:color w:val="auto"/>
              </w:rPr>
            </w:pPr>
          </w:p>
        </w:tc>
        <w:tc>
          <w:tcPr>
            <w:tcW w:w="1840" w:type="dxa"/>
            <w:vAlign w:val="bottom"/>
          </w:tcPr>
          <w:p>
            <w:pPr>
              <w:ind w:left="320"/>
              <w:spacing w:after="0"/>
              <w:rPr>
                <w:sz w:val="20"/>
                <w:szCs w:val="20"/>
                <w:color w:val="auto"/>
              </w:rPr>
            </w:pPr>
            <w:r>
              <w:rPr>
                <w:rFonts w:ascii="Courier New" w:cs="Courier New" w:eastAsia="Courier New" w:hAnsi="Courier New"/>
                <w:sz w:val="14"/>
                <w:szCs w:val="14"/>
                <w:color w:val="auto"/>
              </w:rPr>
              <w:t>purchases of</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purchases of</w:t>
            </w:r>
          </w:p>
        </w:tc>
        <w:tc>
          <w:tcPr>
            <w:tcW w:w="1780" w:type="dxa"/>
            <w:vAlign w:val="bottom"/>
          </w:tcPr>
          <w:p>
            <w:pPr>
              <w:spacing w:after="0"/>
              <w:rPr>
                <w:sz w:val="14"/>
                <w:szCs w:val="14"/>
                <w:color w:val="auto"/>
              </w:rPr>
            </w:pPr>
          </w:p>
        </w:tc>
      </w:tr>
      <w:tr>
        <w:trPr>
          <w:trHeight w:val="167"/>
        </w:trPr>
        <w:tc>
          <w:tcPr>
            <w:tcW w:w="1520" w:type="dxa"/>
            <w:vAlign w:val="bottom"/>
          </w:tcPr>
          <w:p>
            <w:pPr>
              <w:spacing w:after="0"/>
              <w:rPr>
                <w:sz w:val="14"/>
                <w:szCs w:val="14"/>
                <w:color w:val="auto"/>
              </w:rPr>
            </w:pPr>
          </w:p>
        </w:tc>
        <w:tc>
          <w:tcPr>
            <w:tcW w:w="1840" w:type="dxa"/>
            <w:vAlign w:val="bottom"/>
          </w:tcPr>
          <w:p>
            <w:pPr>
              <w:ind w:left="320"/>
              <w:spacing w:after="0"/>
              <w:rPr>
                <w:sz w:val="20"/>
                <w:szCs w:val="20"/>
                <w:color w:val="auto"/>
              </w:rPr>
            </w:pPr>
            <w:r>
              <w:rPr>
                <w:rFonts w:ascii="Courier New" w:cs="Courier New" w:eastAsia="Courier New" w:hAnsi="Courier New"/>
                <w:sz w:val="14"/>
                <w:szCs w:val="14"/>
                <w:color w:val="auto"/>
              </w:rPr>
              <w:t>Class B common</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Class A common</w:t>
            </w:r>
          </w:p>
        </w:tc>
        <w:tc>
          <w:tcPr>
            <w:tcW w:w="1780" w:type="dxa"/>
            <w:vAlign w:val="bottom"/>
          </w:tcPr>
          <w:p>
            <w:pPr>
              <w:spacing w:after="0"/>
              <w:rPr>
                <w:sz w:val="14"/>
                <w:szCs w:val="14"/>
                <w:color w:val="auto"/>
              </w:rPr>
            </w:pPr>
          </w:p>
        </w:tc>
      </w:tr>
      <w:tr>
        <w:trPr>
          <w:trHeight w:val="167"/>
        </w:trPr>
        <w:tc>
          <w:tcPr>
            <w:tcW w:w="1520" w:type="dxa"/>
            <w:vAlign w:val="bottom"/>
          </w:tcPr>
          <w:p>
            <w:pPr>
              <w:spacing w:after="0"/>
              <w:rPr>
                <w:sz w:val="14"/>
                <w:szCs w:val="14"/>
                <w:color w:val="auto"/>
              </w:rPr>
            </w:pPr>
          </w:p>
        </w:tc>
        <w:tc>
          <w:tcPr>
            <w:tcW w:w="1840" w:type="dxa"/>
            <w:vAlign w:val="bottom"/>
          </w:tcPr>
          <w:p>
            <w:pPr>
              <w:ind w:left="320"/>
              <w:spacing w:after="0"/>
              <w:rPr>
                <w:sz w:val="20"/>
                <w:szCs w:val="20"/>
                <w:color w:val="auto"/>
              </w:rPr>
            </w:pPr>
            <w:r>
              <w:rPr>
                <w:rFonts w:ascii="Courier New" w:cs="Courier New" w:eastAsia="Courier New" w:hAnsi="Courier New"/>
                <w:sz w:val="14"/>
                <w:szCs w:val="14"/>
                <w:color w:val="auto"/>
              </w:rPr>
              <w:t>stock</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stock</w:t>
            </w:r>
          </w:p>
        </w:tc>
        <w:tc>
          <w:tcPr>
            <w:tcW w:w="178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IMPACT OF AMENDMENT ON LISTING AND THE NEW YORK STOCK EXCHANGE AND ON OPERATIONS</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The shares of Class A common stock and Class B common stock are both listed on the New York Stock Exchange. After filing the Amendment with the State of Delaware, the shares of New Common Stock will be listed on the New York Stock Exchange. The company expects that the Amendment will have no impact on operations of the company. In addition, the Amendment involves no increase in the total number of shares of common stock authorized in the Certificate of Incorporation.</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INFORMATION</w:t>
      </w:r>
    </w:p>
    <w:p>
      <w:pPr>
        <w:spacing w:after="0" w:line="175" w:lineRule="exact"/>
        <w:rPr>
          <w:sz w:val="20"/>
          <w:szCs w:val="20"/>
          <w:color w:val="auto"/>
        </w:rPr>
      </w:pPr>
    </w:p>
    <w:p>
      <w:pPr>
        <w:ind w:right="3279" w:firstLine="1128"/>
        <w:spacing w:after="0" w:line="253" w:lineRule="auto"/>
        <w:rPr>
          <w:sz w:val="20"/>
          <w:szCs w:val="20"/>
          <w:color w:val="auto"/>
        </w:rPr>
      </w:pPr>
      <w:r>
        <w:rPr>
          <w:rFonts w:ascii="Courier New" w:cs="Courier New" w:eastAsia="Courier New" w:hAnsi="Courier New"/>
          <w:sz w:val="14"/>
          <w:szCs w:val="14"/>
          <w:color w:val="auto"/>
        </w:rPr>
        <w:t>The company believes that its shareholders can exercise prudent judgment with respect to the decision whether to vote for adoption of the Amendment without reference to financial statements of the company. The fiscal 2000 audited consolidated financial statements of the company are contained in our 2000 annual report, which is enclosed. In addition, the company will provide without charge to any shareholder, on the request of such shareholder, an additional copy of our 2000 annual report. Written or oral requests for such copies should be directed to the Raytheon Company, 141 Spring Street, Lexington, Massachusetts, 02421, Attention: Shareholder Services, telephone number (800) 360-4519. In addition, copies can be accessed on the company's Internet site at http://www.raytheon.com.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TAX CONSEQUENCES</w:t>
      </w:r>
    </w:p>
    <w:p>
      <w:pPr>
        <w:spacing w:after="0" w:line="17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The following discussion is intended only as a brief summary of the federal income tax consequences of the Amendment. This summary is not tax advice, is not exhaustive and does not describe state, local and foreign or certain other tax consequences of the proposed Amendment. You should consult your own tax advisor with respect to the tax consequences of the proposed Amendment, including tax reporting requirements and tax consequences under state, local or foreign law.</w:t>
      </w:r>
    </w:p>
    <w:p>
      <w:pPr>
        <w:spacing w:after="0" w:line="165"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The company believes that the reclassification of shares of Class A common stock and Class B common stock into shares of the New Common Stock pursuant to the Amendment will be treated as a tax-free recapitalization under Section 368(a)(1)(E) of the Code and, there-</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20" w:right="1440" w:bottom="1440" w:gutter="0" w:footer="0" w:header="0"/>
        </w:sectPr>
      </w:pPr>
    </w:p>
    <w:bookmarkStart w:id="56" w:name="page57"/>
    <w:bookmarkEnd w:id="56"/>
    <w:p>
      <w:pPr>
        <w:ind w:right="3279"/>
        <w:spacing w:after="0" w:line="253" w:lineRule="auto"/>
        <w:rPr>
          <w:sz w:val="20"/>
          <w:szCs w:val="20"/>
          <w:color w:val="auto"/>
        </w:rPr>
      </w:pPr>
      <w:r>
        <w:rPr>
          <w:rFonts w:ascii="Courier New" w:cs="Courier New" w:eastAsia="Courier New" w:hAnsi="Courier New"/>
          <w:sz w:val="14"/>
          <w:szCs w:val="14"/>
          <w:color w:val="auto"/>
        </w:rPr>
        <w:t>fore, (a) will not result in the recognition of any gain or loss by the holders of Class A common stock or Class B common stock, (b) the basis of the New Common Stock will be the same as the shareholder's basis in the Class A common stock or the Class B common stock, as the case may be, surrendered therefor, and (c) the holding period of the New Common Stock received by a shareholder will include such shareholder's holding period for the Class A common stock or the Class B common stock, as the case may be, surrendered therefor, provided that each share of the Class A common stock or the Class B common stock, as the case may be, held on the date of the reclassification is a capital asset as defined in Section 1221 of the Code.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 EXCHANGE OF CERTIFICATES; FRACTIONAL SHARES</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The Amendment will become effective when it is filed with the Secretary of State of the State of Delaware. If approved, the Amendment will be filed as soon as practicable after the annual meeting. However, if stockholders approve the Reverse/Forward Split, the Amendment will be filed as soon as practicable after the completion of the Reverse/Forward Split. At the effective time, shares of Class A common stock and Class B common stock will become shares of New Common Stock, without any action on your part.</w:t>
      </w:r>
    </w:p>
    <w:p>
      <w:pPr>
        <w:spacing w:after="0" w:line="16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Promptly after the effective time, EquiServe, our transfer agent, will mail each record holder of Class A common stock and Class B common stock holding shares in certificated form, instructions and transmittal materials for effecting the surrender of stock certificates for Class A common stock and Class B common stock in exchange for replacement certificates representing the number of whole shares of New Common Stock into which such shares of Class A common stock and Class B common stock have been reclassified. EquiServe will mail each record holder of Class A common stock and Class B common stock who holds shares in a book-entry account a statement reflecting the number of shares of New Common Stock registered in their accounts.</w:t>
      </w:r>
    </w:p>
    <w:p>
      <w:pPr>
        <w:spacing w:after="0" w:line="164" w:lineRule="exact"/>
        <w:rPr>
          <w:sz w:val="20"/>
          <w:szCs w:val="20"/>
          <w:color w:val="auto"/>
        </w:rPr>
      </w:pPr>
    </w:p>
    <w:p>
      <w:pPr>
        <w:ind w:right="3279" w:firstLine="1042"/>
        <w:spacing w:after="0" w:line="255" w:lineRule="auto"/>
        <w:rPr>
          <w:sz w:val="20"/>
          <w:szCs w:val="20"/>
          <w:color w:val="auto"/>
        </w:rPr>
      </w:pPr>
      <w:r>
        <w:rPr>
          <w:rFonts w:ascii="Courier New" w:cs="Courier New" w:eastAsia="Courier New" w:hAnsi="Courier New"/>
          <w:sz w:val="14"/>
          <w:szCs w:val="14"/>
          <w:color w:val="auto"/>
        </w:rPr>
        <w:t>No fractional shares will be issued in connection with the Amendment to the Certificate of Incorporation, other than to participants in Raytheon's Dividend Reinvestment and Stock Purchase Plan.</w:t>
      </w:r>
    </w:p>
    <w:p>
      <w:pPr>
        <w:spacing w:after="0" w:line="162" w:lineRule="exact"/>
        <w:rPr>
          <w:sz w:val="20"/>
          <w:szCs w:val="20"/>
          <w:color w:val="auto"/>
        </w:rPr>
      </w:pPr>
    </w:p>
    <w:p>
      <w:pPr>
        <w:jc w:val="both"/>
        <w:ind w:right="3459" w:firstLine="1042"/>
        <w:spacing w:after="0" w:line="255" w:lineRule="auto"/>
        <w:rPr>
          <w:sz w:val="20"/>
          <w:szCs w:val="20"/>
          <w:color w:val="auto"/>
        </w:rPr>
      </w:pPr>
      <w:r>
        <w:rPr>
          <w:rFonts w:ascii="Courier New" w:cs="Courier New" w:eastAsia="Courier New" w:hAnsi="Courier New"/>
          <w:sz w:val="14"/>
          <w:szCs w:val="14"/>
          <w:color w:val="auto"/>
        </w:rPr>
        <w:t>YOU ARE ASKED NOT TO SEND ANY CERTIFICATES WITH THE ENCLOSED PROXY AND NOT TO SURRENDER ANY CERTIFICATE FOR EXCHANGE UNTIL YOU HAVE RECEIVED SUCH TRANSMITTAL MATERIALS FROM THE TRANSFER AGENT.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RESERVATION OF RIGHTS</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The Board of Directors reserves the right to abandon the reclassification of the company's two classes of common stock without further action by the stockholders at any time before the filing of the amendment to the Restated Certificate of Incorporation with the Delaware Secretary of State, even if the reclassification has been authorized by the stockholders at the annual meeting.</w:t>
      </w:r>
    </w:p>
    <w:p>
      <w:pPr>
        <w:spacing w:after="0" w:line="165" w:lineRule="exact"/>
        <w:rPr>
          <w:sz w:val="20"/>
          <w:szCs w:val="20"/>
          <w:color w:val="auto"/>
        </w:rPr>
      </w:pPr>
    </w:p>
    <w:p>
      <w:pPr>
        <w:ind w:right="3459" w:firstLine="1042"/>
        <w:spacing w:after="0" w:line="255" w:lineRule="auto"/>
        <w:rPr>
          <w:sz w:val="20"/>
          <w:szCs w:val="20"/>
          <w:color w:val="auto"/>
        </w:rPr>
      </w:pPr>
      <w:r>
        <w:rPr>
          <w:rFonts w:ascii="Courier New" w:cs="Courier New" w:eastAsia="Courier New" w:hAnsi="Courier New"/>
          <w:sz w:val="14"/>
          <w:szCs w:val="14"/>
          <w:color w:val="auto"/>
        </w:rPr>
        <w:t>THE BOARD OF DIRECTORS RECOMMENDS THAT YOU VOTE FOR THIS PROPOSAL. PROXIES SOLICITED BY THE BOARD OF DIRECTORS WILL BE VOTED FOR THIS PROPOSAL, UNLESS YOU SPECIFY OTHERWISE IN YOUR PROXY.</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787" w:right="1440" w:bottom="1440" w:gutter="0" w:footer="0" w:header="0"/>
        </w:sectPr>
      </w:pPr>
    </w:p>
    <w:bookmarkStart w:id="57" w:name="page58"/>
    <w:bookmarkEnd w:id="57"/>
    <w:p>
      <w:pPr>
        <w:ind w:left="1840"/>
        <w:spacing w:after="0"/>
        <w:rPr>
          <w:sz w:val="20"/>
          <w:szCs w:val="20"/>
          <w:color w:val="auto"/>
        </w:rPr>
      </w:pPr>
      <w:r>
        <w:rPr>
          <w:rFonts w:ascii="Courier New" w:cs="Courier New" w:eastAsia="Courier New" w:hAnsi="Courier New"/>
          <w:sz w:val="14"/>
          <w:szCs w:val="14"/>
          <w:color w:val="auto"/>
        </w:rPr>
        <w:t>PROPOSAL TO APPROVE THE 2001 STOCK PLAN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(Item No. 4 on Proxy Card)</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On February 1, 2001, the Board of Directors adopted the Raytheon 2001 Stock Plan (which we refer to as the "2001 Plan") subject to stockholder approval. The Board of Directors believes that the 2001 Plan will be of substantial value in attracting and retaining key employees and in stimulating their efforts toward the continued success of the company and its subsidiaries. In that regard, the 2001 Plan will (a) align the long-term interests of key employees and stockholders by creating a direct link between key employee compensation and stockholder return, (b) enable key employees to develop and maintain a substantial stock ownership in the company and (c) provide incentives to such key employees to continue contributing to the success of the company.</w:t>
      </w:r>
    </w:p>
    <w:p>
      <w:pPr>
        <w:spacing w:after="0" w:line="164" w:lineRule="exact"/>
        <w:rPr>
          <w:sz w:val="20"/>
          <w:szCs w:val="20"/>
          <w:color w:val="auto"/>
        </w:rPr>
      </w:pPr>
    </w:p>
    <w:p>
      <w:pPr>
        <w:ind w:right="3979" w:firstLine="521"/>
        <w:spacing w:after="0" w:line="258" w:lineRule="auto"/>
        <w:rPr>
          <w:sz w:val="20"/>
          <w:szCs w:val="20"/>
          <w:color w:val="auto"/>
        </w:rPr>
      </w:pPr>
      <w:r>
        <w:rPr>
          <w:rFonts w:ascii="Courier New" w:cs="Courier New" w:eastAsia="Courier New" w:hAnsi="Courier New"/>
          <w:sz w:val="14"/>
          <w:szCs w:val="14"/>
          <w:color w:val="auto"/>
        </w:rPr>
        <w:t>The proposed Plan is set forth in Appendix E. A summary of the key provisions is set forth below:</w:t>
      </w:r>
    </w:p>
    <w:p>
      <w:pPr>
        <w:spacing w:after="0" w:line="160"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ADMINISTRATION. The 2001 Plan will be administered by the Options Subcommittee of the Management Development and Compensation Committee, which is comprised solely of independent directors (the "Committee"). The Committee selects participants and, in a manner consistent with the terms of the 2001 Plan, determines the number, type and duration of the awards to be granted and the terms and conditions of the award agreements. The Committee may delegate to the CEO certain authority under the 2001 Plan, including the authority to grant awards to eligible employees who are not officers subject to Section 16 of the Securities Exchange Act of 1934.</w:t>
      </w:r>
    </w:p>
    <w:p>
      <w:pPr>
        <w:spacing w:after="0" w:line="164"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ELIGIBILITY. Participants under the 2001 Plan shall consist of employees, officers, directors and consultants of the company or its affiliates who, in the opinion of the Committee, are responsible for the continued growth and development and future financial success of the business.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GRANTS UNDER THE PLAN.</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SHARES AVAILABLE. Twenty eight million shares of common stock will be available for awards under the 2001 Plan. The available shares constitute approximately 8% of the outstanding shares of the company as of January 31, 2001 and approximately 10% if combined with the 7.4 million shares currently available for grant under the 1995 Stock Option Plan.</w:t>
      </w:r>
    </w:p>
    <w:p>
      <w:pPr>
        <w:spacing w:after="0" w:line="162"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STOCK OPTIONS. Options granted under the 2001 Plan may be incentive stock options, which qualify for favorable tax treatment for the option holder as described below, or non-statutory stock options. However, options on no more than 14,000,000 shares may be granted as incentive stock options. The option price for both incentive stock options and non-statutory stock options may not be less than the fair market value of the company's common stock on the date the option is granted. The option price is payable in cash or in common stock of the company having a fair market value equal to the option exercise price. The proceeds received by the company from the sale of stock under the 2001 Plan are added to the general funds of the company.</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787" w:right="1440" w:bottom="1440" w:gutter="0" w:footer="0" w:header="0"/>
        </w:sectPr>
      </w:pPr>
    </w:p>
    <w:bookmarkStart w:id="58" w:name="page59"/>
    <w:bookmarkEnd w:id="58"/>
    <w:p>
      <w:pPr>
        <w:ind w:right="3279" w:firstLine="521"/>
        <w:spacing w:after="0" w:line="253" w:lineRule="auto"/>
        <w:rPr>
          <w:sz w:val="20"/>
          <w:szCs w:val="20"/>
          <w:color w:val="auto"/>
        </w:rPr>
      </w:pPr>
      <w:r>
        <w:rPr>
          <w:rFonts w:ascii="Courier New" w:cs="Courier New" w:eastAsia="Courier New" w:hAnsi="Courier New"/>
          <w:sz w:val="14"/>
          <w:szCs w:val="14"/>
          <w:color w:val="auto"/>
        </w:rPr>
        <w:t>All unexercised options terminate after a certain number of years, as determined by the Committee, but may not be longer than ten years in the case of incentive stock options. Unexercised options may terminate earlier as a result of the optionee's termination of employment or retirement. Shares under options that have terminated or lapsed unexercised, will be available again for issuance under the 2001 Plan.</w:t>
      </w:r>
    </w:p>
    <w:p>
      <w:pPr>
        <w:spacing w:after="0" w:line="16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Options are exercisable for Class B shares. However, if the shareholders approve and the company completes the reclassification of the Class A and Class B shares into a single new class of common stock, options will be exercisable for that new class of common stock. In the event of a change in the number or kind of outstanding shares of the company's common stock, stock split, recapitalization, merger or other change in the capital structure of the company, an appropriate adjustment may be made with respect to existing and future options.</w:t>
      </w:r>
    </w:p>
    <w:p>
      <w:pPr>
        <w:spacing w:after="0" w:line="332" w:lineRule="exact"/>
        <w:rPr>
          <w:sz w:val="20"/>
          <w:szCs w:val="20"/>
          <w:color w:val="auto"/>
        </w:rPr>
      </w:pPr>
    </w:p>
    <w:p>
      <w:pPr>
        <w:jc w:val="both"/>
        <w:ind w:right="3279" w:firstLine="521"/>
        <w:spacing w:after="0" w:line="255" w:lineRule="auto"/>
        <w:rPr>
          <w:sz w:val="20"/>
          <w:szCs w:val="20"/>
          <w:color w:val="auto"/>
        </w:rPr>
      </w:pPr>
      <w:r>
        <w:rPr>
          <w:rFonts w:ascii="Courier New" w:cs="Courier New" w:eastAsia="Courier New" w:hAnsi="Courier New"/>
          <w:sz w:val="14"/>
          <w:szCs w:val="14"/>
          <w:color w:val="auto"/>
        </w:rPr>
        <w:t>Options may be granted under the 2001 Plan until February 1, 2011. Options outstanding at that date will continue in effect in accordance with the terms of the 2001 Plan.</w:t>
      </w:r>
    </w:p>
    <w:p>
      <w:pPr>
        <w:spacing w:after="0" w:line="162"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STOCK APPRECIATION RIGHTS. The Committee may grant stock appreciation rights (which we refer to as "SARs"), either alone or in combination with an underlying stock option, under the 2001 Plan. The term of each SAR will be fixed by the Committee. SARs entitle the grantee to receipt of the same economic value that would have been derived from the exercise of an option. Payment may be made in cash, in shares or a combination of both at the discretion of the Committee. If a SAR is granted in tandem with an underlying stock option, exercise of the SAR will result in cancellation of the related option.</w:t>
      </w:r>
    </w:p>
    <w:p>
      <w:pPr>
        <w:spacing w:after="0" w:line="16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RESTRICTED STOCK AND STOCK UNIT AWARDS. The Committee may also award shares under a restricted stock award or stock unit award. A restricted stock award is an award of shares of company stock, while a stock unit award entitles the recipient to a payment equal to the value of company stock. Restricted unit awards may be settled in shares, cash or a combination thereof. Restricted stock grants and stock unit grants are generally awarded subject to vesting restrictions and conditions, such as remaining with the company for a predetermined period of time and/or the achievement of pre-established performance goals. If the recipient fails to achieve the designated goals or terminates his or her service prior to the expiration of the vesting period, the award is generally forfeited.</w:t>
      </w:r>
    </w:p>
    <w:p>
      <w:pPr>
        <w:spacing w:after="0" w:line="331"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TREATMENT OF AWARDS ON A CHANGE IN CONTROL. The 2001 Plan provides that upon a Change in Control each outstanding option or SAR becomes fully exercisable and the restrictions and deferral limitations applicable to any restricted stock award and stock unit award will lapse. A "Change in Control" generally includes the acquisition by a third party of twenty percent or more of the company's common stock, the replacement of the majority of the incumbent directors by individuals not approved by a majority of the incumbent Board, certain mergers, the sale of substantially all the assets or a liquidation of the company.</w:t>
      </w:r>
    </w:p>
    <w:p>
      <w:pPr>
        <w:spacing w:after="0" w:line="332"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FEDERAL INCOME TAX CONSEQUENCES. The following is a brief description of the company's understanding of the federal income tax consequences applicable to incentive stock options and non-statutory stock options granted under the 2001 Plan. This summary is not intended to constitute tax advice and specifically does not address any state, local or foreign tax consequences.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20" w:right="1440" w:bottom="1440" w:gutter="0" w:footer="0" w:header="0"/>
        </w:sectPr>
      </w:pPr>
    </w:p>
    <w:bookmarkStart w:id="59" w:name="page60"/>
    <w:bookmarkEnd w:id="59"/>
    <w:p>
      <w:pPr>
        <w:ind w:right="3279" w:firstLine="521"/>
        <w:spacing w:after="0" w:line="253" w:lineRule="auto"/>
        <w:rPr>
          <w:sz w:val="20"/>
          <w:szCs w:val="20"/>
          <w:color w:val="auto"/>
        </w:rPr>
      </w:pPr>
      <w:r>
        <w:rPr>
          <w:rFonts w:ascii="Courier New" w:cs="Courier New" w:eastAsia="Courier New" w:hAnsi="Courier New"/>
          <w:sz w:val="14"/>
          <w:szCs w:val="14"/>
          <w:color w:val="auto"/>
        </w:rPr>
        <w:t>INCENTIVE STOCK OPTIONS. The optionee pays no federal income tax upon the grant or exercise of incentive stock options. If the optionee disposes of the shares within two years after the date of the grant or one year after the date of exercise, the excess of the stock's fair market value on the date of exercise (or, if less, the amount realized on its sale) over the option price paid at exercise will generally be taxable ordinary income to the optionee. In such a case, the company will generally receive a deduction equal to the amount of taxable ordinary income to the optionee. If the stock is held beyond such period, any gain or loss realized upon the sale of such stock is treated as long-term capital gain or loss to the optionee and the company will not receive a tax deduction. In addition, subject to certain exceptions for death or disability, if an incentive stock option is exercised more than three months after termination of employment, the exercise of the option will generally be treated as the exercise of a non-statutory stock option.</w:t>
      </w:r>
    </w:p>
    <w:p>
      <w:pPr>
        <w:spacing w:after="0" w:line="163"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The exercise of an incentive stock option will give rise to an item of tax preference that may result in alternative minimum tax liability for the optionee unless the optionee disposes of the stock received upon exercise of the option within the same calendar year of exercise.</w:t>
      </w:r>
    </w:p>
    <w:p>
      <w:pPr>
        <w:spacing w:after="0" w:line="163"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NON-STATUTORY STOCK OPTIONS. A non-statutory stock option results in no taxable income to the optionee or deduction to the company at the time it is granted. An optionee exercising such an option will, at that time, realize taxable compensation in the amount of the difference between the option price and the then market value of the shares. A deduction for federal income tax purposes will generally be allowable to the company in the year of exercise in an amount equal to the taxable compensation realized by the optionee. The optionee's tax basis in the option shares is equal to the option price paid for such shares plus the amount includable in income upon exercise. At sale, appreciation (or depreciation) after the date of exercise is treated as either short-term or long-term capital gain (or loss) depending upon how long the shares have been held.</w:t>
      </w:r>
    </w:p>
    <w:p>
      <w:pPr>
        <w:spacing w:after="0" w:line="331"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STOCK APPRECIATION RIGHTS. The grant of a SAR does not result in income for the grantee or in a deduction for the company. Upon the exercise of a SAR, the grantee recognizes ordinary income and the company is generally entitled to a deduction measured by the fair market value of the shares plus any cash received.</w:t>
      </w:r>
    </w:p>
    <w:p>
      <w:pPr>
        <w:spacing w:after="0" w:line="330"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RESTRICTED STOCK. Except as provided in the following sentence, a participant will not recognize any taxable income, and the company will not be allowed a tax deduction, upon the grant of restricted stock; rather, on the date when the restrictions lapse, the grantee will recognize ordinary income equal to the fair market value of the shares on that date. Alternatively, the participant may elect, within 30 days after the grant of restricted stock, to recognize ordinary income at the time of the grant, in which event the amount of such ordinary income will be equal to the fair market value of the shares on the date of grant. In either event, at the time the participant recognizes income with respect to the restricted stock, the company is generally entitled to a deduction in an equal amount.</w:t>
      </w:r>
    </w:p>
    <w:p>
      <w:pPr>
        <w:spacing w:after="0" w:line="331"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STOCK UNIT AWARDS. A participant will not recognize any taxable income, and the company will not be allowed a tax deduction, upon the grant of stock units. Rather, on the date when cash, shares or a combination thereof are delivered to the grantee, the grantee will recognize ordinary income equal to the amount of any such cash plus the fair market value on that date of any such shares, and the company will generally be entitled to a deduction in an equal amount.</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20" w:right="1440" w:bottom="1440" w:gutter="0" w:footer="0" w:header="0"/>
        </w:sectPr>
      </w:pPr>
    </w:p>
    <w:bookmarkStart w:id="60" w:name="page61"/>
    <w:bookmarkEnd w:id="60"/>
    <w:p>
      <w:pPr>
        <w:ind w:right="3379" w:firstLine="1042"/>
        <w:spacing w:after="0" w:line="252" w:lineRule="auto"/>
        <w:rPr>
          <w:sz w:val="20"/>
          <w:szCs w:val="20"/>
          <w:color w:val="auto"/>
        </w:rPr>
      </w:pPr>
      <w:r>
        <w:rPr>
          <w:rFonts w:ascii="Courier New" w:cs="Courier New" w:eastAsia="Courier New" w:hAnsi="Courier New"/>
          <w:sz w:val="14"/>
          <w:szCs w:val="14"/>
          <w:color w:val="auto"/>
        </w:rPr>
        <w:t>LIMITATIONS ON COMPANY'S DEDUCTIONS; CONSEQUENCES OF CHANGE OF CONTROL. Section 162(m) of the Internal Revenue Code limits the amount that the company may deduct for compensation of its chief executive officer and its four other highest-paid executive officers to $1 million per executive per year. However, compensation paid under a shareholder-approved arrangement based upon the achievement of objective performance goals is exempt from this limitation. If the company's stockholders approve the 2001 plan, the compensation attributable to stock options and SARs will be exempt from this limitation, and the company will be entitled to deductions with respect to stock options and SARs as described above. However, the compensation attributable to restricted stock and stock unit awards will not be exempt from this limitation. Therefore, the deduction that the company might otherwise receive with respect to such awards to its top five executive officers may be disallowed. In addition, if a Change of Control causes awards under the 2001 plan to vest as described above, the participants could in some cases be considered to have received "excess parachute payments," which could subject to participants to a 20% excise tax on the excess parachute payments and could result in a disallowance of the company's deductions.</w:t>
      </w:r>
    </w:p>
    <w:p>
      <w:pPr>
        <w:spacing w:after="0" w:line="341" w:lineRule="exact"/>
        <w:rPr>
          <w:sz w:val="20"/>
          <w:szCs w:val="20"/>
          <w:color w:val="auto"/>
        </w:rPr>
      </w:pPr>
    </w:p>
    <w:p>
      <w:pPr>
        <w:ind w:right="3279" w:firstLine="521"/>
        <w:spacing w:after="0" w:line="255" w:lineRule="auto"/>
        <w:rPr>
          <w:sz w:val="20"/>
          <w:szCs w:val="20"/>
          <w:color w:val="auto"/>
        </w:rPr>
      </w:pPr>
      <w:r>
        <w:rPr>
          <w:rFonts w:ascii="Courier New" w:cs="Courier New" w:eastAsia="Courier New" w:hAnsi="Courier New"/>
          <w:sz w:val="14"/>
          <w:szCs w:val="14"/>
          <w:color w:val="auto"/>
        </w:rPr>
        <w:t>MARKET VALUE. On January 31, 2001 the closing price of the company's Class B shares on the New York Stock Exchange Composite Transactions was $35.19 per share as reported in THE WALL STREET JOURNAL.</w:t>
      </w:r>
    </w:p>
    <w:p>
      <w:pPr>
        <w:spacing w:after="0" w:line="162"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Individuals who will participate in the 2001 Plan in the future and the amounts of their allotments are to be determined by the Committee subject to any restrictions outlined above. Since no such determinations have yet been made, it is not possible to state the terms of any individual options which may be issued under the 2001 Plan or the names or positions of, or respective amounts of the allotments to, any individuals who may participate.</w:t>
      </w:r>
    </w:p>
    <w:p>
      <w:pPr>
        <w:spacing w:after="0" w:line="165" w:lineRule="exact"/>
        <w:rPr>
          <w:sz w:val="20"/>
          <w:szCs w:val="20"/>
          <w:color w:val="auto"/>
        </w:rPr>
      </w:pPr>
    </w:p>
    <w:p>
      <w:pPr>
        <w:ind w:right="3639" w:firstLine="521"/>
        <w:spacing w:after="0" w:line="254" w:lineRule="auto"/>
        <w:rPr>
          <w:sz w:val="20"/>
          <w:szCs w:val="20"/>
          <w:color w:val="auto"/>
        </w:rPr>
      </w:pPr>
      <w:r>
        <w:rPr>
          <w:rFonts w:ascii="Courier New" w:cs="Courier New" w:eastAsia="Courier New" w:hAnsi="Courier New"/>
          <w:sz w:val="14"/>
          <w:szCs w:val="14"/>
          <w:color w:val="auto"/>
        </w:rPr>
        <w:t>THE BOARD OF DIRECTORS BELIEVES THAT THE 2001 PLAN IS IN THE BEST INTERESTS OF THE COMPANY AND ITS STOCKHOLDERS AND RECOMMENDS A VOTE FOR THE PROPOSAL. PROXIES SOLICITED BY THE BOARD OF DIRECTORS WILL BE VOTED FOR THIS PROPOSAL, UNLESS YOU SPECIFY OTHERWISE IN YOUR PROXY.</w:t>
      </w:r>
    </w:p>
    <w:p>
      <w:pPr>
        <w:spacing w:after="0" w:line="163"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STOCKHOLDER PROPOSALS</w:t>
      </w:r>
    </w:p>
    <w:p>
      <w:pPr>
        <w:spacing w:after="0" w:line="175" w:lineRule="exact"/>
        <w:rPr>
          <w:sz w:val="20"/>
          <w:szCs w:val="20"/>
          <w:color w:val="auto"/>
        </w:rPr>
      </w:pPr>
    </w:p>
    <w:p>
      <w:pPr>
        <w:ind w:right="3279" w:firstLine="1042"/>
        <w:spacing w:after="0" w:line="256" w:lineRule="auto"/>
        <w:rPr>
          <w:sz w:val="20"/>
          <w:szCs w:val="20"/>
          <w:color w:val="auto"/>
        </w:rPr>
      </w:pPr>
      <w:r>
        <w:rPr>
          <w:rFonts w:ascii="Courier New" w:cs="Courier New" w:eastAsia="Courier New" w:hAnsi="Courier New"/>
          <w:sz w:val="14"/>
          <w:szCs w:val="14"/>
          <w:color w:val="auto"/>
        </w:rPr>
        <w:t>Any stockholder who intends to present a proposal at the 2002 annual meeting must deliver the proposal to the Corporate Secretary at Raytheon Company, Executive Offices, 141 Spring Street, Lexington, MA 02421, not later than:</w:t>
      </w:r>
    </w:p>
    <w:p>
      <w:pPr>
        <w:spacing w:after="0" w:line="327" w:lineRule="exact"/>
        <w:rPr>
          <w:sz w:val="20"/>
          <w:szCs w:val="20"/>
          <w:color w:val="auto"/>
        </w:rPr>
      </w:pPr>
    </w:p>
    <w:p>
      <w:pPr>
        <w:jc w:val="both"/>
        <w:ind w:left="1320" w:right="3379" w:hanging="269"/>
        <w:spacing w:after="0" w:line="255"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November 25, 2001, if the proposal is submitted for inclusion in Raytheon's proxy materials for the 2002 meeting pursuant to Rule 14a-8 under the Securities Exchange Act of 1934; or</w:t>
      </w:r>
    </w:p>
    <w:p>
      <w:pPr>
        <w:spacing w:after="0" w:line="162" w:lineRule="exact"/>
        <w:rPr>
          <w:rFonts w:ascii="Courier New" w:cs="Courier New" w:eastAsia="Courier New" w:hAnsi="Courier New"/>
          <w:sz w:val="14"/>
          <w:szCs w:val="14"/>
          <w:color w:val="auto"/>
        </w:rPr>
      </w:pPr>
    </w:p>
    <w:p>
      <w:pPr>
        <w:ind w:left="1320" w:right="3379" w:hanging="269"/>
        <w:spacing w:after="0" w:line="254"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close of business on December 26, 2001 and before the close of business on January 25, 2002, if the proposal is submitted in accordance with Raytheon's by-laws, in which case the company is not required to include the proposal in our proxy materials.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20" w:right="1440" w:bottom="1440" w:gutter="0" w:footer="0" w:header="0"/>
        </w:sectPr>
      </w:pPr>
    </w:p>
    <w:bookmarkStart w:id="61" w:name="page62"/>
    <w:bookmarkEnd w:id="61"/>
    <w:p>
      <w:pPr>
        <w:ind w:left="2260"/>
        <w:spacing w:after="0"/>
        <w:rPr>
          <w:sz w:val="20"/>
          <w:szCs w:val="20"/>
          <w:color w:val="auto"/>
        </w:rPr>
      </w:pPr>
      <w:r>
        <w:rPr>
          <w:rFonts w:ascii="Courier New" w:cs="Courier New" w:eastAsia="Courier New" w:hAnsi="Courier New"/>
          <w:sz w:val="14"/>
          <w:szCs w:val="14"/>
          <w:color w:val="auto"/>
        </w:rPr>
        <w:t>STOCKHOLDER PROPOSAL NUMBER 1</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(Item No. 5 on the proxy card)</w:t>
      </w:r>
    </w:p>
    <w:p>
      <w:pPr>
        <w:spacing w:after="0" w:line="175" w:lineRule="exact"/>
        <w:rPr>
          <w:sz w:val="20"/>
          <w:szCs w:val="20"/>
          <w:color w:val="auto"/>
        </w:rPr>
      </w:pPr>
    </w:p>
    <w:p>
      <w:pPr>
        <w:ind w:right="3279" w:firstLine="1042"/>
        <w:spacing w:after="0" w:line="255" w:lineRule="auto"/>
        <w:rPr>
          <w:sz w:val="20"/>
          <w:szCs w:val="20"/>
          <w:color w:val="auto"/>
        </w:rPr>
      </w:pPr>
      <w:r>
        <w:rPr>
          <w:rFonts w:ascii="Courier New" w:cs="Courier New" w:eastAsia="Courier New" w:hAnsi="Courier New"/>
          <w:sz w:val="14"/>
          <w:szCs w:val="14"/>
          <w:color w:val="auto"/>
        </w:rPr>
        <w:t>John A. Duggan, 803 Kittering Way, Worcester, MA 01609, beneficial owner of 200 Class A shares, has proposed the adoption of the following resolution and has furnished the following statement in support of his proposal:</w:t>
      </w:r>
    </w:p>
    <w:p>
      <w:pPr>
        <w:spacing w:after="0" w:line="16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EXECUTIVE COMPENSATION REVIEW</w:t>
      </w:r>
    </w:p>
    <w:p>
      <w:pPr>
        <w:spacing w:after="0" w:line="17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"WHEREAS, despite record profitability in the 1990s, U.S. corporations, including Raytheon, have also laid off record number of workers, arguing that cost-cutting is one key to long-term competitiveness and increased profitability;</w:t>
      </w:r>
    </w:p>
    <w:p>
      <w:pPr>
        <w:spacing w:after="0" w:line="163"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"WHEREAS, only 44% of firms that downsized employees saw a rise in operating profits, according to a 1992 study by the American Management Association. The same study found that only 31% of corporate downsizers experienced productivity gains following the layoffs, while 77% experienced deterioration in employee morale;</w:t>
      </w:r>
    </w:p>
    <w:p>
      <w:pPr>
        <w:spacing w:after="0" w:line="162"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"WHEREAS, a 1992 study by the Haas School of Business at the University of California at Berkeley found that firms with the widest pay gaps experienced lower quality products and services. A study published in the JOURNAL OF ORGANIZATIONAL BEHAVIOR found that high levels of executive compensation generated cynicism among white-collar employees;</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"WHEREAS, firms with large pay gaps between CEOs and other executives experience executive turnover at twice the rate of firms with a more equal distribution of pay among executives according to a 2000 study by Notre Dame University (Source: WALL STREET JOURNAL, April 6, 2000);</w:t>
      </w:r>
    </w:p>
    <w:p>
      <w:pPr>
        <w:spacing w:after="0" w:line="163"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"WHEREAS, Raytheon has announced the layoffs of more than 18,000 employees between 1998 and 2000;</w:t>
      </w:r>
    </w:p>
    <w:p>
      <w:pPr>
        <w:spacing w:after="0" w:line="160"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"WHEREAS, Raytheon experienced a bitter four week strike by 3,000 unionized workers in 2000;</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"WHEREAS, professional employees of Raytheon expressed concern and frustration at last year's Raytheon annual meeting after learning that CEO Daniel Burnham received a $900,000 bonus in 1999 after informing employees that there would be no bonuses available for them due to the poor performance of the company;</w:t>
      </w:r>
    </w:p>
    <w:p>
      <w:pPr>
        <w:spacing w:after="0" w:line="163"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"WHEREAS, we believe that asking employees to sacrifice, while at the same time rewarding executives sends a mixed message to employees, suppliers and shareholders. We believe that business success over the long term is enhanced when business is viewed as a shared enterprise in which both the rewards and sacrifices are equitably shared among all employees;</w:t>
      </w:r>
    </w:p>
    <w:p>
      <w:pPr>
        <w:spacing w:after="0" w:line="162"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"WHEREAS, we believe that Raytheon's workforce is one of the company's most prized assets and that it is management's responsibility to implement policies and practices that keep the workforce satisfied and productive;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20" w:right="1440" w:bottom="1440" w:gutter="0" w:footer="0" w:header="0"/>
        </w:sectPr>
      </w:pPr>
    </w:p>
    <w:bookmarkStart w:id="62" w:name="page63"/>
    <w:bookmarkEnd w:id="62"/>
    <w:p>
      <w:pPr>
        <w:ind w:right="3639"/>
        <w:spacing w:after="0" w:line="253" w:lineRule="auto"/>
        <w:rPr>
          <w:sz w:val="20"/>
          <w:szCs w:val="20"/>
          <w:color w:val="auto"/>
        </w:rPr>
      </w:pPr>
      <w:r>
        <w:rPr>
          <w:rFonts w:ascii="Courier New" w:cs="Courier New" w:eastAsia="Courier New" w:hAnsi="Courier New"/>
          <w:sz w:val="14"/>
          <w:szCs w:val="14"/>
          <w:color w:val="auto"/>
        </w:rPr>
        <w:t>"RESOLVED, shareholders request that the Board conduct a special executive compensation review. The review shall look for ways to link a portion of executive compensation to measures of employee satisfaction, including consideration of employee surveys and employee turnover data. The results of this review will be summarized in the Compensation Committee's report to shareholders.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SUPPORTING STATEMENT</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Several leading companies, including IBM, Bristol-Myers Squibb and Procter &amp; Gamble consider measures of employee satisfaction in setting executive pay. As shareholders, we are concerned about the long-term effects of continuing layoffs, contentious strikes, and executive pay practices which reward executives with bonuses while at the same time denying bonuses to other employees. In the current tight labor market it is vitally important that Raytheon be a highly desirable place to work. This resolution creates a direct and positive incentive for management to establish Raytheon as a great place to work. PLEASE VOTE YES!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DIRECTORS RECOMMEND A VOTE AGAINST THIS PROPOSAL.</w:t>
      </w:r>
    </w:p>
    <w:p>
      <w:pPr>
        <w:spacing w:after="0" w:line="175" w:lineRule="exact"/>
        <w:rPr>
          <w:sz w:val="20"/>
          <w:szCs w:val="20"/>
          <w:color w:val="auto"/>
        </w:rPr>
      </w:pPr>
    </w:p>
    <w:p>
      <w:pPr>
        <w:ind w:right="3459" w:firstLine="1042"/>
        <w:spacing w:after="0" w:line="253" w:lineRule="auto"/>
        <w:rPr>
          <w:sz w:val="20"/>
          <w:szCs w:val="20"/>
          <w:color w:val="auto"/>
        </w:rPr>
      </w:pPr>
      <w:r>
        <w:rPr>
          <w:rFonts w:ascii="Courier New" w:cs="Courier New" w:eastAsia="Courier New" w:hAnsi="Courier New"/>
          <w:sz w:val="14"/>
          <w:szCs w:val="14"/>
          <w:color w:val="auto"/>
        </w:rPr>
        <w:t>The company agrees that executive compensation should be reviewed and in fact does annually review executive compensation. The company also conducts annual external benchmarking using normative data to ensure that executive compensation is competitive with the marketplace. The company therefore believes that conducting an additional special review as proposed by the shareholder would be unnecessary and needlessly costly and time consuming.</w:t>
      </w:r>
    </w:p>
    <w:p>
      <w:pPr>
        <w:spacing w:after="0" w:line="16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The company's current review involves an evaluation of a number of measures of employee satisfaction, including "turnover data" or the executives progress in improvement in recruiting and retention efforts. In addition, in the company deployed a 360-degree feedback tool which provides leader and team evaluation information from peers, subordinates and managers. This 360-degree feedback is an evaluative instrument that the company employs to link a portion of executive compensation to measures of employee satisfaction.</w:t>
      </w:r>
    </w:p>
    <w:p>
      <w:pPr>
        <w:spacing w:after="0" w:line="16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The company also measures employee satisfaction within the context of determining People Metrics through the use of employee surveys. This survey process began in 1999, and was designed to systematically measure employee opinions and progress toward organizational effectiveness goals. Survey results are one of the quantitative measures Raytheon uses to track improvement and one of the factors contributing to results-based executive compensation decisions.</w:t>
      </w:r>
    </w:p>
    <w:p>
      <w:pPr>
        <w:spacing w:after="0" w:line="16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The survey process is based on a two-year cycle. In year one of the cycle, a survey is distributed to every employee ("census survey"). In year two of the cycle, scientifically drawn samples of employees are surveyed. The first census survey was conducted in 1999. The total response rate on the 1999 employee census survey was 57%. In 2000, two samples were surveyed, one in July and one in December. A total of 20% of the workforce was sampled in 2000 and the 7% improvement target was exceeded by 3%. In 2001, the second census survey will be conducted. In 2002, quarterly samples (5% per quarter) will be surveyed.</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620" w:right="1440" w:bottom="1440" w:gutter="0" w:footer="0" w:header="0"/>
        </w:sectPr>
      </w:pPr>
    </w:p>
    <w:bookmarkStart w:id="63" w:name="page64"/>
    <w:bookmarkEnd w:id="63"/>
    <w:p>
      <w:pPr>
        <w:ind w:right="3279" w:firstLine="1042"/>
        <w:spacing w:after="0" w:line="253" w:lineRule="auto"/>
        <w:rPr>
          <w:sz w:val="20"/>
          <w:szCs w:val="20"/>
          <w:color w:val="auto"/>
        </w:rPr>
      </w:pPr>
      <w:r>
        <w:rPr>
          <w:rFonts w:ascii="Courier New" w:cs="Courier New" w:eastAsia="Courier New" w:hAnsi="Courier New"/>
          <w:sz w:val="14"/>
          <w:szCs w:val="14"/>
          <w:color w:val="auto"/>
        </w:rPr>
        <w:t>The objectives of the 1999 census survey were to establish the baseline against which future progress in the area of employee morale would be measured; provide all employees with the opportunity to contribute their opinions systematically and in a way that ensures those opinions become part of the company's formal assessment process; and provide the basis for "fact-based" discussions between leaders and employees about ways to improve the company's business and Raytheon as an employer. The objectives of the sample survey are to monitor the work environment for effective performance, measure progress toward the improvement goal set by the CEO and provide interim measures to businesses to help them assure their local improvement actions are having the desired effect.</w:t>
      </w:r>
    </w:p>
    <w:p>
      <w:pPr>
        <w:spacing w:after="0" w:line="331" w:lineRule="exact"/>
        <w:rPr>
          <w:sz w:val="20"/>
          <w:szCs w:val="20"/>
          <w:color w:val="auto"/>
        </w:rPr>
      </w:pPr>
    </w:p>
    <w:p>
      <w:pPr>
        <w:ind w:right="3379" w:firstLine="1128"/>
        <w:spacing w:after="0" w:line="255" w:lineRule="auto"/>
        <w:rPr>
          <w:sz w:val="20"/>
          <w:szCs w:val="20"/>
          <w:color w:val="auto"/>
        </w:rPr>
      </w:pPr>
      <w:r>
        <w:rPr>
          <w:rFonts w:ascii="Courier New" w:cs="Courier New" w:eastAsia="Courier New" w:hAnsi="Courier New"/>
          <w:sz w:val="14"/>
          <w:szCs w:val="14"/>
          <w:color w:val="auto"/>
        </w:rPr>
        <w:t>THE BOARD OF DIRECTORS RECOMMENDS THAT STOCKHOLDERS VOTE AGAINST THE ADOPTION OF THIS PROPOSAL. PROXIES SOLICITED BY THE BOARD OF DIRECTORS WILL BE SO VOTED UNLESS STOCKHOLDERS OTHERWISE SPECIFY IN THEIR PROXIES.</w:t>
      </w:r>
    </w:p>
    <w:p>
      <w:pPr>
        <w:spacing w:after="0" w:line="329"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STOCKHOLDER PROPOSAL NUMBER 2</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(Item No. 6 on the proxy card)</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The Sisters of St. Joseph, Nazareth, MI 49074, beneficial owners of 49 Class A shares, have proposed the adoption of the following resolution and have furnished the following statement in support of the proposal. We understand that the proposal is being co-sponsored by the following groups: Mercy Consolidated Asset Management, the Sisters of Mercy of the Americas, the Sisters of the Order of St. Dominic, Mercy Health Services, the School Sisters of Notre Dame and the Benedictine Sisters.</w:t>
      </w:r>
    </w:p>
    <w:p>
      <w:pPr>
        <w:spacing w:after="0" w:line="16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OFFSETS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RESOLVED: Shareholders request the Company to disclose all significant promises (including technology transfers), made to foreign governments or foreign firms in connection with foreign military sales, intended to offset their U.S. dollar cost of weapons purchased by foreign nations.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What Are Offsets?</w:t>
      </w:r>
    </w:p>
    <w:p>
      <w:pPr>
        <w:spacing w:after="0" w:line="175"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Offsets are agreements by U.S. weapons manufacturers and the U.S. government to direct some benefits -- usually jobs or technology -- back to the purchasing country as a condition of sale. The value of offsets sometimes exceeds the weapons' cost.</w:t>
      </w:r>
    </w:p>
    <w:p>
      <w:pPr>
        <w:spacing w:after="0" w:line="163" w:lineRule="exact"/>
        <w:rPr>
          <w:sz w:val="20"/>
          <w:szCs w:val="20"/>
          <w:color w:val="auto"/>
        </w:rPr>
      </w:pPr>
    </w:p>
    <w:p>
      <w:pPr>
        <w:ind w:right="3279" w:firstLine="1042"/>
        <w:spacing w:after="0" w:line="255" w:lineRule="auto"/>
        <w:rPr>
          <w:sz w:val="20"/>
          <w:szCs w:val="20"/>
          <w:color w:val="auto"/>
        </w:rPr>
      </w:pPr>
      <w:r>
        <w:rPr>
          <w:rFonts w:ascii="Courier New" w:cs="Courier New" w:eastAsia="Courier New" w:hAnsi="Courier New"/>
          <w:sz w:val="14"/>
          <w:szCs w:val="14"/>
          <w:color w:val="auto"/>
        </w:rPr>
        <w:t>DIRECT OFFSETS transfer purchasing dollar and/or military technology (often through licensing or joint production) to the recipient country to produce a U.S. weapon system, its components, or sub-components.</w:t>
      </w:r>
    </w:p>
    <w:p>
      <w:pPr>
        <w:spacing w:after="0" w:line="162" w:lineRule="exact"/>
        <w:rPr>
          <w:sz w:val="20"/>
          <w:szCs w:val="20"/>
          <w:color w:val="auto"/>
        </w:rPr>
      </w:pPr>
    </w:p>
    <w:p>
      <w:pPr>
        <w:ind w:right="3379" w:firstLine="1042"/>
        <w:spacing w:after="0" w:line="255" w:lineRule="auto"/>
        <w:rPr>
          <w:sz w:val="20"/>
          <w:szCs w:val="20"/>
          <w:color w:val="auto"/>
        </w:rPr>
      </w:pPr>
      <w:r>
        <w:rPr>
          <w:rFonts w:ascii="Courier New" w:cs="Courier New" w:eastAsia="Courier New" w:hAnsi="Courier New"/>
          <w:sz w:val="14"/>
          <w:szCs w:val="14"/>
          <w:color w:val="auto"/>
        </w:rPr>
        <w:t>INDIRECT OFFSETS may involve investments in the purchasing country, counter-trade agreements to market foreign goods, or transfers of commercial technology.</w:t>
      </w:r>
    </w:p>
    <w:p>
      <w:pPr>
        <w:spacing w:after="0" w:line="162" w:lineRule="exact"/>
        <w:rPr>
          <w:sz w:val="20"/>
          <w:szCs w:val="20"/>
          <w:color w:val="auto"/>
        </w:rPr>
      </w:pPr>
    </w:p>
    <w:p>
      <w:pPr>
        <w:ind w:right="3459" w:firstLine="1042"/>
        <w:spacing w:after="0" w:line="255" w:lineRule="auto"/>
        <w:rPr>
          <w:sz w:val="20"/>
          <w:szCs w:val="20"/>
          <w:color w:val="auto"/>
        </w:rPr>
      </w:pPr>
      <w:r>
        <w:rPr>
          <w:rFonts w:ascii="Courier New" w:cs="Courier New" w:eastAsia="Courier New" w:hAnsi="Courier New"/>
          <w:sz w:val="14"/>
          <w:szCs w:val="14"/>
          <w:color w:val="auto"/>
        </w:rPr>
        <w:t>U.S. taxpayers finance offsets by (1) paying for the research and development of weapons and (2) providing grants, loans and loan guarantees for the sale. Offsets also lead to the loss of U.S. jobs.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20"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4"/>
          <w:szCs w:val="14"/>
          <w:color w:val="auto"/>
        </w:rPr>
        <w:t>Are Offset Agreements Proprietary?</w:t>
      </w:r>
    </w:p>
    <w:p>
      <w:pPr>
        <w:spacing w:after="0" w:line="175" w:lineRule="exact"/>
        <w:rPr>
          <w:sz w:val="20"/>
          <w:szCs w:val="20"/>
          <w:color w:val="auto"/>
        </w:rPr>
      </w:pPr>
    </w:p>
    <w:p>
      <w:pPr>
        <w:ind w:right="3459" w:firstLine="1042"/>
        <w:spacing w:after="0" w:line="254" w:lineRule="auto"/>
        <w:rPr>
          <w:sz w:val="20"/>
          <w:szCs w:val="20"/>
          <w:color w:val="auto"/>
        </w:rPr>
      </w:pPr>
      <w:r>
        <w:rPr>
          <w:rFonts w:ascii="Courier New" w:cs="Courier New" w:eastAsia="Courier New" w:hAnsi="Courier New"/>
          <w:sz w:val="14"/>
          <w:szCs w:val="14"/>
          <w:color w:val="auto"/>
        </w:rPr>
        <w:t>The U.S. arms industry guards information on offsets closely, claiming "proprietary privilege." However, purchasing countries often disclose such information for their own political purposes, e.g., to convince their citizens that they are gaining some tangible benefits from the millions or billions of dollars spent on arms.</w:t>
      </w:r>
    </w:p>
    <w:p>
      <w:pPr>
        <w:spacing w:after="0" w:line="162" w:lineRule="exact"/>
        <w:rPr>
          <w:sz w:val="20"/>
          <w:szCs w:val="20"/>
          <w:color w:val="auto"/>
        </w:rPr>
      </w:pPr>
    </w:p>
    <w:p>
      <w:pPr>
        <w:ind w:right="3459" w:firstLine="1042"/>
        <w:spacing w:after="0" w:line="254" w:lineRule="auto"/>
        <w:rPr>
          <w:sz w:val="20"/>
          <w:szCs w:val="20"/>
          <w:color w:val="auto"/>
        </w:rPr>
      </w:pPr>
      <w:r>
        <w:rPr>
          <w:rFonts w:ascii="Courier New" w:cs="Courier New" w:eastAsia="Courier New" w:hAnsi="Courier New"/>
          <w:sz w:val="14"/>
          <w:szCs w:val="14"/>
          <w:color w:val="auto"/>
        </w:rPr>
        <w:t>The proponents believe that insofar as U.S. arms manufacturers (1) engage in foreign policy by negotiating private offset agreements with foreign governments, and (2) export domestic jobs while claiming that foreign military sales create jobs, they forfeit their proprietary claims to this information. Sound public policy demands transparency and public debate on these matters.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Offset Examples</w:t>
      </w:r>
    </w:p>
    <w:p>
      <w:pPr>
        <w:spacing w:after="0" w:line="175" w:lineRule="exact"/>
        <w:rPr>
          <w:sz w:val="20"/>
          <w:szCs w:val="20"/>
          <w:color w:val="auto"/>
        </w:rPr>
      </w:pPr>
    </w:p>
    <w:p>
      <w:pPr>
        <w:ind w:right="3379" w:firstLine="1042"/>
        <w:spacing w:after="0" w:line="255" w:lineRule="auto"/>
        <w:rPr>
          <w:sz w:val="20"/>
          <w:szCs w:val="20"/>
          <w:color w:val="auto"/>
        </w:rPr>
      </w:pPr>
      <w:r>
        <w:rPr>
          <w:rFonts w:ascii="Courier New" w:cs="Courier New" w:eastAsia="Courier New" w:hAnsi="Courier New"/>
          <w:sz w:val="14"/>
          <w:szCs w:val="14"/>
          <w:color w:val="auto"/>
        </w:rPr>
        <w:t>In 1999, two U.S. companies offered lucrative production-sharing contracts with Israeli military manufacturers, in connection with the company's bidding on a contract with Israel.</w:t>
      </w:r>
    </w:p>
    <w:p>
      <w:pPr>
        <w:spacing w:after="0" w:line="162"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Between 1993 and 1997 U.S. defense companies entered into new offset agreements valued at $19 billion in support of $35 billion worth of defense contracts. For every dollar a U.S. company received from an arms sale associated with offsets, it returned 54 cents worth of offset obligations to the purchasing country ("Offsets in Defense Trade 1999," Commerce Department).</w:t>
      </w:r>
    </w:p>
    <w:p>
      <w:pPr>
        <w:spacing w:after="0" w:line="162" w:lineRule="exact"/>
        <w:rPr>
          <w:sz w:val="20"/>
          <w:szCs w:val="20"/>
          <w:color w:val="auto"/>
        </w:rPr>
      </w:pPr>
    </w:p>
    <w:p>
      <w:pPr>
        <w:ind w:right="3379" w:firstLine="1042"/>
        <w:spacing w:after="0" w:line="255" w:lineRule="auto"/>
        <w:rPr>
          <w:sz w:val="20"/>
          <w:szCs w:val="20"/>
          <w:color w:val="auto"/>
        </w:rPr>
      </w:pPr>
      <w:r>
        <w:rPr>
          <w:rFonts w:ascii="Courier New" w:cs="Courier New" w:eastAsia="Courier New" w:hAnsi="Courier New"/>
          <w:sz w:val="14"/>
          <w:szCs w:val="14"/>
          <w:color w:val="auto"/>
        </w:rPr>
        <w:t>1997 data shows that 13 U.S. prime military contractors reported 58 new offset agreements valued at $3.85 billion in support of $5.84 billion in export contracts.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DIRECTORS RECOMMEND A VOTE AGAINST THIS PROPOSAL.</w:t>
      </w:r>
    </w:p>
    <w:p>
      <w:pPr>
        <w:spacing w:after="0" w:line="175" w:lineRule="exact"/>
        <w:rPr>
          <w:sz w:val="20"/>
          <w:szCs w:val="20"/>
          <w:color w:val="auto"/>
        </w:rPr>
      </w:pPr>
    </w:p>
    <w:p>
      <w:pPr>
        <w:ind w:right="3379" w:firstLine="521"/>
        <w:spacing w:after="0" w:line="252" w:lineRule="auto"/>
        <w:rPr>
          <w:sz w:val="20"/>
          <w:szCs w:val="20"/>
          <w:color w:val="auto"/>
        </w:rPr>
      </w:pPr>
      <w:r>
        <w:rPr>
          <w:rFonts w:ascii="Courier New" w:cs="Courier New" w:eastAsia="Courier New" w:hAnsi="Courier New"/>
          <w:sz w:val="14"/>
          <w:szCs w:val="14"/>
          <w:color w:val="auto"/>
        </w:rPr>
        <w:t>Raytheon is a global company conducting business in the international marketplace. A portion of the company's international business consists of the sale of military equipment. The company's international sales provide the means for Raytheon to create new jobs and maintain its current labor force. International sales of military equipment and services are made only in strict compliance with U.S. government regulations that control where products may be sold overseas and what products may be exported. The Department of Defense</w:t>
      </w:r>
    </w:p>
    <w:p>
      <w:pPr>
        <w:spacing w:after="0" w:line="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and the Department of State identify countries whose policies are determined to be hostile to American values and prohibits military sales in those countries. Government regulations also impose strict licensing controls on the export of equipment and technology to protect the long-term economic and national security interests of the United States. Raytheon complies with all these U.S. government restrictions and regulations.</w:t>
      </w:r>
    </w:p>
    <w:p>
      <w:pPr>
        <w:spacing w:after="0" w:line="16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Contractual agreements for offset transactions, such as technology licensing, production sharing or co-marketing, are commonplace in international sales for both commercial and military products. To the extent the company engages in such transactions, it does so only in compliance with U.S. government regulations and as negotiated with the customer. Failure to enter into such arrangements could result in the loss of customers, and could translate into lost jobs</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620" w:right="1440" w:bottom="1440" w:gutter="0" w:footer="0" w:header="0"/>
        </w:sectPr>
      </w:pPr>
    </w:p>
    <w:bookmarkStart w:id="65" w:name="page66"/>
    <w:bookmarkEnd w:id="65"/>
    <w:p>
      <w:pPr>
        <w:ind w:right="3279"/>
        <w:spacing w:after="0" w:line="253" w:lineRule="auto"/>
        <w:rPr>
          <w:sz w:val="20"/>
          <w:szCs w:val="20"/>
          <w:color w:val="auto"/>
        </w:rPr>
      </w:pPr>
      <w:r>
        <w:rPr>
          <w:rFonts w:ascii="Courier New" w:cs="Courier New" w:eastAsia="Courier New" w:hAnsi="Courier New"/>
          <w:sz w:val="14"/>
          <w:szCs w:val="14"/>
          <w:color w:val="auto"/>
        </w:rPr>
        <w:t>and diminished shareholder value. The company believes that robust and bilateral trading leads to job creation at both ends of international transactions and is beneficial to international economic stability and growth. Raytheon's offset arrangements provide the company with a competitive advantage in the international defense market. Competition for defense contracts with foreign governments has grown in recent years due to decreased defense spending and increased reliance on local and regional contractors to fulfill military needs. These factors confirm the company's belief that offset arrangements influence a foreign government's decision to select a defense contractor.</w:t>
      </w:r>
    </w:p>
    <w:p>
      <w:pPr>
        <w:spacing w:after="0" w:line="16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Under U.S. government regulations, the company is required to report extensive information regarding the export of military products to the Department of State, including specific information with respect to offset transactions. This government regulation is evidenced by the Defense Offsets Disclosure Act of 1999, which requires a description of any offset agreements with respect to foreign military sales or direct commercial sales and establishes a National Commission of government and private sector individuals to review the use of offsets in the defense trade. Information regarding the company's military exports is already adequately disclosed in various reports from the company, the U.S. Defense Department, and the U.S. State Department. In addition, in order to ensure that they are in accordance with, and in furtherance of, our government's foreign policy and our national security, the company's military exports are typically negotiated with extensive participation of the U.S. Defense Department and are reviewed and approved by the U.S. State Department.</w:t>
      </w:r>
    </w:p>
    <w:p>
      <w:pPr>
        <w:spacing w:after="0" w:line="330"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understands that some shareholders may wish to know details of the company's military sales contracts with respect to offset transactions. However, much of the information requested is competitively sensitive. In addition, many offset arrangements are subject to confidentiality agreements with the customer. United States law recognizes this fact and affords confidential treatment to information that is reported to the government regarding offset transactions. Publication of such information would put Raytheon at a competitive disadvantage in its business, may breach contractual arrangements and would not be in the best interest of the company or the majority of its shareholders.</w:t>
      </w:r>
    </w:p>
    <w:p>
      <w:pPr>
        <w:spacing w:after="0" w:line="331" w:lineRule="exact"/>
        <w:rPr>
          <w:sz w:val="20"/>
          <w:szCs w:val="20"/>
          <w:color w:val="auto"/>
        </w:rPr>
      </w:pPr>
    </w:p>
    <w:p>
      <w:pPr>
        <w:ind w:right="3279" w:firstLine="1042"/>
        <w:spacing w:after="0" w:line="255" w:lineRule="auto"/>
        <w:rPr>
          <w:sz w:val="20"/>
          <w:szCs w:val="20"/>
          <w:color w:val="auto"/>
        </w:rPr>
      </w:pPr>
      <w:r>
        <w:rPr>
          <w:rFonts w:ascii="Courier New" w:cs="Courier New" w:eastAsia="Courier New" w:hAnsi="Courier New"/>
          <w:sz w:val="14"/>
          <w:szCs w:val="14"/>
          <w:color w:val="auto"/>
        </w:rPr>
        <w:t>THE BOARD OF DIRECTORS RECOMMENDS THAT STOCKHOLDERS VOTE AGAINST THE ADOPTION OF THIS PROPOSAL. PROXIES SOLICITED BY THE BOARD OF DIRECTORS WILL BE SO VOTED UNLESS STOCKHOLDERS OTHERWISE SPECIFY IN THEIR PROXIES.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620" w:right="1440" w:bottom="1440" w:gutter="0" w:footer="0" w:header="0"/>
        </w:sectPr>
      </w:pPr>
    </w:p>
    <w:bookmarkStart w:id="66" w:name="page67"/>
    <w:bookmarkEnd w:id="66"/>
    <w:p>
      <w:pPr>
        <w:ind w:left="2260"/>
        <w:spacing w:after="0"/>
        <w:rPr>
          <w:sz w:val="20"/>
          <w:szCs w:val="20"/>
          <w:color w:val="auto"/>
        </w:rPr>
      </w:pPr>
      <w:r>
        <w:rPr>
          <w:rFonts w:ascii="Courier New" w:cs="Courier New" w:eastAsia="Courier New" w:hAnsi="Courier New"/>
          <w:sz w:val="14"/>
          <w:szCs w:val="14"/>
          <w:color w:val="auto"/>
        </w:rPr>
        <w:t>STOCKHOLDER PROPOSAL NUMBER 3</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(Item No. 7 on the proxy card)</w:t>
      </w:r>
    </w:p>
    <w:p>
      <w:pPr>
        <w:spacing w:after="0" w:line="175" w:lineRule="exact"/>
        <w:rPr>
          <w:sz w:val="20"/>
          <w:szCs w:val="20"/>
          <w:color w:val="auto"/>
        </w:rPr>
      </w:pPr>
    </w:p>
    <w:p>
      <w:pPr>
        <w:ind w:right="3279" w:firstLine="1042"/>
        <w:spacing w:after="0" w:line="255" w:lineRule="auto"/>
        <w:rPr>
          <w:sz w:val="20"/>
          <w:szCs w:val="20"/>
          <w:color w:val="auto"/>
        </w:rPr>
      </w:pPr>
      <w:r>
        <w:rPr>
          <w:rFonts w:ascii="Courier New" w:cs="Courier New" w:eastAsia="Courier New" w:hAnsi="Courier New"/>
          <w:sz w:val="14"/>
          <w:szCs w:val="14"/>
          <w:color w:val="auto"/>
        </w:rPr>
        <w:t>John W. Wilson, 407 Otto Avenue, Salina, KS 67401, beneficial owner of at least $2,000 of Class A shares, has proposed the adoption of the following resolution and has furnished the following statement in support of his proposal:</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RAYTHEON CORPORATE SHAREHOLDER PROPOSAL</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BENCHMARKING EXECUTIVE COMPENSATION</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"RESOLVED, that the stockholders of Raytheon (the "Company") request that the Compensation and Compensation Administration Committees of the Board of Directors, in establishing and administering standards for use in awarding performance-based executive compensation, incorporate measures of human capital such as contributions to employee training, morale and safety, in addition to traditional measures of the Company's financial performance, such as stock price."</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SUPPORTING STATEMENT OF THE PROPONENT</w:t>
      </w:r>
    </w:p>
    <w:p>
      <w:pPr>
        <w:spacing w:after="0" w:line="17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At present the process for compensating the Company's senior executive officers does not take into account any performance measures relating to our most important resource - human capital. The loyalty and productivity of the Company's workforce has demonstrably improved the Company's long-term financial success. Recent downsizing and layoffs not related to loss of sales threaten to destroy that loyalty and productivity.</w:t>
      </w:r>
    </w:p>
    <w:p>
      <w:pPr>
        <w:spacing w:after="0" w:line="165" w:lineRule="exact"/>
        <w:rPr>
          <w:sz w:val="20"/>
          <w:szCs w:val="20"/>
          <w:color w:val="auto"/>
        </w:rPr>
      </w:pPr>
    </w:p>
    <w:p>
      <w:pPr>
        <w:ind w:right="3459" w:firstLine="1042"/>
        <w:spacing w:after="0" w:line="253" w:lineRule="auto"/>
        <w:rPr>
          <w:sz w:val="20"/>
          <w:szCs w:val="20"/>
          <w:color w:val="auto"/>
        </w:rPr>
      </w:pPr>
      <w:r>
        <w:rPr>
          <w:rFonts w:ascii="Courier New" w:cs="Courier New" w:eastAsia="Courier New" w:hAnsi="Courier New"/>
          <w:sz w:val="14"/>
          <w:szCs w:val="14"/>
          <w:color w:val="auto"/>
        </w:rPr>
        <w:t>A growing body of evidence links "high-performance workplace" practices, which emphasize employee training, participation and feedback, with better overall management, higher productivity and, ultimately, greater value for shareholders. In light of that evidence, companies have begun to implement compensation programs that incorporate measures of employee satisfaction and development in the formula for determining executive pay. For example, UAL, Eastman Kodak and Sears, Roebuck &amp; Co. base certain executive compensation on, among other factors, objective measures of employee satisfaction.</w:t>
      </w:r>
    </w:p>
    <w:p>
      <w:pPr>
        <w:spacing w:after="0" w:line="16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I believe that Raytheon's ability to attract, develop and retain good employees is critical to its success, and that senior executives' compensation should be based, in part, on the Company's progress toward attaining that goal. To that end, I request that the Compensation and Compensation Administration Committees of the Company's Board of Directors formulate employment practice performance criteria to be used in determining compensation for its senior executive officers and in bonus, stock option and long-term incentive plans in which those executives participate. These measures should constitute a significant component in determining the overall amount of performance-based compensation.</w:t>
      </w:r>
    </w:p>
    <w:p>
      <w:pPr>
        <w:spacing w:after="0" w:line="164" w:lineRule="exact"/>
        <w:rPr>
          <w:sz w:val="20"/>
          <w:szCs w:val="20"/>
          <w:color w:val="auto"/>
        </w:rPr>
      </w:pPr>
    </w:p>
    <w:p>
      <w:pPr>
        <w:ind w:right="3459" w:firstLine="1042"/>
        <w:spacing w:after="0" w:line="253" w:lineRule="auto"/>
        <w:rPr>
          <w:sz w:val="20"/>
          <w:szCs w:val="20"/>
          <w:color w:val="auto"/>
        </w:rPr>
      </w:pPr>
      <w:r>
        <w:rPr>
          <w:rFonts w:ascii="Courier New" w:cs="Courier New" w:eastAsia="Courier New" w:hAnsi="Courier New"/>
          <w:sz w:val="14"/>
          <w:szCs w:val="14"/>
          <w:color w:val="auto"/>
        </w:rPr>
        <w:t>Further, the employee satisfaction component of executive compensation should include both affirmative and negative components. On the affirmative side, an increase in measures of employee satisfaction should result, all other factors remaining the same, in a higher overall performance rating for the executive and thus a larger amount of performance-based compensation. Employee satisfaction should be measured using objective surveys and interviews conducted on at least an annual basis. On the negative side, an executive's performance</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20" w:right="1440" w:bottom="1440" w:gutter="0" w:footer="0" w:header="0"/>
        </w:sectPr>
      </w:pPr>
    </w:p>
    <w:bookmarkStart w:id="67" w:name="page68"/>
    <w:bookmarkEnd w:id="67"/>
    <w:p>
      <w:pPr>
        <w:ind w:right="3279"/>
        <w:spacing w:after="0" w:line="255" w:lineRule="auto"/>
        <w:rPr>
          <w:sz w:val="20"/>
          <w:szCs w:val="20"/>
          <w:color w:val="auto"/>
        </w:rPr>
      </w:pPr>
      <w:r>
        <w:rPr>
          <w:rFonts w:ascii="Courier New" w:cs="Courier New" w:eastAsia="Courier New" w:hAnsi="Courier New"/>
          <w:sz w:val="14"/>
          <w:szCs w:val="14"/>
          <w:color w:val="auto"/>
        </w:rPr>
        <w:t>rating would decline upon the occurrence of certain events having a significant adverse effect on the Company's employees or with respect to officers who do not contribute positively to employment security, training, morale and safety.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DIRECTORS RECOMMEND A VOTE AGAINST THIS PROPOSAL.</w:t>
      </w:r>
    </w:p>
    <w:p>
      <w:pPr>
        <w:spacing w:after="0" w:line="175"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The company believes that executive compensation should be based on a variety of factors including some of those mentioned in the shareholder proposal. However the company believes that its current methods of determining performance based executive compensation are superior to that suggested by the shareholder.</w:t>
      </w:r>
    </w:p>
    <w:p>
      <w:pPr>
        <w:spacing w:after="0" w:line="330"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The company has implemented a Results-Based Incentive plan which annually awards performance based executive compensations. One of the components of the company's plan is People Metrics. People Metrics are measured using a variety of tools, including employee survey data and a 360-degree feedback tool which provides leader and team evaluation information from peers, subordinates and managers. Employee training, morale and safety are each included in People Metrics and as a result are used in the determination of performance based executive compensation.</w:t>
      </w:r>
    </w:p>
    <w:p>
      <w:pPr>
        <w:spacing w:after="0" w:line="16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Employee training is included in People Metrics through the measurement of an executive's progress in the career development of his or her employees. This includes measurement of the executives development of people processes, team leadership and identification of high potential employees and moving them into leadership rolls. Employee development and training are also the driving factors behind the creation of the Raytheon Learning Institute comprised of the Leadership Institute, Raytheon Six Sigma Institute, Engineering Institute and Enterprise Excellence Institute.</w:t>
      </w:r>
    </w:p>
    <w:p>
      <w:pPr>
        <w:spacing w:after="0" w:line="16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With respect to employee morale, the company makes extensive use of employee surveys, the results of which are a component of People Metrics and as a result are used in the determination of performance based executive compensation. Specifically, the surveys measure an executive's progress towards reaching a targeted level of improvement in the employee satisfaction index and attaining a targeted employee satisfaction level over time.</w:t>
      </w:r>
    </w:p>
    <w:p>
      <w:pPr>
        <w:spacing w:after="0" w:line="165"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Employee safety is also a component of People Metrics and used to determine performance based executive compensation. In addition, one time awards have been given for improvements in employee safety. Over the past twenty-four months, the lost workday injury rate at the company has decreased by fifty percent and a significant reduction in OSHA recordable injuries has been documented.</w:t>
      </w:r>
    </w:p>
    <w:p>
      <w:pPr>
        <w:spacing w:after="0" w:line="329" w:lineRule="exact"/>
        <w:rPr>
          <w:sz w:val="20"/>
          <w:szCs w:val="20"/>
          <w:color w:val="auto"/>
        </w:rPr>
      </w:pPr>
    </w:p>
    <w:p>
      <w:pPr>
        <w:ind w:right="3459" w:firstLine="1042"/>
        <w:spacing w:after="0" w:line="253" w:lineRule="auto"/>
        <w:rPr>
          <w:sz w:val="20"/>
          <w:szCs w:val="20"/>
          <w:color w:val="auto"/>
        </w:rPr>
      </w:pPr>
      <w:r>
        <w:rPr>
          <w:rFonts w:ascii="Courier New" w:cs="Courier New" w:eastAsia="Courier New" w:hAnsi="Courier New"/>
          <w:sz w:val="14"/>
          <w:szCs w:val="14"/>
          <w:color w:val="auto"/>
        </w:rPr>
        <w:t>In addition, the company uses other components of human capital in determining People Metrics, including a measurement of the executives progress towards building an inclusive and diverse culture. This includes measuring an executive's ability to communicate broadly to engage people as part of the solution, their participating in a diversity conference and their ability to facilitate employee networking and mentoring.</w:t>
      </w:r>
    </w:p>
    <w:p>
      <w:pPr>
        <w:spacing w:after="0" w:line="165" w:lineRule="exact"/>
        <w:rPr>
          <w:sz w:val="20"/>
          <w:szCs w:val="20"/>
          <w:color w:val="auto"/>
        </w:rPr>
      </w:pPr>
    </w:p>
    <w:p>
      <w:pPr>
        <w:ind w:right="3459" w:firstLine="1042"/>
        <w:spacing w:after="0" w:line="255" w:lineRule="auto"/>
        <w:rPr>
          <w:sz w:val="20"/>
          <w:szCs w:val="20"/>
          <w:color w:val="auto"/>
        </w:rPr>
      </w:pPr>
      <w:r>
        <w:rPr>
          <w:rFonts w:ascii="Courier New" w:cs="Courier New" w:eastAsia="Courier New" w:hAnsi="Courier New"/>
          <w:sz w:val="14"/>
          <w:szCs w:val="14"/>
          <w:color w:val="auto"/>
        </w:rPr>
        <w:t>Based on the foregoing, the company believes that its current compensation methods are a more effective method of achieving the goals sought by the shareholder. Further,</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620" w:right="1440" w:bottom="1440" w:gutter="0" w:footer="0" w:header="0"/>
        </w:sectPr>
      </w:pPr>
    </w:p>
    <w:bookmarkStart w:id="68" w:name="page69"/>
    <w:bookmarkEnd w:id="68"/>
    <w:p>
      <w:pPr>
        <w:ind w:right="3379"/>
        <w:spacing w:after="0" w:line="255" w:lineRule="auto"/>
        <w:rPr>
          <w:sz w:val="20"/>
          <w:szCs w:val="20"/>
          <w:color w:val="auto"/>
        </w:rPr>
      </w:pPr>
      <w:r>
        <w:rPr>
          <w:rFonts w:ascii="Courier New" w:cs="Courier New" w:eastAsia="Courier New" w:hAnsi="Courier New"/>
          <w:sz w:val="14"/>
          <w:szCs w:val="14"/>
          <w:color w:val="auto"/>
        </w:rPr>
        <w:t>executives are held accountable for the implementation and maintenance of the new performance development process, which focuses on the continued development of employees and alignment with corporate values and goals.</w:t>
      </w:r>
    </w:p>
    <w:p>
      <w:pPr>
        <w:spacing w:after="0" w:line="162" w:lineRule="exact"/>
        <w:rPr>
          <w:sz w:val="20"/>
          <w:szCs w:val="20"/>
          <w:color w:val="auto"/>
        </w:rPr>
      </w:pPr>
    </w:p>
    <w:p>
      <w:pPr>
        <w:ind w:right="3279" w:firstLine="1042"/>
        <w:spacing w:after="0" w:line="255" w:lineRule="auto"/>
        <w:rPr>
          <w:sz w:val="20"/>
          <w:szCs w:val="20"/>
          <w:color w:val="auto"/>
        </w:rPr>
      </w:pPr>
      <w:r>
        <w:rPr>
          <w:rFonts w:ascii="Courier New" w:cs="Courier New" w:eastAsia="Courier New" w:hAnsi="Courier New"/>
          <w:sz w:val="14"/>
          <w:szCs w:val="14"/>
          <w:color w:val="auto"/>
        </w:rPr>
        <w:t>THE BOARD OF DIRECTORS RECOMMENDS THAT STOCKHOLDERS VOTE AGAINST THE ADOPTION OF THIS PROPOSAL. PROXIES SOLICITED BY THE BOARD OF DIRECTORS WILL BE SO VOTED UNLESS STOCKHOLDERS OTHERWISE SPECIFY IN THEIR PROXIES.</w:t>
      </w:r>
    </w:p>
    <w:p>
      <w:pPr>
        <w:spacing w:after="0" w:line="329"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STOCKHOLDER PROPOSAL NUMBER 4</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(Item No. 8 on the proxy card)</w:t>
      </w:r>
    </w:p>
    <w:p>
      <w:pPr>
        <w:spacing w:after="0" w:line="175" w:lineRule="exact"/>
        <w:rPr>
          <w:sz w:val="20"/>
          <w:szCs w:val="20"/>
          <w:color w:val="auto"/>
        </w:rPr>
      </w:pPr>
    </w:p>
    <w:p>
      <w:pPr>
        <w:ind w:right="3719" w:firstLine="1042"/>
        <w:spacing w:after="0" w:line="254" w:lineRule="auto"/>
        <w:rPr>
          <w:sz w:val="20"/>
          <w:szCs w:val="20"/>
          <w:color w:val="auto"/>
        </w:rPr>
      </w:pPr>
      <w:r>
        <w:rPr>
          <w:rFonts w:ascii="Courier New" w:cs="Courier New" w:eastAsia="Courier New" w:hAnsi="Courier New"/>
          <w:sz w:val="14"/>
          <w:szCs w:val="14"/>
          <w:color w:val="auto"/>
        </w:rPr>
        <w:t>The Massachusetts Carpenters Combined Pension Fund, 350 Fordham Road, Wilmington, MA 01887, beneficial owner of 4,900 Raytheon shares, has proposed the adoption of the following resolution and has furnished the following statement in support of its proposal:</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"RESOLVED, that the shareholders of Raytheon Company (the "Company") request that the Board of Directors adopt an executive compensation policy that all future stock option grants to senior executives shall be performance-based. For the purposes of this resolution, a stock-option is performance-based if its exercise price is linked to an industry performance index associated with the peer group companies used for stock price comparisons in the Company's proxy statement."</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SUPPORTING STATEMENT</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As long-term shareholders of the company, we support executive compensation policies and practices that provide challenging performance objectives and serve to motivate executives to achieve long-term corporate value maximization goals. While salaries and bonuses compensate management for short-term results, the grant of stock and stock options has become the primary vehicle for focusing management on achieving long-term results. Unfortunately, these option grants can and do often provide levels of compensation well beyond those merited. It has become abundantly clear that stock option grants without specific performance-based targets often reward executives for stock price increases due solely to a general stock market rise, rather than improved or superior company performance.</w:t>
      </w:r>
    </w:p>
    <w:p>
      <w:pPr>
        <w:spacing w:after="0" w:line="164"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Indexed stock options are options whose exercise price moves with an appropriate market index composed of a company's primary competitors. The resolution requests that the company's Board ensure that future company stock option plans link the option exercise price to an industry performance index associated with the peer group of companies used for stock price comparisons in the company's proxy statement.</w:t>
      </w:r>
    </w:p>
    <w:p>
      <w:pPr>
        <w:spacing w:after="0" w:line="16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Implementing an indexed stock option plan would mean that our company's participating executives would receive payouts only if the company's stock price performance was better than that of the peer group average. By tying the exercise price to a market index, indexed options reward participating executives for outperforming the competition. Indexed options would have value when our company's stock price rises in excess of its peer group average or declines less than its peer group average stock price decline. By downwardly adjusting the exer-</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620" w:right="1440" w:bottom="1440" w:gutter="0" w:footer="0" w:header="0"/>
        </w:sectPr>
      </w:pPr>
    </w:p>
    <w:bookmarkStart w:id="69" w:name="page70"/>
    <w:bookmarkEnd w:id="69"/>
    <w:p>
      <w:pPr>
        <w:ind w:right="3459"/>
        <w:spacing w:after="0" w:line="255" w:lineRule="auto"/>
        <w:rPr>
          <w:sz w:val="20"/>
          <w:szCs w:val="20"/>
          <w:color w:val="auto"/>
        </w:rPr>
      </w:pPr>
      <w:r>
        <w:rPr>
          <w:rFonts w:ascii="Courier New" w:cs="Courier New" w:eastAsia="Courier New" w:hAnsi="Courier New"/>
          <w:sz w:val="14"/>
          <w:szCs w:val="14"/>
          <w:color w:val="auto"/>
        </w:rPr>
        <w:t>cise price of the option during a downturn in the industry, indexed options remove pressure to reprice stock options. In short, superior performance would be rewarded.</w:t>
      </w:r>
    </w:p>
    <w:p>
      <w:pPr>
        <w:spacing w:after="0" w:line="162"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At present, the company's stock option plan is not indexed to peer group performance standards. Further, our company's stock performance has been significantly below that of its peer group and the S&amp;P 500 since the company's merger with Hughes Electronics Corporation in 1997. An investment of $100 in the company's Class A or B shares in December 1997 was worth only $47.05 or $49.19, respectively, in December 1999.</w:t>
      </w:r>
    </w:p>
    <w:p>
      <w:pPr>
        <w:spacing w:after="0" w:line="16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As long-term owners, we feel strongly that our company would benefit from the implementation of a stock option program that rewarded superior long-term corporate performance. In response to strong negative public and shareholder reactions to the excessive financial rewards provided executives by non-performance based option plans, a growing number of shareholder organizations, executive compensation experts, and companies are supporting the implementation of indexed stock option plans. We urge your support for this important governance reform.</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DIRECTORS RECOMMEND A VOTE AGAINST THIS PROPOSAL.</w:t>
      </w:r>
    </w:p>
    <w:p>
      <w:pPr>
        <w:spacing w:after="0" w:line="342"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Stock Options are an important retention tool at Raytheon. Stock options are considered a form of long-term variable pay. Exempt employees, who have demonstrated extremely high performance or greater long-term potential, are eligible to participate in the Stock Option Program.</w:t>
      </w:r>
    </w:p>
    <w:p>
      <w:pPr>
        <w:spacing w:after="0" w:line="163"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While the Stock Option Program is not an indexed option program, Raytheon's Long-term Achievement Plan (LTAP) awarded to senior leadership of the corporation is based on stock appreciation. The current plan awards performance that results in the attainment of growth in the appreciation of the value of Raytheon stock using performance based options. Specifically, when the stock price reaches the predefined growth level (20% compounded) and is sustained for a period of 20 trading days, one third of the options vest. Similarly, the second third would become exercisable upon attaining an additional twenty percent growth with the final third becoming exercisable after the attainment of an additional twenty percent growth in the price of Raytheon's Class B shares. This program is designed to ensure that executives are not rewarded for stock price increases due solely to a general stock market rise, rather that they are rewarded for improved company performance that is sustained over time.</w:t>
      </w:r>
    </w:p>
    <w:p>
      <w:pPr>
        <w:spacing w:after="0" w:line="163" w:lineRule="exact"/>
        <w:rPr>
          <w:sz w:val="20"/>
          <w:szCs w:val="20"/>
          <w:color w:val="auto"/>
        </w:rPr>
      </w:pPr>
    </w:p>
    <w:p>
      <w:pPr>
        <w:ind w:right="3279" w:firstLine="1042"/>
        <w:spacing w:after="0" w:line="255" w:lineRule="auto"/>
        <w:rPr>
          <w:sz w:val="20"/>
          <w:szCs w:val="20"/>
          <w:color w:val="auto"/>
        </w:rPr>
      </w:pPr>
      <w:r>
        <w:rPr>
          <w:rFonts w:ascii="Courier New" w:cs="Courier New" w:eastAsia="Courier New" w:hAnsi="Courier New"/>
          <w:sz w:val="14"/>
          <w:szCs w:val="14"/>
          <w:color w:val="auto"/>
        </w:rPr>
        <w:t>THE BOARD OF DIRECTORS RECOMMENDS THAT STOCKHOLDERS VOTE AGAINST THE ADOPTION OF THIS PROPOSAL. PROXIES SOLICITED BY THE BOARD OF DIRECTORS WILL BE SO VOTED UNLESS STOCKHOLDERS OTHERWISE SPECIFY IN THEIR PROXIES.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620" w:right="1440" w:bottom="1440" w:gutter="0" w:footer="0" w:header="0"/>
        </w:sectPr>
      </w:pPr>
    </w:p>
    <w:bookmarkStart w:id="70" w:name="page71"/>
    <w:bookmarkEnd w:id="70"/>
    <w:p>
      <w:pPr>
        <w:ind w:left="2260"/>
        <w:spacing w:after="0"/>
        <w:rPr>
          <w:sz w:val="20"/>
          <w:szCs w:val="20"/>
          <w:color w:val="auto"/>
        </w:rPr>
      </w:pPr>
      <w:r>
        <w:rPr>
          <w:rFonts w:ascii="Courier New" w:cs="Courier New" w:eastAsia="Courier New" w:hAnsi="Courier New"/>
          <w:sz w:val="14"/>
          <w:szCs w:val="14"/>
          <w:color w:val="auto"/>
        </w:rPr>
        <w:t>STOCKHOLDER PROPOSAL NUMBER 5</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(Item No. 9 on the proxy card)</w:t>
      </w:r>
    </w:p>
    <w:p>
      <w:pPr>
        <w:spacing w:after="0" w:line="175"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John Chevedden, 2215 Nelson Avenue, No. 205, Redondo Beach, CA, 90278, beneficial owner of 50 Class A shares and 3 Class B shares, has proposed the adoption of the following resolution and has furnished the following statement in support of the proposal:</w:t>
      </w:r>
    </w:p>
    <w:p>
      <w:pPr>
        <w:spacing w:after="0" w:line="163"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ADOPT RESOLUTION THAT WON 60% OF SHAREHOLDER VOTE: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ELECT THE ENTIRE BOARD OF DIRECTORS EACH YEAR</w:t>
      </w:r>
    </w:p>
    <w:p>
      <w:pPr>
        <w:spacing w:after="0" w:line="175" w:lineRule="exact"/>
        <w:rPr>
          <w:sz w:val="20"/>
          <w:szCs w:val="20"/>
          <w:color w:val="auto"/>
        </w:rPr>
      </w:pPr>
    </w:p>
    <w:p>
      <w:pPr>
        <w:ind w:right="3379" w:firstLine="1042"/>
        <w:spacing w:after="0" w:line="258" w:lineRule="auto"/>
        <w:rPr>
          <w:sz w:val="20"/>
          <w:szCs w:val="20"/>
          <w:color w:val="auto"/>
        </w:rPr>
      </w:pPr>
      <w:r>
        <w:rPr>
          <w:rFonts w:ascii="Courier New" w:cs="Courier New" w:eastAsia="Courier New" w:hAnsi="Courier New"/>
          <w:sz w:val="14"/>
          <w:szCs w:val="14"/>
          <w:color w:val="auto"/>
        </w:rPr>
        <w:t>John Chevedden, Calif., Raytheon shareholder, submits this proposal for shareholder approval.</w:t>
      </w:r>
    </w:p>
    <w:p>
      <w:pPr>
        <w:spacing w:after="0" w:line="160"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"RESOLVED: Adopt resolution that won 60% of shareholder vote: Elect the entire Board of Directors each year with a majority of independent directors."</w:t>
      </w:r>
    </w:p>
    <w:p>
      <w:pPr>
        <w:spacing w:after="0" w:line="160"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Raytheon shareholders request the Board of Directors take all necessary steps to enact this resolution. This includes that less frequent than annual election of the entire board be voted as a separate resolution. (Unexpired terms of directors not affected.)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Why Elect The Entire Board Of Directors Each Year?</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To make Raytheon more competitive at the highest corporate level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Where it will have the greatest impact to improve Raytheon's dismal performance: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Raytheon ranks below average (4) in timeliness.</w:t>
            </w: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16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VALUE LINE</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June 23,</w:t>
            </w:r>
          </w:p>
        </w:tc>
        <w:tc>
          <w:tcPr>
            <w:tcW w:w="2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2000</w:t>
            </w: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4"/>
        </w:trPr>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Raytheon</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has</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the dubious</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distinction of posting some</w:t>
            </w:r>
          </w:p>
        </w:tc>
        <w:tc>
          <w:tcPr>
            <w:tcW w:w="620" w:type="dxa"/>
            <w:vAlign w:val="bottom"/>
          </w:tcPr>
          <w:p>
            <w:pPr>
              <w:ind w:left="40"/>
              <w:spacing w:after="0"/>
              <w:rPr>
                <w:sz w:val="20"/>
                <w:szCs w:val="20"/>
                <w:color w:val="auto"/>
              </w:rPr>
            </w:pPr>
            <w:r>
              <w:rPr>
                <w:rFonts w:ascii="Courier New" w:cs="Courier New" w:eastAsia="Courier New" w:hAnsi="Courier New"/>
                <w:sz w:val="14"/>
                <w:szCs w:val="14"/>
                <w:color w:val="auto"/>
              </w:rPr>
              <w:t>of the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lowest scores</w:t>
            </w:r>
          </w:p>
        </w:tc>
      </w:tr>
      <w:tr>
        <w:trPr>
          <w:trHeight w:val="167"/>
        </w:trPr>
        <w:tc>
          <w:tcPr>
            <w:tcW w:w="1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in key performance</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measures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AVIATION WEEK'S Competitive</w:t>
            </w:r>
          </w:p>
        </w:tc>
        <w:tc>
          <w:tcPr>
            <w:tcW w:w="620" w:type="dxa"/>
            <w:vAlign w:val="bottom"/>
          </w:tcPr>
          <w:p>
            <w:pPr>
              <w:ind w:left="40"/>
              <w:spacing w:after="0"/>
              <w:rPr>
                <w:sz w:val="20"/>
                <w:szCs w:val="20"/>
                <w:color w:val="auto"/>
              </w:rPr>
            </w:pPr>
            <w:r>
              <w:rPr>
                <w:rFonts w:ascii="Courier New" w:cs="Courier New" w:eastAsia="Courier New" w:hAnsi="Courier New"/>
                <w:sz w:val="14"/>
                <w:szCs w:val="14"/>
                <w:color w:val="auto"/>
              </w:rPr>
              <w:t>Index.</w:t>
            </w:r>
          </w:p>
        </w:tc>
        <w:tc>
          <w:tcPr>
            <w:tcW w:w="1160" w:type="dxa"/>
            <w:vAlign w:val="bottom"/>
          </w:tcPr>
          <w:p>
            <w:pPr>
              <w:spacing w:after="0"/>
              <w:rPr>
                <w:sz w:val="14"/>
                <w:szCs w:val="14"/>
                <w:color w:val="auto"/>
              </w:rPr>
            </w:pPr>
          </w:p>
        </w:tc>
      </w:tr>
      <w:tr>
        <w:trPr>
          <w:trHeight w:val="167"/>
        </w:trPr>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AVIATION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WEEK</w:t>
            </w: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May</w:t>
            </w:r>
          </w:p>
        </w:tc>
        <w:tc>
          <w:tcPr>
            <w:tcW w:w="2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31, 1999</w:t>
            </w: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Raytheon suffers from:</w:t>
      </w:r>
    </w:p>
    <w:p>
      <w:pPr>
        <w:spacing w:after="0" w:line="8" w:lineRule="exact"/>
        <w:rPr>
          <w:sz w:val="20"/>
          <w:szCs w:val="20"/>
          <w:color w:val="auto"/>
        </w:rPr>
      </w:pPr>
    </w:p>
    <w:p>
      <w:pPr>
        <w:ind w:left="800" w:hanging="270"/>
        <w:spacing w:after="0"/>
        <w:tabs>
          <w:tab w:leader="none" w:pos="80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$638 million write-off</w:t>
      </w:r>
    </w:p>
    <w:p>
      <w:pPr>
        <w:spacing w:after="0" w:line="8" w:lineRule="exact"/>
        <w:rPr>
          <w:rFonts w:ascii="Courier New" w:cs="Courier New" w:eastAsia="Courier New" w:hAnsi="Courier New"/>
          <w:sz w:val="14"/>
          <w:szCs w:val="14"/>
          <w:color w:val="auto"/>
        </w:rPr>
      </w:pPr>
    </w:p>
    <w:p>
      <w:pPr>
        <w:ind w:left="800" w:hanging="270"/>
        <w:spacing w:after="0"/>
        <w:tabs>
          <w:tab w:leader="none" w:pos="80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$600 million shortfall in revenue</w:t>
      </w:r>
    </w:p>
    <w:p>
      <w:pPr>
        <w:spacing w:after="0" w:line="8" w:lineRule="exact"/>
        <w:rPr>
          <w:rFonts w:ascii="Courier New" w:cs="Courier New" w:eastAsia="Courier New" w:hAnsi="Courier New"/>
          <w:sz w:val="14"/>
          <w:szCs w:val="14"/>
          <w:color w:val="auto"/>
        </w:rPr>
      </w:pPr>
    </w:p>
    <w:p>
      <w:pPr>
        <w:ind w:left="800" w:hanging="270"/>
        <w:spacing w:after="0"/>
        <w:tabs>
          <w:tab w:leader="none" w:pos="80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Lower growth estimates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stock price fall was a massacre - 40%.</w:t>
      </w:r>
    </w:p>
    <w:p>
      <w:pPr>
        <w:spacing w:after="0" w:line="8"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320" w:type="dxa"/>
            <w:vAlign w:val="bottom"/>
          </w:tcPr>
          <w:p>
            <w:pPr>
              <w:spacing w:after="0"/>
              <w:rPr>
                <w:sz w:val="20"/>
                <w:szCs w:val="20"/>
                <w:color w:val="auto"/>
              </w:rPr>
            </w:pPr>
            <w:r>
              <w:rPr>
                <w:rFonts w:ascii="Courier New" w:cs="Courier New" w:eastAsia="Courier New" w:hAnsi="Courier New"/>
                <w:sz w:val="14"/>
                <w:szCs w:val="14"/>
                <w:color w:val="auto"/>
              </w:rPr>
              <w:t>AVIATION WEEK</w:t>
            </w:r>
          </w:p>
        </w:tc>
        <w:tc>
          <w:tcPr>
            <w:tcW w:w="1300" w:type="dxa"/>
            <w:vAlign w:val="bottom"/>
          </w:tcPr>
          <w:p>
            <w:pPr>
              <w:ind w:left="160"/>
              <w:spacing w:after="0"/>
              <w:rPr>
                <w:sz w:val="20"/>
                <w:szCs w:val="20"/>
                <w:color w:val="auto"/>
              </w:rPr>
            </w:pPr>
            <w:r>
              <w:rPr>
                <w:rFonts w:ascii="Courier New" w:cs="Courier New" w:eastAsia="Courier New" w:hAnsi="Courier New"/>
                <w:sz w:val="14"/>
                <w:szCs w:val="14"/>
                <w:color w:val="auto"/>
              </w:rPr>
              <w:t>Oct. 18, 1999</w:t>
            </w:r>
          </w:p>
        </w:tc>
      </w:tr>
    </w:tbl>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40% Drop Is A Shareholder Loss Of Over $4 Billion.</w:t>
      </w:r>
    </w:p>
    <w:p>
      <w:pPr>
        <w:spacing w:after="0" w:line="175" w:lineRule="exact"/>
        <w:rPr>
          <w:sz w:val="20"/>
          <w:szCs w:val="20"/>
          <w:color w:val="auto"/>
        </w:rPr>
      </w:pPr>
    </w:p>
    <w:p>
      <w:pPr>
        <w:ind w:right="3539" w:firstLine="521"/>
        <w:spacing w:after="0" w:line="252" w:lineRule="auto"/>
        <w:rPr>
          <w:sz w:val="20"/>
          <w:szCs w:val="20"/>
          <w:color w:val="auto"/>
        </w:rPr>
      </w:pPr>
      <w:r>
        <w:rPr>
          <w:rFonts w:ascii="Courier New" w:cs="Courier New" w:eastAsia="Courier New" w:hAnsi="Courier New"/>
          <w:sz w:val="14"/>
          <w:szCs w:val="14"/>
          <w:color w:val="auto"/>
        </w:rPr>
        <w:t>Raytheon stock is trading at 33% of its former peak. We estimate a slow recovery.</w:t>
      </w:r>
    </w:p>
    <w:p>
      <w:pPr>
        <w:sectPr>
          <w:pgSz w:w="11900" w:h="16838" w:orient="portrait"/>
          <w:cols w:equalWidth="0" w:num="1">
            <w:col w:w="10239"/>
          </w:cols>
          <w:pgMar w:left="220" w:top="620" w:right="1440" w:bottom="1440" w:gutter="0" w:footer="0" w:header="0"/>
        </w:sectPr>
      </w:pP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VALUELINE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June 30, 2000</w:t>
      </w:r>
    </w:p>
    <w:p>
      <w:pPr>
        <w:spacing w:after="0" w:line="175" w:lineRule="exact"/>
        <w:rPr>
          <w:sz w:val="20"/>
          <w:szCs w:val="20"/>
          <w:color w:val="auto"/>
        </w:rPr>
      </w:pPr>
    </w:p>
    <w:p>
      <w:pPr>
        <w:sectPr>
          <w:pgSz w:w="11900" w:h="16838" w:orient="portrait"/>
          <w:cols w:equalWidth="0" w:num="2">
            <w:col w:w="1380" w:space="720"/>
            <w:col w:w="8139"/>
          </w:cols>
          <w:pgMar w:left="220" w:top="620" w:right="1440" w:bottom="1440" w:gutter="0" w:footer="0" w:header="0"/>
          <w:type w:val="continuous"/>
        </w:sectPr>
      </w:pPr>
    </w:p>
    <w:p>
      <w:pPr>
        <w:ind w:right="3539" w:firstLine="521"/>
        <w:spacing w:after="0" w:line="255" w:lineRule="auto"/>
        <w:rPr>
          <w:sz w:val="20"/>
          <w:szCs w:val="20"/>
          <w:color w:val="auto"/>
        </w:rPr>
      </w:pPr>
      <w:r>
        <w:rPr>
          <w:rFonts w:ascii="Courier New" w:cs="Courier New" w:eastAsia="Courier New" w:hAnsi="Courier New"/>
          <w:sz w:val="14"/>
          <w:szCs w:val="14"/>
          <w:color w:val="auto"/>
        </w:rPr>
        <w:t>Raytheon CEO Daniel Burnham gets $20 million in stock. If fired he gets 3-times his annual pay and 3-times his bonus. WALL STREET JOURNAL March 31, 1999</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620" w:right="1440" w:bottom="1440" w:gutter="0" w:footer="0" w:header="0"/>
          <w:type w:val="continuous"/>
        </w:sectPr>
      </w:pPr>
    </w:p>
    <w:bookmarkStart w:id="71" w:name="page72"/>
    <w:bookmarkEnd w:id="71"/>
    <w:p>
      <w:pPr>
        <w:ind w:left="800" w:right="3379" w:hanging="270"/>
        <w:spacing w:after="0" w:line="252" w:lineRule="auto"/>
        <w:tabs>
          <w:tab w:leader="none" w:pos="80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Edward Jones analyst Bill Fiala said "It doesn't get much uglier." Raytheon's disclosures concern "areas that are the bread and butter of Raytheon."</w:t>
      </w:r>
    </w:p>
    <w:p>
      <w:pPr>
        <w:spacing w:after="0" w:line="1" w:lineRule="exact"/>
        <w:rPr>
          <w:rFonts w:ascii="Courier New" w:cs="Courier New" w:eastAsia="Courier New" w:hAnsi="Courier New"/>
          <w:sz w:val="14"/>
          <w:szCs w:val="14"/>
          <w:color w:val="auto"/>
        </w:rPr>
      </w:pPr>
    </w:p>
    <w:p>
      <w:pPr>
        <w:ind w:left="800" w:right="4239" w:hanging="270"/>
        <w:spacing w:after="0" w:line="252" w:lineRule="auto"/>
        <w:tabs>
          <w:tab w:leader="none" w:pos="80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JSA analyst Paul Nisbet said, "The credibility has gone to near-zero, and its going to be a long time before its back."</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BOSTON GLOBE Oct. 13, 1999</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Retired Chairman Dennis Picard will remain on Raytheon's board.</w:t>
      </w:r>
    </w:p>
    <w:p>
      <w:pPr>
        <w:spacing w:after="0" w:line="8" w:lineRule="exact"/>
        <w:rPr>
          <w:sz w:val="20"/>
          <w:szCs w:val="20"/>
          <w:color w:val="auto"/>
        </w:rPr>
      </w:pPr>
    </w:p>
    <w:p>
      <w:pPr>
        <w:ind w:left="520"/>
        <w:spacing w:after="0"/>
        <w:tabs>
          <w:tab w:leader="none" w:pos="2600" w:val="left"/>
        </w:tabs>
        <w:rPr>
          <w:sz w:val="20"/>
          <w:szCs w:val="20"/>
          <w:color w:val="auto"/>
        </w:rPr>
      </w:pPr>
      <w:r>
        <w:rPr>
          <w:rFonts w:ascii="Courier New" w:cs="Courier New" w:eastAsia="Courier New" w:hAnsi="Courier New"/>
          <w:sz w:val="14"/>
          <w:szCs w:val="14"/>
          <w:color w:val="auto"/>
        </w:rPr>
        <w:t>WALL STREET JOURNAL</w:t>
      </w:r>
      <w:r>
        <w:rPr>
          <w:sz w:val="20"/>
          <w:szCs w:val="20"/>
          <w:color w:val="auto"/>
        </w:rPr>
        <w:tab/>
      </w:r>
      <w:r>
        <w:rPr>
          <w:rFonts w:ascii="Courier New" w:cs="Courier New" w:eastAsia="Courier New" w:hAnsi="Courier New"/>
          <w:sz w:val="14"/>
          <w:szCs w:val="14"/>
          <w:color w:val="auto"/>
        </w:rPr>
        <w:t>April 29, 1999</w:t>
      </w:r>
    </w:p>
    <w:p>
      <w:pPr>
        <w:spacing w:after="0" w:line="175" w:lineRule="exact"/>
        <w:rPr>
          <w:sz w:val="20"/>
          <w:szCs w:val="20"/>
          <w:color w:val="auto"/>
        </w:rPr>
      </w:pPr>
    </w:p>
    <w:p>
      <w:pPr>
        <w:ind w:left="800" w:hanging="270"/>
        <w:spacing w:after="0"/>
        <w:tabs>
          <w:tab w:leader="none" w:pos="80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most of the this decade, Raytheon was dominated by Mr. Picard.</w:t>
      </w:r>
    </w:p>
    <w:p>
      <w:pPr>
        <w:spacing w:after="0" w:line="8" w:lineRule="exact"/>
        <w:rPr>
          <w:rFonts w:ascii="Courier New" w:cs="Courier New" w:eastAsia="Courier New" w:hAnsi="Courier New"/>
          <w:sz w:val="14"/>
          <w:szCs w:val="14"/>
          <w:color w:val="auto"/>
        </w:rPr>
      </w:pPr>
    </w:p>
    <w:p>
      <w:pPr>
        <w:ind w:left="800" w:right="3379" w:hanging="270"/>
        <w:spacing w:after="0" w:line="252" w:lineRule="auto"/>
        <w:tabs>
          <w:tab w:leader="none" w:pos="80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aggressive culture that Picard left behind - in which managers had difficulty facing up to and reporting bad news on a timely basis - exacerbated the difficulties.</w:t>
      </w:r>
    </w:p>
    <w:p>
      <w:pPr>
        <w:spacing w:after="0" w:line="1" w:lineRule="exact"/>
        <w:rPr>
          <w:rFonts w:ascii="Courier New" w:cs="Courier New" w:eastAsia="Courier New" w:hAnsi="Courier New"/>
          <w:sz w:val="14"/>
          <w:szCs w:val="14"/>
          <w:color w:val="auto"/>
        </w:rPr>
      </w:pPr>
    </w:p>
    <w:p>
      <w:pPr>
        <w:ind w:left="800" w:right="3719" w:hanging="270"/>
        <w:spacing w:after="0" w:line="258" w:lineRule="auto"/>
        <w:tabs>
          <w:tab w:leader="none" w:pos="80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must spend millions of dollars on legal fees to defend against shareholder lawsuits.</w:t>
      </w:r>
    </w:p>
    <w:p>
      <w:pPr>
        <w:spacing w:after="0" w:line="160" w:lineRule="exact"/>
        <w:rPr>
          <w:sz w:val="20"/>
          <w:szCs w:val="20"/>
          <w:color w:val="auto"/>
        </w:rPr>
      </w:pPr>
    </w:p>
    <w:p>
      <w:pPr>
        <w:ind w:right="3459" w:firstLine="1042"/>
        <w:spacing w:after="0" w:line="253" w:lineRule="auto"/>
        <w:rPr>
          <w:sz w:val="20"/>
          <w:szCs w:val="20"/>
          <w:color w:val="auto"/>
        </w:rPr>
      </w:pPr>
      <w:r>
        <w:rPr>
          <w:rFonts w:ascii="Courier New" w:cs="Courier New" w:eastAsia="Courier New" w:hAnsi="Courier New"/>
          <w:sz w:val="14"/>
          <w:szCs w:val="14"/>
          <w:color w:val="auto"/>
        </w:rPr>
        <w:t>The combination of Raytheon's classified board and poison pill entrenches management and lessens management's incentive to improve company performance. This combination is a formidable defense against takeover overtures. In order to repeal the company's poison pill and complete an acquisition, a shareholder group must win all board seats up for election at 2 consecutive annual meetings.</w:t>
      </w:r>
    </w:p>
    <w:p>
      <w:pPr>
        <w:spacing w:after="0" w:line="165" w:lineRule="exact"/>
        <w:rPr>
          <w:sz w:val="20"/>
          <w:szCs w:val="20"/>
          <w:color w:val="auto"/>
        </w:rPr>
      </w:pPr>
    </w:p>
    <w:p>
      <w:pPr>
        <w:ind w:right="3279" w:firstLine="1042"/>
        <w:spacing w:after="0" w:line="252" w:lineRule="auto"/>
        <w:rPr>
          <w:sz w:val="20"/>
          <w:szCs w:val="20"/>
          <w:color w:val="auto"/>
        </w:rPr>
      </w:pPr>
      <w:r>
        <w:rPr>
          <w:rFonts w:ascii="Courier New" w:cs="Courier New" w:eastAsia="Courier New" w:hAnsi="Courier New"/>
          <w:sz w:val="14"/>
          <w:szCs w:val="14"/>
          <w:color w:val="auto"/>
        </w:rPr>
        <w:t>As a sign that management is not interested in the preference of its shareholders, management hired a $269-million law firm to prevent shareholders from voting on this resolution in 1999. This proposal won the challenge of management's $269-million law firm and won increased shareholder support in achieving 60% shareholder approval at the 2000 annual meeting.</w:t>
      </w:r>
    </w:p>
    <w:p>
      <w:pPr>
        <w:spacing w:after="0" w:line="2" w:lineRule="exact"/>
        <w:rPr>
          <w:sz w:val="20"/>
          <w:szCs w:val="20"/>
          <w:color w:val="auto"/>
        </w:rPr>
      </w:pPr>
    </w:p>
    <w:p>
      <w:pPr>
        <w:ind w:right="3799" w:firstLine="1042"/>
        <w:spacing w:after="0" w:line="258" w:lineRule="auto"/>
        <w:rPr>
          <w:sz w:val="20"/>
          <w:szCs w:val="20"/>
          <w:color w:val="auto"/>
        </w:rPr>
      </w:pPr>
      <w:r>
        <w:rPr>
          <w:rFonts w:ascii="Courier New" w:cs="Courier New" w:eastAsia="Courier New" w:hAnsi="Courier New"/>
          <w:sz w:val="14"/>
          <w:szCs w:val="14"/>
          <w:color w:val="auto"/>
        </w:rPr>
        <w:t>Annual election of directors will encourage an independent and competitive Raytheon board for effective oversight of management.</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best boards continue to raise the bar, said BUSINESS WEEK -</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ADOPT RESOLUTION THAT WON 60% OF SHAREHOLDER VOTE:</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ELECT THE ENTIRE BOARD OF DIRECTORS EACH YEAR</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YES ON 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DIRECTORS RECOMMEND A VOTE AGAINST THIS PROPOSAL.</w:t>
      </w:r>
    </w:p>
    <w:p>
      <w:pPr>
        <w:spacing w:after="0" w:line="175" w:lineRule="exact"/>
        <w:rPr>
          <w:sz w:val="20"/>
          <w:szCs w:val="20"/>
          <w:color w:val="auto"/>
        </w:rPr>
      </w:pPr>
    </w:p>
    <w:p>
      <w:pPr>
        <w:ind w:right="3639" w:firstLine="521"/>
        <w:spacing w:after="0" w:line="254" w:lineRule="auto"/>
        <w:rPr>
          <w:sz w:val="20"/>
          <w:szCs w:val="20"/>
          <w:color w:val="auto"/>
        </w:rPr>
      </w:pPr>
      <w:r>
        <w:rPr>
          <w:rFonts w:ascii="Courier New" w:cs="Courier New" w:eastAsia="Courier New" w:hAnsi="Courier New"/>
          <w:sz w:val="14"/>
          <w:szCs w:val="14"/>
          <w:color w:val="auto"/>
        </w:rPr>
        <w:t>The company's current system of electing directors by classes was originally approved by Raytheon shareholders in 1985. Under this method, as provided in the company's Restated Certificate of Incorporation and By-laws, approximately one-third of the directors are elected annually by the shareholders.</w:t>
      </w:r>
    </w:p>
    <w:p>
      <w:pPr>
        <w:spacing w:after="0" w:line="162" w:lineRule="exact"/>
        <w:rPr>
          <w:sz w:val="20"/>
          <w:szCs w:val="20"/>
          <w:color w:val="auto"/>
        </w:rPr>
      </w:pPr>
    </w:p>
    <w:p>
      <w:pPr>
        <w:ind w:right="3459" w:firstLine="521"/>
        <w:spacing w:after="0" w:line="253" w:lineRule="auto"/>
        <w:rPr>
          <w:sz w:val="20"/>
          <w:szCs w:val="20"/>
          <w:color w:val="auto"/>
        </w:rPr>
      </w:pPr>
      <w:r>
        <w:rPr>
          <w:rFonts w:ascii="Courier New" w:cs="Courier New" w:eastAsia="Courier New" w:hAnsi="Courier New"/>
          <w:sz w:val="14"/>
          <w:szCs w:val="14"/>
          <w:color w:val="auto"/>
        </w:rPr>
        <w:t>The same proponent has presented a proposal to eliminate the classified Board in each of the last three years. The Proponent's Supporting Statement references many matters that the Board does not believe relate to a classified Board, such as executive compensation and management styles of former executives. Furthermore, the Board disagrees with the proponent's contention that our Board is not currently independent. In fact, eleven of the fourteen directors</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620" w:right="1440" w:bottom="1440" w:gutter="0" w:footer="0" w:header="0"/>
        </w:sectPr>
      </w:pPr>
    </w:p>
    <w:bookmarkStart w:id="72" w:name="page73"/>
    <w:bookmarkEnd w:id="72"/>
    <w:p>
      <w:pPr>
        <w:ind w:right="3459"/>
        <w:spacing w:after="0" w:line="254" w:lineRule="auto"/>
        <w:rPr>
          <w:sz w:val="20"/>
          <w:szCs w:val="20"/>
          <w:color w:val="auto"/>
        </w:rPr>
      </w:pPr>
      <w:r>
        <w:rPr>
          <w:rFonts w:ascii="Courier New" w:cs="Courier New" w:eastAsia="Courier New" w:hAnsi="Courier New"/>
          <w:sz w:val="14"/>
          <w:szCs w:val="14"/>
          <w:color w:val="auto"/>
        </w:rPr>
        <w:t>on our current Board are independent and the Board has taken steps to maintain such independence by adopting a set of Corporate Governance guidelines, described on page 8 of this proxy statement, which state that a substantial majority of the Board should be comprised of independent directors.</w:t>
      </w:r>
    </w:p>
    <w:p>
      <w:pPr>
        <w:spacing w:after="0" w:line="163" w:lineRule="exact"/>
        <w:rPr>
          <w:sz w:val="20"/>
          <w:szCs w:val="20"/>
          <w:color w:val="auto"/>
        </w:rPr>
      </w:pPr>
    </w:p>
    <w:p>
      <w:pPr>
        <w:ind w:right="3639" w:firstLine="521"/>
        <w:spacing w:after="0" w:line="255" w:lineRule="auto"/>
        <w:rPr>
          <w:sz w:val="20"/>
          <w:szCs w:val="20"/>
          <w:color w:val="auto"/>
        </w:rPr>
      </w:pPr>
      <w:r>
        <w:rPr>
          <w:rFonts w:ascii="Courier New" w:cs="Courier New" w:eastAsia="Courier New" w:hAnsi="Courier New"/>
          <w:sz w:val="14"/>
          <w:szCs w:val="14"/>
          <w:color w:val="auto"/>
        </w:rPr>
        <w:t>The Board of Directors has again, reviewed the issues raised in the proposal and, for the reasons indicated below, continues to believe that the classified Board best serves the company and its shareholders.</w:t>
      </w:r>
    </w:p>
    <w:p>
      <w:pPr>
        <w:spacing w:after="0" w:line="162"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With the classified Board, the likelihood of continuity and stability in the Board's business strategies and policies is enhanced since generally two thirds of the directors at all times will have had prior experience and familiarity with the business and affairs of the company. This enables the directors to build on past experience and plan for a reasonable period into the future.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The Board</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believes that directors elected</w:t>
            </w:r>
          </w:p>
        </w:tc>
        <w:tc>
          <w:tcPr>
            <w:tcW w:w="2780" w:type="dxa"/>
            <w:vAlign w:val="bottom"/>
            <w:gridSpan w:val="2"/>
          </w:tcPr>
          <w:p>
            <w:pPr>
              <w:jc w:val="center"/>
              <w:ind w:right="288"/>
              <w:spacing w:after="0"/>
              <w:rPr>
                <w:sz w:val="20"/>
                <w:szCs w:val="20"/>
                <w:color w:val="auto"/>
              </w:rPr>
            </w:pPr>
            <w:r>
              <w:rPr>
                <w:rFonts w:ascii="Courier New" w:cs="Courier New" w:eastAsia="Courier New" w:hAnsi="Courier New"/>
                <w:sz w:val="14"/>
                <w:szCs w:val="14"/>
                <w:color w:val="auto"/>
              </w:rPr>
              <w:t>to a classified Board are no</w:t>
            </w:r>
          </w:p>
        </w:tc>
      </w:tr>
      <w:tr>
        <w:trPr>
          <w:trHeight w:val="167"/>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less accountable to shareowners than they would</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be if</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all directors were elected</w:t>
            </w:r>
          </w:p>
        </w:tc>
      </w:tr>
      <w:tr>
        <w:trPr>
          <w:trHeight w:val="167"/>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annually. Since</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one-third of the directors must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stand</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for election each year,</w:t>
            </w:r>
          </w:p>
        </w:tc>
      </w:tr>
      <w:tr>
        <w:trPr>
          <w:trHeight w:val="167"/>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the shareowners</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have the opportunity annually to</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vote</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against management. The</w:t>
            </w:r>
          </w:p>
        </w:tc>
      </w:tr>
      <w:tr>
        <w:trPr>
          <w:trHeight w:val="167"/>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Board addresses</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many important issues during the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year</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and it disagrees with any</w:t>
            </w:r>
          </w:p>
        </w:tc>
      </w:tr>
      <w:tr>
        <w:trPr>
          <w:trHeight w:val="167"/>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suggestion that</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its attention to these issues is</w:t>
            </w:r>
          </w:p>
        </w:tc>
        <w:tc>
          <w:tcPr>
            <w:tcW w:w="2780" w:type="dxa"/>
            <w:vAlign w:val="bottom"/>
            <w:gridSpan w:val="2"/>
          </w:tcPr>
          <w:p>
            <w:pPr>
              <w:jc w:val="center"/>
              <w:ind w:right="288"/>
              <w:spacing w:after="0"/>
              <w:rPr>
                <w:sz w:val="20"/>
                <w:szCs w:val="20"/>
                <w:color w:val="auto"/>
              </w:rPr>
            </w:pPr>
            <w:r>
              <w:rPr>
                <w:rFonts w:ascii="Courier New" w:cs="Courier New" w:eastAsia="Courier New" w:hAnsi="Courier New"/>
                <w:sz w:val="14"/>
                <w:szCs w:val="14"/>
                <w:color w:val="auto"/>
              </w:rPr>
              <w:t>in any way affected by the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timing of elections.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In addition, our classified Board structure provides the additional benefit of reducing the likelihood of a sudden, unsolicited and possibly disadvantageous takeover of the company without prior discussions with the Board. If a hostile acquiror cannot circumvent negotiations with the Board, the Board has the ability to evaluate potential takeover offers, seek alternatives to unacceptable proposals and negotiate to achieve the best possible outcome for shareholders. While the classified Board does not preclude a successful takeover offer, the Board of Directors believes that it enhances the Board's ability to negotiate favorable terms and thereby provide shareholders with the best value in the event the shareholders decide that such a takeover is beneficial.</w:t>
      </w:r>
    </w:p>
    <w:p>
      <w:pPr>
        <w:spacing w:after="0" w:line="164"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Finally, adoption of this proposal would not automatically result in the elimination of the classified Board. Further action by shareholders is required to amend the Certificate of Incorporation and By-laws. In order to amend these documents, a majority vote of the outstanding Class A shares and the Class B shares would be required. Furthermore, under Delaware law, the Certificate of Incorporation can only be amended following a recommendation of the Board of Directors prior to submission to shareholders. While the Board, consistent with its fiduciary duties, would consider such an amendment, for the foregoing reasons the Board does not currently believe that such an amendment would be in the best interest of the company or its shareholders.</w:t>
      </w:r>
    </w:p>
    <w:p>
      <w:pPr>
        <w:spacing w:after="0" w:line="164" w:lineRule="exact"/>
        <w:rPr>
          <w:sz w:val="20"/>
          <w:szCs w:val="20"/>
          <w:color w:val="auto"/>
        </w:rPr>
      </w:pPr>
    </w:p>
    <w:p>
      <w:pPr>
        <w:ind w:right="3279" w:firstLine="1042"/>
        <w:spacing w:after="0" w:line="255" w:lineRule="auto"/>
        <w:rPr>
          <w:sz w:val="20"/>
          <w:szCs w:val="20"/>
          <w:color w:val="auto"/>
        </w:rPr>
      </w:pPr>
      <w:r>
        <w:rPr>
          <w:rFonts w:ascii="Courier New" w:cs="Courier New" w:eastAsia="Courier New" w:hAnsi="Courier New"/>
          <w:sz w:val="14"/>
          <w:szCs w:val="14"/>
          <w:color w:val="auto"/>
        </w:rPr>
        <w:t>THE BOARD OF DIRECTORS RECOMMENDS THAT STOCKHOLDERS VOTE AGAINST THE ADOPTION OF THIS PROPOSAL. PROXIES SOLICITED BY THE BOARD OF DIRECTORS WILL BE SO VOTED UNLESS STOCKHOLDERS OTHERWISE SPECIFY IN THEIR PROXIES.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620" w:right="1440" w:bottom="1440" w:gutter="0" w:footer="0" w:header="0"/>
        </w:sectPr>
      </w:pPr>
    </w:p>
    <w:bookmarkStart w:id="73" w:name="page74"/>
    <w:bookmarkEnd w:id="73"/>
    <w:p>
      <w:pPr>
        <w:jc w:val="center"/>
        <w:ind w:right="3179"/>
        <w:spacing w:after="0"/>
        <w:rPr>
          <w:sz w:val="20"/>
          <w:szCs w:val="20"/>
          <w:color w:val="auto"/>
        </w:rPr>
      </w:pPr>
      <w:r>
        <w:rPr>
          <w:rFonts w:ascii="Courier New" w:cs="Courier New" w:eastAsia="Courier New" w:hAnsi="Courier New"/>
          <w:sz w:val="14"/>
          <w:szCs w:val="14"/>
          <w:color w:val="auto"/>
        </w:rPr>
        <w:t>STOCKHOLDER PROPOSAL NUMBER 6</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(Item No. 10 on the proxy card)</w:t>
      </w:r>
    </w:p>
    <w:p>
      <w:pPr>
        <w:spacing w:after="0" w:line="175"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John Chevedden, 2215 Nelson Avenue, No. 205, Redondo Beach, CA, 90278, on behalf of Ray T. Chevedden and Veronica G. Chevedden, beneficial owners of 127 Class A shares, has proposed the adoption of the following resolution and has furnished the following statement in support of the proposal:</w:t>
      </w:r>
    </w:p>
    <w:p>
      <w:pPr>
        <w:spacing w:after="0" w:line="16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ADOPT THE PROPOSAL THAT WON 60% SHAREHOLDER APPROVAL IN 2000:</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SHAREHOLDER OPPORTUNITY TO VOTE ON POISON PILLS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"RESOLVED: SHAREHOLDER OPPORTUNITY TO VOTE ON POISON PILLS</w:t>
      </w:r>
    </w:p>
    <w:p>
      <w:pPr>
        <w:spacing w:after="0" w:line="8" w:lineRule="exact"/>
        <w:rPr>
          <w:sz w:val="20"/>
          <w:szCs w:val="20"/>
          <w:color w:val="auto"/>
        </w:rPr>
      </w:pPr>
    </w:p>
    <w:p>
      <w:pPr>
        <w:ind w:left="520" w:right="3459"/>
        <w:spacing w:after="0" w:line="253" w:lineRule="auto"/>
        <w:rPr>
          <w:sz w:val="20"/>
          <w:szCs w:val="20"/>
          <w:color w:val="auto"/>
        </w:rPr>
      </w:pPr>
      <w:r>
        <w:rPr>
          <w:rFonts w:ascii="Courier New" w:cs="Courier New" w:eastAsia="Courier New" w:hAnsi="Courier New"/>
          <w:sz w:val="14"/>
          <w:szCs w:val="14"/>
          <w:color w:val="auto"/>
        </w:rPr>
        <w:t>Recommend the company not adopt or maintain any poison pill designed to block the acquisition of stock in excess of a specified amount: UNLESS such plan or agreement has been previously approved by a majority shareholder vote. This includes, but is not limited to the poison pill that was adopted by the Company WITHOUT SHAREHOLDER APPROVAL in 1997. After adoption this proposal is not to be amended, modified or repealed, except as a separate proposal by a shareholder vote."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SUPPORTING STATEMENT:</w:t>
      </w:r>
    </w:p>
    <w:p>
      <w:pPr>
        <w:spacing w:after="0" w:line="175" w:lineRule="exact"/>
        <w:rPr>
          <w:sz w:val="20"/>
          <w:szCs w:val="20"/>
          <w:color w:val="auto"/>
        </w:rPr>
      </w:pPr>
    </w:p>
    <w:p>
      <w:pPr>
        <w:ind w:right="3539" w:firstLine="1042"/>
        <w:spacing w:after="0" w:line="252" w:lineRule="auto"/>
        <w:rPr>
          <w:sz w:val="20"/>
          <w:szCs w:val="20"/>
          <w:color w:val="auto"/>
        </w:rPr>
      </w:pPr>
      <w:r>
        <w:rPr>
          <w:rFonts w:ascii="Courier New" w:cs="Courier New" w:eastAsia="Courier New" w:hAnsi="Courier New"/>
          <w:sz w:val="14"/>
          <w:szCs w:val="14"/>
          <w:color w:val="auto"/>
        </w:rPr>
        <w:t>Raytheon adopted a 10-year poison-pill without shareholder vote - despite a commitment to shareholders not to do so.</w:t>
      </w:r>
    </w:p>
    <w:p>
      <w:pPr>
        <w:spacing w:after="0" w:line="1" w:lineRule="exact"/>
        <w:rPr>
          <w:sz w:val="20"/>
          <w:szCs w:val="20"/>
          <w:color w:val="auto"/>
        </w:rPr>
      </w:pPr>
    </w:p>
    <w:p>
      <w:pPr>
        <w:ind w:left="1060" w:right="3539"/>
        <w:spacing w:after="0" w:line="258" w:lineRule="auto"/>
        <w:rPr>
          <w:sz w:val="20"/>
          <w:szCs w:val="20"/>
          <w:color w:val="auto"/>
        </w:rPr>
      </w:pPr>
      <w:r>
        <w:rPr>
          <w:rFonts w:ascii="Courier New" w:cs="Courier New" w:eastAsia="Courier New" w:hAnsi="Courier New"/>
          <w:sz w:val="14"/>
          <w:szCs w:val="14"/>
          <w:color w:val="auto"/>
        </w:rPr>
        <w:t>Investor Responsibility Research Center; Washington, DC, Feb. 13, 1998</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Why submit the Raytheon poison pill to a shareholder vote?</w:t>
      </w:r>
    </w:p>
    <w:p>
      <w:pPr>
        <w:spacing w:after="0" w:line="175" w:lineRule="exact"/>
        <w:rPr>
          <w:sz w:val="20"/>
          <w:szCs w:val="20"/>
          <w:color w:val="auto"/>
        </w:rPr>
      </w:pPr>
    </w:p>
    <w:p>
      <w:pPr>
        <w:ind w:left="800" w:right="3459" w:hanging="270"/>
        <w:spacing w:after="0" w:line="252" w:lineRule="auto"/>
        <w:tabs>
          <w:tab w:leader="none" w:pos="80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poison pill is an anti-takeover device, which injure shareholders by reducing management accountability and adversely affecting shareholder value.</w:t>
      </w:r>
    </w:p>
    <w:p>
      <w:pPr>
        <w:spacing w:after="0" w:line="1" w:lineRule="exact"/>
        <w:rPr>
          <w:rFonts w:ascii="Courier New" w:cs="Courier New" w:eastAsia="Courier New" w:hAnsi="Courier New"/>
          <w:sz w:val="14"/>
          <w:szCs w:val="14"/>
          <w:color w:val="auto"/>
        </w:rPr>
      </w:pPr>
    </w:p>
    <w:p>
      <w:pPr>
        <w:ind w:left="800" w:right="3279" w:hanging="270"/>
        <w:spacing w:after="0" w:line="255" w:lineRule="auto"/>
        <w:tabs>
          <w:tab w:leader="none" w:pos="80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Pills give directors absolute veto power over any proposed business combination, no matter how beneficial it might be for the shareholders. Nell Minow and Robert Monks in their book, POWER AND ACCOUNTABILITY</w:t>
      </w:r>
    </w:p>
    <w:p>
      <w:pPr>
        <w:spacing w:after="0" w:line="162" w:lineRule="exact"/>
        <w:rPr>
          <w:rFonts w:ascii="Courier New" w:cs="Courier New" w:eastAsia="Courier New" w:hAnsi="Courier New"/>
          <w:sz w:val="14"/>
          <w:szCs w:val="14"/>
          <w:color w:val="auto"/>
        </w:rPr>
      </w:pPr>
    </w:p>
    <w:p>
      <w:pPr>
        <w:ind w:left="800" w:right="3539" w:hanging="270"/>
        <w:spacing w:after="0" w:line="255" w:lineRule="auto"/>
        <w:tabs>
          <w:tab w:leader="none" w:pos="80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right to vote on poison pill resolutions achieved 60% APPROVAL from shareholders in 1999. Investor Responsibility Research Center's Corporate Governance Bulletin, April-June 1999</w:t>
      </w:r>
    </w:p>
    <w:p>
      <w:pPr>
        <w:spacing w:after="0" w:line="162" w:lineRule="exact"/>
        <w:rPr>
          <w:rFonts w:ascii="Courier New" w:cs="Courier New" w:eastAsia="Courier New" w:hAnsi="Courier New"/>
          <w:sz w:val="14"/>
          <w:szCs w:val="14"/>
          <w:color w:val="auto"/>
        </w:rPr>
      </w:pPr>
    </w:p>
    <w:p>
      <w:pPr>
        <w:ind w:left="800" w:right="3639" w:hanging="270"/>
        <w:spacing w:after="0" w:line="252" w:lineRule="auto"/>
        <w:tabs>
          <w:tab w:leader="none" w:pos="80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Council of Institutional Investors (http://www.cii.org/ &amp; http://www.cii.org/ ciicentral/policies.htm) recommends shareholder approval of all poison pills in its Shareholder Bill of Rights.</w:t>
      </w:r>
    </w:p>
    <w:p>
      <w:pPr>
        <w:spacing w:after="0" w:line="1" w:lineRule="exact"/>
        <w:rPr>
          <w:rFonts w:ascii="Courier New" w:cs="Courier New" w:eastAsia="Courier New" w:hAnsi="Courier New"/>
          <w:sz w:val="14"/>
          <w:szCs w:val="14"/>
          <w:color w:val="auto"/>
        </w:rPr>
      </w:pPr>
    </w:p>
    <w:p>
      <w:pPr>
        <w:ind w:left="800" w:right="3379" w:hanging="270"/>
        <w:spacing w:after="0" w:line="255" w:lineRule="auto"/>
        <w:tabs>
          <w:tab w:leader="none" w:pos="80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Council of Institutional Investors Shareholder Bill of Rights also recommends that companies adopt proposals that win a majority shareholder vote as this proposal did (60%).</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620" w:right="1440" w:bottom="1440" w:gutter="0" w:footer="0" w:header="0"/>
        </w:sectPr>
      </w:pPr>
    </w:p>
    <w:bookmarkStart w:id="74" w:name="page75"/>
    <w:bookmarkEnd w:id="74"/>
    <w:p>
      <w:pPr>
        <w:ind w:right="3799" w:firstLine="1042"/>
        <w:spacing w:after="0" w:line="255" w:lineRule="auto"/>
        <w:rPr>
          <w:sz w:val="20"/>
          <w:szCs w:val="20"/>
          <w:color w:val="auto"/>
        </w:rPr>
      </w:pPr>
      <w:r>
        <w:rPr>
          <w:rFonts w:ascii="Courier New" w:cs="Courier New" w:eastAsia="Courier New" w:hAnsi="Courier New"/>
          <w:sz w:val="14"/>
          <w:szCs w:val="14"/>
          <w:color w:val="auto"/>
        </w:rPr>
        <w:t>The adoption of proposals winning majority vote is of greater significance to Raytheon. Reason: The company has additional management practices that are not competitive - according to many large shareholders:</w:t>
      </w:r>
    </w:p>
    <w:p>
      <w:pPr>
        <w:spacing w:after="0" w:line="162" w:lineRule="exact"/>
        <w:rPr>
          <w:sz w:val="20"/>
          <w:szCs w:val="20"/>
          <w:color w:val="auto"/>
        </w:rPr>
      </w:pPr>
    </w:p>
    <w:p>
      <w:pPr>
        <w:ind w:left="800" w:hanging="270"/>
        <w:spacing w:after="0"/>
        <w:tabs>
          <w:tab w:leader="none" w:pos="8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cumulative voting.</w:t>
      </w:r>
    </w:p>
    <w:p>
      <w:pPr>
        <w:spacing w:after="0" w:line="8" w:lineRule="exact"/>
        <w:rPr>
          <w:rFonts w:ascii="Courier New" w:cs="Courier New" w:eastAsia="Courier New" w:hAnsi="Courier New"/>
          <w:sz w:val="14"/>
          <w:szCs w:val="14"/>
          <w:color w:val="auto"/>
        </w:rPr>
      </w:pPr>
    </w:p>
    <w:p>
      <w:pPr>
        <w:ind w:left="800" w:hanging="270"/>
        <w:spacing w:after="0"/>
        <w:tabs>
          <w:tab w:leader="none" w:pos="8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annual election of all directors.</w:t>
      </w:r>
    </w:p>
    <w:p>
      <w:pPr>
        <w:spacing w:after="0" w:line="8" w:lineRule="exact"/>
        <w:rPr>
          <w:rFonts w:ascii="Courier New" w:cs="Courier New" w:eastAsia="Courier New" w:hAnsi="Courier New"/>
          <w:sz w:val="14"/>
          <w:szCs w:val="14"/>
          <w:color w:val="auto"/>
        </w:rPr>
      </w:pPr>
    </w:p>
    <w:p>
      <w:pPr>
        <w:ind w:left="800" w:hanging="270"/>
        <w:spacing w:after="0"/>
        <w:tabs>
          <w:tab w:leader="none" w:pos="8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Unequal voting rights on the election and removal of directors.</w:t>
      </w:r>
    </w:p>
    <w:p>
      <w:pPr>
        <w:spacing w:after="0" w:line="8" w:lineRule="exact"/>
        <w:rPr>
          <w:rFonts w:ascii="Courier New" w:cs="Courier New" w:eastAsia="Courier New" w:hAnsi="Courier New"/>
          <w:sz w:val="14"/>
          <w:szCs w:val="14"/>
          <w:color w:val="auto"/>
        </w:rPr>
      </w:pPr>
    </w:p>
    <w:p>
      <w:pPr>
        <w:ind w:left="800" w:hanging="270"/>
        <w:spacing w:after="0"/>
        <w:tabs>
          <w:tab w:leader="none" w:pos="8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Dual class common stock.</w:t>
      </w:r>
    </w:p>
    <w:p>
      <w:pPr>
        <w:spacing w:after="0" w:line="8" w:lineRule="exact"/>
        <w:rPr>
          <w:rFonts w:ascii="Courier New" w:cs="Courier New" w:eastAsia="Courier New" w:hAnsi="Courier New"/>
          <w:sz w:val="14"/>
          <w:szCs w:val="14"/>
          <w:color w:val="auto"/>
        </w:rPr>
      </w:pPr>
    </w:p>
    <w:p>
      <w:pPr>
        <w:ind w:left="800" w:right="3279" w:hanging="270"/>
        <w:spacing w:after="0" w:line="252" w:lineRule="auto"/>
        <w:tabs>
          <w:tab w:leader="none" w:pos="8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Outside directors have an ax to grind with added financial links to the company.</w:t>
      </w:r>
    </w:p>
    <w:p>
      <w:pPr>
        <w:ind w:left="800" w:right="3639" w:hanging="270"/>
        <w:spacing w:after="0" w:line="252" w:lineRule="auto"/>
        <w:tabs>
          <w:tab w:leader="none" w:pos="8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are over-committed to non-Raytheon interests in a time of Raytheon shareholder crisis:</w:t>
      </w:r>
    </w:p>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Mr.</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Deutch</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outside</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boards</w:t>
            </w:r>
          </w:p>
        </w:tc>
      </w:tr>
      <w:tr>
        <w:trPr>
          <w:trHeight w:val="167"/>
        </w:trPr>
        <w:tc>
          <w:tcPr>
            <w:tcW w:w="300" w:type="dxa"/>
            <w:vAlign w:val="bottom"/>
          </w:tcPr>
          <w:p>
            <w:pPr>
              <w:spacing w:after="0"/>
              <w:rPr>
                <w:sz w:val="20"/>
                <w:szCs w:val="20"/>
                <w:color w:val="auto"/>
              </w:rPr>
            </w:pPr>
            <w:r>
              <w:rPr>
                <w:rFonts w:ascii="Courier New" w:cs="Courier New" w:eastAsia="Courier New" w:hAnsi="Courier New"/>
                <w:sz w:val="14"/>
                <w:szCs w:val="14"/>
                <w:color w:val="auto"/>
              </w:rPr>
              <w:t>Mr.</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Everhart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outside</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boards</w:t>
            </w:r>
          </w:p>
        </w:tc>
      </w:tr>
    </w:tbl>
    <w:p>
      <w:pPr>
        <w:spacing w:after="0" w:line="4" w:lineRule="exact"/>
        <w:rPr>
          <w:sz w:val="20"/>
          <w:szCs w:val="20"/>
          <w:color w:val="auto"/>
        </w:rPr>
      </w:pPr>
    </w:p>
    <w:p>
      <w:pPr>
        <w:ind w:left="800" w:hanging="270"/>
        <w:spacing w:after="0"/>
        <w:tabs>
          <w:tab w:leader="none" w:pos="8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Picard, retired Raytheon CEO, sits on the nominating committee.</w:t>
      </w:r>
    </w:p>
    <w:p>
      <w:pPr>
        <w:spacing w:after="0" w:line="8" w:lineRule="exact"/>
        <w:rPr>
          <w:rFonts w:ascii="Courier New" w:cs="Courier New" w:eastAsia="Courier New" w:hAnsi="Courier New"/>
          <w:sz w:val="14"/>
          <w:szCs w:val="14"/>
          <w:color w:val="auto"/>
        </w:rPr>
      </w:pPr>
    </w:p>
    <w:p>
      <w:pPr>
        <w:ind w:left="800" w:right="3459" w:hanging="270"/>
        <w:spacing w:after="0" w:line="252" w:lineRule="auto"/>
        <w:tabs>
          <w:tab w:leader="none" w:pos="8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Rudman, whose employer collects legal fees from Raytheon, sits on both the nominating and compensation committees.</w:t>
      </w:r>
    </w:p>
    <w:p>
      <w:pPr>
        <w:ind w:left="800" w:right="3799" w:hanging="270"/>
        <w:spacing w:after="0" w:line="258" w:lineRule="auto"/>
        <w:tabs>
          <w:tab w:leader="none" w:pos="8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Deutch collects consulting fees from Raytheon and sits on the nominating committee.</w:t>
      </w:r>
    </w:p>
    <w:p>
      <w:pPr>
        <w:spacing w:after="0" w:line="160"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What issues highlight concern about improving Raytheon's performance at the highest corporate level:</w:t>
      </w:r>
    </w:p>
    <w:p>
      <w:pPr>
        <w:spacing w:after="0" w:line="160" w:lineRule="exact"/>
        <w:rPr>
          <w:sz w:val="20"/>
          <w:szCs w:val="20"/>
          <w:color w:val="auto"/>
        </w:rPr>
      </w:pPr>
    </w:p>
    <w:p>
      <w:pPr>
        <w:ind w:left="800" w:right="3459"/>
        <w:spacing w:after="0" w:line="258" w:lineRule="auto"/>
        <w:rPr>
          <w:sz w:val="20"/>
          <w:szCs w:val="20"/>
          <w:color w:val="auto"/>
        </w:rPr>
      </w:pPr>
      <w:r>
        <w:rPr>
          <w:rFonts w:ascii="Courier New" w:cs="Courier New" w:eastAsia="Courier New" w:hAnsi="Courier New"/>
          <w:sz w:val="14"/>
          <w:szCs w:val="14"/>
          <w:color w:val="auto"/>
        </w:rPr>
        <w:t>Raytheon's $668 million write-off including layoff expenses for 2,380 employees. WALL STREET JOURNAL Oct. 13, 1999</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Raytheon's merger difficulties may be not be solved until 2003-2005.</w:t>
      </w:r>
    </w:p>
    <w:p>
      <w:pPr>
        <w:spacing w:after="0" w:line="8" w:lineRule="exact"/>
        <w:rPr>
          <w:sz w:val="20"/>
          <w:szCs w:val="20"/>
          <w:color w:val="auto"/>
        </w:rPr>
      </w:pPr>
    </w:p>
    <w:p>
      <w:pPr>
        <w:ind w:left="800"/>
        <w:spacing w:after="0"/>
        <w:tabs>
          <w:tab w:leader="none" w:pos="1820" w:val="left"/>
        </w:tabs>
        <w:rPr>
          <w:sz w:val="20"/>
          <w:szCs w:val="20"/>
          <w:color w:val="auto"/>
        </w:rPr>
      </w:pPr>
      <w:r>
        <w:rPr>
          <w:rFonts w:ascii="Courier New" w:cs="Courier New" w:eastAsia="Courier New" w:hAnsi="Courier New"/>
          <w:sz w:val="14"/>
          <w:szCs w:val="14"/>
          <w:color w:val="auto"/>
        </w:rPr>
        <w:t>VALUE LINE</w:t>
        <w:tab/>
        <w:t>March 31, 2000</w:t>
      </w:r>
    </w:p>
    <w:p>
      <w:pPr>
        <w:spacing w:after="0" w:line="175" w:lineRule="exact"/>
        <w:rPr>
          <w:sz w:val="20"/>
          <w:szCs w:val="20"/>
          <w:color w:val="auto"/>
        </w:rPr>
      </w:pPr>
    </w:p>
    <w:p>
      <w:pPr>
        <w:ind w:left="260" w:right="3379" w:firstLine="521"/>
        <w:spacing w:after="0" w:line="252" w:lineRule="auto"/>
        <w:rPr>
          <w:sz w:val="20"/>
          <w:szCs w:val="20"/>
          <w:color w:val="auto"/>
        </w:rPr>
      </w:pPr>
      <w:r>
        <w:rPr>
          <w:rFonts w:ascii="Courier New" w:cs="Courier New" w:eastAsia="Courier New" w:hAnsi="Courier New"/>
          <w:sz w:val="14"/>
          <w:szCs w:val="14"/>
          <w:color w:val="auto"/>
        </w:rPr>
        <w:t>Raytheon tells Delaware court that it paid too much for its $9 billion acquisition of Hughes Defense.</w:t>
      </w:r>
    </w:p>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WALL STREET JOURNAL</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May 21, 1999</w:t>
            </w:r>
          </w:p>
        </w:tc>
      </w:tr>
    </w:tbl>
    <w:p>
      <w:pPr>
        <w:spacing w:after="0" w:line="171"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In its response to this resolution, Raytheon management is asked to name the steps it has taken in the last year to improve corporate governance at the highest level of the company. Improvement at the highest corporate level can have the greatest impact and can be a cost-free alternative to $668 million write-offs.</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To increase shareholder value vote yes:</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ADOPT THE PROPOSAL THAT WON 60% SHAREHOLDER APPROVAL IN 2000:</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SHAREHOLDER OPPORTUNITY TO VOTE ON POISON PILLS</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YES ON 10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DIRECTORS RECOMMEND A VOTE AGAINST THIS PROPOSAL.</w:t>
      </w:r>
    </w:p>
    <w:p>
      <w:pPr>
        <w:spacing w:after="0" w:line="175" w:lineRule="exact"/>
        <w:rPr>
          <w:sz w:val="20"/>
          <w:szCs w:val="20"/>
          <w:color w:val="auto"/>
        </w:rPr>
      </w:pPr>
    </w:p>
    <w:p>
      <w:pPr>
        <w:ind w:right="3639" w:firstLine="521"/>
        <w:spacing w:after="0" w:line="254" w:lineRule="auto"/>
        <w:rPr>
          <w:sz w:val="20"/>
          <w:szCs w:val="20"/>
          <w:color w:val="auto"/>
        </w:rPr>
      </w:pPr>
      <w:r>
        <w:rPr>
          <w:rFonts w:ascii="Courier New" w:cs="Courier New" w:eastAsia="Courier New" w:hAnsi="Courier New"/>
          <w:sz w:val="14"/>
          <w:szCs w:val="14"/>
          <w:color w:val="auto"/>
        </w:rPr>
        <w:t>The same proponent has presented a proposal to change the company's shareholder rights plan in each of the last two years. The Proponent's Supporting Statement references many matters that the Board does not believe relate to the company's current shareholder rights plan, such</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620" w:right="1440" w:bottom="1440" w:gutter="0" w:footer="0" w:header="0"/>
        </w:sectPr>
      </w:pPr>
    </w:p>
    <w:bookmarkStart w:id="75" w:name="page76"/>
    <w:bookmarkEnd w:id="75"/>
    <w:p>
      <w:pPr>
        <w:ind w:right="3459"/>
        <w:spacing w:after="0" w:line="253" w:lineRule="auto"/>
        <w:rPr>
          <w:sz w:val="20"/>
          <w:szCs w:val="20"/>
          <w:color w:val="auto"/>
        </w:rPr>
      </w:pPr>
      <w:r>
        <w:rPr>
          <w:rFonts w:ascii="Courier New" w:cs="Courier New" w:eastAsia="Courier New" w:hAnsi="Courier New"/>
          <w:sz w:val="14"/>
          <w:szCs w:val="14"/>
          <w:color w:val="auto"/>
        </w:rPr>
        <w:t>as the tenure of directors, directors' positions on other boards, the constitution of Board committees, the current dual class capital structure and cost reduction efforts undertaken by the company in the ordinary course. The Board of Directors has again, reviewed the issues raised in the proposal and, for the reasons indicated below, continues to believe that the current shareholder rights plan best serves the company and its shareholders.</w:t>
      </w:r>
    </w:p>
    <w:p>
      <w:pPr>
        <w:spacing w:after="0" w:line="16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company's shareholder rights plan is designed to protect shareholders in the event of certain unsolicited attempts to acquire control of the company, including a partial or two-tier tender offer that fails to treat all shareholders equally, a "creeping acquisition" of the company by the purchase of stock on the open market and other acquisition tactics that the Board believes are unfair to the company's shareholders and are not in their best interests. Plans similar to the company's plan have been adopted by a majority of the companies included in the S&amp;P 500 Stock Index.</w:t>
      </w:r>
    </w:p>
    <w:p>
      <w:pPr>
        <w:spacing w:after="0" w:line="16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A major function of the rights plan is to give the Board a greater period of time within which it can properly evaluate an acquisition offer. A second major function of the plan is to induce a bidder for the company to negotiate with the Board and thus strengthen the Board's bargaining position vis-a-vis the bidder. The plan thus enables the Board, as elected representatives of the shareholders, to better protect and further the interests of shareholders in the event of an acquisition proposal. The Board gains the opportunity and additional time to determine if an offer reflects the full value of the company and is fair to all shareholders, and if not, to reject the offer or to seek an alternative that meets these criteria.</w:t>
      </w:r>
    </w:p>
    <w:p>
      <w:pPr>
        <w:spacing w:after="0" w:line="16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Board's fiduciary duty to shareholders dictates that it evaluate the merits of each and every acquisition presented to the Board and seek to insure that any proposed business combination or acquisition delivers full value to the shareholders. Redeeming the rights would remove an important tool that the Board should have for the protection of shareholders. The Board therefore believes that any decision to redeem the rights should be made in the context of a specific acquisition proposal.</w:t>
      </w:r>
    </w:p>
    <w:p>
      <w:pPr>
        <w:spacing w:after="0" w:line="16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Although some would contend that shareholder rights plans inhibit realization of shareholder value, research indicates that having a rights plan accomplishes the stated goal of maximizing shareholder value, while not having a rights plan may in fact undercut this goal. A 1994 study by two University of Rochester economists concluded that rights plans are reliably associated with higher premiums for selling shareholders and that antitakeover measures increase the bargaining position of target firms.</w:t>
      </w:r>
    </w:p>
    <w:p>
      <w:pPr>
        <w:spacing w:after="0" w:line="16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A 1997 study published by Georgeson &amp; Company determined that companies with shareholder rights plans received $13 billion dollars in additional takeover premiums during the period from 1992 to 1996. The Georgeson study also concluded that (1) premiums paid to acquire target companies with shareholder rights plans were on average eight percentage points higher than premiums paid for target companies that did not have such plans, (2) the presence of a rights plan did not increase the likelihood of the defeat of a hostile takeover bid or the withdrawal of a friendly bid and (3) rights plans did not reduce the likelihood that a company would become a takeover target. Thus, evidence suggests that rights plans serve their principal objectives: protection against inadequate offers and abusive tactics and increased bargaining power</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620"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4"/>
          <w:szCs w:val="14"/>
          <w:color w:val="auto"/>
        </w:rPr>
        <w:t>resulting in higher value for shareholders.</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Board believes that the company's rights plan is not intended to, and does not, preclude unsolicited, non-abusive offers to acquire the company at a fair price. Instead, the plan strengthens the Board's ability, in the exercise of its fiduciary duties, to protect and maximize the value of shareholders' investment in the company in the event of an attempt to acquire control of the company. As such, the plan would not affect any takeover proposal the Board believes to be in the best interests of shareholders. The overriding objective of the Board remains the preservation and the maximization of the company's value for all shareholders.</w:t>
      </w:r>
    </w:p>
    <w:p>
      <w:pPr>
        <w:spacing w:after="0" w:line="164" w:lineRule="exact"/>
        <w:rPr>
          <w:sz w:val="20"/>
          <w:szCs w:val="20"/>
          <w:color w:val="auto"/>
        </w:rPr>
      </w:pPr>
    </w:p>
    <w:p>
      <w:pPr>
        <w:ind w:right="3279" w:firstLine="1042"/>
        <w:spacing w:after="0" w:line="255" w:lineRule="auto"/>
        <w:rPr>
          <w:sz w:val="20"/>
          <w:szCs w:val="20"/>
          <w:color w:val="auto"/>
        </w:rPr>
      </w:pPr>
      <w:r>
        <w:rPr>
          <w:rFonts w:ascii="Courier New" w:cs="Courier New" w:eastAsia="Courier New" w:hAnsi="Courier New"/>
          <w:sz w:val="14"/>
          <w:szCs w:val="14"/>
          <w:color w:val="auto"/>
        </w:rPr>
        <w:t>THE BOARD OF DIRECTORS RECOMMENDS THAT STOCKHOLDERS VOTE AGAINST THE ADOPTION OF THIS PROPOSAL. PROXIES SOLICITED BY THE BOARD OF DIRECTORS WILL BE SO VOTED UNLESS STOCKHOLDERS OTHERWISE SPECIFY IN THEIR PROXIES.</w:t>
      </w:r>
    </w:p>
    <w:p>
      <w:pPr>
        <w:spacing w:after="0" w:line="200" w:lineRule="exact"/>
        <w:rPr>
          <w:sz w:val="20"/>
          <w:szCs w:val="20"/>
          <w:color w:val="auto"/>
        </w:rPr>
      </w:pPr>
    </w:p>
    <w:p>
      <w:pPr>
        <w:spacing w:after="0" w:line="296"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OTHER MATTERS</w:t>
      </w:r>
    </w:p>
    <w:p>
      <w:pPr>
        <w:spacing w:after="0" w:line="175"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Whether or not you plan to attend the meeting, please vote over the Internet or by telephone or complete, sign and return the proxy card(s) sent to you in the envelope provided. No postage is required for mailing in the United States.</w:t>
      </w:r>
    </w:p>
    <w:p>
      <w:pPr>
        <w:spacing w:after="0" w:line="163" w:lineRule="exact"/>
        <w:rPr>
          <w:sz w:val="20"/>
          <w:szCs w:val="20"/>
          <w:color w:val="auto"/>
        </w:rPr>
      </w:pPr>
    </w:p>
    <w:p>
      <w:pPr>
        <w:ind w:right="3379" w:firstLine="1042"/>
        <w:spacing w:after="0" w:line="258" w:lineRule="auto"/>
        <w:rPr>
          <w:sz w:val="20"/>
          <w:szCs w:val="20"/>
          <w:color w:val="auto"/>
        </w:rPr>
      </w:pPr>
      <w:r>
        <w:rPr>
          <w:rFonts w:ascii="Courier New" w:cs="Courier New" w:eastAsia="Courier New" w:hAnsi="Courier New"/>
          <w:sz w:val="14"/>
          <w:szCs w:val="14"/>
          <w:color w:val="auto"/>
        </w:rPr>
        <w:t>The company's 2000 annual report, which is not a part of this proxy statement and is not proxy soliciting material, is enclosed.</w:t>
      </w:r>
    </w:p>
    <w:p>
      <w:pPr>
        <w:spacing w:after="0" w:line="160"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 John W. Kapples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John W. Kapples</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Secretary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Lexington, Massachusetts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[Month] [Date],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620" w:right="1440" w:bottom="1440" w:gutter="0" w:footer="0" w:header="0"/>
        </w:sectPr>
      </w:pPr>
    </w:p>
    <w:bookmarkStart w:id="77" w:name="page78"/>
    <w:bookmarkEnd w:id="77"/>
    <w:p>
      <w:pPr>
        <w:jc w:val="center"/>
        <w:ind w:right="3279"/>
        <w:spacing w:after="0"/>
        <w:rPr>
          <w:sz w:val="20"/>
          <w:szCs w:val="20"/>
          <w:color w:val="auto"/>
        </w:rPr>
      </w:pPr>
      <w:r>
        <w:rPr>
          <w:rFonts w:ascii="Courier New" w:cs="Courier New" w:eastAsia="Courier New" w:hAnsi="Courier New"/>
          <w:sz w:val="14"/>
          <w:szCs w:val="14"/>
          <w:color w:val="auto"/>
        </w:rPr>
        <w:t>APPENDIX A</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RAYTHEON COMPANY</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AUDIT COMMITTEE CHARTER</w:t>
      </w:r>
    </w:p>
    <w:p>
      <w:pPr>
        <w:spacing w:after="0" w:line="342" w:lineRule="exact"/>
        <w:rPr>
          <w:sz w:val="20"/>
          <w:szCs w:val="20"/>
          <w:color w:val="auto"/>
        </w:rPr>
      </w:pPr>
    </w:p>
    <w:p>
      <w:pPr>
        <w:ind w:right="3279" w:firstLine="260"/>
        <w:spacing w:after="0" w:line="254" w:lineRule="auto"/>
        <w:rPr>
          <w:sz w:val="20"/>
          <w:szCs w:val="20"/>
          <w:color w:val="auto"/>
        </w:rPr>
      </w:pPr>
      <w:r>
        <w:rPr>
          <w:rFonts w:ascii="Courier New" w:cs="Courier New" w:eastAsia="Courier New" w:hAnsi="Courier New"/>
          <w:sz w:val="14"/>
          <w:szCs w:val="14"/>
          <w:color w:val="auto"/>
        </w:rPr>
        <w:t>The Audit Committee is appointed by the Board to assist the Board in monitoring (1) the integrity of the financial statements of the Company, (2) the compliance by the Company with legal and regulatory requirements and (3) the independence and performance of the Company's internal and external auditors.</w:t>
      </w:r>
    </w:p>
    <w:p>
      <w:pPr>
        <w:spacing w:after="0" w:line="163" w:lineRule="exact"/>
        <w:rPr>
          <w:sz w:val="20"/>
          <w:szCs w:val="20"/>
          <w:color w:val="auto"/>
        </w:rPr>
      </w:pPr>
    </w:p>
    <w:p>
      <w:pPr>
        <w:ind w:left="1060" w:right="3379"/>
        <w:spacing w:after="0" w:line="254" w:lineRule="auto"/>
        <w:rPr>
          <w:sz w:val="20"/>
          <w:szCs w:val="20"/>
          <w:color w:val="auto"/>
        </w:rPr>
      </w:pPr>
      <w:r>
        <w:rPr>
          <w:rFonts w:ascii="Courier New" w:cs="Courier New" w:eastAsia="Courier New" w:hAnsi="Courier New"/>
          <w:sz w:val="14"/>
          <w:szCs w:val="14"/>
          <w:color w:val="auto"/>
        </w:rPr>
        <w:t>The members of the Audit Committee shall meet the independence and experience requirements of the New York Stock Exchange. The members of the Audit Committee shall be appointed by the Board on the recommendation of the Governance Committee.</w:t>
      </w:r>
    </w:p>
    <w:p>
      <w:pPr>
        <w:spacing w:after="0" w:line="330" w:lineRule="exact"/>
        <w:rPr>
          <w:sz w:val="20"/>
          <w:szCs w:val="20"/>
          <w:color w:val="auto"/>
        </w:rPr>
      </w:pPr>
    </w:p>
    <w:p>
      <w:pPr>
        <w:ind w:right="3279" w:firstLine="260"/>
        <w:spacing w:after="0" w:line="254" w:lineRule="auto"/>
        <w:rPr>
          <w:sz w:val="20"/>
          <w:szCs w:val="20"/>
          <w:color w:val="auto"/>
        </w:rPr>
      </w:pPr>
      <w:r>
        <w:rPr>
          <w:rFonts w:ascii="Courier New" w:cs="Courier New" w:eastAsia="Courier New" w:hAnsi="Courier New"/>
          <w:sz w:val="14"/>
          <w:szCs w:val="14"/>
          <w:color w:val="auto"/>
        </w:rPr>
        <w:t>The Audit Committee shall have the authority to retain special legal, accounting or other consultants to advise the Committee. The Audit Committee may request any officer or employee of the Company or the Company's outside counsel or independent auditor to attend a meeting of the Committee or to meet with any members of, or consultants to, the Committee.</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Audit Committee shall make regular reports to the Board.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Audit Committee shall:</w:t>
      </w:r>
    </w:p>
    <w:p>
      <w:pPr>
        <w:spacing w:after="0" w:line="175" w:lineRule="exact"/>
        <w:rPr>
          <w:sz w:val="20"/>
          <w:szCs w:val="20"/>
          <w:color w:val="auto"/>
        </w:rPr>
      </w:pPr>
    </w:p>
    <w:p>
      <w:pPr>
        <w:ind w:left="440" w:right="3279" w:hanging="431"/>
        <w:spacing w:after="0" w:line="258" w:lineRule="auto"/>
        <w:tabs>
          <w:tab w:leader="none" w:pos="4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and reassess the adequacy of this Charter annually and recommend any proposed changes to the Board for approval.</w:t>
      </w:r>
    </w:p>
    <w:p>
      <w:pPr>
        <w:spacing w:after="0" w:line="159" w:lineRule="exact"/>
        <w:rPr>
          <w:rFonts w:ascii="Courier New" w:cs="Courier New" w:eastAsia="Courier New" w:hAnsi="Courier New"/>
          <w:sz w:val="14"/>
          <w:szCs w:val="14"/>
          <w:color w:val="auto"/>
        </w:rPr>
      </w:pPr>
    </w:p>
    <w:p>
      <w:pPr>
        <w:ind w:left="440" w:right="3379" w:hanging="431"/>
        <w:spacing w:after="0" w:line="254" w:lineRule="auto"/>
        <w:tabs>
          <w:tab w:leader="none" w:pos="4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the annual audited financial statements with management, including major issues regarding accounting and auditing principles and practices as well as the adequacy of internal controls that could significantly affect the Company's financial statements.</w:t>
      </w:r>
    </w:p>
    <w:p>
      <w:pPr>
        <w:spacing w:after="0" w:line="163" w:lineRule="exact"/>
        <w:rPr>
          <w:rFonts w:ascii="Courier New" w:cs="Courier New" w:eastAsia="Courier New" w:hAnsi="Courier New"/>
          <w:sz w:val="14"/>
          <w:szCs w:val="14"/>
          <w:color w:val="auto"/>
        </w:rPr>
      </w:pPr>
    </w:p>
    <w:p>
      <w:pPr>
        <w:ind w:left="440" w:right="3539" w:hanging="431"/>
        <w:spacing w:after="0" w:line="255" w:lineRule="auto"/>
        <w:tabs>
          <w:tab w:leader="none" w:pos="4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an analysis prepared by management and the independent auditor of significant financial reporting issues and judgments made in connection with the preparation of the Company's financial statements.</w:t>
      </w:r>
    </w:p>
    <w:p>
      <w:pPr>
        <w:spacing w:after="0" w:line="162" w:lineRule="exact"/>
        <w:rPr>
          <w:rFonts w:ascii="Courier New" w:cs="Courier New" w:eastAsia="Courier New" w:hAnsi="Courier New"/>
          <w:sz w:val="14"/>
          <w:szCs w:val="14"/>
          <w:color w:val="auto"/>
        </w:rPr>
      </w:pPr>
    </w:p>
    <w:p>
      <w:pPr>
        <w:ind w:left="440" w:right="3459" w:hanging="431"/>
        <w:spacing w:after="0" w:line="255" w:lineRule="auto"/>
        <w:tabs>
          <w:tab w:leader="none" w:pos="4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 periodically with management to review the Company's major financial risk exposures and the steps management has taken to monitor and control such exposures.</w:t>
      </w:r>
    </w:p>
    <w:p>
      <w:pPr>
        <w:spacing w:after="0" w:line="162" w:lineRule="exact"/>
        <w:rPr>
          <w:rFonts w:ascii="Courier New" w:cs="Courier New" w:eastAsia="Courier New" w:hAnsi="Courier New"/>
          <w:sz w:val="14"/>
          <w:szCs w:val="14"/>
          <w:color w:val="auto"/>
        </w:rPr>
      </w:pPr>
    </w:p>
    <w:p>
      <w:pPr>
        <w:ind w:left="440" w:right="3379" w:hanging="431"/>
        <w:spacing w:after="0" w:line="258" w:lineRule="auto"/>
        <w:tabs>
          <w:tab w:leader="none" w:pos="4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with management and the independent auditor the Company's quarterly financial results prior to the filing of the Company's Form 10-Q.</w:t>
      </w:r>
    </w:p>
    <w:p>
      <w:pPr>
        <w:spacing w:after="0" w:line="159" w:lineRule="exact"/>
        <w:rPr>
          <w:rFonts w:ascii="Courier New" w:cs="Courier New" w:eastAsia="Courier New" w:hAnsi="Courier New"/>
          <w:sz w:val="14"/>
          <w:szCs w:val="14"/>
          <w:color w:val="auto"/>
        </w:rPr>
      </w:pPr>
    </w:p>
    <w:p>
      <w:pPr>
        <w:ind w:left="440" w:right="3279" w:hanging="431"/>
        <w:spacing w:after="0" w:line="255" w:lineRule="auto"/>
        <w:tabs>
          <w:tab w:leader="none" w:pos="4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major changes to the Company's auditing and accounting principles and practices as suggested by the independent auditor, internal auditors or management.</w:t>
      </w:r>
    </w:p>
    <w:p>
      <w:pPr>
        <w:sectPr>
          <w:pgSz w:w="11900" w:h="16838" w:orient="portrait"/>
          <w:cols w:equalWidth="0" w:num="1">
            <w:col w:w="10239"/>
          </w:cols>
          <w:pgMar w:left="220" w:top="787" w:right="1440" w:bottom="1440" w:gutter="0" w:footer="0" w:header="0"/>
        </w:sectPr>
      </w:pPr>
    </w:p>
    <w:bookmarkStart w:id="78" w:name="page79"/>
    <w:bookmarkEnd w:id="78"/>
    <w:p>
      <w:pPr>
        <w:ind w:left="431" w:right="3539" w:hanging="431"/>
        <w:spacing w:after="0" w:line="258" w:lineRule="auto"/>
        <w:tabs>
          <w:tab w:leader="none" w:pos="43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Recommend to the Board the appointment of the independent auditor, which firm is ultimately accountable to the Audit Committee and the Board.</w:t>
      </w:r>
    </w:p>
    <w:p>
      <w:pPr>
        <w:spacing w:after="0" w:line="159" w:lineRule="exact"/>
        <w:rPr>
          <w:rFonts w:ascii="Courier New" w:cs="Courier New" w:eastAsia="Courier New" w:hAnsi="Courier New"/>
          <w:sz w:val="14"/>
          <w:szCs w:val="14"/>
          <w:color w:val="auto"/>
        </w:rPr>
      </w:pPr>
    </w:p>
    <w:p>
      <w:pPr>
        <w:ind w:left="431" w:hanging="431"/>
        <w:spacing w:after="0"/>
        <w:tabs>
          <w:tab w:leader="none" w:pos="43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 the fees to be paid to the independent auditor.</w:t>
      </w:r>
    </w:p>
    <w:p>
      <w:pPr>
        <w:spacing w:after="0" w:line="175" w:lineRule="exact"/>
        <w:rPr>
          <w:rFonts w:ascii="Courier New" w:cs="Courier New" w:eastAsia="Courier New" w:hAnsi="Courier New"/>
          <w:sz w:val="14"/>
          <w:szCs w:val="14"/>
          <w:color w:val="auto"/>
        </w:rPr>
      </w:pPr>
    </w:p>
    <w:p>
      <w:pPr>
        <w:ind w:left="431" w:right="3539" w:hanging="431"/>
        <w:spacing w:after="0" w:line="254" w:lineRule="auto"/>
        <w:tabs>
          <w:tab w:leader="none" w:pos="43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Receive periodic reports from the independent auditor regarding the auditor's independence, discuss such reports with the auditor, and if so determined by the Audit Committee, recommend that the Board take appropriate action to satisfy itself of the independence of the auditor.</w:t>
      </w:r>
    </w:p>
    <w:p>
      <w:pPr>
        <w:spacing w:after="0" w:line="163" w:lineRule="exact"/>
        <w:rPr>
          <w:rFonts w:ascii="Courier New" w:cs="Courier New" w:eastAsia="Courier New" w:hAnsi="Courier New"/>
          <w:sz w:val="14"/>
          <w:szCs w:val="14"/>
          <w:color w:val="auto"/>
        </w:rPr>
      </w:pPr>
    </w:p>
    <w:p>
      <w:pPr>
        <w:ind w:left="431" w:right="3279" w:hanging="431"/>
        <w:spacing w:after="0" w:line="255" w:lineRule="auto"/>
        <w:tabs>
          <w:tab w:leader="none" w:pos="43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 together with the Board the performance of the independent auditor and, if so determined by the Audit Committee, recommend that the Board replace the independent auditor.</w:t>
      </w:r>
    </w:p>
    <w:p>
      <w:pPr>
        <w:spacing w:after="0" w:line="162" w:lineRule="exact"/>
        <w:rPr>
          <w:rFonts w:ascii="Courier New" w:cs="Courier New" w:eastAsia="Courier New" w:hAnsi="Courier New"/>
          <w:sz w:val="14"/>
          <w:szCs w:val="14"/>
          <w:color w:val="auto"/>
        </w:rPr>
      </w:pPr>
    </w:p>
    <w:p>
      <w:pPr>
        <w:ind w:left="431" w:right="3719" w:hanging="431"/>
        <w:spacing w:after="0" w:line="258" w:lineRule="auto"/>
        <w:tabs>
          <w:tab w:leader="none" w:pos="43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the appointment and replacement of the senior internal auditing executive.</w:t>
      </w:r>
    </w:p>
    <w:p>
      <w:pPr>
        <w:spacing w:after="0" w:line="159" w:lineRule="exact"/>
        <w:rPr>
          <w:rFonts w:ascii="Courier New" w:cs="Courier New" w:eastAsia="Courier New" w:hAnsi="Courier New"/>
          <w:sz w:val="14"/>
          <w:szCs w:val="14"/>
          <w:color w:val="auto"/>
        </w:rPr>
      </w:pPr>
    </w:p>
    <w:p>
      <w:pPr>
        <w:ind w:left="431" w:right="3799" w:hanging="431"/>
        <w:spacing w:after="0" w:line="258" w:lineRule="auto"/>
        <w:tabs>
          <w:tab w:leader="none" w:pos="43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the significant reports to management prepared by the internal auditing department and management's responses.</w:t>
      </w:r>
    </w:p>
    <w:p>
      <w:pPr>
        <w:spacing w:after="0" w:line="159" w:lineRule="exact"/>
        <w:rPr>
          <w:rFonts w:ascii="Courier New" w:cs="Courier New" w:eastAsia="Courier New" w:hAnsi="Courier New"/>
          <w:sz w:val="14"/>
          <w:szCs w:val="14"/>
          <w:color w:val="auto"/>
        </w:rPr>
      </w:pPr>
    </w:p>
    <w:p>
      <w:pPr>
        <w:ind w:left="431" w:right="3279" w:hanging="431"/>
        <w:spacing w:after="0" w:line="258" w:lineRule="auto"/>
        <w:tabs>
          <w:tab w:leader="none" w:pos="43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 with the independent auditor prior to the audit to review the planning and staffing of the audit.</w:t>
      </w:r>
    </w:p>
    <w:p>
      <w:pPr>
        <w:spacing w:after="0" w:line="159" w:lineRule="exact"/>
        <w:rPr>
          <w:rFonts w:ascii="Courier New" w:cs="Courier New" w:eastAsia="Courier New" w:hAnsi="Courier New"/>
          <w:sz w:val="14"/>
          <w:szCs w:val="14"/>
          <w:color w:val="auto"/>
        </w:rPr>
      </w:pPr>
    </w:p>
    <w:p>
      <w:pPr>
        <w:ind w:left="431" w:right="3459" w:hanging="431"/>
        <w:spacing w:after="0" w:line="258" w:lineRule="auto"/>
        <w:tabs>
          <w:tab w:leader="none" w:pos="43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from the independent auditor assurance that Section 10A of the Private Securities Litigation Reform Act of 1995 has not been implicated.</w:t>
      </w:r>
    </w:p>
    <w:p>
      <w:pPr>
        <w:spacing w:after="0" w:line="159" w:lineRule="exact"/>
        <w:rPr>
          <w:rFonts w:ascii="Courier New" w:cs="Courier New" w:eastAsia="Courier New" w:hAnsi="Courier New"/>
          <w:sz w:val="14"/>
          <w:szCs w:val="14"/>
          <w:color w:val="auto"/>
        </w:rPr>
      </w:pPr>
    </w:p>
    <w:p>
      <w:pPr>
        <w:ind w:left="431" w:right="3279" w:hanging="431"/>
        <w:spacing w:after="0" w:line="254" w:lineRule="auto"/>
        <w:tabs>
          <w:tab w:leader="none" w:pos="43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reports from management, the Company's senior internal auditing executive and the independent auditor that the Company's subsidiary/foreign affiliated entities are in conformity with applicable legal requirements and the Company's Code of Conduct.</w:t>
      </w:r>
    </w:p>
    <w:p>
      <w:pPr>
        <w:spacing w:after="0" w:line="163" w:lineRule="exact"/>
        <w:rPr>
          <w:rFonts w:ascii="Courier New" w:cs="Courier New" w:eastAsia="Courier New" w:hAnsi="Courier New"/>
          <w:sz w:val="14"/>
          <w:szCs w:val="14"/>
          <w:color w:val="auto"/>
        </w:rPr>
      </w:pPr>
    </w:p>
    <w:p>
      <w:pPr>
        <w:ind w:left="431" w:right="3459" w:hanging="431"/>
        <w:spacing w:after="0" w:line="255" w:lineRule="auto"/>
        <w:tabs>
          <w:tab w:leader="none" w:pos="43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 with the independent auditor the matters required to be discussed by Statement on Auditing Standards No. 61 relating to the conduct of the audit.</w:t>
      </w:r>
    </w:p>
    <w:p>
      <w:pPr>
        <w:spacing w:after="0" w:line="162" w:lineRule="exact"/>
        <w:rPr>
          <w:rFonts w:ascii="Courier New" w:cs="Courier New" w:eastAsia="Courier New" w:hAnsi="Courier New"/>
          <w:sz w:val="14"/>
          <w:szCs w:val="14"/>
          <w:color w:val="auto"/>
        </w:rPr>
      </w:pPr>
    </w:p>
    <w:p>
      <w:pPr>
        <w:ind w:left="431" w:right="3719" w:hanging="431"/>
        <w:spacing w:after="0" w:line="254" w:lineRule="auto"/>
        <w:tabs>
          <w:tab w:leader="none" w:pos="43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with the independent auditor any problems or difficulties the auditor may have encountered and any management letter provided by the auditor and the Company's response to that letter. Such review should include:</w:t>
      </w:r>
    </w:p>
    <w:p>
      <w:pPr>
        <w:spacing w:after="0" w:line="163" w:lineRule="exact"/>
        <w:rPr>
          <w:rFonts w:ascii="Courier New" w:cs="Courier New" w:eastAsia="Courier New" w:hAnsi="Courier New"/>
          <w:sz w:val="14"/>
          <w:szCs w:val="14"/>
          <w:color w:val="auto"/>
        </w:rPr>
      </w:pPr>
    </w:p>
    <w:p>
      <w:pPr>
        <w:ind w:left="1211" w:right="3539" w:hanging="430"/>
        <w:spacing w:after="0" w:line="255" w:lineRule="auto"/>
        <w:tabs>
          <w:tab w:leader="none" w:pos="1211"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difficulties encountered in the course of the audit work, including any restrictions on the scope of activities or access to required information.</w:t>
      </w:r>
    </w:p>
    <w:p>
      <w:pPr>
        <w:spacing w:after="0" w:line="162" w:lineRule="exact"/>
        <w:rPr>
          <w:rFonts w:ascii="Courier New" w:cs="Courier New" w:eastAsia="Courier New" w:hAnsi="Courier New"/>
          <w:sz w:val="14"/>
          <w:szCs w:val="14"/>
          <w:color w:val="auto"/>
        </w:rPr>
      </w:pPr>
    </w:p>
    <w:p>
      <w:pPr>
        <w:ind w:left="1211" w:hanging="430"/>
        <w:spacing w:after="0"/>
        <w:tabs>
          <w:tab w:leader="none" w:pos="1211"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changes required in the planned scope of the internal audit.</w:t>
      </w:r>
    </w:p>
    <w:p>
      <w:pPr>
        <w:spacing w:after="0" w:line="175" w:lineRule="exact"/>
        <w:rPr>
          <w:rFonts w:ascii="Courier New" w:cs="Courier New" w:eastAsia="Courier New" w:hAnsi="Courier New"/>
          <w:sz w:val="14"/>
          <w:szCs w:val="14"/>
          <w:color w:val="auto"/>
        </w:rPr>
      </w:pPr>
    </w:p>
    <w:p>
      <w:pPr>
        <w:ind w:left="1211" w:right="3979" w:hanging="430"/>
        <w:spacing w:after="0" w:line="258" w:lineRule="auto"/>
        <w:tabs>
          <w:tab w:leader="none" w:pos="1211"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internal audit department responsibilities, budget and staffing.</w:t>
      </w:r>
    </w:p>
    <w:p>
      <w:pPr>
        <w:spacing w:after="0" w:line="159" w:lineRule="exact"/>
        <w:rPr>
          <w:rFonts w:ascii="Courier New" w:cs="Courier New" w:eastAsia="Courier New" w:hAnsi="Courier New"/>
          <w:sz w:val="14"/>
          <w:szCs w:val="14"/>
          <w:color w:val="auto"/>
        </w:rPr>
      </w:pPr>
    </w:p>
    <w:p>
      <w:pPr>
        <w:ind w:left="431" w:right="3639" w:hanging="431"/>
        <w:spacing w:after="0" w:line="258" w:lineRule="auto"/>
        <w:tabs>
          <w:tab w:leader="none" w:pos="43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the report required by the rules of the Securities and Exchange Commission to be included in the Company's annual proxy statement.</w:t>
      </w:r>
    </w:p>
    <w:p>
      <w:pPr>
        <w:spacing w:after="0" w:line="159" w:lineRule="exact"/>
        <w:rPr>
          <w:rFonts w:ascii="Courier New" w:cs="Courier New" w:eastAsia="Courier New" w:hAnsi="Courier New"/>
          <w:sz w:val="14"/>
          <w:szCs w:val="14"/>
          <w:color w:val="auto"/>
        </w:rPr>
      </w:pPr>
    </w:p>
    <w:p>
      <w:pPr>
        <w:jc w:val="both"/>
        <w:ind w:left="431" w:right="3719" w:hanging="431"/>
        <w:spacing w:after="0" w:line="255" w:lineRule="auto"/>
        <w:tabs>
          <w:tab w:leader="none" w:pos="43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Advise the Board with respect to the Company's policies and procedures regarding compliance with applicable laws and regulations and with the Company's Code of Conduct.</w:t>
      </w:r>
    </w:p>
    <w:p>
      <w:pPr>
        <w:spacing w:after="0" w:line="162"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0"/>
          </w:cols>
          <w:pgMar w:left="229" w:top="620" w:right="1440" w:bottom="1440" w:gutter="0" w:footer="0" w:header="0"/>
        </w:sectPr>
      </w:pPr>
    </w:p>
    <w:bookmarkStart w:id="79" w:name="page80"/>
    <w:bookmarkEnd w:id="79"/>
    <w:p>
      <w:pPr>
        <w:ind w:left="440" w:right="3379" w:hanging="431"/>
        <w:spacing w:after="0" w:line="254" w:lineRule="auto"/>
        <w:tabs>
          <w:tab w:leader="none" w:pos="4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with the Company's General Counsel legal matters that may have a material impact on the financial statements, the Company's compliance policies and any material reports or inquiries received from regulators or governmental agencies.</w:t>
      </w:r>
    </w:p>
    <w:p>
      <w:pPr>
        <w:spacing w:after="0" w:line="163" w:lineRule="exact"/>
        <w:rPr>
          <w:rFonts w:ascii="Courier New" w:cs="Courier New" w:eastAsia="Courier New" w:hAnsi="Courier New"/>
          <w:sz w:val="14"/>
          <w:szCs w:val="14"/>
          <w:color w:val="auto"/>
        </w:rPr>
      </w:pPr>
    </w:p>
    <w:p>
      <w:pPr>
        <w:jc w:val="both"/>
        <w:ind w:left="440" w:right="3979" w:hanging="431"/>
        <w:spacing w:after="0" w:line="255" w:lineRule="auto"/>
        <w:tabs>
          <w:tab w:leader="none" w:pos="4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 at least annually with the chief financial officer, the senior internal auditing executive and the independent auditor in separate executive sessions.</w:t>
      </w:r>
    </w:p>
    <w:p>
      <w:pPr>
        <w:spacing w:after="0" w:line="162"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While the Audit Committee has the responsibilities and powers set forth in this Charter, it is not the duty of the Audit Committee to plan or conduct audits or to determine that the Company's financial statements are complete and accurate and are in accordance with generally accepted accounting principles. This is the responsibility of management and the independent auditor. Nor is it the duty of the Audit Committee to conduct investigations, to resolve disagreements, if any, between management and the independent auditor or to assure compliance with laws and regulations and the Company's Code of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80" w:name="page81"/>
    <w:bookmarkEnd w:id="80"/>
    <w:p>
      <w:pPr>
        <w:jc w:val="center"/>
        <w:ind w:right="3279"/>
        <w:spacing w:after="0"/>
        <w:rPr>
          <w:sz w:val="20"/>
          <w:szCs w:val="20"/>
          <w:color w:val="auto"/>
        </w:rPr>
      </w:pPr>
      <w:r>
        <w:rPr>
          <w:rFonts w:ascii="Courier New" w:cs="Courier New" w:eastAsia="Courier New" w:hAnsi="Courier New"/>
          <w:sz w:val="14"/>
          <w:szCs w:val="14"/>
          <w:color w:val="auto"/>
        </w:rPr>
        <w:t>APPENDIX B</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CERTIFICATE OF AMENDMENT</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OF CERTIFICATE OF INCORPORATION OF</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RAYTHEON COMPANY</w:t>
      </w:r>
    </w:p>
    <w:p>
      <w:pPr>
        <w:spacing w:after="0" w:line="175" w:lineRule="exact"/>
        <w:rPr>
          <w:sz w:val="20"/>
          <w:szCs w:val="20"/>
          <w:color w:val="auto"/>
        </w:rPr>
      </w:pPr>
    </w:p>
    <w:p>
      <w:pPr>
        <w:ind w:right="3379" w:firstLine="1042"/>
        <w:spacing w:after="0" w:line="255" w:lineRule="auto"/>
        <w:rPr>
          <w:sz w:val="20"/>
          <w:szCs w:val="20"/>
          <w:color w:val="auto"/>
        </w:rPr>
      </w:pPr>
      <w:r>
        <w:rPr>
          <w:rFonts w:ascii="Courier New" w:cs="Courier New" w:eastAsia="Courier New" w:hAnsi="Courier New"/>
          <w:sz w:val="14"/>
          <w:szCs w:val="14"/>
          <w:color w:val="auto"/>
        </w:rPr>
        <w:t>Raytheon Company, a corporation organized and existing under and by virtue of the General Corporation Law of the State of Delaware (the "Corporation"),</w:t>
      </w:r>
    </w:p>
    <w:p>
      <w:pPr>
        <w:spacing w:after="0" w:line="16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DOES HEREBY CERTIFY:</w:t>
      </w:r>
    </w:p>
    <w:p>
      <w:pPr>
        <w:spacing w:after="0" w:line="175" w:lineRule="exact"/>
        <w:rPr>
          <w:sz w:val="20"/>
          <w:szCs w:val="20"/>
          <w:color w:val="auto"/>
        </w:rPr>
      </w:pPr>
    </w:p>
    <w:p>
      <w:pPr>
        <w:ind w:right="3459" w:firstLine="1042"/>
        <w:spacing w:after="0" w:line="254" w:lineRule="auto"/>
        <w:rPr>
          <w:sz w:val="20"/>
          <w:szCs w:val="20"/>
          <w:color w:val="auto"/>
        </w:rPr>
      </w:pPr>
      <w:r>
        <w:rPr>
          <w:rFonts w:ascii="Courier New" w:cs="Courier New" w:eastAsia="Courier New" w:hAnsi="Courier New"/>
          <w:sz w:val="14"/>
          <w:szCs w:val="14"/>
          <w:color w:val="auto"/>
        </w:rPr>
        <w:t>FIRST: That at a regular meeting of the members of the board of directors of the Corporation, resolutions were duly adopted setting forth proposed amendments to the Certificate of Incorporation of the Corporation and declaring said amendments to be advisable. The resolutions setting forth the proposed amendments are as follows:</w:t>
      </w:r>
    </w:p>
    <w:p>
      <w:pPr>
        <w:spacing w:after="0" w:line="162" w:lineRule="exact"/>
        <w:rPr>
          <w:sz w:val="20"/>
          <w:szCs w:val="20"/>
          <w:color w:val="auto"/>
        </w:rPr>
      </w:pPr>
    </w:p>
    <w:p>
      <w:pPr>
        <w:ind w:left="520" w:right="3459" w:firstLine="1041"/>
        <w:spacing w:after="0" w:line="255" w:lineRule="auto"/>
        <w:rPr>
          <w:sz w:val="20"/>
          <w:szCs w:val="20"/>
          <w:color w:val="auto"/>
        </w:rPr>
      </w:pPr>
      <w:r>
        <w:rPr>
          <w:rFonts w:ascii="Courier New" w:cs="Courier New" w:eastAsia="Courier New" w:hAnsi="Courier New"/>
          <w:sz w:val="14"/>
          <w:szCs w:val="14"/>
          <w:color w:val="auto"/>
        </w:rPr>
        <w:t>RESOLVED, that, upon approval of the stockholders of the Corporation, Section 1 of Article IV of the Corporation's Certificate of Incorporation be amended to read in its entirety as follows:</w:t>
      </w:r>
    </w:p>
    <w:p>
      <w:pPr>
        <w:spacing w:after="0" w:line="162" w:lineRule="exact"/>
        <w:rPr>
          <w:sz w:val="20"/>
          <w:szCs w:val="20"/>
          <w:color w:val="auto"/>
        </w:rPr>
      </w:pPr>
    </w:p>
    <w:p>
      <w:pPr>
        <w:ind w:left="1060" w:right="3279"/>
        <w:spacing w:after="0" w:line="253" w:lineRule="auto"/>
        <w:rPr>
          <w:sz w:val="20"/>
          <w:szCs w:val="20"/>
          <w:color w:val="auto"/>
        </w:rPr>
      </w:pPr>
      <w:r>
        <w:rPr>
          <w:rFonts w:ascii="Courier New" w:cs="Courier New" w:eastAsia="Courier New" w:hAnsi="Courier New"/>
          <w:sz w:val="14"/>
          <w:szCs w:val="14"/>
          <w:color w:val="auto"/>
        </w:rPr>
        <w:t>Each twenty (20) shares of Class A Common Stock (as defined below), either issued and outstanding or held by the Corporation as treasury stock, immediately prior to the time this amendment becomes effective shall be and are automatically reclassified and changed (without any further act) into one (1) fully-paid and nonassessable share of Class A Common Stock, provided, that no fractional shares shall be issued.</w:t>
      </w:r>
    </w:p>
    <w:p>
      <w:pPr>
        <w:spacing w:after="0" w:line="332" w:lineRule="exact"/>
        <w:rPr>
          <w:sz w:val="20"/>
          <w:szCs w:val="20"/>
          <w:color w:val="auto"/>
        </w:rPr>
      </w:pPr>
    </w:p>
    <w:p>
      <w:pPr>
        <w:ind w:left="1060" w:right="3279"/>
        <w:spacing w:after="0" w:line="253" w:lineRule="auto"/>
        <w:rPr>
          <w:sz w:val="20"/>
          <w:szCs w:val="20"/>
          <w:color w:val="auto"/>
        </w:rPr>
      </w:pPr>
      <w:r>
        <w:rPr>
          <w:rFonts w:ascii="Courier New" w:cs="Courier New" w:eastAsia="Courier New" w:hAnsi="Courier New"/>
          <w:sz w:val="14"/>
          <w:szCs w:val="14"/>
          <w:color w:val="auto"/>
        </w:rPr>
        <w:t>Each twenty (20) shares of Class B Common Stock (as defined below), either issued and outstanding or held by the Corporation as treasury stock, immediately prior to the time this amendment becomes effective shall be and are automatically reclassified and changed (without any further act) into one (1) fully-paid and nonassessable share of Class B Common Stock, provided, that no fractional shares shall be issued.</w:t>
      </w:r>
    </w:p>
    <w:p>
      <w:pPr>
        <w:spacing w:after="0" w:line="332"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The Corporation is</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authorized to issue</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272,500,000 shares of</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capital</w:t>
            </w:r>
          </w:p>
        </w:tc>
      </w:tr>
      <w:tr>
        <w:trPr>
          <w:trHeight w:val="167"/>
        </w:trPr>
        <w:tc>
          <w:tcPr>
            <w:tcW w:w="720" w:type="dxa"/>
            <w:vAlign w:val="bottom"/>
          </w:tcPr>
          <w:p>
            <w:pPr>
              <w:spacing w:after="0"/>
              <w:rPr>
                <w:sz w:val="20"/>
                <w:szCs w:val="20"/>
                <w:color w:val="auto"/>
              </w:rPr>
            </w:pPr>
            <w:r>
              <w:rPr>
                <w:rFonts w:ascii="Courier New" w:cs="Courier New" w:eastAsia="Courier New" w:hAnsi="Courier New"/>
                <w:sz w:val="14"/>
                <w:szCs w:val="14"/>
                <w:color w:val="auto"/>
              </w:rPr>
              <w:t>stock of</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which (a)</w:t>
            </w:r>
          </w:p>
        </w:tc>
        <w:tc>
          <w:tcPr>
            <w:tcW w:w="2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72,500,000 shares shall be shares</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of Common Stock</w:t>
            </w:r>
          </w:p>
        </w:tc>
      </w:tr>
      <w:tr>
        <w:trPr>
          <w:trHeight w:val="167"/>
        </w:trPr>
        <w:tc>
          <w:tcPr>
            <w:tcW w:w="720" w:type="dxa"/>
            <w:vAlign w:val="bottom"/>
          </w:tcPr>
          <w:p>
            <w:pPr>
              <w:spacing w:after="0"/>
              <w:rPr>
                <w:sz w:val="20"/>
                <w:szCs w:val="20"/>
                <w:color w:val="auto"/>
              </w:rPr>
            </w:pPr>
            <w:r>
              <w:rPr>
                <w:rFonts w:ascii="Courier New" w:cs="Courier New" w:eastAsia="Courier New" w:hAnsi="Courier New"/>
                <w:sz w:val="14"/>
                <w:szCs w:val="14"/>
                <w:color w:val="auto"/>
              </w:rPr>
              <w:t>$.01 par</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value per</w:t>
            </w:r>
          </w:p>
        </w:tc>
        <w:tc>
          <w:tcPr>
            <w:tcW w:w="2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share ("Common Stock"), and which</w:t>
            </w:r>
          </w:p>
        </w:tc>
        <w:tc>
          <w:tcPr>
            <w:tcW w:w="13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shares of</w:t>
            </w:r>
          </w:p>
        </w:tc>
      </w:tr>
      <w:tr>
        <w:trPr>
          <w:trHeight w:val="167"/>
        </w:trPr>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shall</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be divided into two</w:t>
            </w:r>
          </w:p>
        </w:tc>
        <w:tc>
          <w:tcPr>
            <w:tcW w:w="2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classes, 22,500,000 shares of</w:t>
            </w:r>
          </w:p>
        </w:tc>
      </w:tr>
      <w:tr>
        <w:trPr>
          <w:trHeight w:val="167"/>
        </w:trPr>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shall</w:t>
            </w:r>
          </w:p>
        </w:tc>
        <w:tc>
          <w:tcPr>
            <w:tcW w:w="2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 shares of Class A Common Stock</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w:t>
            </w:r>
          </w:p>
        </w:tc>
      </w:tr>
      <w:tr>
        <w:trPr>
          <w:trHeight w:val="167"/>
        </w:trPr>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and</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50,00,000 shares of</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Common Stock shall be</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shares</w:t>
            </w:r>
          </w:p>
        </w:tc>
      </w:tr>
      <w:tr>
        <w:trPr>
          <w:trHeight w:val="167"/>
        </w:trPr>
        <w:tc>
          <w:tcPr>
            <w:tcW w:w="720" w:type="dxa"/>
            <w:vAlign w:val="bottom"/>
          </w:tcPr>
          <w:p>
            <w:pPr>
              <w:spacing w:after="0"/>
              <w:rPr>
                <w:sz w:val="20"/>
                <w:szCs w:val="20"/>
                <w:color w:val="auto"/>
              </w:rPr>
            </w:pPr>
            <w:r>
              <w:rPr>
                <w:rFonts w:ascii="Courier New" w:cs="Courier New" w:eastAsia="Courier New" w:hAnsi="Courier New"/>
                <w:sz w:val="14"/>
                <w:szCs w:val="14"/>
                <w:color w:val="auto"/>
              </w:rPr>
              <w:t>of Class</w:t>
            </w:r>
          </w:p>
        </w:tc>
        <w:tc>
          <w:tcPr>
            <w:tcW w:w="452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B Common Stock ("Class B Common Stock"), and (b)</w:t>
            </w:r>
          </w:p>
        </w:tc>
        <w:tc>
          <w:tcPr>
            <w:tcW w:w="660" w:type="dxa"/>
            <w:vAlign w:val="bottom"/>
          </w:tcPr>
          <w:p>
            <w:pPr>
              <w:spacing w:after="0"/>
              <w:rPr>
                <w:sz w:val="14"/>
                <w:szCs w:val="14"/>
                <w:color w:val="auto"/>
              </w:rPr>
            </w:pPr>
          </w:p>
        </w:tc>
      </w:tr>
      <w:tr>
        <w:trPr>
          <w:trHeight w:val="167"/>
        </w:trPr>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200,000,000 shares</w:t>
            </w:r>
          </w:p>
        </w:tc>
        <w:tc>
          <w:tcPr>
            <w:tcW w:w="43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shall be shares of Preferred Stock $.01 par value</w:t>
            </w:r>
          </w:p>
        </w:tc>
      </w:tr>
    </w:tbl>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per share ("Preferred Stock").</w:t>
      </w:r>
    </w:p>
    <w:p>
      <w:pPr>
        <w:spacing w:after="0" w:line="175" w:lineRule="exact"/>
        <w:rPr>
          <w:sz w:val="20"/>
          <w:szCs w:val="20"/>
          <w:color w:val="auto"/>
        </w:rPr>
      </w:pPr>
    </w:p>
    <w:p>
      <w:pPr>
        <w:ind w:right="3379" w:firstLine="1042"/>
        <w:spacing w:after="0" w:line="255" w:lineRule="auto"/>
        <w:rPr>
          <w:sz w:val="20"/>
          <w:szCs w:val="20"/>
          <w:color w:val="auto"/>
        </w:rPr>
      </w:pPr>
      <w:r>
        <w:rPr>
          <w:rFonts w:ascii="Courier New" w:cs="Courier New" w:eastAsia="Courier New" w:hAnsi="Courier New"/>
          <w:sz w:val="14"/>
          <w:szCs w:val="14"/>
          <w:color w:val="auto"/>
        </w:rPr>
        <w:t>SECOND: That at the annual meeting of stockholders, said amendments were duly adopted in accordance with the applicable provisions of Sections 242 of the General Corporation Law of the State of Delaware.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53" w:right="1440" w:bottom="1440" w:gutter="0" w:footer="0" w:header="0"/>
        </w:sectPr>
      </w:pPr>
    </w:p>
    <w:bookmarkStart w:id="81" w:name="page82"/>
    <w:bookmarkEnd w:id="81"/>
    <w:p>
      <w:pPr>
        <w:ind w:right="3899" w:firstLine="1042"/>
        <w:spacing w:after="0" w:line="258" w:lineRule="auto"/>
        <w:rPr>
          <w:sz w:val="20"/>
          <w:szCs w:val="20"/>
          <w:color w:val="auto"/>
        </w:rPr>
      </w:pPr>
      <w:r>
        <w:rPr>
          <w:rFonts w:ascii="Courier New" w:cs="Courier New" w:eastAsia="Courier New" w:hAnsi="Courier New"/>
          <w:sz w:val="14"/>
          <w:szCs w:val="14"/>
          <w:color w:val="auto"/>
        </w:rPr>
        <w:t>IN WITNESS WHEREOF, said the Raytheon Company has caused this certificate to be signed by its Vice President this __ day of [ ], 2001.</w:t>
      </w:r>
    </w:p>
    <w:p>
      <w:pPr>
        <w:spacing w:after="0" w:line="200" w:lineRule="exact"/>
        <w:rPr>
          <w:sz w:val="20"/>
          <w:szCs w:val="20"/>
          <w:color w:val="auto"/>
        </w:rPr>
      </w:pPr>
    </w:p>
    <w:p>
      <w:pPr>
        <w:spacing w:after="0" w:line="29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82" w:name="page83"/>
    <w:bookmarkEnd w:id="82"/>
    <w:p>
      <w:pPr>
        <w:jc w:val="center"/>
        <w:ind w:right="3279"/>
        <w:spacing w:after="0"/>
        <w:rPr>
          <w:sz w:val="20"/>
          <w:szCs w:val="20"/>
          <w:color w:val="auto"/>
        </w:rPr>
      </w:pPr>
      <w:r>
        <w:rPr>
          <w:rFonts w:ascii="Courier New" w:cs="Courier New" w:eastAsia="Courier New" w:hAnsi="Courier New"/>
          <w:sz w:val="14"/>
          <w:szCs w:val="14"/>
          <w:color w:val="auto"/>
        </w:rPr>
        <w:t>CERTIFICATE OF AMENDMENT</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OF CERTIFICATE OF INCORPORATION OF</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RAYTHEON COMPANY</w:t>
      </w:r>
    </w:p>
    <w:p>
      <w:pPr>
        <w:spacing w:after="0" w:line="342" w:lineRule="exact"/>
        <w:rPr>
          <w:sz w:val="20"/>
          <w:szCs w:val="20"/>
          <w:color w:val="auto"/>
        </w:rPr>
      </w:pPr>
    </w:p>
    <w:p>
      <w:pPr>
        <w:ind w:right="3379" w:firstLine="1042"/>
        <w:spacing w:after="0" w:line="255" w:lineRule="auto"/>
        <w:rPr>
          <w:sz w:val="20"/>
          <w:szCs w:val="20"/>
          <w:color w:val="auto"/>
        </w:rPr>
      </w:pPr>
      <w:r>
        <w:rPr>
          <w:rFonts w:ascii="Courier New" w:cs="Courier New" w:eastAsia="Courier New" w:hAnsi="Courier New"/>
          <w:sz w:val="14"/>
          <w:szCs w:val="14"/>
          <w:color w:val="auto"/>
        </w:rPr>
        <w:t>Raytheon Company, a corporation organized and existing under and by virtue of the General Corporation Law of the State of Delaware (the "Corporation"),</w:t>
      </w:r>
    </w:p>
    <w:p>
      <w:pPr>
        <w:spacing w:after="0" w:line="16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DOES HEREBY CERTIFY:</w:t>
      </w:r>
    </w:p>
    <w:p>
      <w:pPr>
        <w:spacing w:after="0" w:line="175" w:lineRule="exact"/>
        <w:rPr>
          <w:sz w:val="20"/>
          <w:szCs w:val="20"/>
          <w:color w:val="auto"/>
        </w:rPr>
      </w:pPr>
    </w:p>
    <w:p>
      <w:pPr>
        <w:ind w:right="3459" w:firstLine="1042"/>
        <w:spacing w:after="0" w:line="254" w:lineRule="auto"/>
        <w:rPr>
          <w:sz w:val="20"/>
          <w:szCs w:val="20"/>
          <w:color w:val="auto"/>
        </w:rPr>
      </w:pPr>
      <w:r>
        <w:rPr>
          <w:rFonts w:ascii="Courier New" w:cs="Courier New" w:eastAsia="Courier New" w:hAnsi="Courier New"/>
          <w:sz w:val="14"/>
          <w:szCs w:val="14"/>
          <w:color w:val="auto"/>
        </w:rPr>
        <w:t>FIRST: That at a regular meeting of the members of the board of directors of the Corporation, resolutions were duly adopted setting forth proposed amendments to the Certificate of Incorporation of the Corporation and declaring said amendments to be advisable. The resolutions setting forth the proposed amendments are as follows:</w:t>
      </w:r>
    </w:p>
    <w:p>
      <w:pPr>
        <w:spacing w:after="0" w:line="329" w:lineRule="exact"/>
        <w:rPr>
          <w:sz w:val="20"/>
          <w:szCs w:val="20"/>
          <w:color w:val="auto"/>
        </w:rPr>
      </w:pPr>
    </w:p>
    <w:p>
      <w:pPr>
        <w:ind w:left="520" w:right="3379"/>
        <w:spacing w:after="0" w:line="255" w:lineRule="auto"/>
        <w:rPr>
          <w:sz w:val="20"/>
          <w:szCs w:val="20"/>
          <w:color w:val="auto"/>
        </w:rPr>
      </w:pPr>
      <w:r>
        <w:rPr>
          <w:rFonts w:ascii="Courier New" w:cs="Courier New" w:eastAsia="Courier New" w:hAnsi="Courier New"/>
          <w:sz w:val="14"/>
          <w:szCs w:val="14"/>
          <w:color w:val="auto"/>
        </w:rPr>
        <w:t>RESOLVED, that, upon approval of the stockholders of the Corporation, Section 1 of Article IV of the Corporation's Certificate of Incorporation be amended to read in its entirety as follows:</w:t>
      </w:r>
    </w:p>
    <w:p>
      <w:pPr>
        <w:spacing w:after="0" w:line="162" w:lineRule="exact"/>
        <w:rPr>
          <w:sz w:val="20"/>
          <w:szCs w:val="20"/>
          <w:color w:val="auto"/>
        </w:rPr>
      </w:pPr>
    </w:p>
    <w:p>
      <w:pPr>
        <w:ind w:left="1060" w:right="3279"/>
        <w:spacing w:after="0" w:line="253" w:lineRule="auto"/>
        <w:rPr>
          <w:sz w:val="20"/>
          <w:szCs w:val="20"/>
          <w:color w:val="auto"/>
        </w:rPr>
      </w:pPr>
      <w:r>
        <w:rPr>
          <w:rFonts w:ascii="Courier New" w:cs="Courier New" w:eastAsia="Courier New" w:hAnsi="Courier New"/>
          <w:sz w:val="14"/>
          <w:szCs w:val="14"/>
          <w:color w:val="auto"/>
        </w:rPr>
        <w:t>Each share of Class A Common Stock (as defined below), either issued and outstanding or held by the Corporation as treasury stock, immediately prior to the time this amendment becomes effective shall be and is automatically reclassified and changed (without any further act) into twenty (20) fully-paid and nonassessable shares of Class A Common Stock, provided, that no fractional shares shall be issued.</w:t>
      </w:r>
    </w:p>
    <w:p>
      <w:pPr>
        <w:spacing w:after="0" w:line="332" w:lineRule="exact"/>
        <w:rPr>
          <w:sz w:val="20"/>
          <w:szCs w:val="20"/>
          <w:color w:val="auto"/>
        </w:rPr>
      </w:pPr>
    </w:p>
    <w:p>
      <w:pPr>
        <w:ind w:left="1060" w:right="3279"/>
        <w:spacing w:after="0" w:line="253" w:lineRule="auto"/>
        <w:rPr>
          <w:sz w:val="20"/>
          <w:szCs w:val="20"/>
          <w:color w:val="auto"/>
        </w:rPr>
      </w:pPr>
      <w:r>
        <w:rPr>
          <w:rFonts w:ascii="Courier New" w:cs="Courier New" w:eastAsia="Courier New" w:hAnsi="Courier New"/>
          <w:sz w:val="14"/>
          <w:szCs w:val="14"/>
          <w:color w:val="auto"/>
        </w:rPr>
        <w:t>Each share of Class B Common Stock (as defined below), either issued and outstanding or held by the Corporation as treasury stock, immediately prior to the time this amendment becomes effective shall be and is automatically reclassified and changed (without any further act) into twenty (20) fully-paid and nonassessable shares of Class B Common Stock, provided, that no fractional shares shall be issued.</w:t>
      </w:r>
    </w:p>
    <w:p>
      <w:pPr>
        <w:spacing w:after="0" w:line="332" w:lineRule="exact"/>
        <w:rPr>
          <w:sz w:val="20"/>
          <w:szCs w:val="20"/>
          <w:color w:val="auto"/>
        </w:rPr>
      </w:pPr>
    </w:p>
    <w:p>
      <w:pPr>
        <w:ind w:left="1060" w:right="3279"/>
        <w:spacing w:after="0" w:line="253" w:lineRule="auto"/>
        <w:rPr>
          <w:sz w:val="20"/>
          <w:szCs w:val="20"/>
          <w:color w:val="auto"/>
        </w:rPr>
      </w:pPr>
      <w:r>
        <w:rPr>
          <w:rFonts w:ascii="Courier New" w:cs="Courier New" w:eastAsia="Courier New" w:hAnsi="Courier New"/>
          <w:sz w:val="14"/>
          <w:szCs w:val="14"/>
          <w:color w:val="auto"/>
        </w:rPr>
        <w:t>The Corporation is authorized to issue 1,650,000,000 shares of capital stock of which (a) 1,450,000,000 shares shall be shares of Common Stock $.01 par value per share ("Common Stock"), and which shares of Common Stock shall be divided into two classes, 450,000,000 shares of Common Stock shall be shares of Class A Common Stock ("Class A Common Stock") and 1,000,000,000 shares of Common Stock shall be shares of Class B Common Stock ("Class B Common Stock"), and (b) 200,000,000 shares shall be shares of Preferred Stock $.01 par value per share ("Preferred Stock").</w:t>
      </w:r>
    </w:p>
    <w:p>
      <w:pPr>
        <w:spacing w:after="0" w:line="164" w:lineRule="exact"/>
        <w:rPr>
          <w:sz w:val="20"/>
          <w:szCs w:val="20"/>
          <w:color w:val="auto"/>
        </w:rPr>
      </w:pPr>
    </w:p>
    <w:p>
      <w:pPr>
        <w:ind w:right="3379" w:firstLine="1042"/>
        <w:spacing w:after="0" w:line="255" w:lineRule="auto"/>
        <w:rPr>
          <w:sz w:val="20"/>
          <w:szCs w:val="20"/>
          <w:color w:val="auto"/>
        </w:rPr>
      </w:pPr>
      <w:r>
        <w:rPr>
          <w:rFonts w:ascii="Courier New" w:cs="Courier New" w:eastAsia="Courier New" w:hAnsi="Courier New"/>
          <w:sz w:val="14"/>
          <w:szCs w:val="14"/>
          <w:color w:val="auto"/>
        </w:rPr>
        <w:t>SECOND: That at the annual meeting of stockholders, said amendments were duly adopted in accordance with the applicable provisions of Sections 242 of the General Corporation Law of the State of Delaware.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787" w:right="1440" w:bottom="1440" w:gutter="0" w:footer="0" w:header="0"/>
        </w:sectPr>
      </w:pPr>
    </w:p>
    <w:bookmarkStart w:id="83" w:name="page84"/>
    <w:bookmarkEnd w:id="83"/>
    <w:p>
      <w:pPr>
        <w:ind w:right="3899" w:firstLine="1042"/>
        <w:spacing w:after="0" w:line="258" w:lineRule="auto"/>
        <w:rPr>
          <w:sz w:val="20"/>
          <w:szCs w:val="20"/>
          <w:color w:val="auto"/>
        </w:rPr>
      </w:pPr>
      <w:r>
        <w:rPr>
          <w:rFonts w:ascii="Courier New" w:cs="Courier New" w:eastAsia="Courier New" w:hAnsi="Courier New"/>
          <w:sz w:val="14"/>
          <w:szCs w:val="14"/>
          <w:color w:val="auto"/>
        </w:rPr>
        <w:t>IN WITNESS WHEREOF, said the Raytheon Company has caused this certificate to be signed by its Vice President this __ day of [ ], 2001.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84" w:name="page85"/>
    <w:bookmarkEnd w:id="84"/>
    <w:p>
      <w:pPr>
        <w:jc w:val="center"/>
        <w:ind w:right="3279"/>
        <w:spacing w:after="0"/>
        <w:rPr>
          <w:sz w:val="20"/>
          <w:szCs w:val="20"/>
          <w:color w:val="auto"/>
        </w:rPr>
      </w:pPr>
      <w:r>
        <w:rPr>
          <w:rFonts w:ascii="Courier New" w:cs="Courier New" w:eastAsia="Courier New" w:hAnsi="Courier New"/>
          <w:sz w:val="14"/>
          <w:szCs w:val="14"/>
          <w:color w:val="auto"/>
        </w:rPr>
        <w:t>APPENDIX C</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MORGAN STANLEY DEAN WITTER</w:t>
      </w:r>
    </w:p>
    <w:p>
      <w:pPr>
        <w:spacing w:after="0" w:line="342"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1585 BROADWAY</w:t>
      </w:r>
    </w:p>
    <w:p>
      <w:pPr>
        <w:spacing w:after="0" w:line="8"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NEW YORK, NEW YORK 10036</w:t>
      </w:r>
    </w:p>
    <w:p>
      <w:pPr>
        <w:spacing w:after="0" w:line="8"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(212) 761-4000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January 23, 2001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Raytheon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141 Spring Street</w:t>
      </w:r>
    </w:p>
    <w:p>
      <w:pPr>
        <w:spacing w:after="0" w:line="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Lexington, MA</w:t>
        <w:tab/>
        <w:t>02421-9107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We understand that Raytheon Company ("Raytheon" or the "Company") proposes to amend its Restated Certificate of Incorporation, dated February 11, 1998 (the "Certificate of Incorporation"), pursuant to amendments, substantially in the form of the draft dated January 23, 2001 (the "Amendment"). Pursuant to the Amendment, Raytheon proposes to undertake a reclassification of its Class A Common Stock, par value $0.01 per share (the "Class A Stock"), and Class B Common Stock, par value $0.01 per share (the "Class B Stock"), into a single class of Raytheon Common Stock, par value $0.01 per share (the "New Common Stock"), whereby each outstanding share of Class A Stock and Class B Stock will be exchanged for one share (the "Exchange Ratio") of New Common Stock (the "Reclassification").</w:t>
      </w:r>
    </w:p>
    <w:p>
      <w:pPr>
        <w:spacing w:after="0" w:line="164"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You have asked for our opinion as to whether the Exchange Ratio pursuant to the Amendment is fair from a financial point of view to the holders of shares of Class A Stock and to the holders of Class B Stock.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purposes of the opinion set forth herein, we have:</w:t>
      </w:r>
    </w:p>
    <w:p>
      <w:pPr>
        <w:spacing w:after="0" w:line="175" w:lineRule="exact"/>
        <w:rPr>
          <w:sz w:val="20"/>
          <w:szCs w:val="20"/>
          <w:color w:val="auto"/>
        </w:rPr>
      </w:pPr>
    </w:p>
    <w:p>
      <w:pPr>
        <w:ind w:left="1060" w:right="3539" w:hanging="530"/>
        <w:spacing w:after="0" w:line="258" w:lineRule="auto"/>
        <w:tabs>
          <w:tab w:leader="none" w:pos="10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reported prices and trading activity for the Class A Stock and the Class B Stock;</w:t>
      </w:r>
    </w:p>
    <w:p>
      <w:pPr>
        <w:spacing w:after="0" w:line="159" w:lineRule="exact"/>
        <w:rPr>
          <w:rFonts w:ascii="Courier New" w:cs="Courier New" w:eastAsia="Courier New" w:hAnsi="Courier New"/>
          <w:sz w:val="14"/>
          <w:szCs w:val="14"/>
          <w:color w:val="auto"/>
        </w:rPr>
      </w:pPr>
    </w:p>
    <w:p>
      <w:pPr>
        <w:ind w:left="1060" w:right="3279" w:hanging="530"/>
        <w:spacing w:after="0" w:line="255" w:lineRule="auto"/>
        <w:tabs>
          <w:tab w:leader="none" w:pos="10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with management the rationale for the Reclassification and for the original creation of a dual class structure and certain information related thereto;</w:t>
      </w:r>
    </w:p>
    <w:p>
      <w:pPr>
        <w:spacing w:after="0" w:line="162" w:lineRule="exact"/>
        <w:rPr>
          <w:rFonts w:ascii="Courier New" w:cs="Courier New" w:eastAsia="Courier New" w:hAnsi="Courier New"/>
          <w:sz w:val="14"/>
          <w:szCs w:val="14"/>
          <w:color w:val="auto"/>
        </w:rPr>
      </w:pPr>
    </w:p>
    <w:p>
      <w:pPr>
        <w:ind w:left="1060" w:right="3279" w:hanging="530"/>
        <w:spacing w:after="0" w:line="254" w:lineRule="auto"/>
        <w:tabs>
          <w:tab w:leader="none" w:pos="10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compared the financial performance of the Company and the prices and trading activity of the Class A Stock and the Class B Stock with that of other comparable publicly traded companies with dual classes of stock;</w:t>
      </w:r>
    </w:p>
    <w:p>
      <w:pPr>
        <w:spacing w:after="0" w:line="163" w:lineRule="exact"/>
        <w:rPr>
          <w:rFonts w:ascii="Courier New" w:cs="Courier New" w:eastAsia="Courier New" w:hAnsi="Courier New"/>
          <w:sz w:val="14"/>
          <w:szCs w:val="14"/>
          <w:color w:val="auto"/>
        </w:rPr>
      </w:pPr>
    </w:p>
    <w:p>
      <w:pPr>
        <w:ind w:left="1060" w:right="3459" w:hanging="530"/>
        <w:spacing w:after="0" w:line="258" w:lineRule="auto"/>
        <w:tabs>
          <w:tab w:leader="none" w:pos="10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financial terms, to the extent publicly available, of certain comparable transactions;</w:t>
      </w:r>
    </w:p>
    <w:p>
      <w:pPr>
        <w:sectPr>
          <w:pgSz w:w="11900" w:h="16838" w:orient="portrait"/>
          <w:cols w:equalWidth="0" w:num="1">
            <w:col w:w="10239"/>
          </w:cols>
          <w:pgMar w:left="220" w:top="620" w:right="1440" w:bottom="1440" w:gutter="0" w:footer="0" w:header="0"/>
        </w:sectPr>
      </w:pPr>
    </w:p>
    <w:bookmarkStart w:id="85" w:name="page86"/>
    <w:bookmarkEnd w:id="85"/>
    <w:p>
      <w:pPr>
        <w:ind w:left="1060" w:right="3719" w:hanging="530"/>
        <w:spacing w:after="0" w:line="258" w:lineRule="auto"/>
        <w:tabs>
          <w:tab w:leader="none" w:pos="10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Articles of Incorporation, the draft Amendment and certain related documents; and</w:t>
      </w:r>
    </w:p>
    <w:p>
      <w:pPr>
        <w:spacing w:after="0" w:line="159" w:lineRule="exact"/>
        <w:rPr>
          <w:rFonts w:ascii="Courier New" w:cs="Courier New" w:eastAsia="Courier New" w:hAnsi="Courier New"/>
          <w:sz w:val="14"/>
          <w:szCs w:val="14"/>
          <w:color w:val="auto"/>
        </w:rPr>
      </w:pPr>
    </w:p>
    <w:p>
      <w:pPr>
        <w:ind w:left="1060" w:right="3459" w:hanging="530"/>
        <w:spacing w:after="0" w:line="258" w:lineRule="auto"/>
        <w:tabs>
          <w:tab w:leader="none" w:pos="10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conducted such other analyses and considered such other factors as we deemed appropriate.</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have assumed and relied upon without independent verification the accuracy and completeness of the information reviewed by us for the purposes of this opinion. In addition, we have assumed that the Reclassification will be consummated in accordance with the terms set forth in the draft Amendment. Our opinion is necessarily based on financial, economic, market and other conditions as in effect on, and the information made available to us as of, the date hereof.</w:t>
      </w:r>
    </w:p>
    <w:p>
      <w:pPr>
        <w:spacing w:after="0" w:line="33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We have acted as financial advisor to the Board of Directors of Raytheon in connection with this transaction and will receive a fee for our services. In the past, Morgan Stanley &amp; Co. Incorporated and its affiliates have provided financial advisory and financing services for Raytheon and have received fees for the rendering of these services.</w:t>
      </w:r>
    </w:p>
    <w:p>
      <w:pPr>
        <w:spacing w:after="0" w:line="16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It should be understood that this letter is for the information of the Board of Directors of the Company and may not be used for any other purpose without our prior written consent, except that a copy of such opinion letter may be included in its entirety, if required, in any filing made by Raytheon in respect of the transaction with the Securities and Exchange Commission. It should further be understood that, although subsequent developments may affect this opinion, we do not have any obligation to update, revise or reaffirm this opinion. Our opinion does not constitute an opinion as to the prices at which the New Common Stock, Class A Stock and Class B Stock of Raytheon will actually trade at any time and our opinion does not address the relative fairness of the consideration to be received among such classes of stock. Furthermore, our opinion does not address the relative merits of the Amendment compared to other business strategies being considered by, or available to, the Company's Board of Directors, nor does it address the Board's decision to proceed with the adoption of the Reclassification. Our opinion does not constitute a recommendation to any shareholder as to how such shareholder should vote with respect to the Amendment.</w:t>
      </w:r>
    </w:p>
    <w:p>
      <w:pPr>
        <w:spacing w:after="0" w:line="34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Based on and subject to the foregoing we are of the opinion on the date hereof that the Exchange Ratio pursuant to the Amendment is fair from a financial point of view to the holders of shares of Class A Stock and to the holders of Class B Stock.</w:t>
      </w:r>
    </w:p>
    <w:p>
      <w:pPr>
        <w:spacing w:after="0" w:line="16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MORGAN STANLEY &amp; CO. INCORPORATED</w:t>
      </w:r>
    </w:p>
    <w:p>
      <w:pPr>
        <w:spacing w:after="0" w:line="8" w:lineRule="exact"/>
        <w:rPr>
          <w:sz w:val="20"/>
          <w:szCs w:val="20"/>
          <w:color w:val="auto"/>
        </w:rPr>
      </w:pPr>
    </w:p>
    <w:p>
      <w:pPr>
        <w:ind w:left="3140"/>
        <w:spacing w:after="0"/>
        <w:tabs>
          <w:tab w:leader="none" w:pos="37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Richard W. Swift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Richard W. Swift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Managing Director</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86" w:name="page87"/>
    <w:bookmarkEnd w:id="86"/>
    <w:p>
      <w:pPr>
        <w:jc w:val="center"/>
        <w:ind w:right="3279"/>
        <w:spacing w:after="0"/>
        <w:rPr>
          <w:sz w:val="20"/>
          <w:szCs w:val="20"/>
          <w:color w:val="auto"/>
        </w:rPr>
      </w:pPr>
      <w:r>
        <w:rPr>
          <w:rFonts w:ascii="Courier New" w:cs="Courier New" w:eastAsia="Courier New" w:hAnsi="Courier New"/>
          <w:sz w:val="14"/>
          <w:szCs w:val="14"/>
          <w:color w:val="auto"/>
        </w:rPr>
        <w:t>APPENDIX 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CERTIFICATE OF AMENDMENT</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OF CERTIFICATE OF INCORPORATION OF</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RAYTHEON COMPANY</w:t>
      </w:r>
    </w:p>
    <w:p>
      <w:pPr>
        <w:spacing w:after="0" w:line="342" w:lineRule="exact"/>
        <w:rPr>
          <w:sz w:val="20"/>
          <w:szCs w:val="20"/>
          <w:color w:val="auto"/>
        </w:rPr>
      </w:pPr>
    </w:p>
    <w:p>
      <w:pPr>
        <w:ind w:right="3379" w:firstLine="1042"/>
        <w:spacing w:after="0" w:line="255" w:lineRule="auto"/>
        <w:rPr>
          <w:sz w:val="20"/>
          <w:szCs w:val="20"/>
          <w:color w:val="auto"/>
        </w:rPr>
      </w:pPr>
      <w:r>
        <w:rPr>
          <w:rFonts w:ascii="Courier New" w:cs="Courier New" w:eastAsia="Courier New" w:hAnsi="Courier New"/>
          <w:sz w:val="14"/>
          <w:szCs w:val="14"/>
          <w:color w:val="auto"/>
        </w:rPr>
        <w:t>Raytheon Company, a corporation organized and existing under and by virtue of the General Corporation Law of the State of Delaware (the "Corporation"),</w:t>
      </w:r>
    </w:p>
    <w:p>
      <w:pPr>
        <w:spacing w:after="0" w:line="16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DOES HEREBY CERTIFY:</w:t>
      </w:r>
    </w:p>
    <w:p>
      <w:pPr>
        <w:spacing w:after="0" w:line="175" w:lineRule="exact"/>
        <w:rPr>
          <w:sz w:val="20"/>
          <w:szCs w:val="20"/>
          <w:color w:val="auto"/>
        </w:rPr>
      </w:pPr>
    </w:p>
    <w:p>
      <w:pPr>
        <w:ind w:right="3459" w:firstLine="1042"/>
        <w:spacing w:after="0" w:line="254" w:lineRule="auto"/>
        <w:rPr>
          <w:sz w:val="20"/>
          <w:szCs w:val="20"/>
          <w:color w:val="auto"/>
        </w:rPr>
      </w:pPr>
      <w:r>
        <w:rPr>
          <w:rFonts w:ascii="Courier New" w:cs="Courier New" w:eastAsia="Courier New" w:hAnsi="Courier New"/>
          <w:sz w:val="14"/>
          <w:szCs w:val="14"/>
          <w:color w:val="auto"/>
        </w:rPr>
        <w:t>FIRST: That at a regular meeting of the members of the board of directors of the Corporation, resolutions were duly adopted setting forth proposed amendments to the Certificate of Incorporation of the Corporation and declaring said amendments to be advisable. The resolutions setting forth the proposed amendments are as follows:</w:t>
      </w:r>
    </w:p>
    <w:p>
      <w:pPr>
        <w:spacing w:after="0" w:line="329" w:lineRule="exact"/>
        <w:rPr>
          <w:sz w:val="20"/>
          <w:szCs w:val="20"/>
          <w:color w:val="auto"/>
        </w:rPr>
      </w:pPr>
    </w:p>
    <w:p>
      <w:pPr>
        <w:jc w:val="both"/>
        <w:ind w:left="520" w:right="3379"/>
        <w:spacing w:after="0" w:line="255" w:lineRule="auto"/>
        <w:rPr>
          <w:sz w:val="20"/>
          <w:szCs w:val="20"/>
          <w:color w:val="auto"/>
        </w:rPr>
      </w:pPr>
      <w:r>
        <w:rPr>
          <w:rFonts w:ascii="Courier New" w:cs="Courier New" w:eastAsia="Courier New" w:hAnsi="Courier New"/>
          <w:sz w:val="14"/>
          <w:szCs w:val="14"/>
          <w:color w:val="auto"/>
        </w:rPr>
        <w:t>RESOLVED, that, upon approval of the stockholders of the Corporation, the following changes (the "Charter Amendments") be made to the Corporation's Certificate of Incorporation:</w:t>
      </w:r>
    </w:p>
    <w:p>
      <w:pPr>
        <w:spacing w:after="0" w:line="16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1 of Article IV shall be amended to read in its entirety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follows:</w:t>
      </w:r>
    </w:p>
    <w:p>
      <w:pPr>
        <w:spacing w:after="0" w:line="175"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Each share of Class A Common Stock, par value $.01, of the Corporation, either issued and outstanding or held by the Corporation as treasury stock, immediately prior to the time this amendment becomes effective shall be and is automatically reclassified and changed (without any further act) into 1 fully paid and nonassessable share of Common Stock (as defined below) without increasing or decreasing the amount of stated capital or paid-in surplus of the Corporation, provided that no fractional shares shall be issued.</w:t>
      </w:r>
    </w:p>
    <w:p>
      <w:pPr>
        <w:spacing w:after="0" w:line="164"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Each share of Class B Common Stock, par value $.01, of the Corporation, either issued and outstanding or held by the Corporation as treasury stock, immediately prior to the time this amendment becomes effective shall be and is automatically reclassified and changed (without any further act) into 1 fully paid and nonassessable share of Common Stock without increasing or decreasing the amount of stated capital or paid-in surplus of the Corporation, provided that no fractional shares shall be issued.</w:t>
      </w:r>
    </w:p>
    <w:p>
      <w:pPr>
        <w:spacing w:after="0" w:line="164" w:lineRule="exact"/>
        <w:rPr>
          <w:sz w:val="20"/>
          <w:szCs w:val="20"/>
          <w:color w:val="auto"/>
        </w:rPr>
      </w:pPr>
    </w:p>
    <w:p>
      <w:pPr>
        <w:ind w:left="1580" w:right="3279"/>
        <w:spacing w:after="0" w:line="254" w:lineRule="auto"/>
        <w:rPr>
          <w:sz w:val="20"/>
          <w:szCs w:val="20"/>
          <w:color w:val="auto"/>
        </w:rPr>
      </w:pPr>
      <w:r>
        <w:rPr>
          <w:rFonts w:ascii="Courier New" w:cs="Courier New" w:eastAsia="Courier New" w:hAnsi="Courier New"/>
          <w:sz w:val="14"/>
          <w:szCs w:val="14"/>
          <w:color w:val="auto"/>
        </w:rPr>
        <w:t>The Corporation is authorized to issue 1,650,000,000 shares of capital stock of which (a) 1,450,000,000 shares shall be shares of Common Stock $.01 par value per share ("Common Stock") and (b) 200,000,000 shares shall be shares of Preferred Stock $.01 par value per share ("Preferred Stock").</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Section 2 of Article IV be amended to read in its entirety as follows:</w:t>
      </w:r>
    </w:p>
    <w:p>
      <w:pPr>
        <w:sectPr>
          <w:pgSz w:w="11900" w:h="16838" w:orient="portrait"/>
          <w:cols w:equalWidth="0" w:num="1">
            <w:col w:w="10239"/>
          </w:cols>
          <w:pgMar w:left="220" w:top="620" w:right="1440" w:bottom="1440" w:gutter="0" w:footer="0" w:header="0"/>
        </w:sectPr>
      </w:pPr>
    </w:p>
    <w:bookmarkStart w:id="87" w:name="page88"/>
    <w:bookmarkEnd w:id="87"/>
    <w:p>
      <w:pPr>
        <w:ind w:left="1580" w:right="3279"/>
        <w:spacing w:after="0" w:line="253" w:lineRule="auto"/>
        <w:rPr>
          <w:sz w:val="20"/>
          <w:szCs w:val="20"/>
          <w:color w:val="auto"/>
        </w:rPr>
      </w:pPr>
      <w:r>
        <w:rPr>
          <w:rFonts w:ascii="Courier New" w:cs="Courier New" w:eastAsia="Courier New" w:hAnsi="Courier New"/>
          <w:sz w:val="14"/>
          <w:szCs w:val="14"/>
          <w:color w:val="auto"/>
        </w:rPr>
        <w:t>Common Stock. Except as provided herein, as otherwise provided by law or by the resolution or resolutions adopted by the Board designating the rights, powers and preferences of any series of Preferred Stock, the Common Stock shall have the exclusive right to vote for the election of directors and for all other purposes, in each case acting by such vote as required under applicable law (or by such greater vote than would be required under applicable law as may be set forth herein or in the By-laws of the Corporation). Each share of Common Stock shall have one vote, and the Common Stock shall vote together as a single class on all matters to be voted on by the Corporation's stockholders.</w:t>
      </w:r>
    </w:p>
    <w:p>
      <w:pPr>
        <w:spacing w:after="0" w:line="164"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Subject to the rights of the holders of any class or series of outstanding Preferred Stock and subject to any other provisions hereof and applicable law, holders of Common Stock will be entitled to dividends and such other distributions in cash, securities or property of the Corporation as may be declared thereon by the Corporation's board of directors, out of funds legally available therefor, whether payable in cash, property or securities of the Corporation</w:t>
      </w:r>
    </w:p>
    <w:p>
      <w:pPr>
        <w:spacing w:after="0" w:line="16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3 of Article VI be amended to read in its entirety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follows:</w:t>
      </w:r>
    </w:p>
    <w:p>
      <w:pPr>
        <w:spacing w:after="0" w:line="175" w:lineRule="exact"/>
        <w:rPr>
          <w:sz w:val="20"/>
          <w:szCs w:val="20"/>
          <w:color w:val="auto"/>
        </w:rPr>
      </w:pPr>
    </w:p>
    <w:p>
      <w:pPr>
        <w:ind w:left="1580" w:right="3279"/>
        <w:spacing w:after="0" w:line="252" w:lineRule="auto"/>
        <w:rPr>
          <w:sz w:val="20"/>
          <w:szCs w:val="20"/>
          <w:color w:val="auto"/>
        </w:rPr>
      </w:pPr>
      <w:r>
        <w:rPr>
          <w:rFonts w:ascii="Courier New" w:cs="Courier New" w:eastAsia="Courier New" w:hAnsi="Courier New"/>
          <w:sz w:val="14"/>
          <w:szCs w:val="14"/>
          <w:color w:val="auto"/>
        </w:rPr>
        <w:t>Newly created directorships and vacancies. Except as otherwise provided for or fixed by or pursuant to the provisions of Article IV relating to the rights of the holders of any class or series of stock having a preference over the Common Stock as to dividends or upon liquidation to elect directors under specified circumstances, (i) newly created directorships resulting from any vacancies on the Board resulting from death, resignation, disqualification, removal or other cause shall be filled by the affirmative vote of a majority of the remaining directors then in office, even though less than a quorum of the Board, and not by the stockholders and (ii) newly created directorships resulting from any increase in the number of directors after the adoption of a resolution by a majority of the Whole Board in accordance with Section 1 of this Article VI shall be filled by the affirmative vote of the holders of Common Stock, voting in accordance with the provisions of Section 2 of Article IV. Any director appointed in accordance with clause (i) of the preceding sentence shall hold office until the next annual or special meeting of stockholders and until such director's successor shall have been duly elected and qualified. Any director elected in accordance with clause (ii) of the preceding sentence shall hold office for the remainder of the full term of the class of director in which the new directorship was created and until such director's successor shall have been duly elected and qualified. No decrease in the number of directors constituting the Board shall shorten the term of any incumbent director.</w:t>
      </w:r>
    </w:p>
    <w:p>
      <w:pPr>
        <w:spacing w:after="0" w:line="17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88" w:name="page89"/>
    <w:bookmarkEnd w:id="88"/>
    <w:p>
      <w:pPr>
        <w:ind w:left="1060"/>
        <w:spacing w:after="0"/>
        <w:rPr>
          <w:sz w:val="20"/>
          <w:szCs w:val="20"/>
          <w:color w:val="auto"/>
        </w:rPr>
      </w:pPr>
      <w:r>
        <w:rPr>
          <w:rFonts w:ascii="Courier New" w:cs="Courier New" w:eastAsia="Courier New" w:hAnsi="Courier New"/>
          <w:sz w:val="14"/>
          <w:szCs w:val="14"/>
          <w:color w:val="auto"/>
        </w:rPr>
        <w:t>Section 4 of Article VI be amended to read in its entirety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follows:</w:t>
      </w:r>
    </w:p>
    <w:p>
      <w:pPr>
        <w:spacing w:after="0" w:line="175"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Removal. Subject to the rights of any class or series of stock having a preference over the Common Stock as to dividends or upon liquidation to elect directors under specified circumstances, any director may be removed from office only for cause by the affirmative vote of the holders of the shares of Common Stock, voting in accordance with the provisions of Section 2 of Article IV.</w:t>
      </w:r>
    </w:p>
    <w:p>
      <w:pPr>
        <w:spacing w:after="0" w:line="16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Article VII be amended to read in its entirety as follows:</w:t>
      </w:r>
    </w:p>
    <w:p>
      <w:pPr>
        <w:spacing w:after="0" w:line="175"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By-laws. The By-Laws may be altered or repealed and new By-Laws may be adopted (1) at any annual or special meeting of stockholders, by the affirmative vote of the holders of the shares of Common Stock voting in accordance with the provisions of Section 2 of Article IV; provided, however, that in the case of any such stockholder action at a special meeting of stockholders, notice of the proposed alteration, repeal or adoption of the new By-Law or By-Laws must be contained in the notice of such special meeting, or (2) by the affirmative vote of a majority of the Whole Board.</w:t>
      </w:r>
    </w:p>
    <w:p>
      <w:pPr>
        <w:spacing w:after="0" w:line="200" w:lineRule="exact"/>
        <w:rPr>
          <w:sz w:val="20"/>
          <w:szCs w:val="20"/>
          <w:color w:val="auto"/>
        </w:rPr>
      </w:pPr>
    </w:p>
    <w:p>
      <w:pPr>
        <w:spacing w:after="0" w:line="298" w:lineRule="exact"/>
        <w:rPr>
          <w:sz w:val="20"/>
          <w:szCs w:val="20"/>
          <w:color w:val="auto"/>
        </w:rPr>
      </w:pPr>
    </w:p>
    <w:p>
      <w:pPr>
        <w:ind w:left="520" w:right="3379" w:firstLine="1041"/>
        <w:spacing w:after="0" w:line="255" w:lineRule="auto"/>
        <w:rPr>
          <w:sz w:val="20"/>
          <w:szCs w:val="20"/>
          <w:color w:val="auto"/>
        </w:rPr>
      </w:pPr>
      <w:r>
        <w:rPr>
          <w:rFonts w:ascii="Courier New" w:cs="Courier New" w:eastAsia="Courier New" w:hAnsi="Courier New"/>
          <w:sz w:val="14"/>
          <w:szCs w:val="14"/>
          <w:color w:val="auto"/>
        </w:rPr>
        <w:t>SECOND: That at the annual meeting of stockholders, said amendments were duly adopted in accordance with the applicable provisions of Sections 242 of the General Corporation Law of the State of Delaware.</w:t>
      </w:r>
    </w:p>
    <w:p>
      <w:pPr>
        <w:spacing w:after="0" w:line="162" w:lineRule="exact"/>
        <w:rPr>
          <w:sz w:val="20"/>
          <w:szCs w:val="20"/>
          <w:color w:val="auto"/>
        </w:rPr>
      </w:pPr>
    </w:p>
    <w:p>
      <w:pPr>
        <w:ind w:right="3899" w:firstLine="1042"/>
        <w:spacing w:after="0" w:line="258" w:lineRule="auto"/>
        <w:rPr>
          <w:sz w:val="20"/>
          <w:szCs w:val="20"/>
          <w:color w:val="auto"/>
        </w:rPr>
      </w:pPr>
      <w:r>
        <w:rPr>
          <w:rFonts w:ascii="Courier New" w:cs="Courier New" w:eastAsia="Courier New" w:hAnsi="Courier New"/>
          <w:sz w:val="14"/>
          <w:szCs w:val="14"/>
          <w:color w:val="auto"/>
        </w:rPr>
        <w:t>IN WITNESS WHEREOF, said the Raytheon Company has caused this certificate to be signed by its Vice President this __ day of [ ], 2001.</w:t>
      </w:r>
    </w:p>
    <w:p>
      <w:pPr>
        <w:spacing w:after="0" w:line="200" w:lineRule="exact"/>
        <w:rPr>
          <w:sz w:val="20"/>
          <w:szCs w:val="20"/>
          <w:color w:val="auto"/>
        </w:rPr>
      </w:pPr>
    </w:p>
    <w:p>
      <w:pPr>
        <w:spacing w:after="0" w:line="29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89" w:name="page90"/>
    <w:bookmarkEnd w:id="89"/>
    <w:p>
      <w:pPr>
        <w:jc w:val="center"/>
        <w:ind w:right="3279"/>
        <w:spacing w:after="0"/>
        <w:rPr>
          <w:sz w:val="20"/>
          <w:szCs w:val="20"/>
          <w:color w:val="auto"/>
        </w:rPr>
      </w:pPr>
      <w:r>
        <w:rPr>
          <w:rFonts w:ascii="Courier New" w:cs="Courier New" w:eastAsia="Courier New" w:hAnsi="Courier New"/>
          <w:sz w:val="14"/>
          <w:szCs w:val="14"/>
          <w:color w:val="auto"/>
        </w:rPr>
        <w:t>APPENDIX E</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RAYTHEON</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2001 STOCK PLAN</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I</w:t>
      </w:r>
    </w:p>
    <w:p>
      <w:pPr>
        <w:spacing w:after="0" w:line="175" w:lineRule="exact"/>
        <w:rPr>
          <w:sz w:val="20"/>
          <w:szCs w:val="20"/>
          <w:color w:val="auto"/>
        </w:rPr>
      </w:pPr>
    </w:p>
    <w:p>
      <w:pPr>
        <w:ind w:left="800" w:hanging="270"/>
        <w:spacing w:after="0"/>
        <w:tabs>
          <w:tab w:leader="none" w:pos="80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NAME. This plan shall be known as the Raytheon 2001 Stock Plan.</w:t>
      </w:r>
    </w:p>
    <w:p>
      <w:pPr>
        <w:spacing w:after="0" w:line="175" w:lineRule="exact"/>
        <w:rPr>
          <w:rFonts w:ascii="Courier New" w:cs="Courier New" w:eastAsia="Courier New" w:hAnsi="Courier New"/>
          <w:sz w:val="14"/>
          <w:szCs w:val="14"/>
          <w:color w:val="auto"/>
        </w:rPr>
      </w:pPr>
    </w:p>
    <w:p>
      <w:pPr>
        <w:ind w:left="3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ARTICLE II</w:t>
      </w:r>
    </w:p>
    <w:p>
      <w:pPr>
        <w:spacing w:after="0" w:line="175" w:lineRule="exact"/>
        <w:rPr>
          <w:rFonts w:ascii="Courier New" w:cs="Courier New" w:eastAsia="Courier New" w:hAnsi="Courier New"/>
          <w:sz w:val="14"/>
          <w:szCs w:val="14"/>
          <w:color w:val="auto"/>
        </w:rPr>
      </w:pPr>
    </w:p>
    <w:p>
      <w:pPr>
        <w:ind w:right="3459" w:firstLine="530"/>
        <w:spacing w:after="0" w:line="253" w:lineRule="auto"/>
        <w:tabs>
          <w:tab w:leader="none" w:pos="78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This Plan is intended to encourage ownership of Stock by key employees of Raytheon Company and its Affiliates and to provide additional incentive for them to promote the success of the Company's business. With respect to any Incentive Stock Options that may be granted hereunder, the Plan is intended to be an incentive stock option plan within the meaning of Section 422 of the Code.</w:t>
      </w:r>
    </w:p>
    <w:p>
      <w:pPr>
        <w:spacing w:after="0" w:line="16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III</w:t>
      </w:r>
    </w:p>
    <w:p>
      <w:pPr>
        <w:spacing w:after="0" w:line="175" w:lineRule="exact"/>
        <w:rPr>
          <w:sz w:val="20"/>
          <w:szCs w:val="20"/>
          <w:color w:val="auto"/>
        </w:rPr>
      </w:pPr>
    </w:p>
    <w:p>
      <w:pPr>
        <w:ind w:right="3279" w:firstLine="530"/>
        <w:spacing w:after="0" w:line="253" w:lineRule="auto"/>
        <w:tabs>
          <w:tab w:leader="none" w:pos="781"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TERM. The Plan is effective as of the date on which the Plan is adopted by the Board, subject to approval of the stockholders as required by law. No Award shall be granted under the Plan after the close of business on the day immediately preceding the tenth (10th) anniversary of the effective date of the Plan. Subject to other applicable provisions of the Plan, all Awards made under the Plan prior to such termination of the Plan shall remain in effect until such Awards have been satisfied or terminated in accordance with the Plan and the terms of such Awards.</w:t>
      </w:r>
    </w:p>
    <w:p>
      <w:pPr>
        <w:spacing w:after="0" w:line="16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IV</w:t>
      </w:r>
    </w:p>
    <w:p>
      <w:pPr>
        <w:spacing w:after="0" w:line="175" w:lineRule="exact"/>
        <w:rPr>
          <w:sz w:val="20"/>
          <w:szCs w:val="20"/>
          <w:color w:val="auto"/>
        </w:rPr>
      </w:pPr>
    </w:p>
    <w:p>
      <w:pPr>
        <w:ind w:right="4059" w:firstLine="530"/>
        <w:spacing w:after="0" w:line="258" w:lineRule="auto"/>
        <w:tabs>
          <w:tab w:leader="none" w:pos="78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As used in the Plan, the following terms have the following meanings:</w:t>
      </w:r>
    </w:p>
    <w:p>
      <w:pPr>
        <w:spacing w:after="0" w:line="16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4.1 AFFILIATE means any entity, whether now or hereafter existing, which controls, is controlled by, is under common control with, the Company (including, but not limited to, joint ventures, limited liability companies, partnerships) or any entity with respect to which the Committee determines that the Company has a material business interest.</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4.2 AWARD means any stock options (including ISOs and NSOs), SARs (including free-standing and tandem SARs), Restricted Stock Awards, Stock Units, or any combination of the foregoing granted pursuant to the Plan, except, however, when the term is being used under the Plan with respect to a particular category of grant in which case it shall only refer to that particular category of grant.</w:t>
      </w:r>
    </w:p>
    <w:p>
      <w:pPr>
        <w:spacing w:after="0" w:line="329"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4.3 BOARD means the Board of Directors of the Company.</w:t>
      </w:r>
    </w:p>
    <w:p>
      <w:pPr>
        <w:sectPr>
          <w:pgSz w:w="11900" w:h="16838" w:orient="portrait"/>
          <w:cols w:equalWidth="0" w:num="1">
            <w:col w:w="10239"/>
          </w:cols>
          <w:pgMar w:left="220" w:top="787" w:right="1440" w:bottom="1440" w:gutter="0" w:footer="0" w:header="0"/>
        </w:sectPr>
      </w:pPr>
    </w:p>
    <w:bookmarkStart w:id="90" w:name="page91"/>
    <w:bookmarkEnd w:id="90"/>
    <w:p>
      <w:pPr>
        <w:ind w:right="3279" w:firstLine="781"/>
        <w:spacing w:after="0" w:line="253" w:lineRule="auto"/>
        <w:rPr>
          <w:sz w:val="20"/>
          <w:szCs w:val="20"/>
          <w:color w:val="auto"/>
        </w:rPr>
      </w:pPr>
      <w:r>
        <w:rPr>
          <w:rFonts w:ascii="Courier New" w:cs="Courier New" w:eastAsia="Courier New" w:hAnsi="Courier New"/>
          <w:sz w:val="14"/>
          <w:szCs w:val="14"/>
          <w:color w:val="auto"/>
        </w:rPr>
        <w:t>4.4 CAUSE means, for purposes of this Plan: (i) the Participant's intentional, persistent failure, dereliction, or refusal to perform such duties as are reasonably assigned to him or her by the officers or directors of the Company; (ii) the Participant's fraud, dishonesty or other deliberate injury to the Company in the performance of his or her duties on behalf of, or for, the Company; (iii) the willful commission by the Participant of a criminal or other act that causes substantial economic damage to the Company or substantial injury to the business reputation of the Company; (iv) the Participant's material breach of his or her employment or engagement agreement, if any; or (v) the Participant's breach of any material provision of the Participant's Grant Agreement specifying the terms of the particular Award. For purposes of the Plan, no act, or failure to act, on the part of any person shall be considered "willful" unless done or omitted to be done by the person other than in good faith and without reasonable belief that the person's action or omission was in the best interest of the Company.</w:t>
      </w:r>
    </w:p>
    <w:p>
      <w:pPr>
        <w:spacing w:after="0" w:line="33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4.5 CHANGE IN CORPORATE CONTROL means:</w:t>
      </w:r>
    </w:p>
    <w:p>
      <w:pPr>
        <w:spacing w:after="0" w:line="175" w:lineRule="exact"/>
        <w:rPr>
          <w:sz w:val="20"/>
          <w:szCs w:val="20"/>
          <w:color w:val="auto"/>
        </w:rPr>
      </w:pPr>
    </w:p>
    <w:p>
      <w:pPr>
        <w:ind w:left="800" w:right="3279" w:firstLine="1552"/>
        <w:spacing w:after="0" w:line="252" w:lineRule="auto"/>
        <w:tabs>
          <w:tab w:leader="none" w:pos="2709"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any individual, entity or group (within the meaning of Section 13(d)(3) or 14(d)(2) of the Securities Exchange Act of 1934, as amended (the "Exchange Act")) (a "Person") of beneficial ownership (within the meaning of Rule 13d-3 promulgated under the Exchange Act) of 20% or more of either (i) the then-outstanding shares of common stock of the Company (the "Outstanding Company Common Stock") or (ii) the combined voting power of the then-outstanding voting securities of the Company entitled to vote generally in the election of directors (the "Outstanding Company Voting Securities"); PROVIDED, HOWEVER, that, for purposes of this Section, the following acquisitions shall not constitute a Change of Control: (A) any acquisition directly from the Company, (B) any acquisition by the Company, (C) any acquisition by any employee benefit plan (or related trust) sponsored or maintained by the Company or any Affiliated Company or (D) any acquisition by any corporation pursuant to a transaction that complies with Sections 4.5(a)(i), 4.5(c)(ii) and 4.5(c)(iii).</w:t>
      </w:r>
    </w:p>
    <w:p>
      <w:pPr>
        <w:spacing w:after="0" w:line="339" w:lineRule="exact"/>
        <w:rPr>
          <w:rFonts w:ascii="Courier New" w:cs="Courier New" w:eastAsia="Courier New" w:hAnsi="Courier New"/>
          <w:sz w:val="14"/>
          <w:szCs w:val="14"/>
          <w:color w:val="auto"/>
        </w:rPr>
      </w:pPr>
    </w:p>
    <w:p>
      <w:pPr>
        <w:ind w:left="800" w:right="3279" w:firstLine="1552"/>
        <w:spacing w:after="0" w:line="253" w:lineRule="auto"/>
        <w:tabs>
          <w:tab w:leader="none" w:pos="2709"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as of April 1, 2000, constitute the Board (the "Incumbent Board") cease for any reason to constitute at least a majority of the Board; PROVIDED, HOWEVER, that any individual becoming a director subsequent to the date hereof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330" w:lineRule="exact"/>
        <w:rPr>
          <w:rFonts w:ascii="Courier New" w:cs="Courier New" w:eastAsia="Courier New" w:hAnsi="Courier New"/>
          <w:sz w:val="14"/>
          <w:szCs w:val="14"/>
          <w:color w:val="auto"/>
        </w:rPr>
      </w:pPr>
    </w:p>
    <w:p>
      <w:pPr>
        <w:ind w:left="2180" w:right="3539" w:hanging="522"/>
        <w:spacing w:after="0" w:line="254" w:lineRule="auto"/>
        <w:tabs>
          <w:tab w:leader="none" w:pos="2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reorganization, merger, statutory share exchange or consolidation or similar corporate transaction involving the Company or any of its subsidiaries, a sale or</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91" w:name="page92"/>
    <w:bookmarkEnd w:id="91"/>
    <w:p>
      <w:pPr>
        <w:ind w:left="1380"/>
        <w:spacing w:after="0"/>
        <w:rPr>
          <w:sz w:val="20"/>
          <w:szCs w:val="20"/>
          <w:color w:val="auto"/>
        </w:rPr>
      </w:pPr>
      <w:r>
        <w:rPr>
          <w:rFonts w:ascii="Courier New" w:cs="Courier New" w:eastAsia="Courier New" w:hAnsi="Courier New"/>
          <w:sz w:val="14"/>
          <w:szCs w:val="14"/>
          <w:color w:val="auto"/>
        </w:rPr>
        <w:t>other disposition of all or substantially all of the</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assets of the Company, or the acquisition of assets or</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stock of another entity by the Company or any of its</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subsidiaries (each, a "Business Combination"), in each</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case unless, following such Business Combination,</w:t>
      </w:r>
    </w:p>
    <w:p>
      <w:pPr>
        <w:spacing w:after="0" w:line="175" w:lineRule="exact"/>
        <w:rPr>
          <w:sz w:val="20"/>
          <w:szCs w:val="20"/>
          <w:color w:val="auto"/>
        </w:rPr>
      </w:pPr>
    </w:p>
    <w:p>
      <w:pPr>
        <w:ind w:left="1380" w:right="3279" w:hanging="522"/>
        <w:spacing w:after="0" w:line="252" w:lineRule="auto"/>
        <w:tabs>
          <w:tab w:leader="none" w:pos="13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or substantially all of the individuals and entities that were the beneficial owners of the Outstanding Company Common Stock and the Outstanding Company Voting Securities immediately prior to such Business Combination beneficially own, directly or indirectly, more than 60% of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w:t>
      </w:r>
    </w:p>
    <w:p>
      <w:pPr>
        <w:spacing w:after="0" w:line="200" w:lineRule="exact"/>
        <w:rPr>
          <w:rFonts w:ascii="Courier New" w:cs="Courier New" w:eastAsia="Courier New" w:hAnsi="Courier New"/>
          <w:sz w:val="14"/>
          <w:szCs w:val="14"/>
          <w:color w:val="auto"/>
        </w:rPr>
      </w:pPr>
    </w:p>
    <w:p>
      <w:pPr>
        <w:spacing w:after="0" w:line="307" w:lineRule="exact"/>
        <w:rPr>
          <w:rFonts w:ascii="Courier New" w:cs="Courier New" w:eastAsia="Courier New" w:hAnsi="Courier New"/>
          <w:sz w:val="14"/>
          <w:szCs w:val="14"/>
          <w:color w:val="auto"/>
        </w:rPr>
      </w:pPr>
    </w:p>
    <w:p>
      <w:pPr>
        <w:ind w:left="1380" w:right="3279" w:hanging="522"/>
        <w:spacing w:after="0" w:line="253" w:lineRule="auto"/>
        <w:tabs>
          <w:tab w:leader="none" w:pos="13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Person (excluding any corporation resulting from such Business Combination or any employee benefit plan (or related trust) of the Company or such corporation resulting from such Business Combination) beneficially owns, directly or indirectly, 20%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w:t>
      </w:r>
    </w:p>
    <w:p>
      <w:pPr>
        <w:spacing w:after="0" w:line="163" w:lineRule="exact"/>
        <w:rPr>
          <w:rFonts w:ascii="Courier New" w:cs="Courier New" w:eastAsia="Courier New" w:hAnsi="Courier New"/>
          <w:sz w:val="14"/>
          <w:szCs w:val="14"/>
          <w:color w:val="auto"/>
        </w:rPr>
      </w:pPr>
    </w:p>
    <w:p>
      <w:pPr>
        <w:ind w:left="1380" w:right="3459" w:hanging="522"/>
        <w:spacing w:after="0" w:line="253" w:lineRule="auto"/>
        <w:tabs>
          <w:tab w:leader="none" w:pos="13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65" w:lineRule="exact"/>
        <w:rPr>
          <w:rFonts w:ascii="Courier New" w:cs="Courier New" w:eastAsia="Courier New" w:hAnsi="Courier New"/>
          <w:sz w:val="14"/>
          <w:szCs w:val="14"/>
          <w:color w:val="auto"/>
        </w:rPr>
      </w:pPr>
    </w:p>
    <w:p>
      <w:pPr>
        <w:ind w:left="1720" w:hanging="341"/>
        <w:spacing w:after="0"/>
        <w:tabs>
          <w:tab w:leader="none" w:pos="1720"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 a</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liquidation or dissolution of the Company.</w:t>
      </w:r>
    </w:p>
    <w:p>
      <w:pPr>
        <w:spacing w:after="0" w:line="175"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439"/>
          </w:cols>
          <w:pgMar w:left="1020" w:top="620" w:right="1440" w:bottom="1440" w:gutter="0" w:footer="0" w:header="0"/>
        </w:sectPr>
      </w:pPr>
    </w:p>
    <w:bookmarkStart w:id="92" w:name="page93"/>
    <w:bookmarkEnd w:id="92"/>
    <w:p>
      <w:pPr>
        <w:ind w:right="3459" w:firstLine="781"/>
        <w:spacing w:after="0" w:line="258" w:lineRule="auto"/>
        <w:rPr>
          <w:sz w:val="20"/>
          <w:szCs w:val="20"/>
          <w:color w:val="auto"/>
        </w:rPr>
      </w:pPr>
      <w:r>
        <w:rPr>
          <w:rFonts w:ascii="Courier New" w:cs="Courier New" w:eastAsia="Courier New" w:hAnsi="Courier New"/>
          <w:sz w:val="14"/>
          <w:szCs w:val="14"/>
          <w:color w:val="auto"/>
        </w:rPr>
        <w:t>4.6 CODE means the Internal Revenue Code of 1986, as amended, and any related rules, regulations and interpretations.</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4.7 COMMITTEE means the Management Development and Compensation Committee (MDCC) of the Company's Board of Directors, consisting exclusively of directors who at the relevant time are "outside directors" within the meaning of ss.162(m) of the Code and "non-employee directors" within the meaning of Rule 16b-3 under the Securities Exchange Act of 1934.</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4.8 COMPANY means Raytheon Company, a Delaware corporation.</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4.9 COMPANY OFFICER means the Chairman of the Board, the President, and any Executive Vice President, Senior Vice President or Vice President (elected or appointed) of the Company.</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4.10 DIRECTOR means a member of the Board of Directors of Raytheon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175"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4.11 FAIR MARKET VALUE means the value of a share of Stock of the Company on any date as the Committee shall in good faith determine.</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4.12 GRANT AGREEMENT means the agreement between the Company and the Participant pursuant to which the Company authorizes an Award hereunder. Each Grant Agreement entered into between the Company and a Participant with respect to an Award granted under the Plan shall incorporate the terms of this Plan and shall contain such provisions, consistent with the provisions of the Plan, as may be established by the Committee.</w:t>
      </w:r>
    </w:p>
    <w:p>
      <w:pPr>
        <w:spacing w:after="0" w:line="16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4.13 GRANT DATE means the date on which the Committee formally acts to grant an Award to a Participant or such other date as the Committee shall so designate at the time of taking such formal action.</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4.14 IMMEDIATE FAMILY means any child, stepchild, grandchild, parent, grandparent, spouse, sibling, mother-in-law, father-in-law, son-in-law, daughter-in-law, brother-in-law, or sister-in-law, including adoptive relationships.</w:t>
      </w:r>
    </w:p>
    <w:p>
      <w:pPr>
        <w:spacing w:after="0" w:line="163"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4.15 INCENTIVE STOCK OPTION or "ISO" means an Option grant that is intended to meet the requirements of Section 422 of the Code.</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4.16 MEDICAL LEAVE OF ABSENCE means a leave of absence for medical reasons approved in writing by the Company's disability management group which will terminate as of the earlier of the date the Participant is found by the disability management group to be no longer disabled or the date the employee is terminated from employment in accordance with Company policy.</w:t>
      </w:r>
    </w:p>
    <w:p>
      <w:pPr>
        <w:spacing w:after="0" w:line="162"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4.17 NON-STATUTORY STOCK OPTION or "NSO" means an Option grant that is not intended to be an Incentive Stock Option.</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87" w:right="1440" w:bottom="1440" w:gutter="0" w:footer="0" w:header="0"/>
        </w:sectPr>
      </w:pPr>
    </w:p>
    <w:bookmarkStart w:id="93" w:name="page94"/>
    <w:bookmarkEnd w:id="93"/>
    <w:p>
      <w:pPr>
        <w:ind w:right="3639" w:firstLine="781"/>
        <w:spacing w:after="0" w:line="258" w:lineRule="auto"/>
        <w:rPr>
          <w:sz w:val="20"/>
          <w:szCs w:val="20"/>
          <w:color w:val="auto"/>
        </w:rPr>
      </w:pPr>
      <w:r>
        <w:rPr>
          <w:rFonts w:ascii="Courier New" w:cs="Courier New" w:eastAsia="Courier New" w:hAnsi="Courier New"/>
          <w:sz w:val="14"/>
          <w:szCs w:val="14"/>
          <w:color w:val="auto"/>
        </w:rPr>
        <w:t>4.18 OPTION means an option to purchase shares of the Stock granted under the Plan.</w:t>
      </w:r>
    </w:p>
    <w:p>
      <w:pPr>
        <w:spacing w:after="0" w:line="160" w:lineRule="exact"/>
        <w:rPr>
          <w:sz w:val="20"/>
          <w:szCs w:val="20"/>
          <w:color w:val="auto"/>
        </w:rPr>
      </w:pPr>
    </w:p>
    <w:p>
      <w:pPr>
        <w:ind w:right="4059" w:firstLine="781"/>
        <w:spacing w:after="0" w:line="255" w:lineRule="auto"/>
        <w:rPr>
          <w:sz w:val="20"/>
          <w:szCs w:val="20"/>
          <w:color w:val="auto"/>
        </w:rPr>
      </w:pPr>
      <w:r>
        <w:rPr>
          <w:rFonts w:ascii="Courier New" w:cs="Courier New" w:eastAsia="Courier New" w:hAnsi="Courier New"/>
          <w:sz w:val="14"/>
          <w:szCs w:val="14"/>
          <w:color w:val="auto"/>
        </w:rPr>
        <w:t>4.19 OPTIONEE means a person eligible to receive an Option, as provided in Section 8.1, to whom an Options shall have been granted under the Plan.</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4.20 OPTION PERIOD means such period (not to exceed ten (10) years from the granting of an ISO) from the Grant Date to the date on which the option expires as may be determined by the Committee and set forth in the Grant Agreement.</w:t>
      </w:r>
    </w:p>
    <w:p>
      <w:pPr>
        <w:spacing w:after="0" w:line="163"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4.21 OPTION PRICE means the price paid by an Optionee for an Option under this Plan.</w:t>
      </w:r>
    </w:p>
    <w:p>
      <w:pPr>
        <w:spacing w:after="0" w:line="160"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4.22 OPTION SHARE means any share of Stock of the Company transferred to an Optionee upon exercise of an Option pursuant to this Plan.</w:t>
      </w:r>
    </w:p>
    <w:p>
      <w:pPr>
        <w:spacing w:after="0" w:line="160"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4.23 PARTICIPANT means a director, officer, employee or consultant who is granted an Award under the Plan.</w:t>
      </w:r>
    </w:p>
    <w:p>
      <w:pPr>
        <w:spacing w:after="0" w:line="160"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4.24 PERSONAL LEAVE OF ABSENCE means a leave of absence for personal reasons for a period of no more than one year approved in writing by the Senior Vice President, Human Resources, or his delegate.</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4.25 PLAN means this Raytheon 2001 Stock Plan.</w:t>
      </w:r>
    </w:p>
    <w:p>
      <w:pPr>
        <w:spacing w:after="0" w:line="175" w:lineRule="exact"/>
        <w:rPr>
          <w:sz w:val="20"/>
          <w:szCs w:val="20"/>
          <w:color w:val="auto"/>
        </w:rPr>
      </w:pPr>
    </w:p>
    <w:p>
      <w:pPr>
        <w:jc w:val="both"/>
        <w:ind w:right="3279" w:firstLine="781"/>
        <w:spacing w:after="0" w:line="255" w:lineRule="auto"/>
        <w:rPr>
          <w:sz w:val="20"/>
          <w:szCs w:val="20"/>
          <w:color w:val="auto"/>
        </w:rPr>
      </w:pPr>
      <w:r>
        <w:rPr>
          <w:rFonts w:ascii="Courier New" w:cs="Courier New" w:eastAsia="Courier New" w:hAnsi="Courier New"/>
          <w:sz w:val="14"/>
          <w:szCs w:val="14"/>
          <w:color w:val="auto"/>
        </w:rPr>
        <w:t>4.26 PLAN YEAR means the Calendar Year, except that the first Plan Year shall commence on the Effective Date, as described in Section 3 and shall end on the December 31 first following the Effective Date.</w:t>
      </w:r>
    </w:p>
    <w:p>
      <w:pPr>
        <w:spacing w:after="0" w:line="162"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4.27 RELATED CORPORATION means a parent corporation or a subsidiary corporation, each as defined in Section 424 of the Code.</w:t>
      </w:r>
    </w:p>
    <w:p>
      <w:pPr>
        <w:spacing w:after="0" w:line="160"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4.28 RESTRICTED STOCK AWARD means any Award of shares of restricted Stock granted pursuant to Article XI of the Plan.</w:t>
      </w:r>
    </w:p>
    <w:p>
      <w:pPr>
        <w:spacing w:after="0" w:line="16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4.29 RETIREMENT means, for purposes of this Plan, the Termination of Service with the Company, other than for Cause, at any time after attaining age fifty-five (55) and having completed at least ten (10) years of service, or Termination of Service under circumstances which the Committee deems equivalent to retirement.</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4.30 SAR means a stock appreciation right, as awarded under Article X.</w:t>
      </w:r>
    </w:p>
    <w:p>
      <w:pPr>
        <w:spacing w:after="0" w:line="175" w:lineRule="exact"/>
        <w:rPr>
          <w:sz w:val="20"/>
          <w:szCs w:val="20"/>
          <w:color w:val="auto"/>
        </w:rPr>
      </w:pPr>
    </w:p>
    <w:p>
      <w:pPr>
        <w:ind w:right="3639" w:firstLine="781"/>
        <w:spacing w:after="0" w:line="255" w:lineRule="auto"/>
        <w:rPr>
          <w:sz w:val="20"/>
          <w:szCs w:val="20"/>
          <w:color w:val="auto"/>
        </w:rPr>
      </w:pPr>
      <w:r>
        <w:rPr>
          <w:rFonts w:ascii="Courier New" w:cs="Courier New" w:eastAsia="Courier New" w:hAnsi="Courier New"/>
          <w:sz w:val="14"/>
          <w:szCs w:val="14"/>
          <w:color w:val="auto"/>
        </w:rPr>
        <w:t>4.31 STOCK means the common stock, $0.01 par value, of the Company, provided that, in the event the Company has outstanding Class A and Class B common stock, Stock means the Class B common stock.</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94" w:name="page95"/>
    <w:bookmarkEnd w:id="94"/>
    <w:p>
      <w:pPr>
        <w:ind w:right="3459" w:firstLine="781"/>
        <w:spacing w:after="0" w:line="253" w:lineRule="auto"/>
        <w:rPr>
          <w:sz w:val="20"/>
          <w:szCs w:val="20"/>
          <w:color w:val="auto"/>
        </w:rPr>
      </w:pPr>
      <w:r>
        <w:rPr>
          <w:rFonts w:ascii="Courier New" w:cs="Courier New" w:eastAsia="Courier New" w:hAnsi="Courier New"/>
          <w:sz w:val="14"/>
          <w:szCs w:val="14"/>
          <w:color w:val="auto"/>
        </w:rPr>
        <w:t>4.32 STOCK UNIT means credits to a bookkeeping reserve account solely for accounting purposes, where the amount of the credit shall equal the Fair Market Value of a share of Stock on the date of grant (unless the Committee provides otherwise in the Grant Agreement), and which shall be subsequently increased or decreased to reflect the Fair Market Value of a share of Stock. Stock Units do not require segregation of any of the Company's assets. Stock Units are awarded under Article XI.</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4.33 TERMINATION OF SERVICE means cessation of performance of services for the Company or an Affiliate by an employee or consultant and the departure from active status as a Director by a non-employee Director. For purposes of maintaining a Participant's continuous status as an employee and accrual of rights under any Award granted pursuant to the Plan, transfer of an employee among the Company and its Affiliates shall not be considered a Termination of Service with the Company provided that no more than 30 days elapse between termination from the Company and commencement of employment elsewhere in the Company or with an Affiliate.</w:t>
      </w:r>
    </w:p>
    <w:p>
      <w:pPr>
        <w:spacing w:after="0" w:line="164"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4.34 VESTING PERIOD means that period of time during which the shares of Stock (or a portion thereof) underlying an Award are subject to a risk of forfeiture.</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V</w:t>
      </w:r>
    </w:p>
    <w:p>
      <w:pPr>
        <w:spacing w:after="0" w:line="175" w:lineRule="exact"/>
        <w:rPr>
          <w:sz w:val="20"/>
          <w:szCs w:val="20"/>
          <w:color w:val="auto"/>
        </w:rPr>
      </w:pPr>
    </w:p>
    <w:p>
      <w:pPr>
        <w:ind w:left="1060" w:hanging="530"/>
        <w:spacing w:after="0"/>
        <w:tabs>
          <w:tab w:leader="none" w:pos="10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THE PLAN.</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5.1 Shares of Stock in an amount to be determined by the Committee but not to exceed twenty-eight million (28,000,000) shares of Stock, shall be subject to Award under the Plan. The Company shall reserve such number of shares of Stock for Awards under the Plan, subject to adjustments as provided in Article XII of the Plan. If any Award, or portion of an Award, under the Plan expires or terminates unexercised, becomes unexercisable or is forfeited or otherwise terminated, surrendered or canceled as to any shares of Stock without the delivery of such shares or other consideration, the shares of Stock subject to such Award shall thereafter be available for further Awards under the Plan. Shares issued under the Plan may be shares of Stock of original issue, shares of treasury stock, or shares of Stock that have been reacquired by the Company.</w:t>
      </w:r>
    </w:p>
    <w:p>
      <w:pPr>
        <w:spacing w:after="0" w:line="164"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5.2 Subject to adjustments as provided in Article XII, The maximum number of shares of Stock subject to Awards of any combination that may be granted during any one fiscal year of the Company to any one individual shall be limited to seven hundred thousand (700,000) shares. The foregoing per-individual limit shall not be adjusted to effect a restoration of shares of Stock with respect to which the related Award is terminated, surrendered or canceled.</w:t>
      </w:r>
    </w:p>
    <w:p>
      <w:pPr>
        <w:spacing w:after="0" w:line="165" w:lineRule="exact"/>
        <w:rPr>
          <w:sz w:val="20"/>
          <w:szCs w:val="20"/>
          <w:color w:val="auto"/>
        </w:rPr>
      </w:pPr>
    </w:p>
    <w:p>
      <w:pPr>
        <w:ind w:right="3459" w:firstLine="1042"/>
        <w:spacing w:after="0" w:line="254" w:lineRule="auto"/>
        <w:rPr>
          <w:sz w:val="20"/>
          <w:szCs w:val="20"/>
          <w:color w:val="auto"/>
        </w:rPr>
      </w:pPr>
      <w:r>
        <w:rPr>
          <w:rFonts w:ascii="Courier New" w:cs="Courier New" w:eastAsia="Courier New" w:hAnsi="Courier New"/>
          <w:sz w:val="14"/>
          <w:szCs w:val="14"/>
          <w:color w:val="auto"/>
        </w:rPr>
        <w:t>5.3 Subject to adjustments as provided in Article XII, the maximum number of shares of Stock subject to Award as incentive stock options shall be limited to fourteen million (14,000,000) shares, and the number of restricted shares released from a substantial risk of forfeiture shall not exceed five million six hundred thousand (5,600,000).</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95" w:name="page96"/>
    <w:bookmarkEnd w:id="95"/>
    <w:p>
      <w:pPr>
        <w:ind w:left="3040"/>
        <w:spacing w:after="0"/>
        <w:rPr>
          <w:sz w:val="20"/>
          <w:szCs w:val="20"/>
          <w:color w:val="auto"/>
        </w:rPr>
      </w:pPr>
      <w:r>
        <w:rPr>
          <w:rFonts w:ascii="Courier New" w:cs="Courier New" w:eastAsia="Courier New" w:hAnsi="Courier New"/>
          <w:sz w:val="14"/>
          <w:szCs w:val="14"/>
          <w:color w:val="auto"/>
        </w:rPr>
        <w:t>ARTICLE VI</w:t>
      </w:r>
    </w:p>
    <w:p>
      <w:pPr>
        <w:spacing w:after="0" w:line="175" w:lineRule="exact"/>
        <w:rPr>
          <w:sz w:val="20"/>
          <w:szCs w:val="20"/>
          <w:color w:val="auto"/>
        </w:rPr>
      </w:pPr>
    </w:p>
    <w:p>
      <w:pPr>
        <w:ind w:right="3459" w:firstLine="530"/>
        <w:spacing w:after="0" w:line="255" w:lineRule="auto"/>
        <w:tabs>
          <w:tab w:leader="none" w:pos="78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PROCEEDS. The proceeds received by the Company from the sale of Stock pursuant to Awards granted under the Plan will be used for general corporate purposes.</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VII</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7. ADMINISTRATION.</w:t>
      </w:r>
    </w:p>
    <w:p>
      <w:pPr>
        <w:spacing w:after="0" w:line="17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7.1 GENERAL. The Plan shall be administered by the Committee. The Committee's determinations under the Plan (including without limitation determinations of the persons to receive Awards, the form, amount and timing of such Awards, the terms and provisions of such Awards and the agreements evidencing same) need not be uniform and may be made by the Committee selectively among persons who receive, or are eligible to receive, Awards under the Plan, whether or not such persons are similarly situated.</w:t>
      </w:r>
    </w:p>
    <w:p>
      <w:pPr>
        <w:spacing w:after="0" w:line="16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7.2 PROCEDURE. The Committee shall meet at such times and places and upon such notice as it may determine. A majority of the members of the Committee shall constitute a quorum. Any acts by the Committee may be taken at any meeting at which a quorum is present and shall be by majority vote of those members entitled to vote. Additionally, any acts reduced to writing or approved in writing by all of the members of the Committee shall be valid acts of the Committee. Members of the Committee who are either eligible for Awards or have been granted Awards may vote on any matters affecting the administration of the Plan or the grant of Awards pursuant to the Plan, except that no such member shall act upon the granting of an Award to himself or herself, but any such member may be counted in determining the existence of a quorum at any meeting of the Committee during which action is taken with respect to the granting of an Award to him or her.</w:t>
      </w:r>
    </w:p>
    <w:p>
      <w:pPr>
        <w:spacing w:after="0" w:line="330"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7.3 DUTIES. The Committee shall have full power and authority to administer and interpret the Plan and to adopt such rules, regulations, agreements, guidelines and instruments for the administration of the Plan and for the conduct of its business as the Committee deems necessary or advisable, all within the Committee's sole and absolute discretion. The Committee shall have full power and authority to take all other actions necessary to carry out the purpose and intent of the Plan, including without limitation the power to accelerate or otherwise change the time in which an Award may be exercised or becomes payable, and to waive, in whole or in part, any restriction or condition with respect to such Award, including but not limited to, any restriction or condition with respect to vesting or exercisability of an Award following a Participant's Termination of Service or death.</w:t>
      </w:r>
    </w:p>
    <w:p>
      <w:pPr>
        <w:spacing w:after="0" w:line="164"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Notwithstanding any other provision in the Plan to the contrary, except with respect to Awards of Incentive Stock Options (ISO's), the Committee may, at any time prior to the exercise, lapse of restrictions or expiration of an Award, permit a Participant to (i) defer receipt of the payment of cash or property or other delivery of Stock that would otherwise be due by virtue of the exercise, lapse of restrictions or expiration of an Award; or (ii) convert or exchange an Award for another Award under the Plan or under any other plan or arrangement. If any such</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96" w:name="page97"/>
    <w:bookmarkEnd w:id="96"/>
    <w:p>
      <w:pPr>
        <w:ind w:right="3539"/>
        <w:spacing w:after="0" w:line="258" w:lineRule="auto"/>
        <w:rPr>
          <w:sz w:val="20"/>
          <w:szCs w:val="20"/>
          <w:color w:val="auto"/>
        </w:rPr>
      </w:pPr>
      <w:r>
        <w:rPr>
          <w:rFonts w:ascii="Courier New" w:cs="Courier New" w:eastAsia="Courier New" w:hAnsi="Courier New"/>
          <w:sz w:val="14"/>
          <w:szCs w:val="14"/>
          <w:color w:val="auto"/>
        </w:rPr>
        <w:t>actions are permitted, the Committee shall, in its sole discretion, establish rules and procedures to accomplish such actions.</w:t>
      </w:r>
    </w:p>
    <w:p>
      <w:pPr>
        <w:spacing w:after="0" w:line="327"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7.4 DELEGATION OF AUTHORITY TO GRANT AWARDS. The Committee, in its discretion, may delegate to the Chief Executive Officer of the Company all or part of the Committee's authority and duties with respect to granting Awards, provided such delegation is in writing and maintained in the Company's records. The Committee may revoke or amend the terms of such a delegation at any time, but such revocation shall not invalidate prior actions of the Chief Executive Officer of the Company that were consistent with the terms of the Plan.</w:t>
      </w:r>
    </w:p>
    <w:p>
      <w:pPr>
        <w:spacing w:after="0" w:line="165" w:lineRule="exact"/>
        <w:rPr>
          <w:sz w:val="20"/>
          <w:szCs w:val="20"/>
          <w:color w:val="auto"/>
        </w:rPr>
      </w:pPr>
    </w:p>
    <w:p>
      <w:pPr>
        <w:ind w:right="3279" w:firstLine="1042"/>
        <w:spacing w:after="0" w:line="255" w:lineRule="auto"/>
        <w:rPr>
          <w:sz w:val="20"/>
          <w:szCs w:val="20"/>
          <w:color w:val="auto"/>
        </w:rPr>
      </w:pPr>
      <w:r>
        <w:rPr>
          <w:rFonts w:ascii="Courier New" w:cs="Courier New" w:eastAsia="Courier New" w:hAnsi="Courier New"/>
          <w:sz w:val="14"/>
          <w:szCs w:val="14"/>
          <w:color w:val="auto"/>
        </w:rPr>
        <w:t>7.5 LIMITED LIABILITY. To the maximum extent permitted by law, no member of the Committee shall be liable for any action taken or decision made in good faith relating to the Plan or any Award.</w:t>
      </w:r>
    </w:p>
    <w:p>
      <w:pPr>
        <w:spacing w:after="0" w:line="162" w:lineRule="exact"/>
        <w:rPr>
          <w:sz w:val="20"/>
          <w:szCs w:val="20"/>
          <w:color w:val="auto"/>
        </w:rPr>
      </w:pPr>
    </w:p>
    <w:p>
      <w:pPr>
        <w:ind w:right="3459" w:firstLine="1042"/>
        <w:spacing w:after="0" w:line="254" w:lineRule="auto"/>
        <w:rPr>
          <w:sz w:val="20"/>
          <w:szCs w:val="20"/>
          <w:color w:val="auto"/>
        </w:rPr>
      </w:pPr>
      <w:r>
        <w:rPr>
          <w:rFonts w:ascii="Courier New" w:cs="Courier New" w:eastAsia="Courier New" w:hAnsi="Courier New"/>
          <w:sz w:val="14"/>
          <w:szCs w:val="14"/>
          <w:color w:val="auto"/>
        </w:rPr>
        <w:t>7.6 INDEMNIFICATION. To the maximum extent permitted by law and by the Company's charter and by-laws, the members of the Committee shall be indemnified by the Company in respect of all their activities under the Plan, provided that such indemnity shall not apply to willful acts of misconduct.</w:t>
      </w:r>
    </w:p>
    <w:p>
      <w:pPr>
        <w:spacing w:after="0" w:line="163"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7.7 EFFECT OF COMMITTEE'S DECISION. All actions taken and decisions and determinations made by the Committee on all matters relating to the Plan pursuant to the powers vested in it hereunder shall be in the Committee's sole and absolute discretion and shall be conclusive and binding on all parties concerned, including the Company, its stockholders, any participants in the Plan and any other employee of the Company, and their respective successors in interest.</w:t>
      </w:r>
    </w:p>
    <w:p>
      <w:pPr>
        <w:spacing w:after="0" w:line="200" w:lineRule="exact"/>
        <w:rPr>
          <w:sz w:val="20"/>
          <w:szCs w:val="20"/>
          <w:color w:val="auto"/>
        </w:rPr>
      </w:pPr>
    </w:p>
    <w:p>
      <w:pPr>
        <w:spacing w:after="0" w:line="29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VIII</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 ELIGIBILITY AND PARTICIPATION</w:t>
      </w:r>
    </w:p>
    <w:p>
      <w:pPr>
        <w:spacing w:after="0" w:line="175" w:lineRule="exact"/>
        <w:rPr>
          <w:sz w:val="20"/>
          <w:szCs w:val="20"/>
          <w:color w:val="auto"/>
        </w:rPr>
      </w:pPr>
    </w:p>
    <w:p>
      <w:pPr>
        <w:ind w:right="3459" w:firstLine="1042"/>
        <w:spacing w:after="0" w:line="254" w:lineRule="auto"/>
        <w:rPr>
          <w:sz w:val="20"/>
          <w:szCs w:val="20"/>
          <w:color w:val="auto"/>
        </w:rPr>
      </w:pPr>
      <w:r>
        <w:rPr>
          <w:rFonts w:ascii="Courier New" w:cs="Courier New" w:eastAsia="Courier New" w:hAnsi="Courier New"/>
          <w:sz w:val="14"/>
          <w:szCs w:val="14"/>
          <w:color w:val="auto"/>
        </w:rPr>
        <w:t>8.1 ELIGIBILITY. Directors, officers, employees and consultants of the Company or its Affiliates who, in the opinion of the Committee, are responsible for the continued growth and development and future financial success of the business shall be eligible to participate in the Plan.</w:t>
      </w:r>
    </w:p>
    <w:p>
      <w:pPr>
        <w:spacing w:after="0" w:line="163"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8.2 PARTICIPATION. An eligible individual shall become a Participant in this Plan when he or she is granted an Award hereunder, as evidenced by a Grant Agreement executed by the Company and the Participant and shall no longer be a Participant when all Awards to a Participant have been completed, terminated or otherwise disposed of.</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954" w:right="1440" w:bottom="1440" w:gutter="0" w:footer="0" w:header="0"/>
        </w:sectPr>
      </w:pPr>
    </w:p>
    <w:bookmarkStart w:id="97" w:name="page98"/>
    <w:bookmarkEnd w:id="97"/>
    <w:p>
      <w:pPr>
        <w:ind w:left="3040"/>
        <w:spacing w:after="0"/>
        <w:rPr>
          <w:sz w:val="20"/>
          <w:szCs w:val="20"/>
          <w:color w:val="auto"/>
        </w:rPr>
      </w:pPr>
      <w:r>
        <w:rPr>
          <w:rFonts w:ascii="Courier New" w:cs="Courier New" w:eastAsia="Courier New" w:hAnsi="Courier New"/>
          <w:sz w:val="14"/>
          <w:szCs w:val="14"/>
          <w:color w:val="auto"/>
        </w:rPr>
        <w:t>ARTICLE IX</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9. STOCK OPTIONS</w:t>
      </w:r>
    </w:p>
    <w:p>
      <w:pPr>
        <w:spacing w:after="0" w:line="175"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9.1 GENERAL. Subject to the other applicable provisions of the Plan, the Committee may from time to time grant to eligible Participants Awards of ISO's or NSO's. The ISO or NSO Awards granted shall be subject to the following terms and conditions.</w:t>
      </w:r>
    </w:p>
    <w:p>
      <w:pPr>
        <w:spacing w:after="0" w:line="163" w:lineRule="exact"/>
        <w:rPr>
          <w:sz w:val="20"/>
          <w:szCs w:val="20"/>
          <w:color w:val="auto"/>
        </w:rPr>
      </w:pPr>
    </w:p>
    <w:p>
      <w:pPr>
        <w:ind w:right="3459" w:firstLine="1042"/>
        <w:spacing w:after="0" w:line="258" w:lineRule="auto"/>
        <w:rPr>
          <w:sz w:val="20"/>
          <w:szCs w:val="20"/>
          <w:color w:val="auto"/>
        </w:rPr>
      </w:pPr>
      <w:r>
        <w:rPr>
          <w:rFonts w:ascii="Courier New" w:cs="Courier New" w:eastAsia="Courier New" w:hAnsi="Courier New"/>
          <w:sz w:val="14"/>
          <w:szCs w:val="14"/>
          <w:color w:val="auto"/>
        </w:rPr>
        <w:t>9.2 TIME OF GRANTING OPTIONS. The granting of an Option shall take place at the time specified in writing by the Committee.</w:t>
      </w:r>
    </w:p>
    <w:p>
      <w:pPr>
        <w:spacing w:after="0" w:line="160"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9.3 GRANT OF OPTION. The grant of an Option shall be evidenced by a Grant Agreement, executed by the Company and the Participant, describing the number of shares of Stock subject to the Option, whether the Option is an ISO or NSO, the Exercise Price of the Option, the Vesting Period for the Option and such other terms and conditions that the Committee deems, in it sole discretion, to be appropriate, provided that such terms and conditions are not inconsistent with the Plan. The Grant Date shall be specified in the Grant Agreement.</w:t>
      </w:r>
    </w:p>
    <w:p>
      <w:pPr>
        <w:spacing w:after="0" w:line="165"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9.4 PRICE. The price per share of Stock payable upon the exercise of each Option (the "Exercise Price") shall be set forth in the Grant Agreement and shall not be less than 100% of the Fair Market Value of the shares of Stock on the date the Option is granted.</w:t>
      </w:r>
    </w:p>
    <w:p>
      <w:pPr>
        <w:spacing w:after="0" w:line="163"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9.5 TERMS OF OPTIONS. The term during which each Option may be exercised shall be determined by the Committee; provided, however, that in no event shall an ISO be exercisable more than ten (10) years from the date it is granted. Prior to the exercise of the Option and delivery of the share certificates represented thereby, the Participant shall have none of the rights of a stockholder with respect to any shares represented by an outstanding Option.</w:t>
      </w:r>
    </w:p>
    <w:p>
      <w:pPr>
        <w:spacing w:after="0" w:line="332" w:lineRule="exact"/>
        <w:rPr>
          <w:sz w:val="20"/>
          <w:szCs w:val="20"/>
          <w:color w:val="auto"/>
        </w:rPr>
      </w:pPr>
    </w:p>
    <w:p>
      <w:pPr>
        <w:ind w:right="3379" w:firstLine="1042"/>
        <w:spacing w:after="0" w:line="255" w:lineRule="auto"/>
        <w:rPr>
          <w:sz w:val="20"/>
          <w:szCs w:val="20"/>
          <w:color w:val="auto"/>
        </w:rPr>
      </w:pPr>
      <w:r>
        <w:rPr>
          <w:rFonts w:ascii="Courier New" w:cs="Courier New" w:eastAsia="Courier New" w:hAnsi="Courier New"/>
          <w:sz w:val="14"/>
          <w:szCs w:val="14"/>
          <w:color w:val="auto"/>
        </w:rPr>
        <w:t>9.6 RESTRICTIONS ON INCENTIVE STOCK OPTIONS. ISO Awards granted under the Plan shall comply in all respects with Code section 422 and, as such, shall meet the following additional requirements:</w:t>
      </w:r>
    </w:p>
    <w:p>
      <w:pPr>
        <w:spacing w:after="0" w:line="162" w:lineRule="exact"/>
        <w:rPr>
          <w:sz w:val="20"/>
          <w:szCs w:val="20"/>
          <w:color w:val="auto"/>
        </w:rPr>
      </w:pPr>
    </w:p>
    <w:p>
      <w:pPr>
        <w:jc w:val="both"/>
        <w:ind w:right="3379" w:firstLine="1398"/>
        <w:spacing w:after="0" w:line="255" w:lineRule="auto"/>
        <w:tabs>
          <w:tab w:leader="none" w:pos="1736"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DATE. An ISO must be granted within ten (10) years of the earlier of the Plan's adoption by the Board of Directors or approval by the Company's shareholders.</w:t>
      </w:r>
    </w:p>
    <w:p>
      <w:pPr>
        <w:spacing w:after="0" w:line="162" w:lineRule="exact"/>
        <w:rPr>
          <w:rFonts w:ascii="Courier New" w:cs="Courier New" w:eastAsia="Courier New" w:hAnsi="Courier New"/>
          <w:sz w:val="14"/>
          <w:szCs w:val="14"/>
          <w:color w:val="auto"/>
        </w:rPr>
      </w:pPr>
    </w:p>
    <w:p>
      <w:pPr>
        <w:ind w:right="3279" w:firstLine="1398"/>
        <w:spacing w:after="0" w:line="253" w:lineRule="auto"/>
        <w:tabs>
          <w:tab w:leader="none" w:pos="1736"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AND TERM. The Exercise Price of an ISO shall not be less than 100% of the Fair Market Value of the shares on the date the Option is granted and the term of the Option shall not exceed ten (10) years. Notwithstanding the immediately preceding sentence, the Exercise Price of any ISO granted to a Participant who owns, within the meaning of Code section 422(b)(6), after application of the attribution rules in Code section 424(d), more than ten percent (10%) of the total combined voting power of all classes of shares of Stock of the Company shall be not less than 110% of the Fair Market Value of the Stock on the Grant Date and the term of such ISO shall not exceed five (5) years.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98" w:name="page99"/>
    <w:bookmarkEnd w:id="98"/>
    <w:p>
      <w:pPr>
        <w:ind w:left="-1060" w:right="3279" w:firstLine="1398"/>
        <w:spacing w:after="0" w:line="253" w:lineRule="auto"/>
        <w:tabs>
          <w:tab w:leader="none" w:pos="676"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GRANT. The aggregate Fair Market Value (determined as of the Grant Date) of shares of Stock with respect to which all ISO's first become exercisable by any Participant in any calendar year under this or any other plan of the Company and its Parent and Subsidiary corporations may not exceed $100,000 or such other amount as may be permitted from time to time under Code section 422. To the extent that such aggregate Fair Market Value shall exceed $100,000, or other applicable amount, such Options shall be treated as NSO's. In such case, the Company may designate the shares of Stock that are to be treated as stock acquired pursuant to the exercise of an ISO by issuing a separate certificate for such shares and identifying the certificate as ISO shares in the stock transfer records of the Company.</w:t>
      </w:r>
    </w:p>
    <w:p>
      <w:pPr>
        <w:spacing w:after="0" w:line="163" w:lineRule="exact"/>
        <w:rPr>
          <w:rFonts w:ascii="Courier New" w:cs="Courier New" w:eastAsia="Courier New" w:hAnsi="Courier New"/>
          <w:sz w:val="14"/>
          <w:szCs w:val="14"/>
          <w:color w:val="auto"/>
        </w:rPr>
      </w:pPr>
    </w:p>
    <w:p>
      <w:pPr>
        <w:ind w:left="-1060" w:right="3379" w:firstLine="1398"/>
        <w:spacing w:after="0" w:line="258" w:lineRule="auto"/>
        <w:tabs>
          <w:tab w:leader="none" w:pos="676"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ISO's shall only be issued to employees of the Company or a Related Corporation.</w:t>
      </w:r>
    </w:p>
    <w:p>
      <w:pPr>
        <w:spacing w:after="0" w:line="159" w:lineRule="exact"/>
        <w:rPr>
          <w:rFonts w:ascii="Courier New" w:cs="Courier New" w:eastAsia="Courier New" w:hAnsi="Courier New"/>
          <w:sz w:val="14"/>
          <w:szCs w:val="14"/>
          <w:color w:val="auto"/>
        </w:rPr>
      </w:pPr>
    </w:p>
    <w:p>
      <w:pPr>
        <w:ind w:left="-1060" w:right="3719" w:firstLine="1398"/>
        <w:spacing w:after="0" w:line="255" w:lineRule="auto"/>
        <w:tabs>
          <w:tab w:leader="none" w:pos="676"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TANDEM OPTIONS PROHIBITED. An ISO may not be granted in tandem with a NSO in such a manner that the exercise of one affects a Participant's right to exercise the other.</w:t>
      </w:r>
    </w:p>
    <w:p>
      <w:pPr>
        <w:spacing w:after="0" w:line="162" w:lineRule="exact"/>
        <w:rPr>
          <w:rFonts w:ascii="Courier New" w:cs="Courier New" w:eastAsia="Courier New" w:hAnsi="Courier New"/>
          <w:sz w:val="14"/>
          <w:szCs w:val="14"/>
          <w:color w:val="auto"/>
        </w:rPr>
      </w:pPr>
    </w:p>
    <w:p>
      <w:pPr>
        <w:jc w:val="both"/>
        <w:ind w:left="-1060" w:right="3379" w:firstLine="1398"/>
        <w:spacing w:after="0" w:line="255" w:lineRule="auto"/>
        <w:tabs>
          <w:tab w:leader="none" w:pos="676"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No option shall be an ISO unless so designated by the Committee at the time of grant or in the Grant Agreement evidencing such Option.</w:t>
      </w:r>
    </w:p>
    <w:p>
      <w:pPr>
        <w:spacing w:after="0" w:line="162" w:lineRule="exact"/>
        <w:rPr>
          <w:rFonts w:ascii="Courier New" w:cs="Courier New" w:eastAsia="Courier New" w:hAnsi="Courier New"/>
          <w:sz w:val="14"/>
          <w:szCs w:val="14"/>
          <w:color w:val="auto"/>
        </w:rPr>
      </w:pPr>
    </w:p>
    <w:p>
      <w:pPr>
        <w:jc w:val="both"/>
        <w:ind w:left="-1060" w:right="3459" w:firstLine="1398"/>
        <w:spacing w:after="0" w:line="255" w:lineRule="auto"/>
        <w:tabs>
          <w:tab w:leader="none" w:pos="676"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TERMS AND CONDITIONS. Options may contain such other provisions, not inconsistent with the provisions of the Plan, as the Committee shall determine is appropriate from time to time.</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9.7</w:t>
        <w:tab/>
        <w:t>EXERCISABILITY.</w:t>
      </w:r>
    </w:p>
    <w:p>
      <w:pPr>
        <w:spacing w:after="0" w:line="175" w:lineRule="exact"/>
        <w:rPr>
          <w:sz w:val="20"/>
          <w:szCs w:val="20"/>
          <w:color w:val="auto"/>
        </w:rPr>
      </w:pPr>
    </w:p>
    <w:p>
      <w:pPr>
        <w:ind w:left="-1060" w:right="3279" w:firstLine="1398"/>
        <w:spacing w:after="0" w:line="253" w:lineRule="auto"/>
        <w:tabs>
          <w:tab w:leader="none" w:pos="676"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by the Committee in the applicable Grant Award or otherwise, during the lifetime of the Participant, the Option shall be exercisable only by the Participant or, during the period the Participant is under a legal disability, by the Participant's guardian or legal representative. Unless specified to the contrary herein or in the applicable Grant Agreement, Options cannot be exercised by a Participant subsequent to his or her Termination of Service.</w:t>
      </w:r>
    </w:p>
    <w:p>
      <w:pPr>
        <w:spacing w:after="0" w:line="164" w:lineRule="exact"/>
        <w:rPr>
          <w:rFonts w:ascii="Courier New" w:cs="Courier New" w:eastAsia="Courier New" w:hAnsi="Courier New"/>
          <w:sz w:val="14"/>
          <w:szCs w:val="14"/>
          <w:color w:val="auto"/>
        </w:rPr>
      </w:pPr>
    </w:p>
    <w:p>
      <w:pPr>
        <w:ind w:left="-1060" w:right="3379" w:firstLine="1398"/>
        <w:spacing w:after="0" w:line="255" w:lineRule="auto"/>
        <w:tabs>
          <w:tab w:leader="none" w:pos="676"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may be exercised in whole at any time, or in part from time to time, within the Option Period to the extent the Option is exercisable on the date of exercise.</w:t>
      </w:r>
    </w:p>
    <w:p>
      <w:pPr>
        <w:spacing w:after="0" w:line="162" w:lineRule="exact"/>
        <w:rPr>
          <w:rFonts w:ascii="Courier New" w:cs="Courier New" w:eastAsia="Courier New" w:hAnsi="Courier New"/>
          <w:sz w:val="14"/>
          <w:szCs w:val="14"/>
          <w:color w:val="auto"/>
        </w:rPr>
      </w:pPr>
    </w:p>
    <w:p>
      <w:pPr>
        <w:ind w:left="-1060" w:right="3459" w:firstLine="1398"/>
        <w:spacing w:after="0" w:line="254" w:lineRule="auto"/>
        <w:tabs>
          <w:tab w:leader="none" w:pos="676"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by the Committee in the applicable Grant Award or otherwise, each Option shall terminate and may no longer be exercised if the Optionee ceases to perform services for the Company or an Affiliate in accordance with the following:</w:t>
      </w:r>
    </w:p>
    <w:p>
      <w:pPr>
        <w:spacing w:after="0" w:line="163" w:lineRule="exact"/>
        <w:rPr>
          <w:rFonts w:ascii="Courier New" w:cs="Courier New" w:eastAsia="Courier New" w:hAnsi="Courier New"/>
          <w:sz w:val="14"/>
          <w:szCs w:val="14"/>
          <w:color w:val="auto"/>
        </w:rPr>
      </w:pPr>
    </w:p>
    <w:p>
      <w:pPr>
        <w:ind w:left="-540" w:right="3379" w:firstLine="1225"/>
        <w:spacing w:after="0" w:line="254" w:lineRule="auto"/>
        <w:tabs>
          <w:tab w:leader="none" w:pos="1022"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Optionee ceases to be an active employee, consultant or non-employee Director of the Company or any Affiliate other than by reason of death or retirement, absent in any case a determination by the Committee to the contrary, any Options which were exercisable by the Optionee on the date of cessation of active em-</w:t>
      </w:r>
    </w:p>
    <w:p>
      <w:pPr>
        <w:spacing w:after="0" w:line="162"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179"/>
          </w:cols>
          <w:pgMar w:left="1280" w:top="620" w:right="1440" w:bottom="1440" w:gutter="0" w:footer="0" w:header="0"/>
        </w:sectPr>
      </w:pPr>
    </w:p>
    <w:bookmarkStart w:id="99" w:name="page100"/>
    <w:bookmarkEnd w:id="99"/>
    <w:p>
      <w:pPr>
        <w:ind w:right="3379"/>
        <w:spacing w:after="0" w:line="253" w:lineRule="auto"/>
        <w:rPr>
          <w:sz w:val="20"/>
          <w:szCs w:val="20"/>
          <w:color w:val="auto"/>
        </w:rPr>
      </w:pPr>
      <w:r>
        <w:rPr>
          <w:rFonts w:ascii="Courier New" w:cs="Courier New" w:eastAsia="Courier New" w:hAnsi="Courier New"/>
          <w:sz w:val="14"/>
          <w:szCs w:val="14"/>
          <w:color w:val="auto"/>
        </w:rPr>
        <w:t>ployment may be exercised no later that the earlier of (a) the expiration date of the Option or (b) the respective periods listed below. Notwithstanding the foregoing, in the event an Optionee fails to exercise an Incentive Stock Option within three months after cessation of employment with the Company or a Related Corporation, such Option will be treated as a Non-Statutory Stock Option pursuant to Section 422 of the Code. The respective periods following cessation of active employment in which exercisable Options may be exercised are as follows:</w:t>
      </w:r>
    </w:p>
    <w:p>
      <w:pPr>
        <w:sectPr>
          <w:pgSz w:w="11900" w:h="16838" w:orient="portrait"/>
          <w:cols w:equalWidth="0" w:num="1">
            <w:col w:w="9719"/>
          </w:cols>
          <w:pgMar w:left="740" w:top="620" w:right="1440" w:bottom="1440" w:gutter="0" w:footer="0" w:header="0"/>
        </w:sectPr>
      </w:pPr>
    </w:p>
    <w:p>
      <w:pPr>
        <w:spacing w:after="0" w:line="332"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REASON FOR CESSATION</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OF ACTIVE EMPLOYMENT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4059"/>
        <w:spacing w:after="0"/>
        <w:rPr>
          <w:sz w:val="20"/>
          <w:szCs w:val="20"/>
          <w:color w:val="auto"/>
        </w:rPr>
      </w:pPr>
      <w:r>
        <w:rPr>
          <w:rFonts w:ascii="Courier New" w:cs="Courier New" w:eastAsia="Courier New" w:hAnsi="Courier New"/>
          <w:sz w:val="14"/>
          <w:szCs w:val="14"/>
          <w:color w:val="auto"/>
        </w:rPr>
        <w:t>PERIOD FOLLOWING LAST DAY</w:t>
      </w:r>
    </w:p>
    <w:p>
      <w:pPr>
        <w:spacing w:after="0" w:line="8" w:lineRule="exact"/>
        <w:rPr>
          <w:sz w:val="20"/>
          <w:szCs w:val="20"/>
          <w:color w:val="auto"/>
        </w:rPr>
      </w:pPr>
    </w:p>
    <w:p>
      <w:pPr>
        <w:jc w:val="center"/>
        <w:ind w:right="4059"/>
        <w:spacing w:after="0"/>
        <w:rPr>
          <w:sz w:val="20"/>
          <w:szCs w:val="20"/>
          <w:color w:val="auto"/>
        </w:rPr>
      </w:pPr>
      <w:r>
        <w:rPr>
          <w:rFonts w:ascii="Courier New" w:cs="Courier New" w:eastAsia="Courier New" w:hAnsi="Courier New"/>
          <w:sz w:val="14"/>
          <w:szCs w:val="14"/>
          <w:color w:val="auto"/>
        </w:rPr>
        <w:t>OF ACTIVE EMPLOYMENT WITHIN</w:t>
      </w:r>
    </w:p>
    <w:p>
      <w:pPr>
        <w:spacing w:after="0" w:line="8" w:lineRule="exact"/>
        <w:rPr>
          <w:sz w:val="20"/>
          <w:szCs w:val="20"/>
          <w:color w:val="auto"/>
        </w:rPr>
      </w:pPr>
    </w:p>
    <w:p>
      <w:pPr>
        <w:jc w:val="center"/>
        <w:ind w:right="4059"/>
        <w:spacing w:after="0"/>
        <w:rPr>
          <w:sz w:val="20"/>
          <w:szCs w:val="20"/>
          <w:color w:val="auto"/>
        </w:rPr>
      </w:pPr>
      <w:r>
        <w:rPr>
          <w:rFonts w:ascii="Courier New" w:cs="Courier New" w:eastAsia="Courier New" w:hAnsi="Courier New"/>
          <w:sz w:val="14"/>
          <w:szCs w:val="14"/>
          <w:color w:val="auto"/>
        </w:rPr>
        <w:t>WHICH OPTION MAY BE EXERCISED</w:t>
      </w:r>
    </w:p>
    <w:p>
      <w:pPr>
        <w:spacing w:after="0" w:line="175" w:lineRule="exact"/>
        <w:rPr>
          <w:sz w:val="20"/>
          <w:szCs w:val="20"/>
          <w:color w:val="auto"/>
        </w:rPr>
      </w:pPr>
    </w:p>
    <w:p>
      <w:pPr>
        <w:sectPr>
          <w:pgSz w:w="11900" w:h="16838" w:orient="portrait"/>
          <w:cols w:equalWidth="0" w:num="2">
            <w:col w:w="2420" w:space="720"/>
            <w:col w:w="6579"/>
          </w:cols>
          <w:pgMar w:left="740" w:top="620" w:right="1440" w:bottom="1440" w:gutter="0" w:footer="0" w:header="0"/>
          <w:type w:val="continuous"/>
        </w:sectPr>
      </w:pPr>
    </w:p>
    <w:p>
      <w:pPr>
        <w:ind w:left="280"/>
        <w:spacing w:after="0"/>
        <w:rPr>
          <w:sz w:val="20"/>
          <w:szCs w:val="20"/>
          <w:color w:val="auto"/>
        </w:rPr>
      </w:pPr>
      <w:r>
        <w:rPr>
          <w:rFonts w:ascii="Courier New" w:cs="Courier New" w:eastAsia="Courier New" w:hAnsi="Courier New"/>
          <w:sz w:val="14"/>
          <w:szCs w:val="14"/>
          <w:color w:val="auto"/>
        </w:rPr>
        <w:t>Medical Leave of Absence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During such leave</w:t>
      </w:r>
    </w:p>
    <w:p>
      <w:pPr>
        <w:spacing w:after="0" w:line="175" w:lineRule="exact"/>
        <w:rPr>
          <w:sz w:val="20"/>
          <w:szCs w:val="20"/>
          <w:color w:val="auto"/>
        </w:rPr>
      </w:pPr>
    </w:p>
    <w:p>
      <w:pPr>
        <w:sectPr>
          <w:pgSz w:w="11900" w:h="16838" w:orient="portrait"/>
          <w:cols w:equalWidth="0" w:num="2">
            <w:col w:w="3100" w:space="720"/>
            <w:col w:w="5899"/>
          </w:cols>
          <w:pgMar w:left="740" w:top="620" w:right="1440" w:bottom="1440" w:gutter="0" w:footer="0" w:header="0"/>
          <w:type w:val="continuous"/>
        </w:sectPr>
      </w:pPr>
    </w:p>
    <w:p>
      <w:pPr>
        <w:ind w:left="280" w:right="320"/>
        <w:spacing w:after="0" w:line="254" w:lineRule="auto"/>
        <w:rPr>
          <w:sz w:val="20"/>
          <w:szCs w:val="20"/>
          <w:color w:val="auto"/>
        </w:rPr>
      </w:pPr>
      <w:r>
        <w:rPr>
          <w:rFonts w:ascii="Courier New" w:cs="Courier New" w:eastAsia="Courier New" w:hAnsi="Courier New"/>
          <w:sz w:val="14"/>
          <w:szCs w:val="14"/>
          <w:color w:val="auto"/>
        </w:rPr>
        <w:t>Discharge for Cause or other severance of employment determined by Committee to warrant termination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None</w:t>
      </w:r>
    </w:p>
    <w:p>
      <w:pPr>
        <w:spacing w:after="0" w:line="675" w:lineRule="exact"/>
        <w:rPr>
          <w:sz w:val="20"/>
          <w:szCs w:val="20"/>
          <w:color w:val="auto"/>
        </w:rPr>
      </w:pPr>
    </w:p>
    <w:p>
      <w:pPr>
        <w:sectPr>
          <w:pgSz w:w="11900" w:h="16838" w:orient="portrait"/>
          <w:cols w:equalWidth="0" w:num="2">
            <w:col w:w="3100" w:space="720"/>
            <w:col w:w="5899"/>
          </w:cols>
          <w:pgMar w:left="740" w:top="620" w:right="1440" w:bottom="1440" w:gutter="0" w:footer="0" w:header="0"/>
          <w:type w:val="continuous"/>
        </w:sectPr>
      </w:pPr>
    </w:p>
    <w:p>
      <w:pPr>
        <w:ind w:left="280" w:right="480"/>
        <w:spacing w:after="0" w:line="258" w:lineRule="auto"/>
        <w:rPr>
          <w:sz w:val="20"/>
          <w:szCs w:val="20"/>
          <w:color w:val="auto"/>
        </w:rPr>
      </w:pPr>
      <w:r>
        <w:rPr>
          <w:rFonts w:ascii="Courier New" w:cs="Courier New" w:eastAsia="Courier New" w:hAnsi="Courier New"/>
          <w:sz w:val="14"/>
          <w:szCs w:val="14"/>
          <w:color w:val="auto"/>
        </w:rPr>
        <w:t>Layoff or other involuntary termination without Cause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Three Years</w:t>
      </w:r>
    </w:p>
    <w:p>
      <w:pPr>
        <w:spacing w:after="0" w:line="342" w:lineRule="exact"/>
        <w:rPr>
          <w:sz w:val="20"/>
          <w:szCs w:val="20"/>
          <w:color w:val="auto"/>
        </w:rPr>
      </w:pPr>
    </w:p>
    <w:p>
      <w:pPr>
        <w:sectPr>
          <w:pgSz w:w="11900" w:h="16838" w:orient="portrait"/>
          <w:cols w:equalWidth="0" w:num="2">
            <w:col w:w="3100" w:space="720"/>
            <w:col w:w="5899"/>
          </w:cols>
          <w:pgMar w:left="740" w:top="620" w:right="1440" w:bottom="1440" w:gutter="0" w:footer="0" w:header="0"/>
          <w:type w:val="continuous"/>
        </w:sectPr>
      </w:pPr>
    </w:p>
    <w:p>
      <w:pPr>
        <w:ind w:left="280"/>
        <w:spacing w:after="0"/>
        <w:tabs>
          <w:tab w:leader="none" w:pos="3800" w:val="left"/>
        </w:tabs>
        <w:rPr>
          <w:sz w:val="20"/>
          <w:szCs w:val="20"/>
          <w:color w:val="auto"/>
        </w:rPr>
      </w:pPr>
      <w:r>
        <w:rPr>
          <w:rFonts w:ascii="Courier New" w:cs="Courier New" w:eastAsia="Courier New" w:hAnsi="Courier New"/>
          <w:sz w:val="14"/>
          <w:szCs w:val="14"/>
          <w:color w:val="auto"/>
        </w:rPr>
        <w:t>Voluntary termination (non-retirement)</w:t>
        <w:tab/>
        <w:t>Three Months</w:t>
      </w:r>
    </w:p>
    <w:p>
      <w:pPr>
        <w:spacing w:after="0" w:line="175" w:lineRule="exact"/>
        <w:rPr>
          <w:sz w:val="20"/>
          <w:szCs w:val="20"/>
          <w:color w:val="auto"/>
        </w:rPr>
      </w:pPr>
    </w:p>
    <w:p>
      <w:pPr>
        <w:ind w:right="3279" w:firstLine="1225"/>
        <w:spacing w:after="0" w:line="253" w:lineRule="auto"/>
        <w:tabs>
          <w:tab w:leader="none" w:pos="1649"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Optionee's employment terminates because of death, the Options shall be fully vested automatically without regard to whether any applicable vesting requirements in the Grant Agreement have been fulfilled, and the Options may be exercised at any time before the expiration date, but only by the Optionee's estate or by the person(s) who acquired the right to exercise such Option by bequest or inheritance or by reason of the death of the Optionee.</w:t>
      </w:r>
    </w:p>
    <w:p>
      <w:pPr>
        <w:spacing w:after="0" w:line="164" w:lineRule="exact"/>
        <w:rPr>
          <w:rFonts w:ascii="Courier New" w:cs="Courier New" w:eastAsia="Courier New" w:hAnsi="Courier New"/>
          <w:sz w:val="14"/>
          <w:szCs w:val="14"/>
          <w:color w:val="auto"/>
        </w:rPr>
      </w:pPr>
    </w:p>
    <w:p>
      <w:pPr>
        <w:ind w:right="3279" w:firstLine="1225"/>
        <w:spacing w:after="0" w:line="253" w:lineRule="auto"/>
        <w:tabs>
          <w:tab w:leader="none" w:pos="1736"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Optionee's employment terminates because of Retirement, any Options which were issued at least one year prior to the date of termination of employment will vest in accordance with the Vesting Period specified in the Grant Agreement and may be exercised any time before their expiration date, provided such Options are exercisable as of the exercise date. Notwithstanding the foregoing, in the event an Optionee fails to exercise an Incentive Stock Option within three months after the date of his or her retirement, such Option will be treated as a Non-Statutory Stock Option.</w:t>
      </w:r>
    </w:p>
    <w:p>
      <w:pPr>
        <w:spacing w:after="0" w:line="164" w:lineRule="exact"/>
        <w:rPr>
          <w:sz w:val="20"/>
          <w:szCs w:val="20"/>
          <w:color w:val="auto"/>
        </w:rPr>
      </w:pPr>
    </w:p>
    <w:p>
      <w:pPr>
        <w:ind w:left="-520" w:right="3379" w:firstLine="1398"/>
        <w:spacing w:after="0" w:line="253" w:lineRule="auto"/>
        <w:tabs>
          <w:tab w:leader="none" w:pos="1216"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 may not be exercised for more shares (subject to adjustment as provided in Section 12.1) after the Participant's termination of employment or engagement, or cessation of service as a director or the Participant's death, as the case may be, than the Participant was entitled to purchase thereunder at the time of the Participant's termination of employment or engagement or death.</w:t>
      </w:r>
    </w:p>
    <w:p>
      <w:pPr>
        <w:spacing w:after="0" w:line="16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719"/>
          </w:cols>
          <w:pgMar w:left="740" w:top="620" w:right="1440" w:bottom="1440" w:gutter="0" w:footer="0" w:header="0"/>
          <w:type w:val="continuous"/>
        </w:sectPr>
      </w:pPr>
    </w:p>
    <w:bookmarkStart w:id="100" w:name="page101"/>
    <w:bookmarkEnd w:id="100"/>
    <w:p>
      <w:pPr>
        <w:ind w:right="3279" w:firstLine="1042"/>
        <w:spacing w:after="0" w:line="252" w:lineRule="auto"/>
        <w:rPr>
          <w:sz w:val="20"/>
          <w:szCs w:val="20"/>
          <w:color w:val="auto"/>
        </w:rPr>
      </w:pPr>
      <w:r>
        <w:rPr>
          <w:rFonts w:ascii="Courier New" w:cs="Courier New" w:eastAsia="Courier New" w:hAnsi="Courier New"/>
          <w:sz w:val="14"/>
          <w:szCs w:val="14"/>
          <w:color w:val="auto"/>
        </w:rPr>
        <w:t>9.8 EXERCISE OF OPTION. An Option may be exercised only by giving written notice, in the manner provided in Section 15.9 hereof, specifying the number of shares as to which the Option is being exercised, accompanied (except as otherwise provided in Section 9.9) by full payment for such shares in the form of check or bank draft payable to the order of the Company or other shares of the Stock with a current Fair Market Value equal to the Option Price of the shares to be purchased. Receipt by the Company of such notice and payment shall constitute the exercise of the Option or a part thereof. Within 20 days thereafter, the Company shall deliver or cause to be delivered to the Optionee a certificate or certificates (or other evidence of ownership) for the number of shares then being purchased. Such shares shall be fully paid and nonassessable. If such shares are not at that time effectively registered under the Securities Act of 1933, as amended, the Optionee shall include with such notice a letter, in form and substance satisfactory to the Company, confirming that such shares are being purchased for the Optionee's own account for investment and not with a view to distribution..</w:t>
      </w:r>
    </w:p>
    <w:p>
      <w:pPr>
        <w:spacing w:after="0" w:line="173" w:lineRule="exact"/>
        <w:rPr>
          <w:sz w:val="20"/>
          <w:szCs w:val="20"/>
          <w:color w:val="auto"/>
        </w:rPr>
      </w:pPr>
    </w:p>
    <w:p>
      <w:pPr>
        <w:ind w:right="3279" w:firstLine="1042"/>
        <w:spacing w:after="0" w:line="252" w:lineRule="auto"/>
        <w:rPr>
          <w:sz w:val="20"/>
          <w:szCs w:val="20"/>
          <w:color w:val="auto"/>
        </w:rPr>
      </w:pPr>
      <w:r>
        <w:rPr>
          <w:rFonts w:ascii="Courier New" w:cs="Courier New" w:eastAsia="Courier New" w:hAnsi="Courier New"/>
          <w:sz w:val="14"/>
          <w:szCs w:val="14"/>
          <w:color w:val="auto"/>
        </w:rPr>
        <w:t>9.9 CASHLESS EXERCISE. In lieu of payment by check, bank draft or other shares of Stock accompanying the written notice of exercise, an Optionee may, unless prohibited by applicable law, elect to effect payment by including with the written notice irrevocable instructions to deliver for sale to a registered securities broker acceptable to the Company a number of the shares subject to the Option being exercised sufficient, after brokerage commissions, to cover the aggregate exercise price of such Option and, if the Optionee further elects, the Optionee's withholding obligations with respect to such exercise referred to in Section 15.8, together with irrevocable instructions to such broker to sell such shares and to remit directly to the Company such aggregate exercise price and, if the Optionee has so elected, the amount of such withholding obligation. The Company shall not be required to deliver to such securities broker any stock certificate (or other evidence of ownership) for such shares until it has received from the broker such exercise price and, if the Optionee has so elected, such withholding obligation amount.</w:t>
      </w:r>
    </w:p>
    <w:p>
      <w:pPr>
        <w:spacing w:after="0" w:line="173"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9.10 TRANSFERABILITY. Except as otherwise provided herein or in the Grant Agreement, Stock Options granted to individuals other than Company Officers shall not be transferable, otherwise than by will or the laws of descent and distribution, and may be exercised during the life of the holder thereof only by him or her. Non-Statutory Options granted hereunder to a Company Officer may be transferred to a member of such Company Officer's Immediate Family or trusts or other entities established solely for the benefit of such Immediate Family members, so long as the transferee is a person entitled to rely on the Form S-8 filed by the Company with respect to the Plan. The holder of an Option or his or her legal representatives, legatees, distributees, or permitted transferees, as the case may be, shall have none of the rights of a stockholder with respect to any shares subject to such Option until such shares have been issued to him or her under this Plan.</w:t>
      </w:r>
    </w:p>
    <w:p>
      <w:pPr>
        <w:spacing w:after="0" w:line="330"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X</w:t>
      </w:r>
    </w:p>
    <w:p>
      <w:pPr>
        <w:spacing w:after="0" w:line="175" w:lineRule="exact"/>
        <w:rPr>
          <w:sz w:val="20"/>
          <w:szCs w:val="20"/>
          <w:color w:val="auto"/>
        </w:rPr>
      </w:pPr>
    </w:p>
    <w:p>
      <w:pPr>
        <w:ind w:left="520"/>
        <w:spacing w:after="0"/>
        <w:tabs>
          <w:tab w:leader="none" w:pos="1040" w:val="left"/>
        </w:tabs>
        <w:rPr>
          <w:sz w:val="20"/>
          <w:szCs w:val="20"/>
          <w:color w:val="auto"/>
        </w:rPr>
      </w:pPr>
      <w:r>
        <w:rPr>
          <w:rFonts w:ascii="Courier New" w:cs="Courier New" w:eastAsia="Courier New" w:hAnsi="Courier New"/>
          <w:sz w:val="14"/>
          <w:szCs w:val="14"/>
          <w:color w:val="auto"/>
        </w:rPr>
        <w:t>10.</w:t>
        <w:tab/>
        <w:t>STOCK APPRECIATION RIGHTS.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01" w:name="page102"/>
    <w:bookmarkEnd w:id="101"/>
    <w:p>
      <w:pPr>
        <w:ind w:right="3279" w:firstLine="1042"/>
        <w:spacing w:after="0" w:line="253" w:lineRule="auto"/>
        <w:rPr>
          <w:sz w:val="20"/>
          <w:szCs w:val="20"/>
          <w:color w:val="auto"/>
        </w:rPr>
      </w:pPr>
      <w:r>
        <w:rPr>
          <w:rFonts w:ascii="Courier New" w:cs="Courier New" w:eastAsia="Courier New" w:hAnsi="Courier New"/>
          <w:sz w:val="14"/>
          <w:szCs w:val="14"/>
          <w:color w:val="auto"/>
        </w:rPr>
        <w:t>10.1 AWARD OF SAR'S. Subject to the other applicable provisions of the Plan, the Committee may at any time and from time to time grant SAR's to eligible participants, either on a free-standing basis (without regard to or in addition to the grant of an Option) or on a tandem basis (related to the grant of an underlying Option), as it determines. SAR's granted in tandem with or in addition to an Option may be granted either at the same time as the Option or at a later time; provided, however, that a tandem SAR shall not be granted with respect to any outstanding ISO Award without the consent of the Participant. SAR's shall be evidenced by Grant Agreements, executed by the Company and the Participant, stating the number of shares of Stock subject to the SAR and the terms and conditions of such SAR, in such form as the Committee may from time to time determine. The term during which each SAR may be exercised shall be determined by the Committee. The Participant shall have none of the rights of a stockholder with respect to any shares of Stock represented by a SAR.</w:t>
      </w:r>
    </w:p>
    <w:p>
      <w:pPr>
        <w:spacing w:after="0" w:line="163" w:lineRule="exact"/>
        <w:rPr>
          <w:sz w:val="20"/>
          <w:szCs w:val="20"/>
          <w:color w:val="auto"/>
        </w:rPr>
      </w:pPr>
    </w:p>
    <w:p>
      <w:pPr>
        <w:jc w:val="both"/>
        <w:ind w:right="3379" w:firstLine="1042"/>
        <w:spacing w:after="0" w:line="252" w:lineRule="auto"/>
        <w:rPr>
          <w:sz w:val="20"/>
          <w:szCs w:val="20"/>
          <w:color w:val="auto"/>
        </w:rPr>
      </w:pPr>
      <w:r>
        <w:rPr>
          <w:rFonts w:ascii="Courier New" w:cs="Courier New" w:eastAsia="Courier New" w:hAnsi="Courier New"/>
          <w:sz w:val="14"/>
          <w:szCs w:val="14"/>
          <w:color w:val="auto"/>
        </w:rPr>
        <w:t>10.2 RESTRICTIONS ON TANDEM SAR'S. ISO's may not may be surrendered in connection with the exercise of a tandem SAR unless the Fair Market Value of the Stock subject to the ISO is greater than the Exercise Price for such ISO.</w:t>
      </w:r>
    </w:p>
    <w:p>
      <w:pPr>
        <w:spacing w:after="0" w:line="1"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SAR's granted in tandem with Options shall be exercisable only to the same extent and subject to the same conditions as the related Options are exercisable. The Committee may, in its discretion, prescribe additional conditions to the exercise of any such tandem SAR.</w:t>
      </w:r>
    </w:p>
    <w:p>
      <w:pPr>
        <w:spacing w:after="0" w:line="163"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10.3 AMOUNT OF PAYMENT UPON EXERCISE OF SAR'S. A SAR shall entitle the Participant to receive, subject to the provisions of the Plan and the Grant Agreement, a payment having an aggregate value equal to the product of (i) the excess of (A) the Fair Market Value on the exercise date of one share of Stock over (B) the base price per share specified in the Grant Agreement (which shall be determined by the Committee but which shall not be less than 100% of the Fair Market Value of one share of Stock on the date of grant of the SAR), times (ii) the number of shares specified by the SAR, or portion thereof, which is exercised. In the case of exercise of a tandem SAR, such payment shall be made in exchange for the surrender of the unexercised related Option (or any portions thereof which the Participant from time to time determines to surrender for this purpose).</w:t>
      </w:r>
    </w:p>
    <w:p>
      <w:pPr>
        <w:spacing w:after="0" w:line="331"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10.4 FORM OF PAYMENT UPON EXERCISE OF SAR'S. Payment by the Company of the amount receivable upon any exercise of a SAR may be made by the delivery of Stock or cash, or any combination of Stock and cash, as determined in the sole discretion of the Committee from time to time. If upon settlement of the exercise of an SAR a Participant is to receive a portion of such payment in shares of Stock, the number of shares shall be determined by dividing such portion by the Fair Market Value of a share of Stock on the exercise date. No fractional shares shall be used for such payment and the Committee shall determine whether cash shall be given in lieu of such fractional shares or whether such fractional shares shall be eliminated.</w:t>
      </w:r>
    </w:p>
    <w:p>
      <w:pPr>
        <w:spacing w:after="0" w:line="164" w:lineRule="exact"/>
        <w:rPr>
          <w:sz w:val="20"/>
          <w:szCs w:val="20"/>
          <w:color w:val="auto"/>
        </w:rPr>
      </w:pPr>
    </w:p>
    <w:p>
      <w:pPr>
        <w:ind w:right="3379" w:firstLine="1042"/>
        <w:spacing w:after="0" w:line="255" w:lineRule="auto"/>
        <w:rPr>
          <w:sz w:val="20"/>
          <w:szCs w:val="20"/>
          <w:color w:val="auto"/>
        </w:rPr>
      </w:pPr>
      <w:r>
        <w:rPr>
          <w:rFonts w:ascii="Courier New" w:cs="Courier New" w:eastAsia="Courier New" w:hAnsi="Courier New"/>
          <w:sz w:val="14"/>
          <w:szCs w:val="14"/>
          <w:color w:val="auto"/>
        </w:rPr>
        <w:t>10.5 TRANSFERABILITY. SAR's may not be sold, assigned, transferred, pledged or otherwise encumbered or disposed of except as specifically provided in the Grant Agreement.</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XI</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102" w:name="page103"/>
    <w:bookmarkEnd w:id="102"/>
    <w:p>
      <w:pPr>
        <w:ind w:left="1060" w:hanging="530"/>
        <w:spacing w:after="0"/>
        <w:tabs>
          <w:tab w:leader="none" w:pos="10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AWARDS AND STOCK UNIT AWARDS</w:t>
      </w:r>
    </w:p>
    <w:p>
      <w:pPr>
        <w:spacing w:after="0" w:line="175"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11.1 GRANTS. Subject to the other applicable provisions of the Plan, the Committee may at any time grant Restricted Stock Awards or Stock Units to Participants in such amounts and for such consideration, including no consideration or such minimum consideration as may be required by law, as it determines. Such Awards shall be granted pursuant to a Grant Agreement.</w:t>
      </w:r>
    </w:p>
    <w:p>
      <w:pPr>
        <w:spacing w:after="0" w:line="162" w:lineRule="exact"/>
        <w:rPr>
          <w:sz w:val="20"/>
          <w:szCs w:val="20"/>
          <w:color w:val="auto"/>
        </w:rPr>
      </w:pPr>
    </w:p>
    <w:p>
      <w:pPr>
        <w:ind w:right="3279" w:firstLine="1042"/>
        <w:spacing w:after="0" w:line="252" w:lineRule="auto"/>
        <w:rPr>
          <w:sz w:val="20"/>
          <w:szCs w:val="20"/>
          <w:color w:val="auto"/>
        </w:rPr>
      </w:pPr>
      <w:r>
        <w:rPr>
          <w:rFonts w:ascii="Courier New" w:cs="Courier New" w:eastAsia="Courier New" w:hAnsi="Courier New"/>
          <w:sz w:val="14"/>
          <w:szCs w:val="14"/>
          <w:color w:val="auto"/>
        </w:rPr>
        <w:t>11.2 TERMS AND CONDITIONS. A Restricted Stock Award entitles the recipient to acquire shares of Stock and a Stock Unit Award entitles the recipient to be paid the Fair Market Value of the Stock on the date on which restrictions lapse. Stock Units may be settled in Stock, cash or a combination thereof, as determined by the Committee. Restricted Stock Awards and Stock Unit Awards are subject to Vesting Periods and other restrictions and conditions as the Committee may include in the Grant Agreement. Such restrictions or conditions may be based on continuing employment or engagement (or other business relationship) and/or achievement of pre-established performance goals. The Committee shall specify in the Grant Agreement the dates and/or the description of how pre-established performance goals shall be deemed to have been obtained and any other conditions upon which Restricted Stock Awards or Stock Units shall become vested. If the Participant or the Company fails to achieve the designated goals or the Participant incurs a Termination of Service prior to the expiration of the Vesting Period, the Participant shall forfeit all shares of Stock or cash subject to the Award which have not vested as of such date. Restricted Stock Awards or Stock Units, if not sooner terminated, shall vest upon Participant's death.</w:t>
      </w:r>
    </w:p>
    <w:p>
      <w:pPr>
        <w:spacing w:after="0" w:line="340"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11.3 RESTRICTED STOCK AWARDS.</w:t>
      </w:r>
    </w:p>
    <w:p>
      <w:pPr>
        <w:spacing w:after="0" w:line="175" w:lineRule="exact"/>
        <w:rPr>
          <w:sz w:val="20"/>
          <w:szCs w:val="20"/>
          <w:color w:val="auto"/>
        </w:rPr>
      </w:pPr>
    </w:p>
    <w:p>
      <w:pPr>
        <w:ind w:right="3379" w:firstLine="1484"/>
        <w:spacing w:after="0" w:line="253" w:lineRule="auto"/>
        <w:tabs>
          <w:tab w:leader="none" w:pos="1823"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Restricted Stock Award shall specify the applicable restrictions, on such shares of Stock, the duration of such restrictions, and the time or times at which such restrictions shall lapse with respect to all or a specified number of shares of Stock that are part of the Award. Notwithstanding the foregoing, the Committee may reduce or shorten the duration of any restriction applicable to any shares of Stock awarded to any Participant under the Plan.</w:t>
      </w:r>
    </w:p>
    <w:p>
      <w:pPr>
        <w:spacing w:after="0" w:line="164" w:lineRule="exact"/>
        <w:rPr>
          <w:rFonts w:ascii="Courier New" w:cs="Courier New" w:eastAsia="Courier New" w:hAnsi="Courier New"/>
          <w:sz w:val="14"/>
          <w:szCs w:val="14"/>
          <w:color w:val="auto"/>
        </w:rPr>
      </w:pPr>
    </w:p>
    <w:p>
      <w:pPr>
        <w:ind w:right="3379" w:firstLine="1484"/>
        <w:spacing w:after="0" w:line="253" w:lineRule="auto"/>
        <w:tabs>
          <w:tab w:leader="none" w:pos="1823"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certificates with respect to restricted shares of Stock shall be issued (or the shares shall be held in a book entry position through the transfer agent's direct registration service) at the time of grant of the Restricted Stock Award, subject to forfeiture if the restrictions do not lapse, or upon lapse of the restrictions. If share certificates are issued at the time of grant of the Restricted Stock Award, the certificates shall bear an appropriate legend with respect to the restrictions applicable to such Restricted Stock Award (as described in Section 11.2) or, alternatively, the Participant may be required to deposit the certificates with the Company during the period of any restriction thereon and to execute a blank stock power or other instrument of transfer. If shares are in a book entry position with the transfer agent's direct registration service, the restrictions shall be appropriately noted.</w:t>
      </w:r>
    </w:p>
    <w:p>
      <w:pPr>
        <w:spacing w:after="0" w:line="330" w:lineRule="exact"/>
        <w:rPr>
          <w:rFonts w:ascii="Courier New" w:cs="Courier New" w:eastAsia="Courier New" w:hAnsi="Courier New"/>
          <w:sz w:val="14"/>
          <w:szCs w:val="14"/>
          <w:color w:val="auto"/>
        </w:rPr>
      </w:pPr>
    </w:p>
    <w:p>
      <w:pPr>
        <w:ind w:right="3379" w:firstLine="1484"/>
        <w:spacing w:after="0" w:line="255" w:lineRule="auto"/>
        <w:tabs>
          <w:tab w:leader="none" w:pos="1823"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by the Committee, during such period of restriction following the issuance of share certificates, the Participant shall have all of the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103" w:name="page104"/>
    <w:bookmarkEnd w:id="103"/>
    <w:p>
      <w:pPr>
        <w:ind w:right="3379"/>
        <w:spacing w:after="0" w:line="253" w:lineRule="auto"/>
        <w:rPr>
          <w:sz w:val="20"/>
          <w:szCs w:val="20"/>
          <w:color w:val="auto"/>
        </w:rPr>
      </w:pPr>
      <w:r>
        <w:rPr>
          <w:rFonts w:ascii="Courier New" w:cs="Courier New" w:eastAsia="Courier New" w:hAnsi="Courier New"/>
          <w:sz w:val="14"/>
          <w:szCs w:val="14"/>
          <w:color w:val="auto"/>
        </w:rPr>
        <w:t>rights of a holder of Stock, including but not limited to the rights to receive dividends (or amounts equivalent to dividends) and to vote with respect to the restricted shares. Upon lapse of restrictions on a Restricted Stock Award, the Committee may provide that, to the extent not already received, the Participant will be entitled to receive any amounts per share pursuant to any dividend or distribution paid by the Company on its Stock to stockholders of record after grant of the Restricted Stock Award and prior to the issuance of the share certificates (or holding in a book entry position through the transfer agent).</w:t>
      </w:r>
    </w:p>
    <w:p>
      <w:pPr>
        <w:spacing w:after="0" w:line="16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11.4 STOCK UNIT AWARDS.</w:t>
      </w:r>
    </w:p>
    <w:p>
      <w:pPr>
        <w:spacing w:after="0" w:line="175" w:lineRule="exact"/>
        <w:rPr>
          <w:sz w:val="20"/>
          <w:szCs w:val="20"/>
          <w:color w:val="auto"/>
        </w:rPr>
      </w:pPr>
    </w:p>
    <w:p>
      <w:pPr>
        <w:ind w:right="3279" w:firstLine="1484"/>
        <w:spacing w:after="0" w:line="253" w:lineRule="auto"/>
        <w:tabs>
          <w:tab w:leader="none" w:pos="1823"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 of Stock Units shall be evidenced by a Grant Agreement, executed by the Company and the Participant, that incorporates the terms of the Plan and states the number of Stock Units evidenced thereby and the terms and conditions of such Stock Units in such form as the Committee may from time to time determine. The Grant Agreement shall provide for payment of the Stock Unit Awards upon expiration of a term certain.</w:t>
      </w:r>
    </w:p>
    <w:p>
      <w:pPr>
        <w:spacing w:after="0" w:line="165" w:lineRule="exact"/>
        <w:rPr>
          <w:rFonts w:ascii="Courier New" w:cs="Courier New" w:eastAsia="Courier New" w:hAnsi="Courier New"/>
          <w:sz w:val="14"/>
          <w:szCs w:val="14"/>
          <w:color w:val="auto"/>
        </w:rPr>
      </w:pPr>
    </w:p>
    <w:p>
      <w:pPr>
        <w:ind w:right="3459" w:firstLine="1484"/>
        <w:spacing w:after="0" w:line="255" w:lineRule="auto"/>
        <w:tabs>
          <w:tab w:leader="none" w:pos="1823"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Unit awards shall be subject to such rules and regulations as the Committee may prescribe and/or such determinations, orders, or decisions as the Committee may make.</w:t>
      </w:r>
    </w:p>
    <w:p>
      <w:pPr>
        <w:spacing w:after="0" w:line="162" w:lineRule="exact"/>
        <w:rPr>
          <w:rFonts w:ascii="Courier New" w:cs="Courier New" w:eastAsia="Courier New" w:hAnsi="Courier New"/>
          <w:sz w:val="14"/>
          <w:szCs w:val="14"/>
          <w:color w:val="auto"/>
        </w:rPr>
      </w:pPr>
    </w:p>
    <w:p>
      <w:pPr>
        <w:ind w:right="3379" w:firstLine="1484"/>
        <w:spacing w:after="0" w:line="254" w:lineRule="auto"/>
        <w:tabs>
          <w:tab w:leader="none" w:pos="1823"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the Grant Agreement, the Participant shall have none of the rights of a stockholder with respect to any shares of Stock represented by a Stock Unit as a result of the grant of a Stock Unit to the Participant.</w:t>
      </w:r>
    </w:p>
    <w:p>
      <w:pPr>
        <w:spacing w:after="0" w:line="163" w:lineRule="exact"/>
        <w:rPr>
          <w:sz w:val="20"/>
          <w:szCs w:val="20"/>
          <w:color w:val="auto"/>
        </w:rPr>
      </w:pPr>
    </w:p>
    <w:p>
      <w:pPr>
        <w:ind w:right="3279" w:firstLine="1042"/>
        <w:spacing w:after="0" w:line="255" w:lineRule="auto"/>
        <w:rPr>
          <w:sz w:val="20"/>
          <w:szCs w:val="20"/>
          <w:color w:val="auto"/>
        </w:rPr>
      </w:pPr>
      <w:r>
        <w:rPr>
          <w:rFonts w:ascii="Courier New" w:cs="Courier New" w:eastAsia="Courier New" w:hAnsi="Courier New"/>
          <w:sz w:val="14"/>
          <w:szCs w:val="14"/>
          <w:color w:val="auto"/>
        </w:rPr>
        <w:t>11.5 TRANSFERABILITY. Unvested Restricted Stock Awards or Stock Units may not be sold, assigned, transferred, pledged or otherwise encumbered or disposed of except as specifically provided in the Grant Agreement.</w:t>
      </w:r>
    </w:p>
    <w:p>
      <w:pPr>
        <w:spacing w:after="0" w:line="32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XII</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12. CORPORATE TRANSACTIONS</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12.1 ADJUSTMENT OF NUMBER AND PRICE OF SHARES. Pro rata adjustment shall be made in the maximum number of shares of Stock subject to the Plan or that may be awarded to any individual in any year to give effect to any stock dividends, stock splits, stock combinations, recapitalizations and other similar changes in the capital structure of the Company. Pro rata adjustments shall be made in the number, kind and price of shares of Stock covered by any outstanding Award hereunder to give effect to any stock dividends, stock splits, stock combinations, recapitalizations and similar changes in the capital structure of the Company, or a merger, dissolution or reorganization of the Company, after the date the Award is granted, so that the recipient of the Award is treated in a manner equivalent to that of holders of the underlying Stock.</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12.2 CHANGE IN CORPORATE CONTROL. Upon a Change in Corporate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104" w:name="page105"/>
    <w:bookmarkEnd w:id="104"/>
    <w:p>
      <w:pPr>
        <w:ind w:right="3539" w:firstLine="1484"/>
        <w:spacing w:after="0" w:line="255" w:lineRule="auto"/>
        <w:tabs>
          <w:tab w:leader="none" w:pos="1823"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Options and SAR's outstanding as of the date of such Change in Corporate Control, and which are not then exercisable and vested, shall become fully exercisable and vested.</w:t>
      </w:r>
    </w:p>
    <w:p>
      <w:pPr>
        <w:spacing w:after="0" w:line="162" w:lineRule="exact"/>
        <w:rPr>
          <w:rFonts w:ascii="Courier New" w:cs="Courier New" w:eastAsia="Courier New" w:hAnsi="Courier New"/>
          <w:sz w:val="14"/>
          <w:szCs w:val="14"/>
          <w:color w:val="auto"/>
        </w:rPr>
      </w:pPr>
    </w:p>
    <w:p>
      <w:pPr>
        <w:jc w:val="both"/>
        <w:ind w:right="3279" w:firstLine="1484"/>
        <w:spacing w:after="0" w:line="254" w:lineRule="auto"/>
        <w:tabs>
          <w:tab w:leader="none" w:pos="1823"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restrictions and deferral limitations applicable to any Restricted Stock and Stock Units shall lapse, such Restricted Stock shall become free of all restrictions and become fully vested and transferable, and such Stock Units shall be payable in full.</w:t>
      </w:r>
    </w:p>
    <w:p>
      <w:pPr>
        <w:spacing w:after="0" w:line="163" w:lineRule="exact"/>
        <w:rPr>
          <w:rFonts w:ascii="Courier New" w:cs="Courier New" w:eastAsia="Courier New" w:hAnsi="Courier New"/>
          <w:sz w:val="14"/>
          <w:szCs w:val="14"/>
          <w:color w:val="auto"/>
        </w:rPr>
      </w:pPr>
    </w:p>
    <w:p>
      <w:pPr>
        <w:ind w:right="3279" w:firstLine="1484"/>
        <w:spacing w:after="0" w:line="253" w:lineRule="auto"/>
        <w:tabs>
          <w:tab w:leader="none" w:pos="1823"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also make additional adjustments and/or settlements of outstanding Awards as it deems appropriate and consistent with the Plan's purposes, including without limitation settlement of all Options and Stock Appreciation Rights for a cash payment equal to the excess (if any) of the Fair Market Value of the Stock subject thereto over the aggregate exercise or base price thereof.</w:t>
      </w:r>
    </w:p>
    <w:p>
      <w:pPr>
        <w:spacing w:after="0" w:line="16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12.3 SUBSTITUTION OF OPTIONS. In the event that, by reason of a corporate merger, consolidation, acquisition of property or stock, separation, reorganization or liquidation, the Board shall authorize the issuance or assumption of a stock option or stock options in a transaction to which Code section 424(a) applies, then, notwithstanding any other provision of the Plan, the Committee may grant an Option upon such terms and conditions as it may deem appropriate for the purpose of assumption of the old option, or substitution of a new Option for the old option, in conformity with the provisions of Code section 424(a) and the rules and regulations thereunder, as they may be amended from time to time.</w:t>
      </w:r>
    </w:p>
    <w:p>
      <w:pPr>
        <w:spacing w:after="0" w:line="164"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12.4 FRACTIONAL SHARES. No adjustment or substitution provided for in this Article shall require the Company to issue or to sell a fractional share under any Grant Agreement and the total adjustment or substitution with respect to each Grant Agreement shall be limited accordingly.</w:t>
      </w:r>
    </w:p>
    <w:p>
      <w:pPr>
        <w:spacing w:after="0" w:line="163"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12.5 RESCISSION AND REVOCATION OF AWARDS. A Participant may request in writing that the Committee rescind or revoke an Award and such request shall specify the reasons that rescission or revocation is sought. The Committee, in its absolute discretion, may grant, deny or otherwise rule on the request.</w:t>
      </w:r>
    </w:p>
    <w:p>
      <w:pPr>
        <w:spacing w:after="0" w:line="33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XIII</w:t>
      </w:r>
    </w:p>
    <w:p>
      <w:pPr>
        <w:spacing w:after="0" w:line="175" w:lineRule="exact"/>
        <w:rPr>
          <w:sz w:val="20"/>
          <w:szCs w:val="20"/>
          <w:color w:val="auto"/>
        </w:rPr>
      </w:pPr>
    </w:p>
    <w:p>
      <w:pPr>
        <w:ind w:right="3379" w:firstLine="530"/>
        <w:spacing w:after="0" w:line="254" w:lineRule="auto"/>
        <w:tabs>
          <w:tab w:leader="none" w:pos="868"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RESERVATION OF STOCK. The Company shall at all times during the term of the Options reserve and keep available such number of shares of the Stock as will be sufficient to satisfy the requirements of this Plan and shall pay all fees and expenses necessarily incurred by the Company in connection therewith.</w:t>
      </w:r>
    </w:p>
    <w:p>
      <w:pPr>
        <w:spacing w:after="0" w:line="33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XIV</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14. AMENDMENT AND TERMINATION</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105" w:name="page106"/>
    <w:bookmarkEnd w:id="105"/>
    <w:p>
      <w:pPr>
        <w:ind w:right="3279" w:firstLine="1042"/>
        <w:spacing w:after="0" w:line="253" w:lineRule="auto"/>
        <w:rPr>
          <w:sz w:val="20"/>
          <w:szCs w:val="20"/>
          <w:color w:val="auto"/>
        </w:rPr>
      </w:pPr>
      <w:r>
        <w:rPr>
          <w:rFonts w:ascii="Courier New" w:cs="Courier New" w:eastAsia="Courier New" w:hAnsi="Courier New"/>
          <w:sz w:val="14"/>
          <w:szCs w:val="14"/>
          <w:color w:val="auto"/>
        </w:rPr>
        <w:t>14.1 AMENDMENT. The Committee may amend the Plan at any time and from time to time, provided that (i) no amendment shall deprive any person of any rights granted under the Plan before the effective date of such amendment, without such person's consent, (ii) no amendment can increase the maximum number of shares of Stock subject to award under the Plan, and (iii) amendments may be subject to shareholder approval to the extent needed to comply with applicable law. Notwithstanding the foregoing, the Committee may amend the Plan and/or any Award granted under the Plan at any time and from time to time, without the consent of affected Participants and their beneficiaries, to the extent necessary to cause the Plan or Award to comply with applicable law, stock exchange rules or accounting rules.</w:t>
      </w:r>
    </w:p>
    <w:p>
      <w:pPr>
        <w:spacing w:after="0" w:line="164" w:lineRule="exact"/>
        <w:rPr>
          <w:sz w:val="20"/>
          <w:szCs w:val="20"/>
          <w:color w:val="auto"/>
        </w:rPr>
      </w:pPr>
    </w:p>
    <w:p>
      <w:pPr>
        <w:jc w:val="both"/>
        <w:ind w:right="3379" w:firstLine="1042"/>
        <w:spacing w:after="0" w:line="255" w:lineRule="auto"/>
        <w:rPr>
          <w:sz w:val="20"/>
          <w:szCs w:val="20"/>
          <w:color w:val="auto"/>
        </w:rPr>
      </w:pPr>
      <w:r>
        <w:rPr>
          <w:rFonts w:ascii="Courier New" w:cs="Courier New" w:eastAsia="Courier New" w:hAnsi="Courier New"/>
          <w:sz w:val="14"/>
          <w:szCs w:val="14"/>
          <w:color w:val="auto"/>
        </w:rPr>
        <w:t>14.2 TERMINATION. The Committee reserves the right to terminate the Plan in whole or in part at any time, without the consent of any person granted any rights under the Plan.</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106" w:name="page107"/>
    <w:bookmarkEnd w:id="106"/>
    <w:p>
      <w:pPr>
        <w:ind w:left="3040"/>
        <w:spacing w:after="0"/>
        <w:rPr>
          <w:sz w:val="20"/>
          <w:szCs w:val="20"/>
          <w:color w:val="auto"/>
        </w:rPr>
      </w:pPr>
      <w:r>
        <w:rPr>
          <w:rFonts w:ascii="Courier New" w:cs="Courier New" w:eastAsia="Courier New" w:hAnsi="Courier New"/>
          <w:sz w:val="14"/>
          <w:szCs w:val="14"/>
          <w:color w:val="auto"/>
        </w:rPr>
        <w:t>ARTICLE XV</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15. OTHER CONDITIONS</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15.1 COMPLIANCE WITH GOVERNMENTAL REGULATIONS. Notwithstanding any provision of the Plan or the terms of any Grant Agreement entered into pursuant to the Plan, the Company shall not be required to issue any shares hereunder prior to registration of the shares subject to the Plan under the Securities Act of 1933, as amended, or the Securities Exchange Act of 1934, as amended, if such registration shall be necessary, or before compliance by the Corporation or any Participant with any other provisions of either of those acts or of regulations or rulings of the Securities and Exchange Commission thereunder, or before compliance with other federal and state laws and regulations and rulings thereunder, including the rules of any applicable securities exchange or quotation system. The Company shall use its best efforts to effect such registrations and to comply with such laws, regulations and rulings forthwith upon advice by its counsel that any such registration or compliance is necessary.</w:t>
      </w:r>
    </w:p>
    <w:p>
      <w:pPr>
        <w:spacing w:after="0" w:line="330" w:lineRule="exact"/>
        <w:rPr>
          <w:sz w:val="20"/>
          <w:szCs w:val="20"/>
          <w:color w:val="auto"/>
        </w:rPr>
      </w:pPr>
    </w:p>
    <w:p>
      <w:pPr>
        <w:ind w:right="3279" w:firstLine="1042"/>
        <w:spacing w:after="0" w:line="258" w:lineRule="auto"/>
        <w:rPr>
          <w:sz w:val="20"/>
          <w:szCs w:val="20"/>
          <w:color w:val="auto"/>
        </w:rPr>
      </w:pPr>
      <w:r>
        <w:rPr>
          <w:rFonts w:ascii="Courier New" w:cs="Courier New" w:eastAsia="Courier New" w:hAnsi="Courier New"/>
          <w:sz w:val="14"/>
          <w:szCs w:val="14"/>
          <w:color w:val="auto"/>
        </w:rPr>
        <w:t>15.2 COMPANY CHARTER AND BYLAWS. This Plan is subject to the charter and by-laws of the Company, as they may be amended from time to time.</w:t>
      </w:r>
    </w:p>
    <w:p>
      <w:pPr>
        <w:spacing w:after="0" w:line="160"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15.3 NO TRUST OR FUND CREATED. Neither the Plan nor any Award shall create or be construed to create a trust or separate fund of any kind or a fiduciary relationship between the Company and a Participant or any other person. To the extent that any Participant or other person acquires a right to receive payments from the Company pursuant to an Award, such right shall be no greater than the right of any unsecured general creditor of the Company.</w:t>
      </w:r>
    </w:p>
    <w:p>
      <w:pPr>
        <w:spacing w:after="0" w:line="16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15.4 NO GUARANTEE OF EMPLOYMENT. Participation in this Plan shall not be construed to confer upon any Participant the legal right to be retained in the employ of the Company or give any person any right to any payment whatsoever, except to the extent of the benefits provided for hereunder. Each Participant shall remain subject to discharge to the same extent as if this Plan had never been adopted. Nothing in this Plan shall prevent, interfere with or limit in any way the right of the Company to terminate a Participant's employment at any time, whether or not such termination would result in: (i) the failure of any Award to vest; (ii) the forfeiture of any unvested or vested portion of any Award under the Plan; and/or (iii) any other adverse effect on the Participant's interests under the Plan.</w:t>
      </w:r>
    </w:p>
    <w:p>
      <w:pPr>
        <w:spacing w:after="0" w:line="164"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15.5 NO LIMIT ON OTHER COMPENSATION ARRANGEMENTS. Nothing contained in the Plan shall prevent the Company or its Affiliates from adopting or continuing in effect other compensation arrangements (whether such arrangements be generally applicable or applicable only in specific cases) as the Committee, in its discretion determines desirable, including without limitation the granting of stock options, stock awards, stock appreciation rights or phantom stock units otherwise than under the Plan.</w:t>
      </w:r>
    </w:p>
    <w:p>
      <w:pPr>
        <w:spacing w:after="0" w:line="165" w:lineRule="exact"/>
        <w:rPr>
          <w:sz w:val="20"/>
          <w:szCs w:val="20"/>
          <w:color w:val="auto"/>
        </w:rPr>
      </w:pPr>
    </w:p>
    <w:p>
      <w:pPr>
        <w:ind w:right="3539" w:firstLine="1042"/>
        <w:spacing w:after="0" w:line="254" w:lineRule="auto"/>
        <w:rPr>
          <w:sz w:val="20"/>
          <w:szCs w:val="20"/>
          <w:color w:val="auto"/>
        </w:rPr>
      </w:pPr>
      <w:r>
        <w:rPr>
          <w:rFonts w:ascii="Courier New" w:cs="Courier New" w:eastAsia="Courier New" w:hAnsi="Courier New"/>
          <w:sz w:val="14"/>
          <w:szCs w:val="14"/>
          <w:color w:val="auto"/>
        </w:rPr>
        <w:t>15.6 GOVERNING LAW. The provisions of this Plan shall be governed by, construed and administered in accordance with applicable federal law; provided, however, that to the extent not in conflict with federal law, this Plan shall be governed by, construed and administered under the laws of the State of Delaware, other than its laws respecting choice of law.</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787" w:right="1440" w:bottom="1440" w:gutter="0" w:footer="0" w:header="0"/>
        </w:sectPr>
      </w:pPr>
    </w:p>
    <w:bookmarkStart w:id="107" w:name="page108"/>
    <w:bookmarkEnd w:id="107"/>
    <w:p>
      <w:pPr>
        <w:ind w:right="3279" w:firstLine="1042"/>
        <w:spacing w:after="0" w:line="254" w:lineRule="auto"/>
        <w:rPr>
          <w:sz w:val="20"/>
          <w:szCs w:val="20"/>
          <w:color w:val="auto"/>
        </w:rPr>
      </w:pPr>
      <w:r>
        <w:rPr>
          <w:rFonts w:ascii="Courier New" w:cs="Courier New" w:eastAsia="Courier New" w:hAnsi="Courier New"/>
          <w:sz w:val="14"/>
          <w:szCs w:val="14"/>
          <w:color w:val="auto"/>
        </w:rPr>
        <w:t>15.7 LIMITATION OF RIGHTS IN THE OPTION SHARES. The Optionee shall not be deemed for any purpose to be a stockholder of the Company with respect to any of the Option Shares except to the extent that the Option shall have been exercised with respect thereto and, in addition, a certificate shall have been issued therefor and delivered to the Optionee.</w:t>
      </w:r>
    </w:p>
    <w:p>
      <w:pPr>
        <w:spacing w:after="0" w:line="162"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15.8 WITHHOLDING. No later than the date as of which an amount first becomes includible in the gross income of the Participant for federal income tax purposes with respect to any Award under the Plan, the participant shall pay to the Company, or make arrangements satisfactory to the Company regarding the payment of, any federal, state, local or foreign taxes of any kind required by law to be withheld with respect to such amount. Unless otherwise determined by the Company, withholding obligations may be settled with Common Stock, including Common Stock that is part of the Award that gives rise to the withholding requirement; provided, that not more than the legally required minimum withholding may be settled with Common Stock. The obligations of the Company under the Plan shall be conditional on such payment or arrangements, and the Company and its Affiliates shall, to the extent permitted by law, have the right to deduct any such taxes from any payment otherwise due to the participant. The Committee may establish such procedures as it deems appropriate, including making irrevocable elections, for the settlement of withholding obligations with Common Stock.</w:t>
      </w:r>
    </w:p>
    <w:p>
      <w:pPr>
        <w:spacing w:after="0" w:line="330" w:lineRule="exact"/>
        <w:rPr>
          <w:sz w:val="20"/>
          <w:szCs w:val="20"/>
          <w:color w:val="auto"/>
        </w:rPr>
      </w:pPr>
    </w:p>
    <w:p>
      <w:pPr>
        <w:ind w:right="3459" w:firstLine="1042"/>
        <w:spacing w:after="0" w:line="253" w:lineRule="auto"/>
        <w:rPr>
          <w:sz w:val="20"/>
          <w:szCs w:val="20"/>
          <w:color w:val="auto"/>
        </w:rPr>
      </w:pPr>
      <w:r>
        <w:rPr>
          <w:rFonts w:ascii="Courier New" w:cs="Courier New" w:eastAsia="Courier New" w:hAnsi="Courier New"/>
          <w:sz w:val="14"/>
          <w:szCs w:val="14"/>
          <w:color w:val="auto"/>
        </w:rPr>
        <w:t>15.9 NOTICES. Any communication or notice required or permitted to be given under the Plan shall be in writing, and mailed by registered or certified mail or delivered in hand, if to the Company, to 141 Spring Street, Lexington, Massachusetts 02421, Attention: Senior Vice President, Human Resources and, if to the Optionee, to the address as the Optionee shall last have furnished to the communicating party.</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108" w:name="page109"/>
    <w:bookmarkEnd w:id="108"/>
    <w:p>
      <w:pPr>
        <w:jc w:val="center"/>
        <w:ind w:right="3199"/>
        <w:spacing w:after="0"/>
        <w:rPr>
          <w:sz w:val="20"/>
          <w:szCs w:val="20"/>
          <w:color w:val="auto"/>
        </w:rPr>
      </w:pPr>
      <w:r>
        <w:rPr>
          <w:rFonts w:ascii="Courier New" w:cs="Courier New" w:eastAsia="Courier New" w:hAnsi="Courier New"/>
          <w:sz w:val="14"/>
          <w:szCs w:val="14"/>
          <w:color w:val="auto"/>
        </w:rPr>
        <w:t>ANNEX A</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20"/>
                <w:szCs w:val="20"/>
                <w:color w:val="auto"/>
              </w:rPr>
            </w:pPr>
            <w:r>
              <w:rPr>
                <w:rFonts w:ascii="Courier New" w:cs="Courier New" w:eastAsia="Courier New" w:hAnsi="Courier New"/>
                <w:sz w:val="14"/>
                <w:szCs w:val="14"/>
                <w:color w:val="auto"/>
              </w:rPr>
              <w:t>RAYTHEON</w:t>
            </w:r>
          </w:p>
        </w:tc>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Annual Meeting of Stockholders</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2001 ANNUAL MEETING</w:t>
            </w:r>
          </w:p>
        </w:tc>
      </w:tr>
      <w:tr>
        <w:trPr>
          <w:trHeight w:val="167"/>
        </w:trPr>
        <w:tc>
          <w:tcPr>
            <w:tcW w:w="2000" w:type="dxa"/>
            <w:vAlign w:val="bottom"/>
          </w:tcPr>
          <w:p>
            <w:pPr>
              <w:spacing w:after="0"/>
              <w:rPr>
                <w:sz w:val="14"/>
                <w:szCs w:val="14"/>
                <w:color w:val="auto"/>
              </w:rPr>
            </w:pPr>
          </w:p>
        </w:tc>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Wednesday, April 25, 2001</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ADMISSION TICKET</w:t>
            </w:r>
          </w:p>
        </w:tc>
      </w:tr>
      <w:tr>
        <w:trPr>
          <w:trHeight w:val="167"/>
        </w:trPr>
        <w:tc>
          <w:tcPr>
            <w:tcW w:w="2000" w:type="dxa"/>
            <w:vAlign w:val="bottom"/>
          </w:tcPr>
          <w:p>
            <w:pPr>
              <w:spacing w:after="0"/>
              <w:rPr>
                <w:sz w:val="14"/>
                <w:szCs w:val="14"/>
                <w:color w:val="auto"/>
              </w:rPr>
            </w:pPr>
          </w:p>
        </w:tc>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10:00 a.m. Eastern Time</w:t>
            </w:r>
          </w:p>
        </w:tc>
        <w:tc>
          <w:tcPr>
            <w:tcW w:w="1860" w:type="dxa"/>
            <w:vAlign w:val="bottom"/>
          </w:tcPr>
          <w:p>
            <w:pPr>
              <w:spacing w:after="0"/>
              <w:rPr>
                <w:sz w:val="14"/>
                <w:szCs w:val="14"/>
                <w:color w:val="auto"/>
              </w:rPr>
            </w:pPr>
          </w:p>
        </w:tc>
      </w:tr>
      <w:tr>
        <w:trPr>
          <w:trHeight w:val="167"/>
        </w:trPr>
        <w:tc>
          <w:tcPr>
            <w:tcW w:w="2000" w:type="dxa"/>
            <w:vAlign w:val="bottom"/>
          </w:tcPr>
          <w:p>
            <w:pPr>
              <w:spacing w:after="0"/>
              <w:rPr>
                <w:sz w:val="14"/>
                <w:szCs w:val="14"/>
                <w:color w:val="auto"/>
              </w:rPr>
            </w:pPr>
          </w:p>
        </w:tc>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(Doors Open at 9:30 a.m.)</w:t>
            </w:r>
          </w:p>
        </w:tc>
        <w:tc>
          <w:tcPr>
            <w:tcW w:w="1860" w:type="dxa"/>
            <w:vAlign w:val="bottom"/>
          </w:tcPr>
          <w:p>
            <w:pPr>
              <w:spacing w:after="0"/>
              <w:rPr>
                <w:sz w:val="14"/>
                <w:szCs w:val="14"/>
                <w:color w:val="auto"/>
              </w:rPr>
            </w:pP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c/o Proxy Services</w:t>
            </w:r>
          </w:p>
        </w:tc>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Raytheon Company</w:t>
            </w:r>
          </w:p>
        </w:tc>
        <w:tc>
          <w:tcPr>
            <w:tcW w:w="1860" w:type="dxa"/>
            <w:vAlign w:val="bottom"/>
          </w:tcPr>
          <w:p>
            <w:pPr>
              <w:spacing w:after="0"/>
              <w:rPr>
                <w:sz w:val="14"/>
                <w:szCs w:val="14"/>
                <w:color w:val="auto"/>
              </w:rPr>
            </w:pP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P.O. Box 8040</w:t>
            </w:r>
          </w:p>
        </w:tc>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Executive Offices</w:t>
            </w:r>
          </w:p>
        </w:tc>
        <w:tc>
          <w:tcPr>
            <w:tcW w:w="1860" w:type="dxa"/>
            <w:vAlign w:val="bottom"/>
          </w:tcPr>
          <w:p>
            <w:pPr>
              <w:spacing w:after="0"/>
              <w:rPr>
                <w:sz w:val="14"/>
                <w:szCs w:val="14"/>
                <w:color w:val="auto"/>
              </w:rPr>
            </w:pP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Boston, MA 02266-8040</w:t>
            </w:r>
          </w:p>
        </w:tc>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141 Spring Street</w:t>
            </w:r>
          </w:p>
        </w:tc>
        <w:tc>
          <w:tcPr>
            <w:tcW w:w="1860" w:type="dxa"/>
            <w:vAlign w:val="bottom"/>
          </w:tcPr>
          <w:p>
            <w:pPr>
              <w:spacing w:after="0"/>
              <w:rPr>
                <w:sz w:val="14"/>
                <w:szCs w:val="14"/>
                <w:color w:val="auto"/>
              </w:rPr>
            </w:pPr>
          </w:p>
        </w:tc>
      </w:tr>
      <w:tr>
        <w:trPr>
          <w:trHeight w:val="167"/>
        </w:trPr>
        <w:tc>
          <w:tcPr>
            <w:tcW w:w="2000" w:type="dxa"/>
            <w:vAlign w:val="bottom"/>
          </w:tcPr>
          <w:p>
            <w:pPr>
              <w:spacing w:after="0"/>
              <w:rPr>
                <w:sz w:val="14"/>
                <w:szCs w:val="14"/>
                <w:color w:val="auto"/>
              </w:rPr>
            </w:pPr>
          </w:p>
        </w:tc>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Lexington, MA 02421</w:t>
            </w:r>
          </w:p>
        </w:tc>
        <w:tc>
          <w:tcPr>
            <w:tcW w:w="1860" w:type="dxa"/>
            <w:vAlign w:val="bottom"/>
          </w:tcPr>
          <w:p>
            <w:pPr>
              <w:spacing w:after="0"/>
              <w:rPr>
                <w:sz w:val="14"/>
                <w:szCs w:val="14"/>
                <w:color w:val="auto"/>
              </w:rPr>
            </w:pPr>
          </w:p>
        </w:tc>
      </w:tr>
      <w:tr>
        <w:trPr>
          <w:trHeight w:val="167"/>
        </w:trPr>
        <w:tc>
          <w:tcPr>
            <w:tcW w:w="2000" w:type="dxa"/>
            <w:vAlign w:val="bottom"/>
          </w:tcPr>
          <w:p>
            <w:pPr>
              <w:spacing w:after="0"/>
              <w:rPr>
                <w:sz w:val="14"/>
                <w:szCs w:val="14"/>
                <w:color w:val="auto"/>
              </w:rPr>
            </w:pPr>
          </w:p>
        </w:tc>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(Directions on reverse)</w:t>
            </w:r>
          </w:p>
        </w:tc>
        <w:tc>
          <w:tcPr>
            <w:tcW w:w="1860" w:type="dxa"/>
            <w:vAlign w:val="bottom"/>
          </w:tcPr>
          <w:p>
            <w:pPr>
              <w:spacing w:after="0"/>
              <w:rPr>
                <w:sz w:val="14"/>
                <w:szCs w:val="14"/>
                <w:color w:val="auto"/>
              </w:rPr>
            </w:pPr>
          </w:p>
        </w:tc>
      </w:tr>
    </w:tbl>
    <w:p>
      <w:pPr>
        <w:spacing w:after="0" w:line="171" w:lineRule="exact"/>
        <w:rPr>
          <w:sz w:val="20"/>
          <w:szCs w:val="20"/>
          <w:color w:val="auto"/>
        </w:rPr>
      </w:pPr>
    </w:p>
    <w:p>
      <w:pPr>
        <w:ind w:left="180" w:hanging="171"/>
        <w:spacing w:after="0"/>
        <w:tabs>
          <w:tab w:leader="none" w:pos="1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PROXY VOTING INSTRUCTIONS</w:t>
      </w:r>
    </w:p>
    <w:p>
      <w:pPr>
        <w:spacing w:after="0" w:line="175"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Raytheon Company encourages all stockholders to vote. We provide three convenient methods for voting listed below:</w:t>
      </w:r>
    </w:p>
    <w:p>
      <w:pPr>
        <w:spacing w:after="0" w:line="160"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PROXY CARD: Complete, sign, date, and return the proxy card attached below in the enclosed envelope.</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OR</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TELEPHONE: If you are a resident of the United States or Canada, call toll-free on a touch-tone phone 1-877-779-8683, 7 days a week, 24 hours a day. If you reside outside of the United States or Canada, call toll-free 1-201-536-8073. There is no charge for this call. Your voter control number is located above your name on this proxy card. Please vote by 11:00 p.m. Eastern Time on April 24, 2001.</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OR</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INTERNET: Log on to the Web site http://www.eproxyvote.com/rtn and follow the instructions provided. Your voter control number is located above your name on this proxy card. Please vote by 11:00 p.m. Eastern Time on April 24, 2001.</w:t>
      </w:r>
    </w:p>
    <w:p>
      <w:pPr>
        <w:spacing w:after="0" w:line="162"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Canadian and non U.S. residents are encouraged to vote either by telephone or Internet.</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RECEIVE FUTURE PROXY MATERIALS ELECTRONICALLY. Receiving stockholder material electronically reduces mailing and printing costs and is better for the environment. Would you like to receive future proxy materials electronically? If so go to http://www.econsent.com/rtn and follow the instructions provided.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YOU VOTE BY TELEPHONE OR INTERNET YOU DO NOT NEED TO RETURN YOUR PROXY CARD.</w:t>
      </w: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RAYTHEON CLASS A</w:t>
      </w:r>
    </w:p>
    <w:p>
      <w:pPr>
        <w:spacing w:after="0" w:line="8" w:lineRule="exact"/>
        <w:rPr>
          <w:sz w:val="20"/>
          <w:szCs w:val="20"/>
          <w:color w:val="auto"/>
        </w:rPr>
      </w:pPr>
    </w:p>
    <w:p>
      <w:pPr>
        <w:ind w:left="180" w:hanging="171"/>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X / Please mark votes as in this example.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Board of Directors recommends a vote FOR Items 1, 2, 3 and 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Item 1 - Election of Directors: To elect five directors of the class whose term of office expires in 2004 to serve for a term of three years. Nominees:</w:t>
      </w:r>
    </w:p>
    <w:p>
      <w:pPr>
        <w:spacing w:after="0" w:line="1" w:lineRule="exact"/>
        <w:rPr>
          <w:sz w:val="20"/>
          <w:szCs w:val="20"/>
          <w:color w:val="auto"/>
        </w:rPr>
      </w:pPr>
    </w:p>
    <w:p>
      <w:pPr>
        <w:ind w:left="440" w:hanging="431"/>
        <w:spacing w:after="0"/>
        <w:tabs>
          <w:tab w:leader="none" w:pos="4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 M. Deutch, (02) Henrique de Campos Meirelles, (03) Dennis J. Picard,</w:t>
      </w:r>
    </w:p>
    <w:p>
      <w:pPr>
        <w:spacing w:after="0" w:line="8" w:lineRule="exact"/>
        <w:rPr>
          <w:rFonts w:ascii="Courier New" w:cs="Courier New" w:eastAsia="Courier New" w:hAnsi="Courier New"/>
          <w:sz w:val="14"/>
          <w:szCs w:val="14"/>
          <w:color w:val="auto"/>
        </w:rPr>
      </w:pPr>
    </w:p>
    <w:p>
      <w:pPr>
        <w:ind w:right="3279" w:firstLine="9"/>
        <w:spacing w:after="0" w:line="255" w:lineRule="auto"/>
        <w:tabs>
          <w:tab w:leader="none" w:pos="434"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Michael C. Ruettgers and (05) William R. Spivey. To elect one director of the class whose term of office expires in 2005 to serve for a term of two years. Nominee: (06) Frederic M. Poses</w:t>
      </w:r>
    </w:p>
    <w:p>
      <w:pPr>
        <w:sectPr>
          <w:pgSz w:w="11900" w:h="16838" w:orient="portrait"/>
          <w:cols w:equalWidth="0" w:num="1">
            <w:col w:w="10239"/>
          </w:cols>
          <w:pgMar w:left="220" w:top="620" w:right="1440" w:bottom="1440" w:gutter="0" w:footer="0" w:header="0"/>
        </w:sectPr>
      </w:pP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FOR</w:t>
      </w:r>
    </w:p>
    <w:p>
      <w:pPr>
        <w:spacing w:after="0" w:line="8"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WITHHOLD</w:t>
      </w:r>
    </w:p>
    <w:p>
      <w:pPr>
        <w:spacing w:after="0" w:line="8" w:lineRule="exact"/>
        <w:rPr>
          <w:sz w:val="20"/>
          <w:szCs w:val="20"/>
          <w:color w:val="auto"/>
        </w:rPr>
      </w:pPr>
    </w:p>
    <w:p>
      <w:pPr>
        <w:ind w:left="80"/>
        <w:spacing w:after="0"/>
        <w:tabs>
          <w:tab w:leader="none" w:pos="32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sectPr>
          <w:pgSz w:w="11900" w:h="16838" w:orient="portrait"/>
          <w:cols w:equalWidth="0" w:num="2">
            <w:col w:w="360" w:space="440"/>
            <w:col w:w="943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20" w:right="1440" w:bottom="1440" w:gutter="0" w:footer="0" w:header="0"/>
          <w:type w:val="continuous"/>
        </w:sectPr>
      </w:pPr>
    </w:p>
    <w:bookmarkStart w:id="109" w:name="page110"/>
    <w:bookmarkEnd w:id="109"/>
    <w:p>
      <w:pPr>
        <w:spacing w:after="0"/>
        <w:rPr>
          <w:sz w:val="20"/>
          <w:szCs w:val="20"/>
          <w:color w:val="auto"/>
        </w:rPr>
      </w:pPr>
      <w:r>
        <w:rPr>
          <w:rFonts w:ascii="Courier New" w:cs="Courier New" w:eastAsia="Courier New" w:hAnsi="Courier New"/>
          <w:sz w:val="14"/>
          <w:szCs w:val="14"/>
          <w:color w:val="auto"/>
        </w:rPr>
        <w:t>For all nominees except as written above.</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175" w:lineRule="exact"/>
        <w:rPr>
          <w:sz w:val="20"/>
          <w:szCs w:val="20"/>
          <w:color w:val="auto"/>
        </w:rPr>
      </w:pPr>
    </w:p>
    <w:p>
      <w:pPr>
        <w:sectPr>
          <w:pgSz w:w="11900" w:h="16838" w:orient="portrait"/>
          <w:cols w:equalWidth="0" w:num="3">
            <w:col w:w="4600" w:space="440"/>
            <w:col w:w="620" w:space="420"/>
            <w:col w:w="41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2 - To amend the Company's Certificate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of Incorporation to effect the</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Reverse/Forward Stock Split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sectPr>
          <w:pgSz w:w="11900" w:h="16838" w:orient="portrait"/>
          <w:cols w:equalWidth="0" w:num="4">
            <w:col w:w="3800" w:space="720"/>
            <w:col w:w="340" w:space="540"/>
            <w:col w:w="340" w:space="600"/>
            <w:col w:w="389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3 - To amend the Company's Certificate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of Incorporation to reclassify the Company's</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Class A and Class B common stock</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186" w:lineRule="exact"/>
        <w:rPr>
          <w:sz w:val="20"/>
          <w:szCs w:val="20"/>
          <w:color w:val="auto"/>
        </w:rPr>
      </w:pPr>
    </w:p>
    <w:p>
      <w:pPr>
        <w:sectPr>
          <w:pgSz w:w="11900" w:h="16838" w:orient="portrait"/>
          <w:cols w:equalWidth="0" w:num="4">
            <w:col w:w="3720" w:space="720"/>
            <w:col w:w="340" w:space="520"/>
            <w:col w:w="360" w:space="600"/>
            <w:col w:w="39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4 -To approve the Company's</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2001 Stock Plan</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11" w:lineRule="exact"/>
        <w:rPr>
          <w:sz w:val="20"/>
          <w:szCs w:val="20"/>
          <w:color w:val="auto"/>
        </w:rPr>
      </w:pPr>
    </w:p>
    <w:p>
      <w:pPr>
        <w:sectPr>
          <w:pgSz w:w="11900" w:h="16838" w:orient="portrait"/>
          <w:cols w:equalWidth="0" w:num="4">
            <w:col w:w="3620" w:space="720"/>
            <w:col w:w="360" w:space="520"/>
            <w:col w:w="340" w:space="620"/>
            <w:col w:w="4059"/>
          </w:cols>
          <w:pgMar w:left="220" w:top="620"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recommends a vote AGAINST Items 5, 6, 7, 8, 9 and 10.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 Stockholder Proposal #2:</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Offsets</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175" w:lineRule="exact"/>
        <w:rPr>
          <w:sz w:val="20"/>
          <w:szCs w:val="20"/>
          <w:color w:val="auto"/>
        </w:rPr>
      </w:pPr>
    </w:p>
    <w:p>
      <w:pPr>
        <w:sectPr>
          <w:pgSz w:w="11900" w:h="16838" w:orient="portrait"/>
          <w:cols w:equalWidth="0" w:num="4">
            <w:col w:w="3460" w:space="720"/>
            <w:col w:w="340" w:space="520"/>
            <w:col w:w="360" w:space="600"/>
            <w:col w:w="423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6 - Stockholder Proposal #3:</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Benchmark Executive Compensation</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186" w:lineRule="exact"/>
        <w:rPr>
          <w:sz w:val="20"/>
          <w:szCs w:val="20"/>
          <w:color w:val="auto"/>
        </w:rPr>
      </w:pPr>
    </w:p>
    <w:p>
      <w:pPr>
        <w:sectPr>
          <w:pgSz w:w="11900" w:h="16838" w:orient="portrait"/>
          <w:cols w:equalWidth="0" w:num="4">
            <w:col w:w="3360" w:space="720"/>
            <w:col w:w="360" w:space="520"/>
            <w:col w:w="340" w:space="620"/>
            <w:col w:w="431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7 - Stockholder Proposal #4:</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Performance-based Stock Options</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sectPr>
          <w:pgSz w:w="11900" w:h="16838" w:orient="portrait"/>
          <w:cols w:equalWidth="0" w:num="4">
            <w:col w:w="3280" w:space="720"/>
            <w:col w:w="340" w:space="520"/>
            <w:col w:w="360" w:space="600"/>
            <w:col w:w="441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8 - Stockholder Proposal #5:</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Annual Election of Directors</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sectPr>
          <w:pgSz w:w="11900" w:h="16838" w:orient="portrait"/>
          <w:cols w:equalWidth="0" w:num="4">
            <w:col w:w="3280" w:space="720"/>
            <w:col w:w="340" w:space="520"/>
            <w:col w:w="360" w:space="600"/>
            <w:col w:w="441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9 - Stockholder Proposal #6:</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Shareholder Rights Plan</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186" w:lineRule="exact"/>
        <w:rPr>
          <w:sz w:val="20"/>
          <w:szCs w:val="20"/>
          <w:color w:val="auto"/>
        </w:rPr>
      </w:pPr>
    </w:p>
    <w:p>
      <w:pPr>
        <w:sectPr>
          <w:pgSz w:w="11900" w:h="16838" w:orient="portrait"/>
          <w:cols w:equalWidth="0" w:num="4">
            <w:col w:w="3200" w:space="720"/>
            <w:col w:w="340" w:space="520"/>
            <w:col w:w="340" w:space="620"/>
            <w:col w:w="449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check any of the following that apply:</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 plan to attend the Annual Meeting.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186" w:lineRule="exact"/>
        <w:rPr>
          <w:sz w:val="20"/>
          <w:szCs w:val="20"/>
          <w:color w:val="auto"/>
        </w:rPr>
      </w:pPr>
    </w:p>
    <w:p>
      <w:pPr>
        <w:sectPr>
          <w:pgSz w:w="11900" w:h="16838" w:orient="portrait"/>
          <w:cols w:equalWidth="0" w:num="2">
            <w:col w:w="5460" w:space="720"/>
            <w:col w:w="4059"/>
          </w:cols>
          <w:pgMar w:left="220" w:top="620"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Please discontinue duplicate Annual</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Report mailings.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186" w:lineRule="exact"/>
        <w:rPr>
          <w:sz w:val="20"/>
          <w:szCs w:val="20"/>
          <w:color w:val="auto"/>
        </w:rPr>
      </w:pPr>
    </w:p>
    <w:p>
      <w:pPr>
        <w:sectPr>
          <w:pgSz w:w="11900" w:h="16838" w:orient="portrait"/>
          <w:cols w:equalWidth="0" w:num="2">
            <w:col w:w="5460" w:space="720"/>
            <w:col w:w="4059"/>
          </w:cols>
          <w:pgMar w:left="220" w:top="620" w:right="1440" w:bottom="1440" w:gutter="0" w:footer="0" w:header="0"/>
          <w:type w:val="continuous"/>
        </w:sectPr>
      </w:pPr>
    </w:p>
    <w:p>
      <w:pPr>
        <w:ind w:left="440" w:right="1640"/>
        <w:spacing w:after="0" w:line="258" w:lineRule="auto"/>
        <w:rPr>
          <w:sz w:val="20"/>
          <w:szCs w:val="20"/>
          <w:color w:val="auto"/>
        </w:rPr>
      </w:pPr>
      <w:r>
        <w:rPr>
          <w:rFonts w:ascii="Courier New" w:cs="Courier New" w:eastAsia="Courier New" w:hAnsi="Courier New"/>
          <w:sz w:val="14"/>
          <w:szCs w:val="14"/>
          <w:color w:val="auto"/>
        </w:rPr>
        <w:t>Please note my change of address on the back of this card.</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186" w:lineRule="exact"/>
        <w:rPr>
          <w:sz w:val="20"/>
          <w:szCs w:val="20"/>
          <w:color w:val="auto"/>
        </w:rPr>
      </w:pPr>
    </w:p>
    <w:p>
      <w:pPr>
        <w:sectPr>
          <w:pgSz w:w="11900" w:h="16838" w:orient="portrait"/>
          <w:cols w:equalWidth="0" w:num="2">
            <w:col w:w="5460" w:space="720"/>
            <w:col w:w="4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2001</w:t>
      </w:r>
    </w:p>
    <w:p>
      <w:pPr>
        <w:spacing w:after="0" w:line="175" w:lineRule="exact"/>
        <w:rPr>
          <w:sz w:val="20"/>
          <w:szCs w:val="20"/>
          <w:color w:val="auto"/>
        </w:rPr>
      </w:pPr>
    </w:p>
    <w:p>
      <w:pPr>
        <w:sectPr>
          <w:pgSz w:w="11900" w:h="16838" w:orient="portrait"/>
          <w:cols w:equalWidth="0" w:num="2">
            <w:col w:w="3660" w:space="680"/>
            <w:col w:w="589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2001</w:t>
      </w:r>
    </w:p>
    <w:p>
      <w:pPr>
        <w:spacing w:after="0" w:line="175" w:lineRule="exact"/>
        <w:rPr>
          <w:sz w:val="20"/>
          <w:szCs w:val="20"/>
          <w:color w:val="auto"/>
        </w:rPr>
      </w:pPr>
    </w:p>
    <w:p>
      <w:pPr>
        <w:sectPr>
          <w:pgSz w:w="11900" w:h="16838" w:orient="portrait"/>
          <w:cols w:equalWidth="0" w:num="2">
            <w:col w:w="3660" w:space="680"/>
            <w:col w:w="5899"/>
          </w:cols>
          <w:pgMar w:left="220" w:top="620" w:right="1440" w:bottom="1440" w:gutter="0" w:footer="0" w:header="0"/>
          <w:type w:val="continuous"/>
        </w:sectPr>
      </w:pPr>
    </w:p>
    <w:p>
      <w:pPr>
        <w:ind w:right="3539"/>
        <w:spacing w:after="0" w:line="258" w:lineRule="auto"/>
        <w:rPr>
          <w:sz w:val="20"/>
          <w:szCs w:val="20"/>
          <w:color w:val="auto"/>
        </w:rPr>
      </w:pPr>
      <w:r>
        <w:rPr>
          <w:rFonts w:ascii="Courier New" w:cs="Courier New" w:eastAsia="Courier New" w:hAnsi="Courier New"/>
          <w:sz w:val="14"/>
          <w:szCs w:val="14"/>
          <w:color w:val="auto"/>
        </w:rPr>
        <w:t>Please sign this proxy as the name(s) appear above. When signing as attorney, executor, administrator, trustee or guardian, please give full name as such.</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Directions to the Raytheon Annual Meeting of Stockholders:</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Raytheon's Annual Meeting of Stockholders will be held on Wednesday, April 25, 2001, at 10:00 a.m. at:</w:t>
      </w:r>
    </w:p>
    <w:p>
      <w:pPr>
        <w:spacing w:after="0" w:line="160"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Raytheon Company</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Executive Offices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141 Spring Street</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Lexington, MA 02421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ATTENDEES DRIVING TO THE MEETING:</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type w:val="continuous"/>
        </w:sectPr>
      </w:pPr>
    </w:p>
    <w:bookmarkStart w:id="110" w:name="page111"/>
    <w:bookmarkEnd w:id="110"/>
    <w:p>
      <w:pPr>
        <w:jc w:val="both"/>
        <w:ind w:right="3279"/>
        <w:spacing w:after="0" w:line="255" w:lineRule="auto"/>
        <w:rPr>
          <w:sz w:val="20"/>
          <w:szCs w:val="20"/>
          <w:color w:val="auto"/>
        </w:rPr>
      </w:pPr>
      <w:r>
        <w:rPr>
          <w:rFonts w:ascii="Courier New" w:cs="Courier New" w:eastAsia="Courier New" w:hAnsi="Courier New"/>
          <w:sz w:val="14"/>
          <w:szCs w:val="14"/>
          <w:color w:val="auto"/>
        </w:rPr>
        <w:t>In order to enter the Raytheon facility, you will need to stop at the guardhouse and show your employee badge or admission ticket. Once approved, security guards and signs will be available for parking directions and entrance to the facility.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Driving North on Route 95/128:</w:t>
      </w:r>
    </w:p>
    <w:p>
      <w:pPr>
        <w:spacing w:after="0" w:line="17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In Lexington, take Exit 29A (Route 2 East) toward Arlington/Cambridge. Approximately one-half mile take the first exit, #53, Spring Street, and bear right all the way to the stop sign. Turn right onto Spring Street. Cross over Route 2. Raytheon is the first driveway on the left.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Driving South on Route 95/128:</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 Lexington, take Exit 29A (Route 2) toward Arlington/Cambridge. Approximately one-half mile take the first exit, #53, Spring Street, and bear right all the way to the stop sign. Turn right onto Spring Street. Cross over Route 2. Raytheon is the first driveway on the left.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Driving East on Route 2:</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Go past Route 95/128. Take the very next exit, #53, Spring Street. Bear right all the way to the stop sign. Turn right onto Spring Street, and cross over Route 2. Raytheon is the first driveway on the left.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Driving West on Route 2:</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Go past the Waltham Street/Lexington exit. Take the next exit, Waltham Street/Waltham, #54A. Bear left at the end of the ramp and turn left onto Hayden Avenue. Go to the top of the hill (running parallel to Route 2). Cross over Spring Street into the Raytheon Executive Offices driveway.</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Please present this ticket for admittance to the Annual Meeting.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RAYTHEON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LEXINGTON, MA 02421</w:t>
      </w:r>
    </w:p>
    <w:p>
      <w:pPr>
        <w:spacing w:after="0" w:line="175" w:lineRule="exact"/>
        <w:rPr>
          <w:sz w:val="20"/>
          <w:szCs w:val="20"/>
          <w:color w:val="auto"/>
        </w:rPr>
      </w:pPr>
    </w:p>
    <w:p>
      <w:pPr>
        <w:sectPr>
          <w:pgSz w:w="11900" w:h="16838" w:orient="portrait"/>
          <w:cols w:equalWidth="0" w:num="2">
            <w:col w:w="2060" w:space="720"/>
            <w:col w:w="7459"/>
          </w:cols>
          <w:pgMar w:left="220" w:top="620"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undersigned hereby appoints Daniel P. Burnham, Franklyn A. Caine, and Thomas D. Hyde, or any of them, with full power of substitution, as proxies to vote all shares of Raytheon Company Class A stock that the undersigned is entitled to vote at the Annual Meeting of Stockholders of Raytheon Company to be held at the the Company's Executive Offices, 141 Spring Street, Lexington, Massachusetts at 10:00 a.m. Eastern Time, Wednesday, April 25, 2001. This proxy authorizes each of them to vote at his discretion on any other matter that may properly come before the Meeting or any adjournment thereof. This proxy also provides voting instructions for shares held in the Dividend Reinvestment Plan and various employee savings plans described in the Proxy Statement.</w:t>
      </w:r>
    </w:p>
    <w:p>
      <w:pPr>
        <w:spacing w:after="0" w:line="164"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This proxy, when properly executed, will be voted in the manner directed herein by the undersigned stockholder. If no direction is made, this proxy will be voted FOR Items 1, 2, 3 and 4 and AGAINST Items 5, 6, 7, 8, 9 and 10.</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IF YOU ARE NOT VOTING VIA THE INTERNET OR BY TELEPHONE, PLEASE MARK, SIGN, DATE, AND RETURN THIS PROXY CARD USING THE ENCLOSED ENVELOPE. WHEN SHARES ARE HELD BY JOINT TENANTS, BOTH MUST SIGN.</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Please sign this proxy card exactly as your name appears hereon. When shares are held by joint tenants, both must sign. When signing as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16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IF YOU VOTED YOUR PROXY CARD BY TELEPHONE OR INTERNET DO NOT RETURN YOUR PROXY CARD.</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type w:val="continuous"/>
        </w:sectPr>
      </w:pPr>
    </w:p>
    <w:bookmarkStart w:id="111" w:name="page112"/>
    <w:bookmarkEnd w:id="111"/>
    <w:p>
      <w:pPr>
        <w:spacing w:after="0"/>
        <w:rPr>
          <w:sz w:val="20"/>
          <w:szCs w:val="20"/>
          <w:color w:val="auto"/>
        </w:rPr>
      </w:pPr>
      <w:r>
        <w:rPr>
          <w:rFonts w:ascii="Courier New" w:cs="Courier New" w:eastAsia="Courier New" w:hAnsi="Courier New"/>
          <w:sz w:val="14"/>
          <w:szCs w:val="14"/>
          <w:color w:val="auto"/>
        </w:rPr>
        <w:t>HAS YOUR ADDRESS CHANGED?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yes, please include Social Security No.)</w:t>
      </w:r>
    </w:p>
    <w:p>
      <w:pPr>
        <w:spacing w:after="0" w:line="175" w:lineRule="exact"/>
        <w:rPr>
          <w:sz w:val="20"/>
          <w:szCs w:val="20"/>
          <w:color w:val="auto"/>
        </w:rPr>
      </w:pPr>
    </w:p>
    <w:p>
      <w:pPr>
        <w:ind w:left="180" w:hanging="171"/>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954" w:right="1440"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20"/>
                <w:szCs w:val="20"/>
                <w:color w:val="auto"/>
              </w:rPr>
            </w:pPr>
            <w:r>
              <w:rPr>
                <w:rFonts w:ascii="Courier New" w:cs="Courier New" w:eastAsia="Courier New" w:hAnsi="Courier New"/>
                <w:sz w:val="14"/>
                <w:szCs w:val="14"/>
                <w:color w:val="auto"/>
              </w:rPr>
              <w:t>RAYTHEON</w:t>
            </w:r>
          </w:p>
        </w:tc>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Annual Meeting of Stockholders</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2001 ANNUAL MEETING</w:t>
            </w:r>
          </w:p>
        </w:tc>
      </w:tr>
      <w:tr>
        <w:trPr>
          <w:trHeight w:val="167"/>
        </w:trPr>
        <w:tc>
          <w:tcPr>
            <w:tcW w:w="2000" w:type="dxa"/>
            <w:vAlign w:val="bottom"/>
          </w:tcPr>
          <w:p>
            <w:pPr>
              <w:spacing w:after="0"/>
              <w:rPr>
                <w:sz w:val="14"/>
                <w:szCs w:val="14"/>
                <w:color w:val="auto"/>
              </w:rPr>
            </w:pPr>
          </w:p>
        </w:tc>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Wednesday, April 25, 2001</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ADMISSION TICKET</w:t>
            </w:r>
          </w:p>
        </w:tc>
      </w:tr>
      <w:tr>
        <w:trPr>
          <w:trHeight w:val="167"/>
        </w:trPr>
        <w:tc>
          <w:tcPr>
            <w:tcW w:w="2000" w:type="dxa"/>
            <w:vAlign w:val="bottom"/>
          </w:tcPr>
          <w:p>
            <w:pPr>
              <w:spacing w:after="0"/>
              <w:rPr>
                <w:sz w:val="14"/>
                <w:szCs w:val="14"/>
                <w:color w:val="auto"/>
              </w:rPr>
            </w:pPr>
          </w:p>
        </w:tc>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10:00 a.m. Eastern Time</w:t>
            </w:r>
          </w:p>
        </w:tc>
        <w:tc>
          <w:tcPr>
            <w:tcW w:w="1860" w:type="dxa"/>
            <w:vAlign w:val="bottom"/>
          </w:tcPr>
          <w:p>
            <w:pPr>
              <w:spacing w:after="0"/>
              <w:rPr>
                <w:sz w:val="14"/>
                <w:szCs w:val="14"/>
                <w:color w:val="auto"/>
              </w:rPr>
            </w:pPr>
          </w:p>
        </w:tc>
      </w:tr>
      <w:tr>
        <w:trPr>
          <w:trHeight w:val="167"/>
        </w:trPr>
        <w:tc>
          <w:tcPr>
            <w:tcW w:w="2000" w:type="dxa"/>
            <w:vAlign w:val="bottom"/>
          </w:tcPr>
          <w:p>
            <w:pPr>
              <w:spacing w:after="0"/>
              <w:rPr>
                <w:sz w:val="14"/>
                <w:szCs w:val="14"/>
                <w:color w:val="auto"/>
              </w:rPr>
            </w:pPr>
          </w:p>
        </w:tc>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(Doors Open at 9:30 a.m.)</w:t>
            </w:r>
          </w:p>
        </w:tc>
        <w:tc>
          <w:tcPr>
            <w:tcW w:w="1860" w:type="dxa"/>
            <w:vAlign w:val="bottom"/>
          </w:tcPr>
          <w:p>
            <w:pPr>
              <w:spacing w:after="0"/>
              <w:rPr>
                <w:sz w:val="14"/>
                <w:szCs w:val="14"/>
                <w:color w:val="auto"/>
              </w:rPr>
            </w:pP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c/o Proxy Services</w:t>
            </w:r>
          </w:p>
        </w:tc>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Raytheon Company</w:t>
            </w:r>
          </w:p>
        </w:tc>
        <w:tc>
          <w:tcPr>
            <w:tcW w:w="1860" w:type="dxa"/>
            <w:vAlign w:val="bottom"/>
          </w:tcPr>
          <w:p>
            <w:pPr>
              <w:spacing w:after="0"/>
              <w:rPr>
                <w:sz w:val="14"/>
                <w:szCs w:val="14"/>
                <w:color w:val="auto"/>
              </w:rPr>
            </w:pP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P.O. Box 8040</w:t>
            </w:r>
          </w:p>
        </w:tc>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Executive Offices</w:t>
            </w:r>
          </w:p>
        </w:tc>
        <w:tc>
          <w:tcPr>
            <w:tcW w:w="1860" w:type="dxa"/>
            <w:vAlign w:val="bottom"/>
          </w:tcPr>
          <w:p>
            <w:pPr>
              <w:spacing w:after="0"/>
              <w:rPr>
                <w:sz w:val="14"/>
                <w:szCs w:val="14"/>
                <w:color w:val="auto"/>
              </w:rPr>
            </w:pP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Boston, MA 02266-8040</w:t>
            </w:r>
          </w:p>
        </w:tc>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141 Spring Street</w:t>
            </w:r>
          </w:p>
        </w:tc>
        <w:tc>
          <w:tcPr>
            <w:tcW w:w="1860" w:type="dxa"/>
            <w:vAlign w:val="bottom"/>
          </w:tcPr>
          <w:p>
            <w:pPr>
              <w:spacing w:after="0"/>
              <w:rPr>
                <w:sz w:val="14"/>
                <w:szCs w:val="14"/>
                <w:color w:val="auto"/>
              </w:rPr>
            </w:pPr>
          </w:p>
        </w:tc>
      </w:tr>
      <w:tr>
        <w:trPr>
          <w:trHeight w:val="167"/>
        </w:trPr>
        <w:tc>
          <w:tcPr>
            <w:tcW w:w="2000" w:type="dxa"/>
            <w:vAlign w:val="bottom"/>
          </w:tcPr>
          <w:p>
            <w:pPr>
              <w:spacing w:after="0"/>
              <w:rPr>
                <w:sz w:val="14"/>
                <w:szCs w:val="14"/>
                <w:color w:val="auto"/>
              </w:rPr>
            </w:pPr>
          </w:p>
        </w:tc>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Lexington, MA 02421</w:t>
            </w:r>
          </w:p>
        </w:tc>
        <w:tc>
          <w:tcPr>
            <w:tcW w:w="1860" w:type="dxa"/>
            <w:vAlign w:val="bottom"/>
          </w:tcPr>
          <w:p>
            <w:pPr>
              <w:spacing w:after="0"/>
              <w:rPr>
                <w:sz w:val="14"/>
                <w:szCs w:val="14"/>
                <w:color w:val="auto"/>
              </w:rPr>
            </w:pPr>
          </w:p>
        </w:tc>
      </w:tr>
      <w:tr>
        <w:trPr>
          <w:trHeight w:val="167"/>
        </w:trPr>
        <w:tc>
          <w:tcPr>
            <w:tcW w:w="2000" w:type="dxa"/>
            <w:vAlign w:val="bottom"/>
          </w:tcPr>
          <w:p>
            <w:pPr>
              <w:spacing w:after="0"/>
              <w:rPr>
                <w:sz w:val="14"/>
                <w:szCs w:val="14"/>
                <w:color w:val="auto"/>
              </w:rPr>
            </w:pPr>
          </w:p>
        </w:tc>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(Directions on reverse)</w:t>
            </w:r>
          </w:p>
        </w:tc>
        <w:tc>
          <w:tcPr>
            <w:tcW w:w="1860" w:type="dxa"/>
            <w:vAlign w:val="bottom"/>
          </w:tcPr>
          <w:p>
            <w:pPr>
              <w:spacing w:after="0"/>
              <w:rPr>
                <w:sz w:val="14"/>
                <w:szCs w:val="14"/>
                <w:color w:val="auto"/>
              </w:rPr>
            </w:pPr>
          </w:p>
        </w:tc>
      </w:tr>
    </w:tbl>
    <w:p>
      <w:pPr>
        <w:spacing w:after="0" w:line="171" w:lineRule="exact"/>
        <w:rPr>
          <w:sz w:val="20"/>
          <w:szCs w:val="20"/>
          <w:color w:val="auto"/>
        </w:rPr>
      </w:pPr>
    </w:p>
    <w:p>
      <w:pPr>
        <w:ind w:left="180" w:hanging="171"/>
        <w:spacing w:after="0"/>
        <w:tabs>
          <w:tab w:leader="none" w:pos="1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PROXY VOTING INSTRUCTIONS</w:t>
      </w:r>
    </w:p>
    <w:p>
      <w:pPr>
        <w:spacing w:after="0" w:line="175"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Raytheon Company encourages all stockholders to vote. We provide three convenient methods for voting listed below:</w:t>
      </w:r>
    </w:p>
    <w:p>
      <w:pPr>
        <w:spacing w:after="0" w:line="160"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PROXY CARD: Complete, sign, date, and return the proxy card attached below in the enclosed envelope.</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OR</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TELEPHONE: If you are a resident of the United States or Canada, call toll-free on a touch-tone phone 1-877-779-8683, 7 days a week, 24 hours a day. If you reside outside of the United States or Canada, call toll-free 1-201-536-8073. There is no charge for this call. Your voter control number is located above your name on this proxy card. Please vote by 11:00 p.m. Eastern Time on April 24, 2001.</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OR</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INTERNET: Log on to the Web site http://www.eproxyvote.com/rtn and follow the instructions provided. Your voter control number is located above your name on this proxy card. Please vote by 11:00 p.m. Eastern Time on April 24, 2001.</w:t>
      </w:r>
    </w:p>
    <w:p>
      <w:pPr>
        <w:spacing w:after="0" w:line="162"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Canadian and non U.S. residents are encouraged to vote either by telephone or Internet.</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RECEIVE FUTURE PROXY MATERIALS ELECTRONICALLY. Receiving stockholder material electronically reduces mailing and printing costs and is better for the environment. Would you like to receive future proxy materials electronically? If so go to http://www.econsent.com/rtn and follow the instructions provided.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YOU VOTE BY TELEPHONE OR INTERNET YOU DO NOT NEED TO RETURN YOUR PROXY CARD.</w:t>
      </w: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RAYTHEON CLASS B</w:t>
      </w:r>
    </w:p>
    <w:p>
      <w:pPr>
        <w:spacing w:after="0" w:line="8" w:lineRule="exact"/>
        <w:rPr>
          <w:sz w:val="20"/>
          <w:szCs w:val="20"/>
          <w:color w:val="auto"/>
        </w:rPr>
      </w:pPr>
    </w:p>
    <w:p>
      <w:pPr>
        <w:ind w:left="180" w:hanging="171"/>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X / Please mark votes as in this example.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Board of Directors recommends a vote FOR Items 1, 2, 3 and 4.</w:t>
      </w:r>
    </w:p>
    <w:p>
      <w:pPr>
        <w:spacing w:after="0" w:line="8" w:lineRule="exact"/>
        <w:rPr>
          <w:sz w:val="20"/>
          <w:szCs w:val="20"/>
          <w:color w:val="auto"/>
        </w:rPr>
      </w:pPr>
    </w:p>
    <w:p>
      <w:pPr>
        <w:ind w:left="180" w:hanging="171"/>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34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Item 1 - Election of Directors: To elect five directors of the class whose term of office expires in 2004 to serve for a term of three years. Nominees: (01) John M. Deutch, (02) Henrique de Campos Meirelles, (03) Dennis J. Picard,</w:t>
      </w:r>
    </w:p>
    <w:p>
      <w:pPr>
        <w:spacing w:after="0" w:line="1" w:lineRule="exact"/>
        <w:rPr>
          <w:rFonts w:ascii="Courier New" w:cs="Courier New" w:eastAsia="Courier New" w:hAnsi="Courier New"/>
          <w:sz w:val="14"/>
          <w:szCs w:val="14"/>
          <w:color w:val="auto"/>
        </w:rPr>
      </w:pPr>
    </w:p>
    <w:p>
      <w:pPr>
        <w:ind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(04) Michael C. Ruettgers and (05) William R. Spivey. To elect one director of the class whose term of office expires in 2005 to serve for a term of two years. Nominee: (06) Frederic M. Poses</w:t>
      </w:r>
    </w:p>
    <w:p>
      <w:pPr>
        <w:sectPr>
          <w:pgSz w:w="11900" w:h="16838" w:orient="portrait"/>
          <w:cols w:equalWidth="0" w:num="1">
            <w:col w:w="10239"/>
          </w:cols>
          <w:pgMar w:left="220" w:top="954" w:right="1440" w:bottom="1440" w:gutter="0" w:footer="0" w:header="0"/>
        </w:sectPr>
      </w:pP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FOR</w:t>
      </w:r>
    </w:p>
    <w:p>
      <w:pPr>
        <w:spacing w:after="0" w:line="8"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WITHHOLD</w:t>
      </w:r>
    </w:p>
    <w:p>
      <w:pPr>
        <w:spacing w:after="0" w:line="8" w:lineRule="exact"/>
        <w:rPr>
          <w:sz w:val="20"/>
          <w:szCs w:val="20"/>
          <w:color w:val="auto"/>
        </w:rPr>
      </w:pPr>
    </w:p>
    <w:p>
      <w:pPr>
        <w:ind w:left="80"/>
        <w:spacing w:after="0"/>
        <w:tabs>
          <w:tab w:leader="none" w:pos="32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sectPr>
          <w:pgSz w:w="11900" w:h="16838" w:orient="portrait"/>
          <w:cols w:equalWidth="0" w:num="2">
            <w:col w:w="360" w:space="440"/>
            <w:col w:w="9439"/>
          </w:cols>
          <w:pgMar w:left="220" w:top="954" w:right="1440" w:bottom="1440" w:gutter="0" w:footer="0" w:header="0"/>
          <w:type w:val="continuous"/>
        </w:sectPr>
      </w:pPr>
    </w:p>
    <w:p>
      <w:pPr>
        <w:ind w:left="180" w:hanging="171"/>
        <w:spacing w:after="0"/>
        <w:tabs>
          <w:tab w:leader="none" w:pos="1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all nominees except as written above.</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954" w:right="1440" w:bottom="1440" w:gutter="0" w:footer="0" w:header="0"/>
          <w:type w:val="continuous"/>
        </w:sectPr>
      </w:pPr>
    </w:p>
    <w:bookmarkStart w:id="113" w:name="page114"/>
    <w:bookmarkEnd w:id="113"/>
    <w:p>
      <w:pPr>
        <w:ind w:left="4340"/>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ABSTAIN</w:t>
      </w:r>
    </w:p>
    <w:p>
      <w:pPr>
        <w:spacing w:after="0" w:line="175" w:lineRule="exact"/>
        <w:rPr>
          <w:sz w:val="20"/>
          <w:szCs w:val="20"/>
          <w:color w:val="auto"/>
        </w:rPr>
      </w:pPr>
    </w:p>
    <w:p>
      <w:pPr>
        <w:sectPr>
          <w:pgSz w:w="11900" w:h="16838" w:orient="portrait"/>
          <w:cols w:equalWidth="0" w:num="3">
            <w:col w:w="4600" w:space="440"/>
            <w:col w:w="620" w:space="420"/>
            <w:col w:w="4159"/>
          </w:cols>
          <w:pgMar w:left="220" w:top="620"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Item 2 - To amend the Company's Certificate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of Incorporation to effect the</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Reverse/Forward Stock Split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sectPr>
          <w:pgSz w:w="11900" w:h="16838" w:orient="portrait"/>
          <w:cols w:equalWidth="0" w:num="4">
            <w:col w:w="3800" w:space="720"/>
            <w:col w:w="340" w:space="540"/>
            <w:col w:w="340" w:space="600"/>
            <w:col w:w="389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3 - To amend the Company's Certificate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of Incorporation to reclassify the Company's</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Class A and Class B common stock</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186" w:lineRule="exact"/>
        <w:rPr>
          <w:sz w:val="20"/>
          <w:szCs w:val="20"/>
          <w:color w:val="auto"/>
        </w:rPr>
      </w:pPr>
    </w:p>
    <w:p>
      <w:pPr>
        <w:sectPr>
          <w:pgSz w:w="11900" w:h="16838" w:orient="portrait"/>
          <w:cols w:equalWidth="0" w:num="4">
            <w:col w:w="3720" w:space="720"/>
            <w:col w:w="340" w:space="520"/>
            <w:col w:w="360" w:space="600"/>
            <w:col w:w="39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4 -To approve the Company's</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2001 Stock Plan</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186" w:lineRule="exact"/>
        <w:rPr>
          <w:sz w:val="20"/>
          <w:szCs w:val="20"/>
          <w:color w:val="auto"/>
        </w:rPr>
      </w:pPr>
    </w:p>
    <w:p>
      <w:pPr>
        <w:sectPr>
          <w:pgSz w:w="11900" w:h="16838" w:orient="portrait"/>
          <w:cols w:equalWidth="0" w:num="4">
            <w:col w:w="3620" w:space="720"/>
            <w:col w:w="360" w:space="520"/>
            <w:col w:w="340" w:space="620"/>
            <w:col w:w="4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The Board of Directors recommends a vote AGAINST Items 5, 6, 7, 8, 9 and 10.</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 Stockholder Proposal #2:</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Offsets</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186" w:lineRule="exact"/>
        <w:rPr>
          <w:sz w:val="20"/>
          <w:szCs w:val="20"/>
          <w:color w:val="auto"/>
        </w:rPr>
      </w:pPr>
    </w:p>
    <w:p>
      <w:pPr>
        <w:sectPr>
          <w:pgSz w:w="11900" w:h="16838" w:orient="portrait"/>
          <w:cols w:equalWidth="0" w:num="4">
            <w:col w:w="3360" w:space="720"/>
            <w:col w:w="360" w:space="520"/>
            <w:col w:w="340" w:space="620"/>
            <w:col w:w="431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6 - Stockholder Proposal #3:</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Benchmark Executive Compensation</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sectPr>
          <w:pgSz w:w="11900" w:h="16838" w:orient="portrait"/>
          <w:cols w:equalWidth="0" w:num="4">
            <w:col w:w="3280" w:space="720"/>
            <w:col w:w="340" w:space="520"/>
            <w:col w:w="360" w:space="600"/>
            <w:col w:w="441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7 - Stockholder Proposal #4:</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Performance-based Stock Options</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sectPr>
          <w:pgSz w:w="11900" w:h="16838" w:orient="portrait"/>
          <w:cols w:equalWidth="0" w:num="4">
            <w:col w:w="3280" w:space="720"/>
            <w:col w:w="340" w:space="520"/>
            <w:col w:w="360" w:space="600"/>
            <w:col w:w="441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8 - Stockholder Proposal #5:</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Annual Election of Directors</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sectPr>
          <w:pgSz w:w="11900" w:h="16838" w:orient="portrait"/>
          <w:cols w:equalWidth="0" w:num="4">
            <w:col w:w="3280" w:space="720"/>
            <w:col w:w="340" w:space="520"/>
            <w:col w:w="360" w:space="600"/>
            <w:col w:w="441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9 - Stockholder Proposal #6:</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Shareholder Rights Plan</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186" w:lineRule="exact"/>
        <w:rPr>
          <w:sz w:val="20"/>
          <w:szCs w:val="20"/>
          <w:color w:val="auto"/>
        </w:rPr>
      </w:pPr>
    </w:p>
    <w:p>
      <w:pPr>
        <w:sectPr>
          <w:pgSz w:w="11900" w:h="16838" w:orient="portrait"/>
          <w:cols w:equalWidth="0" w:num="4">
            <w:col w:w="3200" w:space="720"/>
            <w:col w:w="340" w:space="520"/>
            <w:col w:w="340" w:space="620"/>
            <w:col w:w="449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check any of the following that apply:</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 plan to attend the Annual Meeting.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186" w:lineRule="exact"/>
        <w:rPr>
          <w:sz w:val="20"/>
          <w:szCs w:val="20"/>
          <w:color w:val="auto"/>
        </w:rPr>
      </w:pPr>
    </w:p>
    <w:p>
      <w:pPr>
        <w:sectPr>
          <w:pgSz w:w="11900" w:h="16838" w:orient="portrait"/>
          <w:cols w:equalWidth="0" w:num="2">
            <w:col w:w="5460" w:space="720"/>
            <w:col w:w="4059"/>
          </w:cols>
          <w:pgMar w:left="220" w:top="620"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Please discontinue duplicate Annual</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Report mailings.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186" w:lineRule="exact"/>
        <w:rPr>
          <w:sz w:val="20"/>
          <w:szCs w:val="20"/>
          <w:color w:val="auto"/>
        </w:rPr>
      </w:pPr>
    </w:p>
    <w:p>
      <w:pPr>
        <w:sectPr>
          <w:pgSz w:w="11900" w:h="16838" w:orient="portrait"/>
          <w:cols w:equalWidth="0" w:num="2">
            <w:col w:w="5460" w:space="720"/>
            <w:col w:w="4059"/>
          </w:cols>
          <w:pgMar w:left="220" w:top="620" w:right="1440" w:bottom="1440" w:gutter="0" w:footer="0" w:header="0"/>
          <w:type w:val="continuous"/>
        </w:sectPr>
      </w:pPr>
    </w:p>
    <w:p>
      <w:pPr>
        <w:ind w:left="440" w:right="1640"/>
        <w:spacing w:after="0" w:line="258" w:lineRule="auto"/>
        <w:rPr>
          <w:sz w:val="20"/>
          <w:szCs w:val="20"/>
          <w:color w:val="auto"/>
        </w:rPr>
      </w:pPr>
      <w:r>
        <w:rPr>
          <w:rFonts w:ascii="Courier New" w:cs="Courier New" w:eastAsia="Courier New" w:hAnsi="Courier New"/>
          <w:sz w:val="14"/>
          <w:szCs w:val="14"/>
          <w:color w:val="auto"/>
        </w:rPr>
        <w:t>Please note my change of address on the back of this card.</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186" w:lineRule="exact"/>
        <w:rPr>
          <w:sz w:val="20"/>
          <w:szCs w:val="20"/>
          <w:color w:val="auto"/>
        </w:rPr>
      </w:pPr>
    </w:p>
    <w:p>
      <w:pPr>
        <w:sectPr>
          <w:pgSz w:w="11900" w:h="16838" w:orient="portrait"/>
          <w:cols w:equalWidth="0" w:num="2">
            <w:col w:w="5460" w:space="720"/>
            <w:col w:w="4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2001</w:t>
      </w:r>
    </w:p>
    <w:p>
      <w:pPr>
        <w:spacing w:after="0" w:line="175" w:lineRule="exact"/>
        <w:rPr>
          <w:sz w:val="20"/>
          <w:szCs w:val="20"/>
          <w:color w:val="auto"/>
        </w:rPr>
      </w:pPr>
    </w:p>
    <w:p>
      <w:pPr>
        <w:sectPr>
          <w:pgSz w:w="11900" w:h="16838" w:orient="portrait"/>
          <w:cols w:equalWidth="0" w:num="2">
            <w:col w:w="3660" w:space="680"/>
            <w:col w:w="589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2001</w:t>
      </w:r>
    </w:p>
    <w:p>
      <w:pPr>
        <w:spacing w:after="0" w:line="175" w:lineRule="exact"/>
        <w:rPr>
          <w:sz w:val="20"/>
          <w:szCs w:val="20"/>
          <w:color w:val="auto"/>
        </w:rPr>
      </w:pPr>
    </w:p>
    <w:p>
      <w:pPr>
        <w:sectPr>
          <w:pgSz w:w="11900" w:h="16838" w:orient="portrait"/>
          <w:cols w:equalWidth="0" w:num="2">
            <w:col w:w="3660" w:space="680"/>
            <w:col w:w="5899"/>
          </w:cols>
          <w:pgMar w:left="220" w:top="620" w:right="1440" w:bottom="1440" w:gutter="0" w:footer="0" w:header="0"/>
          <w:type w:val="continuous"/>
        </w:sectPr>
      </w:pPr>
    </w:p>
    <w:p>
      <w:pPr>
        <w:ind w:right="3539"/>
        <w:spacing w:after="0" w:line="258" w:lineRule="auto"/>
        <w:rPr>
          <w:sz w:val="20"/>
          <w:szCs w:val="20"/>
          <w:color w:val="auto"/>
        </w:rPr>
      </w:pPr>
      <w:r>
        <w:rPr>
          <w:rFonts w:ascii="Courier New" w:cs="Courier New" w:eastAsia="Courier New" w:hAnsi="Courier New"/>
          <w:sz w:val="14"/>
          <w:szCs w:val="14"/>
          <w:color w:val="auto"/>
        </w:rPr>
        <w:t>Please sign this proxy as the name(s) appear above. When signing as attorney, executor, administrator, trustee or guardian, please give full name as such.</w:t>
      </w:r>
    </w:p>
    <w:p>
      <w:pPr>
        <w:spacing w:after="0" w:line="160" w:lineRule="exact"/>
        <w:rPr>
          <w:sz w:val="20"/>
          <w:szCs w:val="20"/>
          <w:color w:val="auto"/>
        </w:rPr>
      </w:pPr>
    </w:p>
    <w:p>
      <w:pPr>
        <w:ind w:left="180" w:hanging="171"/>
        <w:spacing w:after="0"/>
        <w:tabs>
          <w:tab w:leader="none" w:pos="1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Directions to the Raytheon Annual Meeting of Stockholders:</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Raytheon's Annual Meeting of Stockholders will be held on Wednesday, April 25, 2001, at 10:00 a.m. at:</w:t>
      </w:r>
    </w:p>
    <w:p>
      <w:pPr>
        <w:spacing w:after="0" w:line="160"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Raytheon Company</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Executive Offices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141 Spring Street</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Lexington, MA 02421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ATTENDEES DRIVING TO THE MEETING:</w:t>
      </w:r>
    </w:p>
    <w:p>
      <w:pPr>
        <w:spacing w:after="0" w:line="8"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In order to enter the Raytheon facility, you will need to stop at the guardhouse and show your employee badge or admission ticket. Once approved, security guards and signs will be available for parking directions and entrance to the facility.</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type w:val="continuous"/>
        </w:sectPr>
      </w:pPr>
    </w:p>
    <w:bookmarkStart w:id="114" w:name="page115"/>
    <w:bookmarkEnd w:id="114"/>
    <w:p>
      <w:pPr>
        <w:spacing w:after="0"/>
        <w:rPr>
          <w:sz w:val="20"/>
          <w:szCs w:val="20"/>
          <w:color w:val="auto"/>
        </w:rPr>
      </w:pPr>
      <w:r>
        <w:rPr>
          <w:rFonts w:ascii="Courier New" w:cs="Courier New" w:eastAsia="Courier New" w:hAnsi="Courier New"/>
          <w:sz w:val="14"/>
          <w:szCs w:val="14"/>
          <w:color w:val="auto"/>
        </w:rPr>
        <w:t>Driving North on Route 95/128:</w:t>
      </w:r>
    </w:p>
    <w:p>
      <w:pPr>
        <w:spacing w:after="0" w:line="17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In Lexington, take Exit 29A (Route 2 East) toward Arlington/Cambridge. Approximately one-half mile take the first exit, #53, Spring Street, and bear right all the way to the stop sign. Turn right onto Spring Street. Cross over Route 2. Raytheon is the first driveway on the left.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Driving South on Route 95/128:</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 Lexington, take Exit 29A (Route 2) toward Arlington/Cambridge. Approximately one-half mile take the first exit, #53, Spring Street, and bear right all the way to the stop sign. Turn right onto Spring Street. Cross over Route 2. Raytheon is the first driveway on the left.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Driving East on Route 2:</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Go past Route 95/128. Take the very next exit, #53, Spring Street. Bear right all the way to the stop sign. Turn right onto Spring Street, and cross over Route 2. Raytheon is the first driveway on the left.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Driving West on Route 2:</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Go past the Waltham Street/Lexington exit. Take the next exit, Waltham Street/Waltham, #54A. Bear left at the end of the ramp and turn left onto Hayden Avenue. Go to the top of the hill (running parallel to Route 2). Cross over Spring Street into the Raytheon Executive Offices driveway.</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Please present this ticket for admittance to the Annual Meeting.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787"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B</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RAYTHEON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LEXINGTON, MA 02421</w:t>
      </w:r>
    </w:p>
    <w:p>
      <w:pPr>
        <w:spacing w:after="0" w:line="175" w:lineRule="exact"/>
        <w:rPr>
          <w:sz w:val="20"/>
          <w:szCs w:val="20"/>
          <w:color w:val="auto"/>
        </w:rPr>
      </w:pPr>
    </w:p>
    <w:p>
      <w:pPr>
        <w:sectPr>
          <w:pgSz w:w="11900" w:h="16838" w:orient="portrait"/>
          <w:cols w:equalWidth="0" w:num="2">
            <w:col w:w="2320" w:space="720"/>
            <w:col w:w="7199"/>
          </w:cols>
          <w:pgMar w:left="220" w:top="787"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ectPr>
          <w:pgSz w:w="11900" w:h="16838" w:orient="portrait"/>
          <w:cols w:equalWidth="0" w:num="1">
            <w:col w:w="10239"/>
          </w:cols>
          <w:pgMar w:left="220" w:top="787" w:right="1440" w:bottom="1440" w:gutter="0" w:footer="0" w:header="0"/>
          <w:type w:val="continuous"/>
        </w:sectPr>
      </w:pP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undersigned hereby appoints Daniel P. Burnham, Franklyn A. Caine, and Thomas D. Hyde, or any of them, with full power of substitution, as proxies to vote all shares of Raytheon Company Class B stock that the undersigned is entitled to vote at the Annual Meeting of Stockholders of Raytheon Company to be held at the the Company's Executive Offices, 141 Spring Street, Lexington, Massachusetts at 10:00 a.m. Eastern Time, Wednesday, April 25, 2001. This proxy authorizes each of them to vote at his discretion on any other matter that may properly come before the Meeting or any adjournment thereof. This proxy also provides voting instructions for shares held in the Dividend Reinvestment Plan and various employee savings plans described in the Proxy Statement.</w:t>
      </w:r>
    </w:p>
    <w:p>
      <w:pPr>
        <w:spacing w:after="0" w:line="164"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This proxy, when properly executed, will be voted in the manner directed herein by the undersigned stockholder. If no direction is made, this proxy will be voted FOR Items 1, 2, 3 and 4 and AGAINST Items 5, 6, 7, 8, 9 and 10.</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IF YOU ARE NOT VOTING VIA THE INTERNET OR BY TELEPHONE, PLEASE MARK, SIGN, DATE, AND RETURN THIS PROXY CARD USING THE ENCLOSED ENVELOPE. WHEN SHARES ARE HELD BY JOINT TENANTS, BOTH MUST SIGN.</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Please sign this proxy card exactly as your name appears hereon. When shares are held by joint tenants, both must sign. When signing as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16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IF YOU VOTED YOUR PROXY CARD BY TELEPHONE OR INTERNET DO NOT RETURN YOUR PROXY CARD.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YOUR ADDRESS CHANGED?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yes, please include Social Security No.)</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787" w:right="1440" w:bottom="1440" w:gutter="0" w:footer="0" w:header="0"/>
          <w:type w:val="continuous"/>
        </w:sectPr>
      </w:pPr>
    </w:p>
    <w:bookmarkStart w:id="115" w:name="page116"/>
    <w:bookmarkEnd w:id="115"/>
    <w:p>
      <w:pPr>
        <w:ind w:left="171" w:hanging="171"/>
        <w:spacing w:after="0"/>
        <w:tabs>
          <w:tab w:leader="none" w:pos="171"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-8-</w:t>
      </w:r>
    </w:p>
    <w:sectPr>
      <w:pgSz w:w="11900" w:h="16838" w:orient="portrait"/>
      <w:cols w:equalWidth="0" w:num="1">
        <w:col w:w="10230"/>
      </w:cols>
      <w:pgMar w:left="229" w:top="7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upperLetter"/>
      <w:start w:val="24"/>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1)"/>
      <w:numFmt w:val="decimal"/>
      <w:start w:val="1"/>
    </w:lvl>
  </w:abstractNum>
  <w:abstractNum w:abstractNumId="4">
    <w:nsid w:val="7A6D8D3C"/>
    <w:multiLevelType w:val="hybridMultilevel"/>
    <w:lvl w:ilvl="0">
      <w:lvlJc w:val="left"/>
      <w:lvlText w:val="%1)"/>
      <w:numFmt w:val="decimal"/>
      <w:start w:val="2"/>
    </w:lvl>
  </w:abstractNum>
  <w:abstractNum w:abstractNumId="5">
    <w:nsid w:val="4B588F54"/>
    <w:multiLevelType w:val="hybridMultilevel"/>
    <w:lvl w:ilvl="0">
      <w:lvlJc w:val="left"/>
      <w:lvlText w:val="%1)"/>
      <w:numFmt w:val="decimal"/>
      <w:start w:val="3"/>
    </w:lvl>
  </w:abstractNum>
  <w:abstractNum w:abstractNumId="6">
    <w:nsid w:val="542289EC"/>
    <w:multiLevelType w:val="hybridMultilevel"/>
    <w:lvl w:ilvl="0">
      <w:lvlJc w:val="left"/>
      <w:lvlText w:val="["/>
      <w:numFmt w:val="bullet"/>
      <w:start w:val="1"/>
    </w:lvl>
    <w:lvl w:ilvl="1">
      <w:lvlJc w:val="left"/>
      <w:lvlText w:val="%2)"/>
      <w:numFmt w:val="decimal"/>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1."/>
      <w:numFmt w:val="decimal"/>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1."/>
      <w:numFmt w:val="decimal"/>
      <w:start w:val="1"/>
    </w:lvl>
  </w:abstractNum>
  <w:abstractNum w:abstractNumId="12">
    <w:nsid w:val="579478FE"/>
    <w:multiLevelType w:val="hybridMultilevel"/>
    <w:lvl w:ilvl="0">
      <w:lvlJc w:val="left"/>
      <w:lvlText w:val="*"/>
      <w:numFmt w:val="bullet"/>
      <w:start w:val="1"/>
    </w:lvl>
    <w:lvl w:ilvl="1">
      <w:lvlJc w:val="left"/>
      <w:lvlText w:val="-"/>
      <w:numFmt w:val="bullet"/>
      <w:start w:val="1"/>
    </w:lvl>
  </w:abstractNum>
  <w:abstractNum w:abstractNumId="13">
    <w:nsid w:val="749ABB43"/>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4">
    <w:nsid w:val="3DC240FB"/>
    <w:multiLevelType w:val="hybridMultilevel"/>
    <w:lvl w:ilvl="0">
      <w:lvlJc w:val="left"/>
      <w:lvlText w:val="*"/>
      <w:numFmt w:val="bullet"/>
      <w:start w:val="1"/>
    </w:lvl>
    <w:lvl w:ilvl="1">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1)"/>
      <w:numFmt w:val="decimal"/>
      <w:start w:val="1"/>
    </w:lvl>
  </w:abstractNum>
  <w:abstractNum w:abstractNumId="17">
    <w:nsid w:val="75C6C33A"/>
    <w:multiLevelType w:val="hybridMultilevel"/>
    <w:lvl w:ilvl="0">
      <w:lvlJc w:val="left"/>
      <w:lvlText w:val="(%1)"/>
      <w:numFmt w:val="decimal"/>
      <w:start w:val="1"/>
    </w:lvl>
    <w:lvl w:ilvl="1">
      <w:lvlJc w:val="left"/>
      <w:lvlText w:val="-"/>
      <w:numFmt w:val="bullet"/>
      <w:start w:val="1"/>
    </w:lvl>
  </w:abstractNum>
  <w:abstractNum w:abstractNumId="18">
    <w:nsid w:val="12E685FB"/>
    <w:multiLevelType w:val="hybridMultilevel"/>
    <w:lvl w:ilvl="0">
      <w:lvlJc w:val="left"/>
      <w:lvlText w:val="(%1)"/>
      <w:numFmt w:val="decimal"/>
      <w:start w:val="1"/>
    </w:lvl>
  </w:abstractNum>
  <w:abstractNum w:abstractNumId="19">
    <w:nsid w:val="70C6A529"/>
    <w:multiLevelType w:val="hybridMultilevel"/>
    <w:lvl w:ilvl="0">
      <w:lvlJc w:val="left"/>
      <w:lvlText w:val="(%1)"/>
      <w:numFmt w:val="decimal"/>
      <w:start w:val="3"/>
    </w:lvl>
  </w:abstractNum>
  <w:abstractNum w:abstractNumId="20">
    <w:nsid w:val="520EEDD1"/>
    <w:multiLevelType w:val="hybridMultilevel"/>
    <w:lvl w:ilvl="0">
      <w:lvlJc w:val="left"/>
      <w:lvlText w:val="(%1)"/>
      <w:numFmt w:val="decimal"/>
      <w:start w:val="12"/>
    </w:lvl>
  </w:abstractNum>
  <w:abstractNum w:abstractNumId="21">
    <w:nsid w:val="374A3FE6"/>
    <w:multiLevelType w:val="hybridMultilevel"/>
    <w:lvl w:ilvl="0">
      <w:lvlJc w:val="left"/>
      <w:lvlText w:val="(%1)"/>
      <w:numFmt w:val="decimal"/>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1)"/>
      <w:numFmt w:val="decimal"/>
      <w:start w:val="4"/>
    </w:lvl>
  </w:abstractNum>
  <w:abstractNum w:abstractNumId="24">
    <w:nsid w:val="649BB77C"/>
    <w:multiLevelType w:val="hybridMultilevel"/>
    <w:lvl w:ilvl="0">
      <w:lvlJc w:val="left"/>
      <w:lvlText w:val="(%1)"/>
      <w:numFmt w:val="decimal"/>
      <w:start w:val="5"/>
    </w:lvl>
  </w:abstractNum>
  <w:abstractNum w:abstractNumId="25">
    <w:nsid w:val="275AC794"/>
    <w:multiLevelType w:val="hybridMultilevel"/>
    <w:lvl w:ilvl="0">
      <w:lvlJc w:val="left"/>
      <w:lvlText w:val="(%1)"/>
      <w:numFmt w:val="decimal"/>
      <w:start w:val="1"/>
    </w:lvl>
  </w:abstractNum>
  <w:abstractNum w:abstractNumId="26">
    <w:nsid w:val="39386575"/>
    <w:multiLevelType w:val="hybridMultilevel"/>
    <w:lvl w:ilvl="0">
      <w:lvlJc w:val="left"/>
      <w:lvlText w:val="(%1)"/>
      <w:numFmt w:val="decimal"/>
      <w:start w:val="3"/>
    </w:lvl>
  </w:abstractNum>
  <w:abstractNum w:abstractNumId="27">
    <w:nsid w:val="1CF10FD8"/>
    <w:multiLevelType w:val="hybridMultilevel"/>
    <w:lvl w:ilvl="0">
      <w:lvlJc w:val="left"/>
      <w:lvlText w:val="(%1)"/>
      <w:numFmt w:val="decimal"/>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1)"/>
      <w:numFmt w:val="decimal"/>
      <w:start w:val="1"/>
    </w:lvl>
  </w:abstractNum>
  <w:abstractNum w:abstractNumId="36">
    <w:nsid w:val="3F6AB60F"/>
    <w:multiLevelType w:val="hybridMultilevel"/>
    <w:lvl w:ilvl="0">
      <w:lvlJc w:val="left"/>
      <w:lvlText w:val="(%1)"/>
      <w:numFmt w:val="decimal"/>
      <w:start w:val="2"/>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1."/>
      <w:numFmt w:val="lowerLetter"/>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1."/>
      <w:numFmt w:val="lowerLetter"/>
      <w:start w:val="2"/>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1."/>
      <w:numFmt w:val="decimal"/>
      <w:start w:val="1"/>
    </w:lvl>
  </w:abstractNum>
  <w:abstractNum w:abstractNumId="53">
    <w:nsid w:val="5F5E7FD0"/>
    <w:multiLevelType w:val="hybridMultilevel"/>
    <w:lvl w:ilvl="0">
      <w:lvlJc w:val="left"/>
      <w:lvlText w:val="%1."/>
      <w:numFmt w:val="decimal"/>
      <w:start w:val="7"/>
    </w:lvl>
    <w:lvl w:ilvl="1">
      <w:lvlJc w:val="left"/>
      <w:lvlText w:val="(%2)"/>
      <w:numFmt w:val="lowerLetter"/>
      <w:start w:val="1"/>
    </w:lvl>
  </w:abstractNum>
  <w:abstractNum w:abstractNumId="54">
    <w:nsid w:val="98A3148"/>
    <w:multiLevelType w:val="hybridMultilevel"/>
    <w:lvl w:ilvl="0">
      <w:lvlJc w:val="left"/>
      <w:lvlText w:val="%1."/>
      <w:numFmt w:val="decimal"/>
      <w:start w:val="20"/>
    </w:lvl>
  </w:abstractNum>
  <w:abstractNum w:abstractNumId="55">
    <w:nsid w:val="799D0247"/>
    <w:multiLevelType w:val="hybridMultilevel"/>
    <w:lvl w:ilvl="0">
      <w:lvlJc w:val="left"/>
      <w:lvlText w:val="(%1)"/>
      <w:numFmt w:val="lowerRoman"/>
      <w:start w:val="1"/>
    </w:lvl>
  </w:abstractNum>
  <w:abstractNum w:abstractNumId="56">
    <w:nsid w:val="6B94764"/>
    <w:multiLevelType w:val="hybridMultilevel"/>
    <w:lvl w:ilvl="0">
      <w:lvlJc w:val="left"/>
      <w:lvlText w:val="(%1)"/>
      <w:numFmt w:val="lowerRoman"/>
      <w:start w:val="5"/>
    </w:lvl>
  </w:abstractNum>
  <w:abstractNum w:abstractNumId="57">
    <w:nsid w:val="42C296BD"/>
    <w:multiLevelType w:val="hybridMultilevel"/>
    <w:lvl w:ilvl="0">
      <w:lvlJc w:val="left"/>
      <w:lvlText w:val="%1."/>
      <w:numFmt w:val="decimal"/>
      <w:start w:val="1"/>
    </w:lvl>
  </w:abstractNum>
  <w:abstractNum w:abstractNumId="58">
    <w:nsid w:val="168E121F"/>
    <w:multiLevelType w:val="hybridMultilevel"/>
    <w:lvl w:ilvl="0">
      <w:lvlJc w:val="left"/>
      <w:lvlText w:val="%1."/>
      <w:numFmt w:val="decimal"/>
      <w:start w:val="3"/>
    </w:lvl>
  </w:abstractNum>
  <w:abstractNum w:abstractNumId="59">
    <w:nsid w:val="1EBA5D23"/>
    <w:multiLevelType w:val="hybridMultilevel"/>
    <w:lvl w:ilvl="0">
      <w:lvlJc w:val="left"/>
      <w:lvlText w:val="%1."/>
      <w:numFmt w:val="decimal"/>
      <w:start w:val="4"/>
    </w:lvl>
  </w:abstractNum>
  <w:abstractNum w:abstractNumId="60">
    <w:nsid w:val="661E3F1E"/>
    <w:multiLevelType w:val="hybridMultilevel"/>
    <w:lvl w:ilvl="0">
      <w:lvlJc w:val="left"/>
      <w:lvlText w:val="%1"/>
      <w:numFmt w:val="lowerRoman"/>
      <w:start w:val="1"/>
    </w:lvl>
    <w:lvl w:ilvl="1">
      <w:lvlJc w:val="left"/>
      <w:lvlText w:val="(%2)"/>
      <w:numFmt w:val="lowerLetter"/>
      <w:start w:val="1"/>
    </w:lvl>
  </w:abstractNum>
  <w:abstractNum w:abstractNumId="61">
    <w:nsid w:val="5DC79EA8"/>
    <w:multiLevelType w:val="hybridMultilevel"/>
    <w:lvl w:ilvl="0">
      <w:lvlJc w:val="left"/>
      <w:lvlText w:val="%1."/>
      <w:numFmt w:val="lowerRoman"/>
      <w:start w:val="1"/>
    </w:lvl>
    <w:lvl w:ilvl="1">
      <w:lvlJc w:val="left"/>
      <w:lvlText w:val="%2"/>
      <w:numFmt w:val="lowerLetter"/>
      <w:start w:val="1"/>
    </w:lvl>
  </w:abstractNum>
  <w:abstractNum w:abstractNumId="62">
    <w:nsid w:val="540A471C"/>
    <w:multiLevelType w:val="hybridMultilevel"/>
    <w:lvl w:ilvl="0">
      <w:lvlJc w:val="left"/>
      <w:lvlText w:val="%1."/>
      <w:numFmt w:val="lowerRoman"/>
      <w:start w:val="2"/>
    </w:lvl>
    <w:lvl w:ilvl="1">
      <w:lvlJc w:val="left"/>
      <w:lvlText w:val="(%2)"/>
      <w:numFmt w:val="lowerLetter"/>
      <w:start w:val="3"/>
    </w:lvl>
  </w:abstractNum>
  <w:abstractNum w:abstractNumId="63">
    <w:nsid w:val="7BD3EE7B"/>
    <w:multiLevelType w:val="hybridMultilevel"/>
    <w:lvl w:ilvl="0">
      <w:lvlJc w:val="left"/>
      <w:lvlText w:val="%1."/>
      <w:numFmt w:val="decimal"/>
      <w:start w:val="5"/>
    </w:lvl>
  </w:abstractNum>
  <w:abstractNum w:abstractNumId="64">
    <w:nsid w:val="51D9C564"/>
    <w:multiLevelType w:val="hybridMultilevel"/>
    <w:lvl w:ilvl="0">
      <w:lvlJc w:val="left"/>
      <w:lvlText w:val="%1."/>
      <w:numFmt w:val="decimal"/>
      <w:start w:val="6"/>
    </w:lvl>
  </w:abstractNum>
  <w:abstractNum w:abstractNumId="65">
    <w:nsid w:val="613EFDC5"/>
    <w:multiLevelType w:val="hybridMultilevel"/>
    <w:lvl w:ilvl="0">
      <w:lvlJc w:val="left"/>
      <w:lvlText w:val="(%1)"/>
      <w:numFmt w:val="lowerLetter"/>
      <w:start w:val="1"/>
    </w:lvl>
  </w:abstractNum>
  <w:abstractNum w:abstractNumId="66">
    <w:nsid w:val="BF72B14"/>
    <w:multiLevelType w:val="hybridMultilevel"/>
    <w:lvl w:ilvl="0">
      <w:lvlJc w:val="left"/>
      <w:lvlText w:val="(%1)"/>
      <w:numFmt w:val="lowerLetter"/>
      <w:start w:val="3"/>
    </w:lvl>
  </w:abstractNum>
  <w:abstractNum w:abstractNumId="67">
    <w:nsid w:val="11447B73"/>
    <w:multiLevelType w:val="hybridMultilevel"/>
    <w:lvl w:ilvl="0">
      <w:lvlJc w:val="left"/>
      <w:lvlText w:val="(%1)"/>
      <w:numFmt w:val="lowerLetter"/>
      <w:start w:val="1"/>
    </w:lvl>
    <w:lvl w:ilvl="1">
      <w:lvlJc w:val="left"/>
      <w:lvlText w:val="(%2)"/>
      <w:numFmt w:val="lowerLetter"/>
      <w:start w:val="9"/>
    </w:lvl>
  </w:abstractNum>
  <w:abstractNum w:abstractNumId="68">
    <w:nsid w:val="42963E5A"/>
    <w:multiLevelType w:val="hybridMultilevel"/>
    <w:lvl w:ilvl="0">
      <w:lvlJc w:val="left"/>
      <w:lvlText w:val="(%1)"/>
      <w:numFmt w:val="lowerRoman"/>
      <w:start w:val="2"/>
    </w:lvl>
  </w:abstractNum>
  <w:abstractNum w:abstractNumId="69">
    <w:nsid w:val="A0382C5"/>
    <w:multiLevelType w:val="hybridMultilevel"/>
    <w:lvl w:ilvl="0">
      <w:lvlJc w:val="left"/>
      <w:lvlText w:val="(%1)"/>
      <w:numFmt w:val="lowerLetter"/>
      <w:start w:val="4"/>
    </w:lvl>
  </w:abstractNum>
  <w:abstractNum w:abstractNumId="70">
    <w:nsid w:val="8F2B15E"/>
    <w:multiLevelType w:val="hybridMultilevel"/>
    <w:lvl w:ilvl="0">
      <w:lvlJc w:val="left"/>
      <w:lvlText w:val="%1."/>
      <w:numFmt w:val="decimal"/>
      <w:start w:val="11"/>
    </w:lvl>
  </w:abstractNum>
  <w:abstractNum w:abstractNumId="71">
    <w:nsid w:val="1A32234B"/>
    <w:multiLevelType w:val="hybridMultilevel"/>
    <w:lvl w:ilvl="0">
      <w:lvlJc w:val="left"/>
      <w:lvlText w:val="(%1)"/>
      <w:numFmt w:val="lowerLetter"/>
      <w:start w:val="1"/>
    </w:lvl>
  </w:abstractNum>
  <w:abstractNum w:abstractNumId="72">
    <w:nsid w:val="3B0FD379"/>
    <w:multiLevelType w:val="hybridMultilevel"/>
    <w:lvl w:ilvl="0">
      <w:lvlJc w:val="left"/>
      <w:lvlText w:val="(%1)"/>
      <w:numFmt w:val="lowerLetter"/>
      <w:start w:val="1"/>
    </w:lvl>
  </w:abstractNum>
  <w:abstractNum w:abstractNumId="73">
    <w:nsid w:val="68EB2F63"/>
    <w:multiLevelType w:val="hybridMultilevel"/>
    <w:lvl w:ilvl="0">
      <w:lvlJc w:val="left"/>
      <w:lvlText w:val="(%1)"/>
      <w:numFmt w:val="lowerLetter"/>
      <w:start w:val="1"/>
    </w:lvl>
  </w:abstractNum>
  <w:abstractNum w:abstractNumId="74">
    <w:nsid w:val="4962813B"/>
    <w:multiLevelType w:val="hybridMultilevel"/>
    <w:lvl w:ilvl="0">
      <w:lvlJc w:val="left"/>
      <w:lvlText w:val="%1."/>
      <w:numFmt w:val="decimal"/>
      <w:start w:val="13"/>
    </w:lvl>
  </w:abstractNum>
  <w:abstractNum w:abstractNumId="75">
    <w:nsid w:val="60B6DF70"/>
    <w:multiLevelType w:val="hybridMultilevel"/>
    <w:lvl w:ilvl="0">
      <w:lvlJc w:val="left"/>
      <w:lvlText w:val="-"/>
      <w:numFmt w:val="bullet"/>
      <w:start w:val="1"/>
    </w:lvl>
  </w:abstractNum>
  <w:abstractNum w:abstractNumId="76">
    <w:nsid w:val="6A5EE64"/>
    <w:multiLevelType w:val="hybridMultilevel"/>
    <w:lvl w:ilvl="0">
      <w:lvlJc w:val="left"/>
      <w:lvlText w:val="-"/>
      <w:numFmt w:val="bullet"/>
      <w:start w:val="1"/>
    </w:lvl>
  </w:abstractNum>
  <w:abstractNum w:abstractNumId="77">
    <w:nsid w:val="14330624"/>
    <w:multiLevelType w:val="hybridMultilevel"/>
    <w:lvl w:ilvl="0">
      <w:lvlJc w:val="left"/>
      <w:lvlText w:val="(%1)"/>
      <w:numFmt w:val="decimal"/>
      <w:start w:val="1"/>
    </w:lvl>
  </w:abstractNum>
  <w:abstractNum w:abstractNumId="78">
    <w:nsid w:val="7FFFCA11"/>
    <w:multiLevelType w:val="hybridMultilevel"/>
    <w:lvl w:ilvl="0">
      <w:lvlJc w:val="left"/>
      <w:lvlText w:val="(%1)"/>
      <w:numFmt w:val="decimal"/>
      <w:start w:val="4"/>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
      <w:numFmt w:val="bullet"/>
      <w:start w:val="1"/>
    </w:lvl>
  </w:abstractNum>
  <w:abstractNum w:abstractNumId="83">
    <w:nsid w:val="6EB5BD4"/>
    <w:multiLevelType w:val="hybridMultilevel"/>
    <w:lvl w:ilvl="0">
      <w:lvlJc w:val="left"/>
      <w:lvlText w:val="-"/>
      <w:numFmt w:val="bullet"/>
      <w:start w:val="1"/>
    </w:lvl>
  </w:abstractNum>
  <w:abstractNum w:abstractNumId="84">
    <w:nsid w:val="6F6DD9AC"/>
    <w:multiLevelType w:val="hybridMultilevel"/>
    <w:lvl w:ilvl="0">
      <w:lvlJc w:val="left"/>
      <w:lvlText w:val="-"/>
      <w:numFmt w:val="bullet"/>
      <w:start w:val="1"/>
    </w:lvl>
  </w:abstractNum>
  <w:abstractNum w:abstractNumId="85">
    <w:nsid w:val="94211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2019-12-14T18:29:49Z</dcterms:created>
  <dcterms:modified xsi:type="dcterms:W3CDTF">2019-12-14T18:29:49Z</dcterms:modified>
</cp:coreProperties>
</file>