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580" w:val="left"/>
          <w:tab w:leader="none" w:pos="9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June 30, 2010 there were 929,069,716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1"/>
            <w:vMerge w:val="restart"/>
          </w:tcPr>
          <w:p>
            <w:pPr>
              <w:spacing w:after="0"/>
              <w:rPr>
                <w:sz w:val="20"/>
                <w:szCs w:val="20"/>
                <w:color w:val="auto"/>
              </w:rPr>
            </w:pPr>
            <w:r>
              <w:rPr>
                <w:rFonts w:ascii="Arial" w:cs="Arial" w:eastAsia="Arial" w:hAnsi="Arial"/>
                <w:sz w:val="18"/>
                <w:szCs w:val="18"/>
                <w:color w:val="auto"/>
              </w:rPr>
              <w:t>PART I –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21"/>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Operations for the quarters ended June 30,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for the six months ended June 30,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80" w:type="dxa"/>
            <w:vAlign w:val="bottom"/>
            <w:tcBorders>
              <w:top w:val="single" w:sz="8" w:color="0000EE"/>
            </w:tcBorders>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 at June 30, 2010 and December 31, 2009</w:t>
              </w:r>
            </w:hyperlink>
          </w:p>
        </w:tc>
        <w:tc>
          <w:tcPr>
            <w:tcW w:w="32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six months ended June 30,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4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10180" w:type="dxa"/>
            <w:vAlign w:val="bottom"/>
            <w:gridSpan w:val="17"/>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21"/>
          </w:tcPr>
          <w:p>
            <w:pPr>
              <w:spacing w:after="0"/>
              <w:rPr>
                <w:sz w:val="20"/>
                <w:szCs w:val="20"/>
                <w:color w:val="auto"/>
              </w:rPr>
            </w:pPr>
            <w:r>
              <w:rPr>
                <w:rFonts w:ascii="Arial" w:cs="Arial" w:eastAsia="Arial" w:hAnsi="Arial"/>
                <w:sz w:val="18"/>
                <w:szCs w:val="18"/>
                <w:color w:val="auto"/>
              </w:rPr>
              <w:t>PART II –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10180" w:type="dxa"/>
            <w:vAlign w:val="bottom"/>
            <w:gridSpan w:val="17"/>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8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2.</w:t>
              </w:r>
            </w:hyperlink>
          </w:p>
        </w:tc>
        <w:tc>
          <w:tcPr>
            <w:tcW w:w="10180" w:type="dxa"/>
            <w:vAlign w:val="bottom"/>
            <w:gridSpan w:val="17"/>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6.</w:t>
              </w:r>
            </w:hyperlink>
          </w:p>
        </w:tc>
        <w:tc>
          <w:tcPr>
            <w:tcW w:w="426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59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58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4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EXHIBIT INDEX</w:t>
              </w:r>
            </w:hyperlink>
          </w:p>
        </w:tc>
        <w:tc>
          <w:tcPr>
            <w:tcW w:w="98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6"/>
              </w:rPr>
              <w:t>AND SUBSIDIARIES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Quarter Ended June 30,</w:t>
            </w:r>
          </w:p>
        </w:tc>
        <w:tc>
          <w:tcPr>
            <w:tcW w:w="0" w:type="dxa"/>
            <w:vAlign w:val="bottom"/>
          </w:tcPr>
          <w:p>
            <w:pPr>
              <w:spacing w:after="0"/>
              <w:rPr>
                <w:sz w:val="1"/>
                <w:szCs w:val="1"/>
                <w:color w:val="auto"/>
              </w:rPr>
            </w:pPr>
          </w:p>
        </w:tc>
      </w:tr>
      <w:tr>
        <w:trPr>
          <w:trHeight w:val="142"/>
        </w:trPr>
        <w:tc>
          <w:tcPr>
            <w:tcW w:w="8300" w:type="dxa"/>
            <w:vAlign w:val="bottom"/>
            <w:gridSpan w:val="5"/>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9,967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300" w:type="dxa"/>
            <w:vAlign w:val="bottom"/>
            <w:gridSpan w:val="5"/>
          </w:tcPr>
          <w:p>
            <w:pPr>
              <w:spacing w:after="0"/>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services sold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Income tax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00" w:type="dxa"/>
            <w:vAlign w:val="bottom"/>
            <w:gridSpan w:val="5"/>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00" w:type="dxa"/>
            <w:vAlign w:val="bottom"/>
            <w:gridSpan w:val="5"/>
          </w:tcPr>
          <w:p>
            <w:pPr>
              <w:spacing w:after="0"/>
              <w:rPr>
                <w:sz w:val="20"/>
                <w:szCs w:val="20"/>
                <w:color w:val="auto"/>
              </w:rPr>
            </w:pPr>
            <w:r>
              <w:rPr>
                <w:rFonts w:ascii="Arial" w:cs="Arial" w:eastAsia="Arial" w:hAnsi="Arial"/>
                <w:sz w:val="18"/>
                <w:szCs w:val="18"/>
                <w:color w:val="auto"/>
              </w:rPr>
              <w:t>Weighted average number of shares outstanding:</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Basic shares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Diluted shares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740" w:type="dxa"/>
            <w:vAlign w:val="bottom"/>
            <w:gridSpan w:val="7"/>
          </w:tcPr>
          <w:p>
            <w:pPr>
              <w:ind w:left="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970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18,352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7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7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00" w:type="dxa"/>
            <w:vAlign w:val="bottom"/>
            <w:gridSpan w:val="3"/>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shares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Diluted shares</w:t>
            </w: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7400" w:type="dxa"/>
            <w:vAlign w:val="bottom"/>
            <w:gridSpan w:val="7"/>
          </w:tcPr>
          <w:p>
            <w:pPr>
              <w:spacing w:after="0"/>
              <w:rPr>
                <w:sz w:val="20"/>
                <w:szCs w:val="20"/>
                <w:color w:val="auto"/>
              </w:rPr>
            </w:pPr>
            <w:r>
              <w:rPr>
                <w:rFonts w:ascii="Arial" w:cs="Arial" w:eastAsia="Arial" w:hAnsi="Arial"/>
                <w:sz w:val="14"/>
                <w:szCs w:val="14"/>
                <w:b w:val="1"/>
                <w:bCs w:val="1"/>
                <w:color w:val="auto"/>
              </w:rPr>
              <w:t>(in millions)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30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81"/>
              </w:rPr>
              <w:t>Assets</w:t>
            </w:r>
          </w:p>
        </w:tc>
        <w:tc>
          <w:tcPr>
            <w:tcW w:w="2600" w:type="dxa"/>
            <w:vAlign w:val="bottom"/>
            <w:tcBorders>
              <w:bottom w:val="single" w:sz="8" w:color="CCEEFF"/>
            </w:tcBorders>
            <w:gridSpan w:val="2"/>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4,997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8,083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Other assets, current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24,401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23,194</w:t>
            </w:r>
          </w:p>
        </w:tc>
        <w:tc>
          <w:tcPr>
            <w:tcW w:w="0" w:type="dxa"/>
            <w:vAlign w:val="bottom"/>
          </w:tcPr>
          <w:p>
            <w:pPr>
              <w:spacing w:after="0"/>
              <w:rPr>
                <w:sz w:val="1"/>
                <w:szCs w:val="1"/>
                <w:color w:val="auto"/>
              </w:rPr>
            </w:pPr>
          </w:p>
        </w:tc>
      </w:tr>
      <w:tr>
        <w:trPr>
          <w:trHeight w:val="20"/>
        </w:trPr>
        <w:tc>
          <w:tcPr>
            <w:tcW w:w="7400" w:type="dxa"/>
            <w:vAlign w:val="bottom"/>
            <w:gridSpan w:val="7"/>
            <w:vMerge w:val="restart"/>
          </w:tcPr>
          <w:p>
            <w:pPr>
              <w:spacing w:after="0"/>
              <w:rPr>
                <w:sz w:val="20"/>
                <w:szCs w:val="20"/>
                <w:color w:val="auto"/>
              </w:rPr>
            </w:pPr>
            <w:r>
              <w:rPr>
                <w:rFonts w:ascii="Arial" w:cs="Arial" w:eastAsia="Arial" w:hAnsi="Arial"/>
                <w:sz w:val="18"/>
                <w:szCs w:val="18"/>
                <w:color w:val="auto"/>
              </w:rPr>
              <w:t>Customer financing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7"/>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15,519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(9,429)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gridSpan w:val="5"/>
            <w:vMerge w:val="restart"/>
          </w:tcPr>
          <w:p>
            <w:pPr>
              <w:ind w:left="160"/>
              <w:spacing w:after="0"/>
              <w:rPr>
                <w:sz w:val="20"/>
                <w:szCs w:val="20"/>
                <w:color w:val="auto"/>
              </w:rPr>
            </w:pPr>
            <w:r>
              <w:rPr>
                <w:rFonts w:ascii="Arial" w:cs="Arial" w:eastAsia="Arial" w:hAnsi="Arial"/>
                <w:sz w:val="18"/>
                <w:szCs w:val="18"/>
                <w:color w:val="auto"/>
              </w:rPr>
              <w:t>Fixed assets, net</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8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6,090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16,914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3,899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420"/>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58,343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91"/>
              </w:rPr>
              <w:t>Liabilities and Equity</w:t>
            </w:r>
          </w:p>
        </w:tc>
        <w:tc>
          <w:tcPr>
            <w:tcW w:w="20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Short-term borrowings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1,422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5,057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11,679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gridSpan w:val="5"/>
            <w:vMerge w:val="restart"/>
          </w:tcPr>
          <w:p>
            <w:pPr>
              <w:ind w:left="160"/>
              <w:spacing w:after="0"/>
              <w:rPr>
                <w:sz w:val="20"/>
                <w:szCs w:val="20"/>
                <w:color w:val="auto"/>
              </w:rPr>
            </w:pPr>
            <w:r>
              <w:rPr>
                <w:rFonts w:ascii="Arial" w:cs="Arial" w:eastAsia="Arial" w:hAnsi="Arial"/>
                <w:sz w:val="18"/>
                <w:szCs w:val="18"/>
                <w:color w:val="auto"/>
              </w:rPr>
              <w:t>Total Current Liabilities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8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18,762</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10,039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3,996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gridSpan w:val="5"/>
            <w:vMerge w:val="restart"/>
          </w:tcPr>
          <w:p>
            <w:pPr>
              <w:ind w:left="160"/>
              <w:spacing w:after="0"/>
              <w:rPr>
                <w:sz w:val="20"/>
                <w:szCs w:val="20"/>
                <w:color w:val="auto"/>
              </w:rPr>
            </w:pPr>
            <w:r>
              <w:rPr>
                <w:rFonts w:ascii="Arial" w:cs="Arial" w:eastAsia="Arial" w:hAnsi="Arial"/>
                <w:sz w:val="18"/>
                <w:szCs w:val="18"/>
                <w:color w:val="auto"/>
              </w:rPr>
              <w:t>Total Liabilities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8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37,117</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34,374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Shareowners’ Equity: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12,205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80" w:type="dxa"/>
            <w:vAlign w:val="bottom"/>
            <w:gridSpan w:val="5"/>
          </w:tcPr>
          <w:p>
            <w:pPr>
              <w:ind w:left="160"/>
              <w:spacing w:after="0"/>
              <w:rPr>
                <w:sz w:val="20"/>
                <w:szCs w:val="20"/>
                <w:color w:val="auto"/>
              </w:rPr>
            </w:pPr>
            <w:r>
              <w:rPr>
                <w:rFonts w:ascii="Arial" w:cs="Arial" w:eastAsia="Arial" w:hAnsi="Arial"/>
                <w:sz w:val="18"/>
                <w:szCs w:val="18"/>
                <w:color w:val="auto"/>
              </w:rPr>
              <w:t>Treasury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(16,431)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28,569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80" w:type="dxa"/>
            <w:vAlign w:val="bottom"/>
            <w:gridSpan w:val="5"/>
          </w:tcPr>
          <w:p>
            <w:pPr>
              <w:ind w:left="160"/>
              <w:spacing w:after="0"/>
              <w:rPr>
                <w:sz w:val="20"/>
                <w:szCs w:val="20"/>
                <w:color w:val="auto"/>
              </w:rPr>
            </w:pPr>
            <w:r>
              <w:rPr>
                <w:rFonts w:ascii="Arial" w:cs="Arial" w:eastAsia="Arial" w:hAnsi="Arial"/>
                <w:sz w:val="18"/>
                <w:szCs w:val="18"/>
                <w:color w:val="auto"/>
              </w:rPr>
              <w:t>Unearned ESOP shares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(4,238)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gridSpan w:val="5"/>
            <w:vMerge w:val="restart"/>
          </w:tcPr>
          <w:p>
            <w:pPr>
              <w:ind w:left="580"/>
              <w:spacing w:after="0"/>
              <w:rPr>
                <w:sz w:val="20"/>
                <w:szCs w:val="20"/>
                <w:color w:val="auto"/>
              </w:rPr>
            </w:pPr>
            <w:r>
              <w:rPr>
                <w:rFonts w:ascii="Arial" w:cs="Arial" w:eastAsia="Arial" w:hAnsi="Arial"/>
                <w:sz w:val="18"/>
                <w:szCs w:val="18"/>
                <w:color w:val="auto"/>
              </w:rPr>
              <w:t>Total Shareowners’ Equity</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8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19,933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gridSpan w:val="5"/>
            <w:vMerge w:val="restart"/>
          </w:tcPr>
          <w:p>
            <w:pPr>
              <w:ind w:left="160"/>
              <w:spacing w:after="0"/>
              <w:rPr>
                <w:sz w:val="20"/>
                <w:szCs w:val="20"/>
                <w:color w:val="auto"/>
              </w:rPr>
            </w:pPr>
            <w:r>
              <w:rPr>
                <w:rFonts w:ascii="Arial" w:cs="Arial" w:eastAsia="Arial" w:hAnsi="Arial"/>
                <w:sz w:val="18"/>
                <w:szCs w:val="18"/>
                <w:color w:val="auto"/>
              </w:rPr>
              <w:t>Total Equity</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8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20,915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58,343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802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1,976</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00" w:type="dxa"/>
            <w:vAlign w:val="bottom"/>
          </w:tcPr>
          <w:p>
            <w:pPr>
              <w:ind w:left="58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Deferred income tax (benefit) provision</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00" w:type="dxa"/>
            <w:vAlign w:val="bottom"/>
          </w:tcPr>
          <w:p>
            <w:pPr>
              <w:ind w:left="580"/>
              <w:spacing w:after="0"/>
              <w:rPr>
                <w:sz w:val="20"/>
                <w:szCs w:val="20"/>
                <w:color w:val="auto"/>
              </w:rPr>
            </w:pPr>
            <w:r>
              <w:rPr>
                <w:rFonts w:ascii="Arial" w:cs="Arial" w:eastAsia="Arial" w:hAnsi="Arial"/>
                <w:sz w:val="18"/>
                <w:szCs w:val="18"/>
                <w:color w:val="auto"/>
              </w:rPr>
              <w:t>Stock compensation cost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00" w:type="dxa"/>
            <w:vAlign w:val="bottom"/>
          </w:tcPr>
          <w:p>
            <w:pPr>
              <w:ind w:left="580"/>
              <w:spacing w:after="0"/>
              <w:rPr>
                <w:sz w:val="20"/>
                <w:szCs w:val="20"/>
                <w:color w:val="auto"/>
              </w:rPr>
            </w:pPr>
            <w:r>
              <w:rPr>
                <w:rFonts w:ascii="Arial" w:cs="Arial" w:eastAsia="Arial" w:hAnsi="Arial"/>
                <w:sz w:val="18"/>
                <w:szCs w:val="18"/>
                <w:color w:val="auto"/>
              </w:rPr>
              <w:t>Accounts receivable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Inventories and contracts in progress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00" w:type="dxa"/>
            <w:vAlign w:val="bottom"/>
          </w:tcPr>
          <w:p>
            <w:pPr>
              <w:ind w:left="580"/>
              <w:spacing w:after="0"/>
              <w:rPr>
                <w:sz w:val="20"/>
                <w:szCs w:val="20"/>
                <w:color w:val="auto"/>
              </w:rPr>
            </w:pPr>
            <w:r>
              <w:rPr>
                <w:rFonts w:ascii="Arial" w:cs="Arial" w:eastAsia="Arial" w:hAnsi="Arial"/>
                <w:sz w:val="18"/>
                <w:szCs w:val="18"/>
                <w:color w:val="auto"/>
              </w:rPr>
              <w:t>Other current assets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Accounts payable and accrued liabilities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300" w:type="dxa"/>
            <w:vAlign w:val="bottom"/>
          </w:tcPr>
          <w:p>
            <w:pPr>
              <w:ind w:left="580"/>
              <w:spacing w:after="0"/>
              <w:rPr>
                <w:sz w:val="20"/>
                <w:szCs w:val="20"/>
                <w:color w:val="auto"/>
              </w:rPr>
            </w:pPr>
            <w:r>
              <w:rPr>
                <w:rFonts w:ascii="Arial" w:cs="Arial" w:eastAsia="Arial" w:hAnsi="Arial"/>
                <w:sz w:val="18"/>
                <w:szCs w:val="18"/>
                <w:color w:val="auto"/>
              </w:rPr>
              <w:t>Net cash flows provided by operating activities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cash flows used in investing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330"/>
        </w:trPr>
        <w:tc>
          <w:tcPr>
            <w:tcW w:w="802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(repayment) of long-term debt,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Increase in short-term borrowings,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cash flows provided by (used in) financing activities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
        </w:trPr>
        <w:tc>
          <w:tcPr>
            <w:tcW w:w="80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02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increase (decrease) in cash and cash equivalents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331"/>
        </w:trPr>
        <w:tc>
          <w:tcPr>
            <w:tcW w:w="802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year</w:t>
            </w: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right="4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Non-cash activities include contributions of UTC common stock of $250 million to domestic defined benefit pension plans in the second quarter of 2010. There were no contributions of UTC common stock in 2009.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Condensed Consolidated Financial Statements at June 30, 2010 and for the quarters and six months ended June 30, 2010 and 2009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(2009 Annual Report) incorporated by reference to our Annual Report on Form 10-K for calendar year 2009 (2009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color w:val="auto"/>
        </w:rPr>
        <w:t>During the first six months of 2010, our investment in business acquisitions was approximately $2.4 billion, including debt assumed of</w:t>
      </w:r>
      <w:r>
        <w:rPr>
          <w:rFonts w:ascii="Arial" w:cs="Arial" w:eastAsia="Arial" w:hAnsi="Arial"/>
          <w:sz w:val="16"/>
          <w:szCs w:val="16"/>
          <w:b w:val="1"/>
          <w:bCs w:val="1"/>
          <w:color w:val="auto"/>
        </w:rPr>
        <w:t xml:space="preserve"> </w:t>
      </w:r>
      <w:r>
        <w:rPr>
          <w:rFonts w:ascii="Arial" w:cs="Arial" w:eastAsia="Arial" w:hAnsi="Arial"/>
          <w:sz w:val="16"/>
          <w:szCs w:val="16"/>
          <w:color w:val="auto"/>
        </w:rPr>
        <w:t>$32 million, principally reflecting the acquisitions of the General Electric (GE) Security business, and an equity stake in Clipper Windpower Plc (Clipper). On March 1, 2010, we completed the acquisition of the GE Security business for approximately $1.8 billion, including debt assumed of $32 million. The GE Security business supplies security and fire safety technologies for commercial and residential applications through a broad product portfolio that includes fire detection and life safety systems, intrusion alarms, and video surveillance and access control systems. This business is being integrated into our UTC Fire &amp; Security segment during the course of 2010, and will enhance UTC Fire &amp; Security’s geographic diversity with the strong North American presence and increased product and technology offerings of GE Security. In connection with the acquisition of GE Security, we recorded $1.1 billion of goodwill and approximately $600 million of identifiable intangible assets.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January 2010, we completed the acquisition of a 49.5% equity stake in Clipper, a California-based wind turbine manufacturer that trades on the AIM London Stock Exchange. This investment is intended to expand our power generation portfolio and allow us to enter the wind power market by leveraging our expertise in blade technology, turbines and gearbox design. The total cost was £166 million (approximately $270 million) for the purchase of 84.3 million newly issued shares and 21.8 million shares from existing shareowners. We have accounted for this investment under the equity method of accounting. Subsequent to the initial purchase, we increased our investment to 49.9%. Pursuant to our agreement with Clipper, we are prohibited from acquiring additional shares of Clipper within two years of the closing date that would result in an equity stake in excess of 49.9% without the prior approval of Clipper.</w:t>
      </w:r>
    </w:p>
    <w:p>
      <w:pPr>
        <w:spacing w:after="0" w:line="12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During the quarter ended June 30, 2010, we recorded approximately $86 million of asset impairment charges, for assets that have met the held-for-sale criteria, related primarily to the expected disposition of businesses within both Carrier and Hamilton Sundstrand. These asset impairment charges are recorded within Cost of products sold on our Condensed Consolidated Statement of Operations. The asset impairment charges include a $58 million charge related to the expected disposition of a business associated with Carrier’s ongoing portfolio transformation to a higher returns business and a $28 million charge at Hamilton Sundstrand related primarily to the expected disposition of an aerospace business as part of Hamilton Sundstrand’s efforts to implement low cost sourcing initiatives.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six months of 2010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1"/>
              </w:rPr>
              <w:t>Balance as of</w:t>
            </w:r>
          </w:p>
        </w:tc>
        <w:tc>
          <w:tcPr>
            <w:tcW w:w="7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86"/>
              </w:rPr>
              <w:t>Goodwill resulting from</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7"/>
              </w:rPr>
              <w:t>Foreign currency</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Balance as of</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January 1, 2010</w:t>
            </w:r>
          </w:p>
        </w:tc>
        <w:tc>
          <w:tcPr>
            <w:tcW w:w="7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business combinations</w:t>
            </w:r>
          </w:p>
        </w:tc>
        <w:tc>
          <w:tcPr>
            <w:tcW w:w="70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translation and other</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June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3,252</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1,237</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16,298</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8"/>
                <w:szCs w:val="18"/>
                <w:color w:val="auto"/>
              </w:rPr>
              <w:t>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8"/>
              </w:rPr>
              <w:t>June 30, 2010</w:t>
            </w:r>
          </w:p>
        </w:tc>
        <w:tc>
          <w:tcPr>
            <w:tcW w:w="5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8"/>
              </w:rPr>
              <w:t>December 31, 2009</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Gross Amount</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Gross Amount</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1,801</w:t>
            </w:r>
          </w:p>
        </w:tc>
        <w:tc>
          <w:tcPr>
            <w:tcW w:w="5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(833)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1,814</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2,624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330"/>
        </w:trPr>
        <w:tc>
          <w:tcPr>
            <w:tcW w:w="530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5,917</w:t>
            </w:r>
          </w:p>
        </w:tc>
        <w:tc>
          <w:tcPr>
            <w:tcW w:w="5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5,538</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of intangible assets for the quarter and six months ended June 30, 2010 was $90 million and $179 million, respectively, compared with $85 million and $171 million for the same periods of 2009. Amortization of these intangible assets for 2010 through 2014 is expected to approximate $300 million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Pr>
          <w:p>
            <w:pPr>
              <w:spacing w:after="0"/>
              <w:rPr>
                <w:sz w:val="14"/>
                <w:szCs w:val="14"/>
                <w:color w:val="auto"/>
              </w:rPr>
            </w:pPr>
          </w:p>
        </w:tc>
        <w:tc>
          <w:tcPr>
            <w:tcW w:w="156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89"/>
              </w:rPr>
              <w:t>Quarter Ended 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66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20" w:type="dxa"/>
            <w:vAlign w:val="bottom"/>
            <w:gridSpan w:val="3"/>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awards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gridSpan w:val="3"/>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The number of stock awards excluded from the computation was 12.7 million for the quarter and six months ended June 30, 2010. For the quarter and six months ended June 30, 2009, the number of stock awards excluded from the computation was 37.5 million and 38.8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20" w:type="dxa"/>
            <w:vAlign w:val="bottom"/>
            <w:gridSpan w:val="4"/>
          </w:tcPr>
          <w:p>
            <w:pPr>
              <w:ind w:left="540"/>
              <w:spacing w:after="0"/>
              <w:rPr>
                <w:sz w:val="20"/>
                <w:szCs w:val="20"/>
                <w:color w:val="auto"/>
              </w:rPr>
            </w:pPr>
            <w:r>
              <w:rPr>
                <w:rFonts w:ascii="Arial" w:cs="Arial" w:eastAsia="Arial" w:hAnsi="Arial"/>
                <w:sz w:val="14"/>
                <w:szCs w:val="14"/>
                <w:b w:val="1"/>
                <w:bCs w:val="1"/>
                <w:color w:val="auto"/>
              </w:rPr>
              <w:t>June 30, 2010</w:t>
            </w:r>
          </w:p>
        </w:tc>
        <w:tc>
          <w:tcPr>
            <w:tcW w:w="1660" w:type="dxa"/>
            <w:vAlign w:val="bottom"/>
            <w:gridSpan w:val="4"/>
          </w:tcPr>
          <w:p>
            <w:pPr>
              <w:ind w:left="440"/>
              <w:spacing w:after="0"/>
              <w:rPr>
                <w:sz w:val="20"/>
                <w:szCs w:val="20"/>
                <w:color w:val="auto"/>
              </w:rPr>
            </w:pPr>
            <w:r>
              <w:rPr>
                <w:rFonts w:ascii="Arial" w:cs="Arial" w:eastAsia="Arial" w:hAnsi="Arial"/>
                <w:sz w:val="14"/>
                <w:szCs w:val="14"/>
                <w:b w:val="1"/>
                <w:bCs w:val="1"/>
                <w:color w:val="auto"/>
                <w:w w:val="95"/>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Progress payments, secured by lien, on U.S. Government contracts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(5,767)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jc w:val="right"/>
              <w:ind w:right="82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20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June 30, 2010 and December 31, 2009, the above inventory balances include capitalized contract development costs of $833 million and $862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760" w:type="dxa"/>
            <w:vAlign w:val="bottom"/>
            <w:gridSpan w:val="3"/>
          </w:tcPr>
          <w:p>
            <w:pPr>
              <w:ind w:left="1960"/>
              <w:spacing w:after="0"/>
              <w:rPr>
                <w:sz w:val="20"/>
                <w:szCs w:val="20"/>
                <w:color w:val="auto"/>
              </w:rPr>
            </w:pPr>
            <w:r>
              <w:rPr>
                <w:rFonts w:ascii="Arial" w:cs="Arial" w:eastAsia="Arial" w:hAnsi="Arial"/>
                <w:sz w:val="14"/>
                <w:szCs w:val="14"/>
                <w:b w:val="1"/>
                <w:bCs w:val="1"/>
                <w:color w:val="auto"/>
                <w:w w:val="85"/>
              </w:rPr>
              <w:t>June 30, 2010</w:t>
            </w:r>
          </w:p>
        </w:tc>
        <w:tc>
          <w:tcPr>
            <w:tcW w:w="1980" w:type="dxa"/>
            <w:vAlign w:val="bottom"/>
            <w:gridSpan w:val="3"/>
          </w:tcPr>
          <w:p>
            <w:pPr>
              <w:ind w:left="88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2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6"/>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22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June 30, 2010, we had committed credit agreements from banks permitting aggregate borrowings of up to $2.5 billion under a $1.5 billion revolving credit agreement and a $1.0 billion multicurrency revolving credit agreement, both of which are available for general funding purposes, including acquisitions. As of June 30, 2010, there were no borrowings under either of these revolving credit agreements, which expire in October 2011 and November 2011, respectively. The undrawn portions under both of these agreements are also available to serve as backup facilities for the issuance of commercial paper. We generally use our commercial paper borrowings for general corporate purposes, including the funding of potential acquisitions and repurchases of our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840" w:type="dxa"/>
            <w:vAlign w:val="bottom"/>
            <w:gridSpan w:val="4"/>
          </w:tcPr>
          <w:p>
            <w:pPr>
              <w:ind w:left="1560"/>
              <w:spacing w:after="0"/>
              <w:rPr>
                <w:sz w:val="20"/>
                <w:szCs w:val="20"/>
                <w:color w:val="auto"/>
              </w:rPr>
            </w:pPr>
            <w:r>
              <w:rPr>
                <w:rFonts w:ascii="Arial" w:cs="Arial" w:eastAsia="Arial" w:hAnsi="Arial"/>
                <w:sz w:val="14"/>
                <w:szCs w:val="14"/>
                <w:b w:val="1"/>
                <w:bCs w:val="1"/>
                <w:color w:val="auto"/>
              </w:rPr>
              <w:t>June 30, 2010</w:t>
            </w:r>
          </w:p>
        </w:tc>
        <w:tc>
          <w:tcPr>
            <w:tcW w:w="1620" w:type="dxa"/>
            <w:vAlign w:val="bottom"/>
            <w:gridSpan w:val="4"/>
          </w:tcPr>
          <w:p>
            <w:pPr>
              <w:ind w:left="400"/>
              <w:spacing w:after="0"/>
              <w:rPr>
                <w:sz w:val="20"/>
                <w:szCs w:val="20"/>
                <w:color w:val="auto"/>
              </w:rPr>
            </w:pPr>
            <w:r>
              <w:rPr>
                <w:rFonts w:ascii="Arial" w:cs="Arial" w:eastAsia="Arial" w:hAnsi="Arial"/>
                <w:sz w:val="14"/>
                <w:szCs w:val="14"/>
                <w:b w:val="1"/>
                <w:bCs w:val="1"/>
                <w:color w:val="auto"/>
                <w:w w:val="95"/>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4.375% notes due 2010*</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7.125% notes due 2010*</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6.350% notes due 2011*</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6.100% notes due 2012*</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4.875% notes due 2015*</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5.375% notes due 2017*</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2019*</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8.875% notes due 2019</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4.500% notes due 2020*</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8.750% notes due 2021</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6.700% notes due 2028</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7.500% notes due 2029*</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5.400% notes due 2035*</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6.050% notes due 2036*</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2038*</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5.700% notes due 2040*</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financing obligations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Other (including capitalized leases)</w:t>
            </w:r>
          </w:p>
        </w:tc>
        <w:tc>
          <w:tcPr>
            <w:tcW w:w="1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(604)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20" w:right="80" w:hanging="448"/>
        <w:spacing w:after="0" w:line="294" w:lineRule="auto"/>
        <w:tabs>
          <w:tab w:leader="none" w:pos="1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an adjusted treasury rate plus 10-50 basis points. The redemption price will also include interest accrued to the date of redemption on the principal balance of the notes being redeemed.</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February 2010, we issued two series of fixed rate notes that pay interest semiannually, in arrears, on April 15 and October 15 of each year beginning October 15, 2010. The $1.25 billion principal amount of fixed rate notes bears interest at a rate equal to 4.500% per year and matures on April 15, 2020. The $1.0 billion principal amount of fixed rate notes bears interest at a rate equal to 5.700% per year and matures on April 15, 2040. The proceeds from these notes were used primarily to partially fund the acquisition of the GE Security business, and to repay commercial paper borrowings.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May 2010, we repaid the entire $600 million outstanding principal amount of our 4.375% notes at maturity. In June 2010, we redeemed the entire $500 million outstanding principal amount of our 7.125% notes that were due November 15, 2010.</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have an existing universal shelf registration statement filed with the Securities and Exchange Commission (SEC) for an indeterminate amount of securities for future issuance, subject to our internal limitations on the amount of debt to be issued under this shelf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9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recognized in interest expense. Penalties, if incurred, would be recognized as a component of income tax expense.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It is reasonably possible that over the next twelve months the amount of unrecognized tax benefits may change within a range of a net increase of $40 million to a net decrease of $130 million resulting from additional worldwide uncertain tax positions, from the re-evaluation of current uncertain tax positions arising from developments in examinations, in appeals, or in the courts, or from the closure of tax statutes. Not included in the range is €198 million (approximately $243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2009 the Internal Revenue Service (IRS) Examination Division completed its review of tax years 2004 and 2005 and certain proposed tax adjustments with which the Company did not agree were transferred to the IRS Appeals Division for resolution discussions. The Company expects these resolution discussions to be ongoing into 2011. In 2009, the IRS Examination Division also commenced review activity of tax years 2006, 2007 and 2008, which is expected to continue through 2011.</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effective tax rate for the quarter ended June 30, 2010 has increased as compared to the same period of 2009 as a result of an overall increase in the forecasted effective tax rate, the net tax effects of asset impairment charges in 2010 and the absence of a non-taxable gain recorded in the same period of 2009. The effective tax rate for the six months ended June 30, 2010 increased as compared to the same period of 2009 as a result of an overall increase to the forecasted effective tax rate, the impact from health care legislation related to the Medicare Part D program in the first quarter of 2010, and the absence of a $25 million tax benefit and non-taxable gain recorded in 2009.</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these plans were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68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2"/>
              </w:rPr>
              <w:t>Quarter Ended June 30,</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42"/>
        </w:trPr>
        <w:tc>
          <w:tcPr>
            <w:tcW w:w="61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first six months of 2010, we made contributions of $451 million to our domestic defined benefit pension plans, almost entirely in the second quarter, including a $250 million contribution of UTC common stock. In the first six months of 2009, we made contributions of $401 million to our domestic defined benefit pension plans, all of which was contributed in the second quarter of 2009. There were no contributions of UTC common stock to our domestic defined benefit pension plans in the first six months of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left="198"/>
              <w:spacing w:after="0"/>
              <w:rPr>
                <w:sz w:val="20"/>
                <w:szCs w:val="20"/>
                <w:color w:val="auto"/>
              </w:rPr>
            </w:pPr>
            <w:r>
              <w:rPr>
                <w:rFonts w:ascii="Arial" w:cs="Arial" w:eastAsia="Arial" w:hAnsi="Arial"/>
                <w:sz w:val="14"/>
                <w:szCs w:val="14"/>
                <w:b w:val="1"/>
                <w:bCs w:val="1"/>
                <w:color w:val="auto"/>
                <w:w w:val="84"/>
              </w:rPr>
              <w:t>Pension Benefits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left="198"/>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w w:val="76"/>
              </w:rPr>
              <w:t>2010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2009</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319</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72"/>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9"/>
              </w:rPr>
              <w:t>(403)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center"/>
              <w:ind w:left="198"/>
              <w:spacing w:after="0"/>
              <w:rPr>
                <w:sz w:val="20"/>
                <w:szCs w:val="20"/>
                <w:color w:val="auto"/>
              </w:rPr>
            </w:pPr>
            <w:r>
              <w:rPr>
                <w:rFonts w:ascii="Arial" w:cs="Arial" w:eastAsia="Arial" w:hAnsi="Arial"/>
                <w:sz w:val="14"/>
                <w:szCs w:val="14"/>
                <w:b w:val="1"/>
                <w:bCs w:val="1"/>
                <w:color w:val="auto"/>
                <w:w w:val="84"/>
              </w:rPr>
              <w:t>Pension Benefits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160" w:type="dxa"/>
            <w:vAlign w:val="bottom"/>
          </w:tcPr>
          <w:p>
            <w:pPr>
              <w:spacing w:after="0"/>
              <w:rPr>
                <w:sz w:val="12"/>
                <w:szCs w:val="12"/>
                <w:color w:val="auto"/>
              </w:rPr>
            </w:pPr>
          </w:p>
        </w:tc>
        <w:tc>
          <w:tcPr>
            <w:tcW w:w="1680" w:type="dxa"/>
            <w:vAlign w:val="bottom"/>
            <w:gridSpan w:val="3"/>
          </w:tcPr>
          <w:p>
            <w:pPr>
              <w:jc w:val="center"/>
              <w:ind w:left="338"/>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w w:val="76"/>
              </w:rPr>
              <w:t>2010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2009</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7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(859)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9"/>
              </w:rPr>
              <w:t>(802)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1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Other Costs</w:t>
      </w:r>
    </w:p>
    <w:p>
      <w:pPr>
        <w:spacing w:after="0" w:line="96"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During the first six months of 2010, we recorded net pre-tax restructuring and other costs in our business segments totaling $152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198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4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9"/>
        </w:trPr>
        <w:tc>
          <w:tcPr>
            <w:tcW w:w="2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700" w:type="dxa"/>
            <w:vAlign w:val="bottom"/>
            <w:vMerge w:val="restart"/>
          </w:tcPr>
          <w:p>
            <w:pPr>
              <w:jc w:val="right"/>
              <w:ind w:right="335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net costs included $91 million recorded in cost of sales, $60 million in selling, general and administrative expenses and $1 million in other income, net. As described below, these costs primarily relate to actions initiated during 2010 and 2009.</w:t>
      </w:r>
    </w:p>
    <w:p>
      <w:pPr>
        <w:spacing w:after="0" w:line="126"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six months of 2010,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consolidation of field operations. We recorded net pre-tax restructuring and other costs totaling $121 million, including $68 million in cost of sales and $53 million in selling, general and administrative expenses.</w:t>
      </w:r>
    </w:p>
    <w:p>
      <w:pPr>
        <w:spacing w:after="0" w:line="13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expect the actions initiated in the first six months of 2010 to result in net workforce reductions of approximately 2,400 hourly and salaried employees, the exiting of approximately 2.8 million net square feet of facilities and the disposal of assets associated with the exited facilities. As of June 30, 2010, we have completed net workforce reductions of approximately 900 employees. We are targeting the majority of the remaining workforce and all facility related cost reduction actions for completion during 2010 and 2011. No specific plans for significant other actions have been finalized at this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2010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Write-Downs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Costs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March 31, 2010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5440" w:type="dxa"/>
            <w:vAlign w:val="bottom"/>
            <w:gridSpan w:val="3"/>
          </w:tcPr>
          <w:p>
            <w:pPr>
              <w:spacing w:after="0"/>
              <w:rPr>
                <w:sz w:val="20"/>
                <w:szCs w:val="20"/>
                <w:color w:val="auto"/>
              </w:rPr>
            </w:pPr>
            <w:r>
              <w:rPr>
                <w:rFonts w:ascii="Arial" w:cs="Arial" w:eastAsia="Arial" w:hAnsi="Arial"/>
                <w:sz w:val="18"/>
                <w:szCs w:val="18"/>
                <w:color w:val="auto"/>
              </w:rPr>
              <w:t>Balance at June 30, 2010</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3"/>
              </w:rPr>
              <w:t>Facility Exit and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44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4"/>
                <w:szCs w:val="1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7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2010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Balance at June 30, 2010</w:t>
            </w: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480" w:type="dxa"/>
            <w:vAlign w:val="bottom"/>
            <w:gridSpan w:val="17"/>
          </w:tcPr>
          <w:p>
            <w:pPr>
              <w:spacing w:after="0"/>
              <w:rPr>
                <w:sz w:val="20"/>
                <w:szCs w:val="20"/>
                <w:color w:val="auto"/>
              </w:rPr>
            </w:pPr>
            <w:r>
              <w:rPr>
                <w:rFonts w:ascii="Arial" w:cs="Arial" w:eastAsia="Arial" w:hAnsi="Arial"/>
                <w:sz w:val="18"/>
                <w:szCs w:val="18"/>
                <w:color w:val="auto"/>
                <w:w w:val="89"/>
              </w:rPr>
              <w:t>The following table summarizes expected, incurred and remaining costs for the 2010 restructuring actions by segment:</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5"/>
          </w:tcPr>
          <w:p>
            <w:pPr>
              <w:ind w:left="2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24"/>
                <w:szCs w:val="2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Costs Incurred</w:t>
            </w:r>
          </w:p>
        </w:tc>
        <w:tc>
          <w:tcPr>
            <w:tcW w:w="8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7"/>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2"/>
                <w:szCs w:val="12"/>
                <w:color w:val="auto"/>
              </w:rPr>
            </w:pPr>
          </w:p>
        </w:tc>
        <w:tc>
          <w:tcPr>
            <w:tcW w:w="17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82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81"/>
              </w:rPr>
              <w:t>Expected Costs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March 31, 2010</w:t>
            </w:r>
          </w:p>
        </w:tc>
        <w:tc>
          <w:tcPr>
            <w:tcW w:w="22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June 30, 2010</w:t>
            </w: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w w:val="85"/>
              </w:rPr>
              <w:t>June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3"/>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During the first six months of 2010, we recorded net pre-tax restructuring and other costs and reversals totaling $35 million for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2009, including $23 million in cost of sales, $11 million in selling, general and administrative expenses and $1 million in other income, net. The 2009 actions relate to ongoing cost reduction efforts, including workforce reductions, the consolidation of field operations and the consolidation of repair and overhaul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June 30, 2010, we have completed net workforce reductions of approximately 12,800 employees of an expected 14,500 employees, and have exited 1.1 million net square feet of facilities of an expected 4.6 million net square feet. We are targeting the majority of the remaining workforce and all facility related cost reduction actions for completion during 2010 and 2011.</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previously disclosed, in September 2009, Pratt &amp; Whitney announced plans to close a Connecticut repair facility by the second quarter of 2010 and a Connecticut engine overhaul facility by early 2011. The International Association of Machinists (IAM) subsequently filed a lawsuit in U.S. District Court alleging that Pratt &amp; Whitney’s decision to close these facilities and transfer certain work to other facilities breached the terms of its collective bargaining agreement with the IAM and seeking to enjoin Pratt &amp; Whitney from moving the work for the duration of the collective bargaining agreement. In February 2010, the District Court issued a judgment enjoining Pratt &amp; Whitney from closing the facilities and transferring the work for the duration of the current collective bargaining agreement, which expires on December 5, 2010. Pratt &amp; Whitney subsequently appealed the decision. On July 8, 2010, the Second Circuit Court of Appeals upheld the District Court’s decision. Pratt &amp; Whitney is reviewing this decision and considering its impact on Pratt &amp; Whitney’s operations. Pratt &amp; Whitney recorded $53 million of restructuring costs in 2009 and $5 million of restructuring costs in 2010 associated with these planned closures. We do not believe that resolution of this matter will have a material adverse effect upon our competitive position, results of operations, cash flows or financial condition.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2009 restructuring actions:</w:t>
      </w:r>
    </w:p>
    <w:p>
      <w:pPr>
        <w:sectPr>
          <w:pgSz w:w="11900" w:h="16838" w:orient="portrait"/>
          <w:cols w:equalWidth="0" w:num="1">
            <w:col w:w="11400"/>
          </w:cols>
          <w:pgMar w:left="240" w:top="459" w:right="259" w:bottom="1440" w:gutter="0" w:footer="0" w:header="0"/>
        </w:sectPr>
      </w:pP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Facility Exit and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4"/>
              </w:rPr>
              <w:t>Asset</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Lease Termination</w:t>
            </w:r>
          </w:p>
        </w:tc>
        <w:tc>
          <w:tcPr>
            <w:tcW w:w="0" w:type="dxa"/>
            <w:vAlign w:val="bottom"/>
          </w:tcPr>
          <w:p>
            <w:pPr>
              <w:spacing w:after="0"/>
              <w:rPr>
                <w:sz w:val="1"/>
                <w:szCs w:val="1"/>
                <w:color w:val="auto"/>
              </w:rPr>
            </w:pP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w:t>
            </w: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Severance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Write-Downs</w:t>
            </w: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Costs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420" w:type="dxa"/>
            <w:vAlign w:val="bottom"/>
            <w:gridSpan w:val="2"/>
          </w:tcPr>
          <w:p>
            <w:pPr>
              <w:spacing w:after="0" w:line="201" w:lineRule="exact"/>
              <w:rPr>
                <w:sz w:val="20"/>
                <w:szCs w:val="20"/>
                <w:color w:val="auto"/>
              </w:rPr>
            </w:pPr>
            <w:r>
              <w:rPr>
                <w:rFonts w:ascii="Arial" w:cs="Arial" w:eastAsia="Arial" w:hAnsi="Arial"/>
                <w:sz w:val="18"/>
                <w:szCs w:val="18"/>
                <w:color w:val="auto"/>
              </w:rPr>
              <w:t>Restructuring accruals at March 31, 2010</w:t>
            </w:r>
          </w:p>
        </w:tc>
        <w:tc>
          <w:tcPr>
            <w:tcW w:w="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228</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6"/>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Utilization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2010</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gridSpan w:val="2"/>
            <w:vMerge w:val="continue"/>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-591185</wp:posOffset>
            </wp:positionV>
            <wp:extent cx="6663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-316865</wp:posOffset>
            </wp:positionV>
            <wp:extent cx="66636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Facility Exit and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Lease Termination</w:t>
            </w:r>
          </w:p>
        </w:tc>
        <w:tc>
          <w:tcPr>
            <w:tcW w:w="0" w:type="dxa"/>
            <w:vAlign w:val="bottom"/>
          </w:tcPr>
          <w:p>
            <w:pPr>
              <w:spacing w:after="0"/>
              <w:rPr>
                <w:sz w:val="1"/>
                <w:szCs w:val="1"/>
                <w:color w:val="auto"/>
              </w:rPr>
            </w:pPr>
          </w:p>
        </w:tc>
      </w:tr>
      <w:tr>
        <w:trPr>
          <w:trHeight w:val="16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Expected</w:t>
            </w:r>
          </w:p>
        </w:tc>
        <w:tc>
          <w:tcPr>
            <w:tcW w:w="4640" w:type="dxa"/>
            <w:vAlign w:val="bottom"/>
          </w:tcPr>
          <w:p>
            <w:pPr>
              <w:spacing w:after="0" w:line="201" w:lineRule="exact"/>
              <w:rPr>
                <w:sz w:val="20"/>
                <w:szCs w:val="20"/>
                <w:color w:val="auto"/>
              </w:rPr>
            </w:pPr>
            <w:r>
              <w:rPr>
                <w:rFonts w:ascii="Arial" w:cs="Arial" w:eastAsia="Arial" w:hAnsi="Arial"/>
                <w:sz w:val="18"/>
                <w:szCs w:val="18"/>
                <w:color w:val="auto"/>
              </w:rPr>
              <w:t>costs</w:t>
            </w: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713</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2009</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2010</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2010</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Remaining costs at June 30, 2010</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-728345</wp:posOffset>
            </wp:positionV>
            <wp:extent cx="66636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-454025</wp:posOffset>
            </wp:positionV>
            <wp:extent cx="666369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-162560</wp:posOffset>
            </wp:positionV>
            <wp:extent cx="666369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expected, incurred and remaining costs for the 2009 restructuring actions by segment:</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Costs Incurred</w:t>
            </w:r>
          </w:p>
        </w:tc>
        <w:tc>
          <w:tcPr>
            <w:tcW w:w="3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3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through</w:t>
            </w:r>
          </w:p>
        </w:tc>
        <w:tc>
          <w:tcPr>
            <w:tcW w:w="3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0" w:type="dxa"/>
            <w:vAlign w:val="bottom"/>
          </w:tcPr>
          <w:p>
            <w:pPr>
              <w:spacing w:after="0"/>
              <w:rPr>
                <w:sz w:val="1"/>
                <w:szCs w:val="1"/>
                <w:color w:val="auto"/>
              </w:rPr>
            </w:pP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w:t>
            </w:r>
          </w:p>
        </w:tc>
        <w:tc>
          <w:tcPr>
            <w:tcW w:w="25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Expected Costs</w:t>
            </w:r>
          </w:p>
        </w:tc>
        <w:tc>
          <w:tcPr>
            <w:tcW w:w="580" w:type="dxa"/>
            <w:vAlign w:val="bottom"/>
            <w:gridSpan w:val="2"/>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December 31, 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June 30, 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Otis</w:t>
            </w:r>
          </w:p>
        </w:tc>
        <w:tc>
          <w:tcPr>
            <w:tcW w:w="254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162</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(157)</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jc w:val="right"/>
              <w:ind w:right="21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UTC Fire &amp; Security</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3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60" w:type="dxa"/>
            <w:vAlign w:val="bottom"/>
            <w:gridSpan w:val="2"/>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(802)</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416"/>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-1515745</wp:posOffset>
            </wp:positionV>
            <wp:extent cx="66636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-1241425</wp:posOffset>
            </wp:positionV>
            <wp:extent cx="666369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-967105</wp:posOffset>
            </wp:positionV>
            <wp:extent cx="666369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-692785</wp:posOffset>
            </wp:positionV>
            <wp:extent cx="66636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-401320</wp:posOffset>
            </wp:positionV>
            <wp:extent cx="66636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4"/>
          <w:szCs w:val="14"/>
          <w:b w:val="1"/>
          <w:bCs w:val="1"/>
          <w:u w:val="single" w:color="auto"/>
          <w:color w:val="auto"/>
        </w:rPr>
        <w:t>Total</w:t>
      </w:r>
    </w:p>
    <w:p>
      <w:pPr>
        <w:spacing w:after="0" w:line="13" w:lineRule="exact"/>
        <w:rPr>
          <w:sz w:val="20"/>
          <w:szCs w:val="20"/>
          <w:color w:val="auto"/>
        </w:rPr>
      </w:pPr>
    </w:p>
    <w:p>
      <w:pPr>
        <w:ind w:left="420" w:hanging="9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244</w:t>
      </w:r>
    </w:p>
    <w:p>
      <w:pPr>
        <w:spacing w:after="0" w:line="30"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wp:posOffset>
            </wp:positionV>
            <wp:extent cx="231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27940</wp:posOffset>
            </wp:positionV>
            <wp:extent cx="231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0</wp:posOffset>
            </wp:positionV>
            <wp:extent cx="266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ind w:left="420" w:hanging="14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900</w:t>
      </w:r>
    </w:p>
    <w:p>
      <w:pPr>
        <w:spacing w:after="0" w:line="7"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6"/>
          <w:szCs w:val="16"/>
          <w:color w:val="auto"/>
        </w:rPr>
        <w:t>(802)</w:t>
      </w:r>
    </w:p>
    <w:p>
      <w:pPr>
        <w:spacing w:after="0" w:line="3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6985</wp:posOffset>
            </wp:positionV>
            <wp:extent cx="2660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jc w:val="center"/>
        <w:ind w:right="260"/>
        <w:spacing w:after="0"/>
        <w:tabs>
          <w:tab w:leader="none" w:pos="1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27940</wp:posOffset>
            </wp:positionV>
            <wp:extent cx="2660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Remaining</w:t>
      </w:r>
    </w:p>
    <w:p>
      <w:pPr>
        <w:jc w:val="center"/>
        <w:ind w:right="440"/>
        <w:spacing w:after="0" w:line="223" w:lineRule="auto"/>
        <w:rPr>
          <w:sz w:val="20"/>
          <w:szCs w:val="20"/>
          <w:color w:val="auto"/>
        </w:rPr>
      </w:pPr>
      <w:r>
        <w:rPr>
          <w:rFonts w:ascii="Arial" w:cs="Arial" w:eastAsia="Arial" w:hAnsi="Arial"/>
          <w:sz w:val="14"/>
          <w:szCs w:val="14"/>
          <w:b w:val="1"/>
          <w:bCs w:val="1"/>
          <w:color w:val="auto"/>
        </w:rPr>
        <w:t>Costs at</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u w:val="single" w:color="auto"/>
          <w:color w:val="auto"/>
        </w:rPr>
        <w:t>June 30, 2010</w:t>
      </w:r>
    </w:p>
    <w:p>
      <w:pPr>
        <w:spacing w:after="0" w:line="22" w:lineRule="exact"/>
        <w:rPr>
          <w:sz w:val="20"/>
          <w:szCs w:val="20"/>
          <w:color w:val="auto"/>
        </w:rPr>
      </w:pPr>
    </w:p>
    <w:p>
      <w:pPr>
        <w:ind w:left="720" w:hanging="716"/>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3</w:t>
      </w:r>
    </w:p>
    <w:p>
      <w:pPr>
        <w:spacing w:after="0" w:line="53"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6"/>
          <w:szCs w:val="16"/>
          <w:color w:val="auto"/>
        </w:rPr>
        <w:t>19</w:t>
      </w:r>
    </w:p>
    <w:p>
      <w:pPr>
        <w:spacing w:after="0" w:line="32"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4"/>
          <w:szCs w:val="14"/>
          <w:color w:val="auto"/>
        </w:rPr>
        <w:t>6</w:t>
      </w:r>
    </w:p>
    <w:p>
      <w:pPr>
        <w:spacing w:after="0" w:line="55"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6"/>
          <w:szCs w:val="16"/>
          <w:color w:val="auto"/>
        </w:rPr>
        <w:t>24</w:t>
      </w:r>
    </w:p>
    <w:p>
      <w:pPr>
        <w:spacing w:after="0" w:line="32"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4"/>
          <w:szCs w:val="14"/>
          <w:color w:val="auto"/>
        </w:rPr>
        <w:t>11</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5060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0" w:lineRule="exact"/>
        <w:rPr>
          <w:sz w:val="20"/>
          <w:szCs w:val="20"/>
          <w:color w:val="auto"/>
        </w:rPr>
      </w:pPr>
    </w:p>
    <w:p>
      <w:pPr>
        <w:ind w:left="620" w:hanging="616"/>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5060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42545</wp:posOffset>
            </wp:positionV>
            <wp:extent cx="5060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9840" w:space="320"/>
            <w:col w:w="124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As of June 30, 2010, we have approximately $28 million of accrual balances remaining related to 2008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 into derivative instruments for risk management purposes only, including derivatives designated as hedging instruments under the Derivatives and Hedging Topic of the Financial Accounting Standards Board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By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deemed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$8.8 billion and $9.0 billion at June 30, 2010 and December 31, 2009, respectively.</w:t>
      </w:r>
    </w:p>
    <w:p>
      <w:pPr>
        <w:spacing w:after="0" w:line="12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 commodities (e.g.,</w:t>
      </w:r>
      <w:r>
        <w:rPr>
          <w:rFonts w:ascii="Arial" w:cs="Arial" w:eastAsia="Arial" w:hAnsi="Arial"/>
          <w:sz w:val="16"/>
          <w:szCs w:val="16"/>
          <w:b w:val="1"/>
          <w:bCs w:val="1"/>
          <w:color w:val="auto"/>
        </w:rPr>
        <w:t xml:space="preserve"> </w:t>
      </w:r>
      <w:r>
        <w:rPr>
          <w:rFonts w:ascii="Arial" w:cs="Arial" w:eastAsia="Arial" w:hAnsi="Arial"/>
          <w:sz w:val="16"/>
          <w:szCs w:val="16"/>
          <w:color w:val="auto"/>
        </w:rPr>
        <w:t>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and outstanding notional amount of contracts hedging commodity exposures were insignificant at June 30, 2010 and December 31, 2009, respectively.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derivative instruments as of June 30, 2010 and December 31,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Pr>
          <w:p>
            <w:pPr>
              <w:spacing w:after="0"/>
              <w:rPr>
                <w:sz w:val="20"/>
                <w:szCs w:val="20"/>
                <w:color w:val="auto"/>
              </w:rPr>
            </w:pPr>
            <w:r>
              <w:rPr>
                <w:rFonts w:ascii="Arial" w:cs="Arial" w:eastAsia="Arial" w:hAnsi="Arial"/>
                <w:sz w:val="14"/>
                <w:szCs w:val="14"/>
                <w:b w:val="1"/>
                <w:bCs w:val="1"/>
                <w:color w:val="auto"/>
                <w:w w:val="96"/>
              </w:rPr>
              <w:t>Balance Sheet Asset Location</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2010</w:t>
            </w:r>
          </w:p>
        </w:tc>
        <w:tc>
          <w:tcPr>
            <w:tcW w:w="3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1940" w:type="dxa"/>
            <w:vAlign w:val="bottom"/>
          </w:tcPr>
          <w:p>
            <w:pPr>
              <w:spacing w:after="0"/>
              <w:rPr>
                <w:sz w:val="20"/>
                <w:szCs w:val="20"/>
                <w:color w:val="auto"/>
              </w:rPr>
            </w:pPr>
            <w:r>
              <w:rPr>
                <w:rFonts w:ascii="Arial" w:cs="Arial" w:eastAsia="Arial" w:hAnsi="Arial"/>
                <w:sz w:val="18"/>
                <w:szCs w:val="18"/>
                <w:color w:val="auto"/>
              </w:rPr>
              <w:t>Other assets, current</w:t>
            </w:r>
          </w:p>
        </w:tc>
        <w:tc>
          <w:tcPr>
            <w:tcW w:w="226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1940" w:type="dxa"/>
            <w:vAlign w:val="bottom"/>
          </w:tcPr>
          <w:p>
            <w:pPr>
              <w:spacing w:after="0"/>
              <w:rPr>
                <w:sz w:val="20"/>
                <w:szCs w:val="20"/>
                <w:color w:val="auto"/>
              </w:rPr>
            </w:pPr>
            <w:r>
              <w:rPr>
                <w:rFonts w:ascii="Arial" w:cs="Arial" w:eastAsia="Arial" w:hAnsi="Arial"/>
                <w:sz w:val="18"/>
                <w:szCs w:val="18"/>
                <w:color w:val="auto"/>
              </w:rPr>
              <w:t>Other assets, current</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19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89"/>
              </w:rPr>
              <w:t>Balance Sheet Liability Location</w:t>
            </w: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1940" w:type="dxa"/>
            <w:vAlign w:val="bottom"/>
          </w:tcPr>
          <w:p>
            <w:pPr>
              <w:spacing w:after="0"/>
              <w:rPr>
                <w:sz w:val="20"/>
                <w:szCs w:val="20"/>
                <w:color w:val="auto"/>
              </w:rPr>
            </w:pPr>
            <w:r>
              <w:rPr>
                <w:rFonts w:ascii="Arial" w:cs="Arial" w:eastAsia="Arial" w:hAnsi="Arial"/>
                <w:sz w:val="18"/>
                <w:szCs w:val="18"/>
                <w:color w:val="auto"/>
              </w:rPr>
              <w:t>Accrued liabilities</w:t>
            </w:r>
          </w:p>
        </w:tc>
        <w:tc>
          <w:tcPr>
            <w:tcW w:w="2260" w:type="dxa"/>
            <w:vAlign w:val="bottom"/>
            <w:gridSpan w:val="3"/>
          </w:tcPr>
          <w:p>
            <w:pPr>
              <w:ind w:left="19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long-term liabilities</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1940" w:type="dxa"/>
            <w:vAlign w:val="bottom"/>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long-term liabilities</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Liability Derivative Contracts</w:t>
            </w:r>
          </w:p>
        </w:tc>
        <w:tc>
          <w:tcPr>
            <w:tcW w:w="19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5"/>
              </w:rPr>
              <w:t>Quarter Ended June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89"/>
              </w:rPr>
              <w:t>2010</w:t>
            </w: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recorded in Accumulated other comprehensive loss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3"/>
              </w:rPr>
              <w:t>Gain (loss) reclassified from Accumulated other comprehensive loss into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Product sales (effective portion)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Loss recognized in Other income, net on derivatives (ineffective portion)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Assuming current market conditions continue, a $69 million pre-tax gain is expected to be reclassified from Accumulated other comprehensive loss into Product sales to reflect the fixed prices obtained from foreign exchange hedging within the next 12 months. At June 30, 2010, all derivative contracts accounted for as cash flow hedges mature by May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effect on the Condensed Consolidated Statement of Operations from foreign exchange contracts not designated as hedging instruments was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5"/>
              </w:rPr>
              <w:t>Quarter Ended June 30,</w:t>
            </w:r>
          </w:p>
        </w:tc>
        <w:tc>
          <w:tcPr>
            <w:tcW w:w="120" w:type="dxa"/>
            <w:vAlign w:val="bottom"/>
          </w:tcPr>
          <w:p>
            <w:pPr>
              <w:spacing w:after="0"/>
              <w:rPr>
                <w:sz w:val="14"/>
                <w:szCs w:val="14"/>
                <w:color w:val="auto"/>
              </w:rPr>
            </w:pPr>
          </w:p>
        </w:tc>
        <w:tc>
          <w:tcPr>
            <w:tcW w:w="20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2009</w:t>
            </w: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recognized in Other income, net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Fair Value Disclosure. </w:t>
      </w:r>
      <w:r>
        <w:rPr>
          <w:rFonts w:ascii="Arial" w:cs="Arial" w:eastAsia="Arial" w:hAnsi="Arial"/>
          <w:sz w:val="18"/>
          <w:szCs w:val="18"/>
          <w:color w:val="auto"/>
        </w:rPr>
        <w:t>The Fair Value Measurements and Disclosures Topic of the FASB ASC defines fair value, establishes a framework for measuring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expands the related disclosure requirements. The Topic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also defines fair value based upon an exit price model.</w:t>
      </w:r>
    </w:p>
    <w:p>
      <w:pPr>
        <w:spacing w:after="0" w:line="14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June 30, 2010, we had certain non-recurring measurements resulting in asset impairment charges of approximately $86 million related primarily to the expected disposition of certain businesses within both Carrier and Hamilton Sundstrand. For additional discussion refer to Note 1 to the Condensed Consolidated Financial Statements.</w:t>
      </w:r>
    </w:p>
    <w:p>
      <w:pPr>
        <w:spacing w:after="0" w:line="13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Valuation Hierarchy. </w:t>
      </w:r>
      <w:r>
        <w:rPr>
          <w:rFonts w:ascii="Arial" w:cs="Arial" w:eastAsia="Arial" w:hAnsi="Arial"/>
          <w:sz w:val="16"/>
          <w:szCs w:val="16"/>
          <w:color w:val="auto"/>
        </w:rPr>
        <w:t>The Fair Value Measurements and Disclosure Topic of the FASB ASC establishes a valuation hierarchy for disclosure of the inputs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quoted prices for identical or similar assets in markets that are not active, inputs other than quoted prices that are observable for the asset or liability, including interest rates, yield curves and credit risks, or inputs that are derived principally from or corroborated by observable market data through correlation.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1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January 2010, the FASB issued Accounting Standards Update (ASU) No. 2010-6, “Improving Disclosures about Fair Value Measurements,” which requires interim disclosures regarding significant transfers in and out of Level 1 and Level 2 fair value measurements. Additionally, this ASU requires disclosure for each class of assets and liabilities and disclosures about the valuation techniques and inputs used to measure fair value for both recurring and non-recurring fair value measurements. These disclosures are required for fair value measurements that fall in either Level 2 or Level 3. Further, the ASU requires separate presentation of Level 3 activity for the fair value measurements. We adopted the interim disclosure requirements under this Topic during the quarter ended March 31, 2010, with the exception of the separate presentation in the Level 3 activity rollforward, which is not effective until fiscal years beginning after December 15, 2010 and for interim periods within those fiscal years.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provides the assets and liabilities carried at fair value measured on a recurring basis as of June 30, 2010 and December 31, 2009:</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Total Carrying</w:t>
            </w:r>
          </w:p>
        </w:tc>
        <w:tc>
          <w:tcPr>
            <w:tcW w:w="16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Quoted price in</w:t>
            </w:r>
          </w:p>
        </w:tc>
        <w:tc>
          <w:tcPr>
            <w:tcW w:w="17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Significant other</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Value at</w:t>
            </w:r>
          </w:p>
        </w:tc>
        <w:tc>
          <w:tcPr>
            <w:tcW w:w="16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7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June 30, 2010</w:t>
            </w:r>
          </w:p>
        </w:tc>
        <w:tc>
          <w:tcPr>
            <w:tcW w:w="160" w:type="dxa"/>
            <w:vAlign w:val="bottom"/>
          </w:tcPr>
          <w:p>
            <w:pPr>
              <w:spacing w:after="0"/>
              <w:rPr>
                <w:sz w:val="14"/>
                <w:szCs w:val="14"/>
                <w:color w:val="auto"/>
              </w:rPr>
            </w:pPr>
          </w:p>
        </w:tc>
        <w:tc>
          <w:tcPr>
            <w:tcW w:w="15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ind w:left="60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Total Carrying</w:t>
            </w:r>
          </w:p>
        </w:tc>
        <w:tc>
          <w:tcPr>
            <w:tcW w:w="16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Quoted price in</w:t>
            </w:r>
          </w:p>
        </w:tc>
        <w:tc>
          <w:tcPr>
            <w:tcW w:w="17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Significant other</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Value at</w:t>
            </w:r>
          </w:p>
        </w:tc>
        <w:tc>
          <w:tcPr>
            <w:tcW w:w="16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7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4"/>
                <w:szCs w:val="14"/>
                <w:color w:val="auto"/>
              </w:rPr>
            </w:pPr>
          </w:p>
        </w:tc>
        <w:tc>
          <w:tcPr>
            <w:tcW w:w="18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4"/>
              </w:rPr>
              <w:t>December 31, 2009</w:t>
            </w:r>
          </w:p>
        </w:tc>
        <w:tc>
          <w:tcPr>
            <w:tcW w:w="160" w:type="dxa"/>
            <w:vAlign w:val="bottom"/>
          </w:tcPr>
          <w:p>
            <w:pPr>
              <w:spacing w:after="0"/>
              <w:rPr>
                <w:sz w:val="14"/>
                <w:szCs w:val="14"/>
                <w:color w:val="auto"/>
              </w:rPr>
            </w:pPr>
          </w:p>
        </w:tc>
        <w:tc>
          <w:tcPr>
            <w:tcW w:w="15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ind w:left="60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 for sale securities include equity investments that are traded in active markets, either domestically or internationally.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measured at fair value using closing stock prices from active markets and are classified within Level 1 of the valuation hierarchy.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June 30, 2010, there were no significant transfers in and out of Level 1 and Level 2.</w:t>
      </w:r>
    </w:p>
    <w:p>
      <w:pPr>
        <w:spacing w:after="0" w:line="11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June 30, 2010,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carrying amounts and fair values of financial instruments that are not carried at fair value at June 30, 2010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2010</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40" w:type="dxa"/>
            <w:vAlign w:val="bottom"/>
            <w:tcBorders>
              <w:top w:val="single" w:sz="8" w:color="auto"/>
            </w:tcBorders>
            <w:gridSpan w:val="3"/>
          </w:tcPr>
          <w:p>
            <w:pPr>
              <w:jc w:val="right"/>
              <w:ind w:right="740"/>
              <w:spacing w:after="0" w:line="129" w:lineRule="exact"/>
              <w:rPr>
                <w:sz w:val="20"/>
                <w:szCs w:val="20"/>
                <w:color w:val="auto"/>
              </w:rPr>
            </w:pPr>
            <w:r>
              <w:rPr>
                <w:rFonts w:ascii="Arial" w:cs="Arial" w:eastAsia="Arial" w:hAnsi="Arial"/>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68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3"/>
              </w:rPr>
              <w:t>Amount</w:t>
            </w:r>
          </w:p>
        </w:tc>
        <w:tc>
          <w:tcPr>
            <w:tcW w:w="80" w:type="dxa"/>
            <w:vAlign w:val="bottom"/>
          </w:tcPr>
          <w:p>
            <w:pPr>
              <w:spacing w:after="0"/>
              <w:rPr>
                <w:sz w:val="14"/>
                <w:szCs w:val="14"/>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receivables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430</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Customer financing notes receivable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(excluding capitalized leases)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(10,589)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(12,076)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(10,361)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above fair values were computed based on comparable transactions, quoted market prices, discounted future cash flows or an estimate of the amount to be received or paid to terminate or settle the agreement, as applicable. Differences from carrying amounts are attributable to interest and or credit rate changes subsequent to when the transaction occurred. The fair values of Cash and cash equivalents, Accounts receivable, net, Short-term borrowings, and Accounts payable approximate the carrying amounts due to the short-term maturities of these instruments.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outstanding financing and rental commitments totaling $875 million at June 30, 2010.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commitments themselves are not readily determinable and are not considered significant.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Shareowners’ Equity and Noncontrolling Interest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and six months ended June 30, 2010 and 2009 is provided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Quarter Ended June 30,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Shareowners’</w:t>
            </w:r>
          </w:p>
        </w:tc>
        <w:tc>
          <w:tcPr>
            <w:tcW w:w="30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894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w w:val="99"/>
              </w:rPr>
              <w:t>(Decreases) increases in unrealized gains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from available-for-sale securities, net</w:t>
            </w: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Cash flow hedging (losses) gains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Change in pension and post-retirement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benefit 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580" w:type="dxa"/>
            <w:vAlign w:val="bottom"/>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contributed to pension plans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subsidiary shares from noncontrolling</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Acquired noncontrolling interest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in subsidiaries’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64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640" w:type="dxa"/>
            <w:vAlign w:val="bottom"/>
            <w:gridSpan w:val="3"/>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19,933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982</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20,915</w:t>
            </w:r>
          </w:p>
        </w:tc>
        <w:tc>
          <w:tcPr>
            <w:tcW w:w="240" w:type="dxa"/>
            <w:vAlign w:val="bottom"/>
          </w:tcPr>
          <w:p>
            <w:pPr>
              <w:spacing w:after="0"/>
              <w:rPr>
                <w:sz w:val="24"/>
                <w:szCs w:val="24"/>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17,236</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851</w:t>
            </w:r>
          </w:p>
        </w:tc>
        <w:tc>
          <w:tcPr>
            <w:tcW w:w="4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86"/>
              </w:rPr>
              <w:t>Six Months Ended June 30,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$20,999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918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167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Increases in unrealized gains from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available-for-sale securities, net</w:t>
            </w: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Cash flow hedging (losses) gains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Change in pension and post-retirement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benefit 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135</w:t>
            </w:r>
          </w:p>
        </w:tc>
        <w:tc>
          <w:tcPr>
            <w:tcW w:w="580" w:type="dxa"/>
            <w:vAlign w:val="bottom"/>
          </w:tcPr>
          <w:p>
            <w:pPr>
              <w:jc w:val="right"/>
              <w:spacing w:after="0"/>
              <w:rPr>
                <w:sz w:val="20"/>
                <w:szCs w:val="20"/>
                <w:color w:val="auto"/>
              </w:rPr>
            </w:pPr>
            <w:r>
              <w:rPr>
                <w:rFonts w:ascii="Arial" w:cs="Arial" w:eastAsia="Arial" w:hAnsi="Arial"/>
                <w:sz w:val="18"/>
                <w:szCs w:val="18"/>
                <w:color w:val="auto"/>
              </w:rPr>
              <w:t>1,360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141</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contributed to pension plans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subsidiary shares from noncontrolling</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noncontrolling interest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Redeemable noncontrolling interest in subsidiaries’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64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comprehensive (loss) income</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20,915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851</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2009, we adopted the FASB ASU for redeemable equity instruments, applicable for all noncontrolling interests with redemption features, such as put options, that are not solely within our control (redeemable noncontrolling interests). The standards require redeemable noncontrolling interests to be reported in the mezzanine section of the balance sheet, between liabilities and equity, at the greater of redemption value or initial carrying value. As a result of this adoption, we have retroactively reclassified “Redeemable noncontrolling interests” in the mezzanine section of the balance sheet and have increased them to redemption value, where required, resulting in a $319 million reclassification from total equity at June 30,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balance sheet for the quarters and six months ended June 30, 2010 and 2009 is provided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5"/>
              </w:rPr>
              <w:t>Quarter Ended June 30,</w:t>
            </w:r>
          </w:p>
        </w:tc>
        <w:tc>
          <w:tcPr>
            <w:tcW w:w="14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2010</w:t>
            </w: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noncontrolling interest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Purchase of subsidiary shares from noncontrolling interest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0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00" w:type="dxa"/>
            <w:vAlign w:val="bottom"/>
            <w:gridSpan w:val="3"/>
          </w:tcPr>
          <w:p>
            <w:pPr>
              <w:spacing w:after="0"/>
              <w:rPr>
                <w:sz w:val="20"/>
                <w:szCs w:val="20"/>
                <w:color w:val="auto"/>
              </w:rPr>
            </w:pPr>
            <w:r>
              <w:rPr>
                <w:rFonts w:ascii="Arial" w:cs="Arial" w:eastAsia="Arial" w:hAnsi="Arial"/>
                <w:sz w:val="18"/>
                <w:szCs w:val="18"/>
                <w:color w:val="auto"/>
              </w:rPr>
              <w:t>Redeemable noncontrolling interest,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7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319</w:t>
            </w:r>
          </w:p>
        </w:tc>
        <w:tc>
          <w:tcPr>
            <w:tcW w:w="6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Consistent with the requirements under the Business Combinations Topic of the FASB ASC and the accounting for noncontrolling interests in consolidated financial statements, 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and six months ended June 30, 2010 and 2009 is provided below:</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4"/>
                <w:szCs w:val="14"/>
                <w:b w:val="1"/>
                <w:bCs w:val="1"/>
                <w:color w:val="auto"/>
              </w:rPr>
              <w:t>Quarter Ended 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976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323"/>
        </w:trPr>
        <w:tc>
          <w:tcPr>
            <w:tcW w:w="6460" w:type="dxa"/>
            <w:vAlign w:val="bottom"/>
            <w:gridSpan w:val="3"/>
          </w:tcPr>
          <w:p>
            <w:pPr>
              <w:spacing w:after="0"/>
              <w:rPr>
                <w:sz w:val="20"/>
                <w:szCs w:val="20"/>
                <w:color w:val="auto"/>
              </w:rPr>
            </w:pPr>
            <w:r>
              <w:rPr>
                <w:rFonts w:ascii="Arial" w:cs="Arial" w:eastAsia="Arial" w:hAnsi="Arial"/>
                <w:sz w:val="18"/>
                <w:szCs w:val="18"/>
                <w:color w:val="auto"/>
                <w:w w:val="99"/>
              </w:rPr>
              <w:t>Transfers to noncontrolling interests - Decrease in common stock for purchase of</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Arial" w:cs="Arial" w:eastAsia="Arial" w:hAnsi="Arial"/>
                <w:sz w:val="18"/>
                <w:szCs w:val="18"/>
                <w:color w:val="auto"/>
              </w:rPr>
              <w:t>subsidiary shares</w:t>
            </w:r>
          </w:p>
        </w:tc>
        <w:tc>
          <w:tcPr>
            <w:tcW w:w="12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from net income attributable to common shareowners and transfers to</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976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2009.</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six months ended June 30, 2010 and 2009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Collaborative Arrangements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generated from engine programs, spare parts sales, and aftermarket business under collaboration arrangements are recorded as earned in our financial statements. Amounts attributable to our collaborative partners for their share of revenues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June 30, 2010, the collaborators’ interests in all commercial engine programs ranged from 12 percent to 48 percent. Pratt &amp; Whitney directs those programs and is the principal participant in all existing collaborative arrangements. There are no individually significant collaborative arrangements and none of the partners exceed 31 percent share in an individual program.</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16 of the Notes to the Consolidated Financial Statements in our 2009 Annual Report, incorporated by reference in our 2009 Form 10-K, updated as applicable.</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color w:val="auto"/>
        </w:rPr>
        <w:t>later under the contracts. Both the DOJ and UTC have appealed the decision.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previously disclosed, in December 2008, the Department of Defense (DOD) issued a contract claim against Sikorsky to recover overpayments the DOD alleges it has incurred since 2003 in connection with cost accounting changes approved by the DOD and implemented by Sikorsky in 1999 and 2006. These changes relate to the calculation of material overhead rates in government contracts. The DOD claimed that Sikorsky’s liability is approximately $86 million (including interest through June 2010). We believe this claim is without merit and Sikorsky filed an appeal in December 2009 with the U.S. Court of Federal Claims.</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w:t>
      </w:r>
    </w:p>
    <w:p>
      <w:pPr>
        <w:spacing w:after="0" w:line="126"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and six months ended June 30, 2010 and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4"/>
                <w:szCs w:val="14"/>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Revenues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Operating Profits</w:t>
            </w: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42"/>
        </w:trPr>
        <w:tc>
          <w:tcPr>
            <w:tcW w:w="4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631</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3,100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260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3,298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3,111</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467</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15.8%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187</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1,389</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133</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13,956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13,284</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1,733</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16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13,890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13,196</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1,925</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1,637</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Revenues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Operating Profits</w:t>
            </w:r>
          </w:p>
        </w:tc>
        <w:tc>
          <w:tcPr>
            <w:tcW w:w="2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42"/>
        </w:trPr>
        <w:tc>
          <w:tcPr>
            <w:tcW w:w="4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5,617</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1,137</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5,564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5,587</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282</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2,616</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6,291</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903</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2,783</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379</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2,723</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249</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26,146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25,617</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3,098</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(167)</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16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25,981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25,445</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2,887</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13.3%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and other costs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Accounting Pronouncements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2009, the FASB issued ASU No. 2009-13, “Multiple-Deliverable Revenue Arrangements.” This ASU establishes the accounting and reporting guidance for arrangements including multiple revenue-generating activities. This ASU provides amendments to the criteria for separating deliverables, measuring and allocating arrangement consideration to one or more units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accounting. The amendments in this ASU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disclosure of the significant judgments made and changes to those judgments and how the application of the relative selling-price method affects the timing or amount of revenue recognition. The amendments in this ASU are effective prospectively for revenue arrangements entered into or materially modified in the fiscal years beginning on or after June 15, 2010. Early application is permitted. We have evaluated this new ASU and have determined that it will not have a significant impact on the determination or reporting of our financial results.</w:t>
      </w:r>
    </w:p>
    <w:p>
      <w:pPr>
        <w:spacing w:after="0" w:line="14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October 2009, the FASB issued ASU No. 2009-14, “Certain Revenue Arrangements That Include Software Elements.” This ASU changes the accounting model for revenue arrangements that include both tangible products and software elements that are “essential to the functionality,” and scopes these products out of current software revenue guidance. The new guidance will include factors to help companies determine what software elements are considered “essential to the functionality.” The amendments will now subject software-enabled products to other revenue guidance and disclosure requirements, such as guidance surrounding revenue arrangements with multiple-deliverables. The amendments in this ASU are effective prospectively for revenue arrangements entered into or materially modified in the fiscal years beginning on or after June 15, 2010. Early application is permitted. We have evaluated this new ASU and have determined that it will not have a significant impact on the determination or reporting of our financial results.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2010, the FASB issued ASU No. 2010-17, “Milestone Method of Revenue Recognition.” This ASU allows entities to make a policy election to use the milestone method of revenue recognition and provides guidance on defining a milestone and guidance on the criteria that should be met for applying the milestone method. The scope of this ASU is limited to the transactions involving milestones relating to research and development deliverables. The guidance includes enhanced disclosure requirements about each arrangement, individual milestones and related contingent consideration, information about substantive milestones and factors considered in the determination. The amendments in this ASU are effective prospectively to milestones achieved in fiscal years, and interim periods within those years, beginning after June 15, 2010. Early application and retrospective application are permitted. We have evaluated this new ASU and have determined that it will not have a significant impact on the determination or reporting of our financial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June 30, 2010 and 2009, PricewaterhouseCoopers LLP (PricewaterhouseCoopers) reported that it has applied limited procedures in accordance with professional standards for a review of such information. However, its report dated July 26, 2010,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(the “Corporation”) as of June 30, 2010, and the related condensed consolidated statement of operations for the three-month and six-month periods ended June 30, 2010 and 2009 and the condensed consolidated statement of cash flows for the six-month periods ended June 30, 2010 and 2009.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previously audited, in accordance with the standards of the Public Company Accounting Oversight Board (United States), the consolidated balance sheet as of December 31, 2009, and the related consolidated statements of operations, of cash flows and of changes in equity for the year then ended (not presented herein), and in our report dated February 11, 2010 (which included an explanatory paragraph with respect to the Corporation’s change in the manner of accounting for defined benefit pension and other postretirement plans, uncertain tax positions, business combinations, noncontrolling interests and collaborative arrangements and the manner in which it discloses fair value, derivative and hedging activities, subsequent events and fair value of financial instruments)</w:t>
      </w:r>
      <w:r>
        <w:rPr>
          <w:rFonts w:ascii="Arial" w:cs="Arial" w:eastAsia="Arial" w:hAnsi="Arial"/>
          <w:sz w:val="15"/>
          <w:szCs w:val="15"/>
          <w:i w:val="1"/>
          <w:iCs w:val="1"/>
          <w:color w:val="auto"/>
        </w:rPr>
        <w:t>,</w:t>
      </w:r>
      <w:r>
        <w:rPr>
          <w:rFonts w:ascii="Arial" w:cs="Arial" w:eastAsia="Arial" w:hAnsi="Arial"/>
          <w:sz w:val="15"/>
          <w:szCs w:val="15"/>
          <w:color w:val="auto"/>
        </w:rPr>
        <w:t xml:space="preserve"> we expressed an unqualified opinion on those consolidated financial statements. In our opinion, the information set forth in the accompanying condensed consolidated balance sheet as of December 31, 2009, is fairly stated in all material respects in relation to the consolidated balance sheet from which it has been derived.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2010 is discussed below. For additional discussion, refer to the “Business Overview” section in Management’s Discussion and Analysis of Financial Condition and Results of Operations in our 2009 Annual Report, which is incorporated by reference in our 2009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worldwide businesses, our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in our commercial businesses, particularly Carrier, and longer cycles in our aerospace businesses. Our customers include companies in the private sector and governments, and our businesses reflect an extensive geographic diversification that has evolved with the continued globalization of world economies.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global economic downturn we experienced throughout 2009 has shown signs of improvement in the first half of 2010. While some economic indicators continue to trend positive, the overall rate of global recovery experienced to date has been modest and uncertainty over the sustainability of this recovery remains. Certain markets have experienced volatility, as evidenced by the protracted slide in 10-year U.S. Treasury yields and the significant fluctuations in the Euro during the second quarter of 2010. The availability of credit remains tight. Despite uncertainty as to the sustainability of the current recovery, we have seen broader improvement in the year-over-year order rates in the second quarter of 2010, with continued growth in the short-cycle Carrier and Hamilton Sundstrand industrial businesses. Commercial aerospace aftermarket orders have also improved sequentially over the first quarter of 2010, which is consistent with our expectation of growth in the second half of 2010. These order rate improvements positively impacted organic revenues, which grew on a consolidated basis for the first time since the fourth quarter of 2008. Order rates at our longer cycle businesses, such as Otis new equipment, Carrier commercial HVAC and certain businesses within UTC Fire &amp; Security, also grew year-over-year in the quarter. Based on an improved business unit operational outlook, as compared to the first quarter of 2010, our full year expectation for organic revenue growth is approximately 2%; however, we expect some adverse impacts on earnings in the second half of 2010, particularly from foreign currency translation and higher research and development costs. Even with the improved end market environment experienced in the second quarter of 2010, we continue to focus on cost reduction to drive year-over-year margin expansion, including the continuation of restructuring initiatives initiated in late 2008.</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Total revenues increased 5% in the second quarter of 2010, as compared to the same period of 2009. This reflects organic revenue growth (4%) and the beneficial impact of net acquisitions (1%). Along with the revenue increase, consolidated operating profit increased 18% in the second quarter of 2010, as compared with the same period of 2009. This year-over-year improvement reflects an increase in operational profit (8%) driven by the beneficial impact on operational results of our continued focus on cost reduction and previously initiated restructuring actions, contributions from net acquisitions (3%), and the impact of currency hedges net of foreign currency translation (net combined 2%) at Pratt &amp; Whitney Canada (P&amp;WC). This year-over-year improvement also reflects the beneficial impact of lower restructuring costs partially offset by the adverse impact of year-over-year non-recurring items, including the absence of a gain recorded at Otis in the second quarter of 2009 and the impact from asset impairment charges recorded at both Carrier and Hamilton Sundstrand, as further described below. To better position us for the future, we continue to focus on restructuring and cost reduction actions, ongoing portfolio transformation at Carrier, and efforts to implement low cost sourcing initiatives.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the U.S. dollar strengthened throughout the second quarter of 2010 against certain currencies such as the Euro, the impact of foreign currency generated a positive foreign currency impact of $.03 per diluted share on our operational performance in the second quarter of 2010. This year-over-year impact primarily represents the beneficial impact of hedging which more than offset adverse foreign currency translation at P&amp;WC. The relative weakness in the U.S. dollar adversely impacts P&amp;WC operating results, as the majority of P&amp;WC’s revenues are denominated in U.S. dollars, while a significant portion of its costs are incurred in local currencies. However, as a result of hedging programs in place, this adverse impact was more than offset by the beneficial impact on revenues of maturing hedges that were executed when the U.S. dollar was stronger.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commercial businesses generally serve customers in the worldwide commercial and residential property industries, although Carrier also serves customers in the commercial and transport refrigeration industries. Revenues in the commercial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businesses are influenced by a number of external factors including fluctuations in residential and commercial construction activity, regulatory changes, interest rates, labor costs, foreign currency exchange rates, customer attrition, raw material and energy costs, tightening credit markets and other global and political factors. Carrier’s financial performance can also be influenced by production and utilization of transport equipment, and for its residential business, weather conditions. To ensure adequate supply of Carrier products in the distribution channel, Carrier customarily offers its customers incentives to purchase products.</w:t>
      </w:r>
    </w:p>
    <w:p>
      <w:pPr>
        <w:spacing w:after="0" w:line="9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Although organic revenue contracted at both Otis and UTC Fire &amp; Security, Carrier’s revenues grew organically in the second quarter of 2010 and we continue to see improvement in the growth in order rates in Carrier’s short-cycle businesses. We are also encouraged by the improvement in order growth in our longer cycle commercial businesses, such as Otis new equipment, Carrier commercial HVAC, and certain businesses within UTC Fire &amp; Security. Emerging markets continue to perform well, with particular strength in India and Brazil where combined orders for the commercial business units grew by over 25% in the second quarter year-over-year. Similarly, in China, orders grew over the prior year, but as expected, growth rates in China have begun to slow as year-over-year comparisons become more difficult in light of the strong growth experienced in the prior year. Although the growth in order rates across the businesses is based on low prior year comparisons, it nonetheless indicates improvements to key markets. While the U.S. housing market remained weak in the first half of 2010, it has shown improvement over the depressed levels experienced in 2009.</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Within the Otis segment, revenues decreased 1% in the first half of 2010 as lower volume was mostly offset by the favorable impact of foreign currency translation. Volume was negatively impacted by a weaker opening new equipment backlog. Aggressive cost reduction actions and continued strength in the contractual maintenance business helped to mitigate the new equipment volume decline. New equipment orders increased 11% in the first half of 2010, as compared to the same period of 2009, primarily due to the strong order growth in China and the favorable impact of foreign currency translation. Following a two year decline, orders in North America grew in the second quarter of 2010. Pricing remained under pressure in all of Otis’ major markets, which is expected to continue through the remainder of 2010.</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Carrier experienced organic revenue growth of 7% in the second quarter of 2010, as compared to the same period of 2009, as certain businesses are benefiting from strengthening market conditions, particularly in the transport refrigeration and U.S. residential systems markets, while overall market conditions across Europe remain weak. We continue to see improvement in order rate growth in Carrier’s short-cycle businesses, particularly within transport refrigeration, which has experienced a significant increase in organic orders. Carrier also continued its transformation to a higher returns business, as evidenced by very strong operating profit margin expansion in the second quarter of 2010.</w:t>
      </w:r>
    </w:p>
    <w:p>
      <w:pPr>
        <w:spacing w:after="0" w:line="116"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UTC Fire &amp; Security experienced a 22% revenue increase in the second quarter of 2010, as compared to the same period of 2009, driven by the impact of net acquisitions (25%), principally GE Security, partially offset by an organic revenue contraction. Although organic revenues declined in the second quarter of 2010, organic orders grew year-over-year for the first time since the second quarter of 2008, including order growth in Asia, as well as in the product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Aerospace markets showed modest signs of recovery in the first half of 2010. Airline operating results have been encouraging as they continue to focus on improving their finances through cost reduction actions and cash conservation measures. Airline traffic trended favorably in the second quarter of 2010 and, as a result, we expect RPM’s to grow approximately 5% worldwide in 2010. Orders of shorter cycle commercial aerospace spares grew year-over-year in the second quarter of 2010, with 8% growth in Pratt &amp; Whitney’s large commercial spares orders and a 7% growth in Hamilton Sundstrand’s commercial spares orders. The recent improvement in air traffic trends and order rates are in line with our expectation of higher commercial aerospace aftermarket revenues in the second half of 2010. The lingering effects of the economic downturn continue to contribute to a low demand for business and general aviation aircraft, and as a result P&amp;WC engine shipments declined 13% in the second quarter of 2010, as compared to the same period of the prior year, although engine shipments increased 8% from the first quarter of 2010. With the general economic recovery, the level of engine shipments at P&amp;WC is expected to increase as the year progresses, while spares orders are expected to be flat for the full year of 2010 as compared with 2009.</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Although the commercial aircraft market remains a challenge, higher military aircraft deliveries, as a result of continued government spending, drove a 22% increase in Sikorsky’s second quarter revenues as compared to the same period of 2009. With the robust government demand, Sikorsky’s military backlog remains very strong.</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previously disclosed, Sikorsky engaged in discussions with the Canadian government concerning an anticipated delay in completing certain elements of the specification for interim aircraft to be delivered under a contract for the development, production,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and logistical support of 28 CH-148 helicopters. Pursuant to those discussions, the parties signed contract amendments in June 2010 that provide the requirements for the six interim aircraft scheduled to be delivered beginning in November 2010 and which will allow for commencement of initial operational test and evaluation activities prior to the scheduled delivery of final configuration helicopters starting in June 2012. The amendments also include modifications to the liquidated damages schedule, readjustment of payment schedules, resolution of open disputes and other program enhancements.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and Disposition Activity</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first six months of 2010, our investment in business acquisitions was approximately $2.4 billion, including debt assumed of $32 million, and principally reflected the acquisition of the GE Security business, and the acquisition of an equity stake in Clipper Windpower Plc (Clipper). The remainder of our investment in businesses for the first six months of 2010 consisted of a number of small acquisitions in both our commercial and aerospace businesses. We recorded the excess of the purchase price over the estimated fair value of the assets acquired as an increase in goodwill. As a result of acquisition activity, goodwill increased approximately $1.2 billion in the first six months of 2010.</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1, 2010, we completed the acquisition of the GE Security business for approximately $1.8 billion, including debt assumed of $32 million. The GE Security business supplies security and fire safety technologies for commercial and residential applications through a broad product portfolio that includes fire detection and life safety systems, intrusion alarms, and video surveillance and access control systems. This business is being integrated into our UTC Fire &amp; Security segment during the course of 2010 and will enhance UTC Fire &amp; Security’s geographic diversity with the strong North American presence and increased product and technology offerings of GE Security. We recorded $1.1 billion of goodwill and approximately $600 million of identified intangible assets in connection with this acquisition.</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January 2010, we completed the acquisition of a 49.5% equity stake in Clipper, a California-based wind turbine manufacturer that trades on the AIM London Stock Exchange. This investment is intended to expand our power generation portfolio and allow us to enter the wind power market by leveraging our expertise in blade technology, turbines and gearbox design. The total cost was £166 million (approximately $270 million) for the purchase of 84.3 million newly issued shares and 21.8 million shares from existing shareowners. We have accounted for this investment under the equity method of accounting. Subsequent to the initial purchase, we increased our investment to 49.9%. Pursuant to our agreement with Clipper, we are prohibited from acquiring additional shares of Clipper within two years of the closing date that would result in an equity stake in excess of 49.9% without the prior approval of Clipper.</w:t>
      </w:r>
    </w:p>
    <w:p>
      <w:pPr>
        <w:spacing w:after="0" w:line="12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During the quarter ended June 30, 2010, we recorded approximately $86 million of asset impairment charges, for assets that have met the held-for-sale criteria, related primarily to the expected disposition of businesses within both Carrier and Hamilton Sundstrand. These asset impairment charges are recorded within Cost of products sold on our Condensed Consolidated Statement of Operations. The asset impairment charges include a $58 million charge related to the expected disposition of a business associated with Carrier’s ongoing portfolio transformation to a higher returns business and a $28 million charge at Hamilton Sundstrand related primarily to the expected disposition of an aerospace business as part of Hamilton Sundstrand’s efforts to implement low cost sourcing initiatives.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expect to invest approximately $3.0 billion in acquisitions for 2010, including those investments made during the first six months of 2010, although this will depend upon the timing, availability and the appropriate value of potential acquisition opportunities.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Commercial airline financial distress/consolidation, global economic conditions, changes in raw material and commodity prices, interest rates, foreign currency exchange rates and energy costs create uncertainties that could impact our earnings outlook for the remainder of 2010. See Part II, Item 1A, “Risk Factors” in this Form 10-Q for further discussion.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Consolidated Financial Statements in our 2009 Annual Report, incorporated by reference in our 2009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six months of 2010.</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4"/>
                <w:szCs w:val="14"/>
                <w:b w:val="1"/>
                <w:bCs w:val="1"/>
                <w:color w:val="auto"/>
                <w:w w:val="87"/>
              </w:rPr>
              <w:t>Quarter Ended June 30,</w:t>
            </w:r>
          </w:p>
        </w:tc>
        <w:tc>
          <w:tcPr>
            <w:tcW w:w="260" w:type="dxa"/>
            <w:vAlign w:val="bottom"/>
          </w:tcPr>
          <w:p>
            <w:pPr>
              <w:spacing w:after="0"/>
              <w:rPr>
                <w:sz w:val="14"/>
                <w:szCs w:val="14"/>
                <w:color w:val="auto"/>
              </w:rPr>
            </w:pP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5"/>
              </w:rPr>
              <w:t>% change</w:t>
            </w: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Six Months Ended June 30,</w:t>
            </w:r>
          </w:p>
        </w:tc>
        <w:tc>
          <w:tcPr>
            <w:tcW w:w="26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30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13,802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13,060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25,842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13,890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13,196</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25,981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5% revenue increase in the second quarter of 2010, as compared to the same period of 2009, reflects organic revenue growth (4%) and the beneficial impact from net acquisitions (1%). The net acquisitions impact reflects the benefit of recent acquisitions, principally GE Security, net of the impact of dispositions, primarily at Carrier associated with its ongoing portfolio transformation strategy. Organic revenue growth largely reflects an increase at Sikorsky, driven by higher military revenues, and growth at Carrier driven primarily by strength in the transport refrigeration and U.S. residential systems business. The organic revenue growth also reflects the year-over-year beneficial impact of currency hedges at P&amp;WC. These organic revenue increases were partially offset by organic revenue contraction across other segments, primarily at Otis and UTC Fire &amp; Security. The organic revenue decline at Otis is due to a decline in new equipment revenue, as continued growth in China was offset by declines in most other major geographic markets, partially offset by continued growth in the contractual maintenance business. Although total revenue grew at UTC Fire &amp; Security, it was driven from the impact of the GE Security acquisition; the contraction in organic revenue primarily reflects a decline in the service and install business as a result of weaker market conditions.</w:t>
      </w:r>
    </w:p>
    <w:p>
      <w:pPr>
        <w:spacing w:after="0" w:line="120"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The 2% revenue increase in the first six months of 2010, as compared to the same period of 2009, was attributable to the beneficial impact from foreign currency translation. Organic revenues were flat year-over-year reflecting an increase at both Sikorsky and Carrier, offset by declines across the rest of the businesses. The organic revenue growth at Sikorsky was driven by higher military revenues and growth at Carrier was driven primarily by strength in the transport refrigeration and U.S. residential systems businesses. Similar to the second quarter of 2010, the decline in organic revenues at Otis over the first six months of 2010 was due primarily to a decline in new equipment revenue, as continued growth in China was offset by declines in most other major geographic markets, with partial offset from continued growth in the contractual maintenance business. The organic contraction at UTC Fire &amp; Security was a result of weaker market conditions impacting both the product and the service and install businesses. The revenue contraction at Pratt &amp; Whitney largely reflects the continued depressed conditions in the business jet market and lower commercial aerospace aftermarket. The beneficial impact from recent acquisitions, principally GE Security, was mostly offset by the impact of dispositions associated with Carrier’s ongoing portfolio transformation to a higher returns business.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decline in Other income, net for the second quarter and first six months of 2010, as compared with the same period of 2009, primarily reflects the absence of a $52 million non-taxable gain recognized at Otis in the second quarter of 2009. This prior year gain related to the re-measurement to fair value of a previously held equity interest in a joint venture as a result of the purchase of a controlling interest. The remaining year-over-year variance for both the second quarter and first six months of 2010 is primarily attributable to activity in the second quarter of 2010 related to a $24 million favorable pre-tax interest adjustment associated with the resolution of an uncertain temporary tax item, partially offset by the impact from the early redemption of long-term debt that was due November 15, 2010.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60" w:type="dxa"/>
            <w:vAlign w:val="bottom"/>
          </w:tcPr>
          <w:p>
            <w:pPr>
              <w:spacing w:after="0"/>
              <w:rPr>
                <w:sz w:val="14"/>
                <w:szCs w:val="14"/>
                <w:color w:val="auto"/>
              </w:rPr>
            </w:pPr>
          </w:p>
        </w:tc>
        <w:tc>
          <w:tcPr>
            <w:tcW w:w="202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 Ended June 30,</w:t>
            </w:r>
          </w:p>
        </w:tc>
        <w:tc>
          <w:tcPr>
            <w:tcW w:w="200" w:type="dxa"/>
            <w:vAlign w:val="bottom"/>
          </w:tcPr>
          <w:p>
            <w:pPr>
              <w:spacing w:after="0"/>
              <w:rPr>
                <w:sz w:val="14"/>
                <w:szCs w:val="14"/>
                <w:color w:val="auto"/>
              </w:rPr>
            </w:pPr>
          </w:p>
        </w:tc>
        <w:tc>
          <w:tcPr>
            <w:tcW w:w="20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3260" w:type="dxa"/>
            <w:vAlign w:val="bottom"/>
            <w:gridSpan w:val="3"/>
            <w:vMerge w:val="continue"/>
          </w:tcPr>
          <w:p>
            <w:pPr>
              <w:spacing w:after="0"/>
              <w:rPr>
                <w:sz w:val="12"/>
                <w:szCs w:val="12"/>
                <w:color w:val="auto"/>
              </w:rPr>
            </w:pPr>
          </w:p>
        </w:tc>
        <w:tc>
          <w:tcPr>
            <w:tcW w:w="2960" w:type="dxa"/>
            <w:vAlign w:val="bottom"/>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$ 3,787</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$ 3,459</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7,095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3860" w:type="dxa"/>
            <w:vAlign w:val="bottom"/>
            <w:gridSpan w:val="3"/>
          </w:tcPr>
          <w:p>
            <w:pPr>
              <w:jc w:val="right"/>
              <w:ind w:right="200"/>
              <w:spacing w:after="0"/>
              <w:rPr>
                <w:sz w:val="20"/>
                <w:szCs w:val="20"/>
                <w:color w:val="auto"/>
              </w:rPr>
            </w:pPr>
            <w:r>
              <w:rPr>
                <w:rFonts w:ascii="Arial" w:cs="Arial" w:eastAsia="Arial" w:hAnsi="Arial"/>
                <w:sz w:val="18"/>
                <w:szCs w:val="18"/>
                <w:color w:val="auto"/>
              </w:rPr>
              <w:t>27.4%</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26.5%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27.5%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60" w:type="dxa"/>
            <w:vAlign w:val="bottom"/>
          </w:tcPr>
          <w:p>
            <w:pPr>
              <w:jc w:val="right"/>
              <w:ind w:right="792"/>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90 basis point increase in gross margin as a percentage of sales in the second quarter of 2010, as compared to 2009, was primarily driven by increased volumes, continued focus on cost reduction, savings from previously initiated restructuring actions, net operational efficiencies and the beneficial impact from net acquisitions. The adverse impact of asset impairment charges (60 basis points) at both Carrier and Hamilton Sundstrand in the second quarter of 2010, primarily related to expected disposition activity, was mostly offset by the beneficial impact of lower year-over-year restructuring costs (50 basis points).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first six months of 2010, as compared with the same period of 2009, gross margin as a percentage of sales improved 160 basis points. This improvement was primarily driven by increased volumes, continued focus on cost reduction, savings from previously initiated restructuring actions, net operational efficiencies and the beneficial impact from net acquisitions. The beneficial impact of lower year-over-year restructuring charges (40 basis points) was mostly offset by the adverse impact of asset impairment charges (30 basis points) related to expected disposition activity in 2010 at both Carrier and Hamilton Sundstrand.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Quarter Ended June 30,</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87"/>
              </w:rPr>
              <w:t>Six Months Ended June 30,</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12"/>
              <w:spacing w:after="0" w:line="142"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1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32"/>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12"/>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gridSpan w:val="3"/>
            <w:vMerge w:val="continue"/>
          </w:tcPr>
          <w:p>
            <w:pPr>
              <w:spacing w:after="0"/>
              <w:rPr>
                <w:sz w:val="12"/>
                <w:szCs w:val="12"/>
                <w:color w:val="auto"/>
              </w:rPr>
            </w:pPr>
          </w:p>
        </w:tc>
        <w:tc>
          <w:tcPr>
            <w:tcW w:w="54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 of sales</w:t>
            </w:r>
          </w:p>
        </w:tc>
        <w:tc>
          <w:tcPr>
            <w:tcW w:w="54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 of sales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 of sales</w:t>
            </w:r>
          </w:p>
        </w:tc>
        <w:tc>
          <w:tcPr>
            <w:tcW w:w="540" w:type="dxa"/>
            <w:vAlign w:val="bottom"/>
          </w:tcPr>
          <w:p>
            <w:pPr>
              <w:spacing w:after="0"/>
              <w:rPr>
                <w:sz w:val="12"/>
                <w:szCs w:val="12"/>
                <w:color w:val="auto"/>
              </w:rPr>
            </w:pPr>
          </w:p>
        </w:tc>
        <w:tc>
          <w:tcPr>
            <w:tcW w:w="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 of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Company-funded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384</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Customer-funded</w:t>
            </w:r>
          </w:p>
        </w:tc>
        <w:tc>
          <w:tcPr>
            <w:tcW w:w="1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519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977</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1,033</w:t>
            </w:r>
          </w:p>
        </w:tc>
        <w:tc>
          <w:tcPr>
            <w:tcW w:w="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903</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1,833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1,826</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variations in spending levels are expected. The majority of the company-funded spending is incurred by the aerospace businesses and relates largely to the next generation product family at Pratt &amp; Whitney, the Boeing 787 program at Hamilton Sundstrand, and various engine programs at P&amp;WC. Company-funded research and development spending for the full year 2010 is expected to increase by more than $150 million from 2009 levels primarily due to incremental investments in the next generation product family at Pratt &amp; Whitney, including the PurePower PW1000G engine, and the impact of research and development activities at the recently acquired GE Security business within UTC Fire &amp; Security.</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decrease in customer-funded research and development in the second quarter and first six months of 2010, compared to the same periods in 2009 was primarily driven by a decrease at Pratt &amp; Whitney related to a reduction in development spending on the Joint Strike Fighter program partially offset by higher development spending on the CH-53K program at Sikorsky.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Quarter Ended June 30,</w:t>
            </w:r>
          </w:p>
        </w:tc>
        <w:tc>
          <w:tcPr>
            <w:tcW w:w="200" w:type="dxa"/>
            <w:vAlign w:val="bottom"/>
          </w:tcPr>
          <w:p>
            <w:pPr>
              <w:spacing w:after="0"/>
              <w:rPr>
                <w:sz w:val="14"/>
                <w:szCs w:val="14"/>
                <w:color w:val="auto"/>
              </w:rPr>
            </w:pPr>
          </w:p>
        </w:tc>
        <w:tc>
          <w:tcPr>
            <w:tcW w:w="21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37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$ 1,491</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$ 1,574</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2,915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12.1%</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11.3%</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decrease in selling, general and administrative expenses in the second quarter of 2010, as compared to the same period of 2009, is due primarily to a continued focus on cost reduction and the impact from restructuring and cost saving initiatives undertaken in 2009 in anticipation of adverse economic conditions. As a percentage of sales, the 130 basis point year-over-year decrease reflects the beneficial impact of lower year-over-year restructuring costs (110 basis points).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decrease in selling, general and administrative expenses in the first six months of 2010, as compared to the same period of 2009, is due primarily to a continued focus on cost reduction and the impact from restructuring and cost saving initiatives undertaken in 2009 in anticipation of adverse economic conditions. As a percentage of sales, the 80 basis point year-over-year decrease primarily reflects the impact of lower restructuring costs.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Quarter Ended June 30,</w:t>
            </w:r>
          </w:p>
        </w:tc>
        <w:tc>
          <w:tcPr>
            <w:tcW w:w="280" w:type="dxa"/>
            <w:vAlign w:val="bottom"/>
          </w:tcPr>
          <w:p>
            <w:pPr>
              <w:spacing w:after="0"/>
              <w:rPr>
                <w:sz w:val="14"/>
                <w:szCs w:val="14"/>
                <w:color w:val="auto"/>
              </w:rPr>
            </w:pPr>
          </w:p>
        </w:tc>
        <w:tc>
          <w:tcPr>
            <w:tcW w:w="22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6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177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2200" w:type="dxa"/>
            <w:vAlign w:val="bottom"/>
            <w:gridSpan w:val="3"/>
          </w:tcPr>
          <w:p>
            <w:pPr>
              <w:jc w:val="right"/>
              <w:ind w:right="340"/>
              <w:spacing w:after="0"/>
              <w:rPr>
                <w:sz w:val="20"/>
                <w:szCs w:val="20"/>
                <w:color w:val="auto"/>
              </w:rPr>
            </w:pPr>
            <w:r>
              <w:rPr>
                <w:rFonts w:ascii="Arial" w:cs="Arial" w:eastAsia="Arial" w:hAnsi="Arial"/>
                <w:sz w:val="18"/>
                <w:szCs w:val="18"/>
                <w:color w:val="auto"/>
              </w:rPr>
              <w:t>5.8%</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5.8%</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5.9%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increase in interest expense in the second quarter of 2010 as compared to the same period of the prior year largely reflects the impact of higher average borrowings, partially offset by lower interest charges related to our deferred compensation plan. Interest expense on our long-term debt increased as a result of the issuance of two series of fixed rate long-term notes totaling $2.25 billion in February 2010 (see further discussion in the “Liquidity and Financial Condition” section). This impact was partially offset by the absence of interest associated with the repayment in May 2010 of our $600 million of 4.375% notes due 2010, the early redemption in June 2010 of our $500 million of 7.125% notes due 2010, and the repayment in June 2009 of our $400 million of 6.500% notes due 2009. Interest expense also reflects the lower cost associated with our commercial paper borrowings. Similar to the second quarter of 2010, the interest expense for the first six months of 2010, as compared to the same period of the prior year, reflects the impact of higher average borrowings.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5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Quarter Ended June 30,</w:t>
            </w:r>
          </w:p>
        </w:tc>
        <w:tc>
          <w:tcPr>
            <w:tcW w:w="22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38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2010</w:t>
            </w:r>
          </w:p>
        </w:tc>
        <w:tc>
          <w:tcPr>
            <w:tcW w:w="8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30.0%</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27.0%</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bl>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increase in the effective tax rate for the second quarter of 2010, as compared to the same period of 2009, reflects an overall increase in the forecasted effective tax rate, the net tax effects of asset impairment charges in 2010 and the absence of a non-taxable gain recorded in the same period of 2009. The effective tax rate for the six months ended June 30, 2010 increased as compared to the same period of 2009 as a result of an overall increase to the forecasted effective tax rate, the impact from health care legislation related to the Medicare Part D program in the first quarter of 2010, and the absence of a $25 million tax benefit and non-taxable gain recorded in 2009. The effective tax rate for the balance of the year is expected to be approximately 29% before the impacts of any discrete events.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w w:val="87"/>
              </w:rPr>
              <w:t>Quarter Ended June 30,</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44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Less: Noncontrolling interest in subsidiaries’ earnings</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
        </w:trPr>
        <w:tc>
          <w:tcPr>
            <w:tcW w:w="440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00" w:type="dxa"/>
            <w:vAlign w:val="bottom"/>
            <w:gridSpan w:val="3"/>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Although the U.S. dollar strengthened throughout the second quarter of 2010 against certain currencies such as the Euro, the impact of foreign currency generated a positive foreign currency impact of $.03 per diluted share on our operational performance in the second quarter of 2010. This year-over-year impact primarily represents the beneficial impact of hedging which more than offset adverse foreign currency translation at P&amp;WC. At P&amp;WC, the weakness of the U.S. dollar in the second quarter of 2010 generated an adverse foreign currency translation impact as the majority of P&amp;WC’s revenues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2010 full year operating results will include a beneficial impact of foreign currency translation, net of hedging, of approximately $125 million. For additional discussion of hedging, refer to Note 8 to the Condensed Consolidated Financial Statements. Diluted earnings per share for the second quarter of 2010 include a net charge of $.12 per share from restructuring and non-recurring items. These non-recurring items primarily include the previously noted asset impairment charges at both Carrier and Hamilton Sundstrand, net of a favorable pretax interest adjustment associated with the resolution of an uncertain temporary tax item. We expect to initiate additional restructuring actions during the remainder of 2010. Including trailing costs from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previously announced restructuring actions, we expect a net $.20 charge to diluted earnings per share for anticipated restructuring costs and non-recurring items for the full year 2010. Except for those restructuring actions initiated during the first six months of 2010, no specific plans for significant other actions have been finalized at this time. Diluted earnings per share for the second quarter of 2010 were also favorably impacted by approximately $.03 per share as a result of the shares repurchased since July 1, 2009 under our share repurchase program.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Costs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first six months of 2010, we recorded pre-tax restructuring and other costs totaling $152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330"/>
        </w:trPr>
        <w:tc>
          <w:tcPr>
            <w:tcW w:w="7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net costs included $91 million recorded in cost of sales, $60 million in selling, general and administrative expenses and $1 million in other income, net. As described below, these costs primarily relate to actions initiated during 2010 and 2009.</w:t>
      </w:r>
    </w:p>
    <w:p>
      <w:pPr>
        <w:spacing w:after="0" w:line="12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 xml:space="preserve">2010 Actions. </w:t>
      </w:r>
      <w:r>
        <w:rPr>
          <w:rFonts w:ascii="Arial" w:cs="Arial" w:eastAsia="Arial" w:hAnsi="Arial"/>
          <w:sz w:val="16"/>
          <w:szCs w:val="16"/>
          <w:color w:val="auto"/>
        </w:rPr>
        <w:t>During the first six months of 2010, we initiated restructuring actions relating to ongoing cost reduction efforts, including workforce reductions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consolidation of field operations. We recorded net pre-tax restructuring and other costs totaling $121 million as follows: Otis $26 million, Carrier $25 million, UTC Fire &amp; Security $22 million, Pratt &amp; Whitney $23 million, Hamilton Sundstrand $7 million, Sikorsky $7 million and Eliminations and other $11 million. The charges included $68 million in cost of sales and $53 million in selling, general and administrative expenses. Those costs included $100 million for severance and related employee termination costs, $12 million for asset write-downs and $9 million for facility exit and lease termination costs.</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the 2010 actions that were initiated in the first six months to result in net workforce reductions of approximately 2,400 hourly and salaried employees, the exiting of approximately 2.8 million net square feet of facilities and the disposal of assets associated with the exited facilities. As of June 30, 2010, we have completed net workforce reductions of approximately 900 employees. We are targeting the majority of the remaining workforce and all facility related cost reduction actions for completion during 2010 and 2011. Approximately 75% of the total pre-tax charge will require cash payments, which we will fund with cash generated from operations. During the first six months of 2010, we had cash outflows of approximately $35 million related to the 2010 actions. We expect to incur additional restructuring and other costs of $55 million to complete these actions. We expect recurring pre-tax savings to increase over the two-year period subsequent to initiating the actions to approximately $160 million annually.</w:t>
      </w:r>
    </w:p>
    <w:p>
      <w:pPr>
        <w:spacing w:after="0" w:line="11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2009 Actions. </w:t>
      </w:r>
      <w:r>
        <w:rPr>
          <w:rFonts w:ascii="Arial" w:cs="Arial" w:eastAsia="Arial" w:hAnsi="Arial"/>
          <w:sz w:val="16"/>
          <w:szCs w:val="16"/>
          <w:color w:val="auto"/>
        </w:rPr>
        <w:t>During the first six months of 2010, we recorded net pre-tax restructuring and other costs and reversals totaling $35 million for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initiated in 2009. The 2009 actions relate to ongoing cost reduction efforts, including workforce reductions, the consolidation of field operations and the consolidation of repair and overhaul operations. We recorded the charges for the first six months of 2010 as follows: Otis $2 million, Carrier $11 million, UTC Fire &amp; Security $7 million, Pratt &amp; Whitney $13 million and Hamilton Sundstrand $2 million. The charges included $23 million in cost of sales, $11 million in selling, general and administrative expenses and $1 million in other income, net. Those costs included $9 million for severance and related employee termination costs, $5 million for asset write-downs and $21 million for facility exit and lease termination costs.</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expect the 2009 actions to result in net workforce reductions of approximately 14,500 hourly and salaried employees, the exiting of approximately 4.6 million net square feet of facilities and the disposal of assets associated with the exited facilities. As of June 30, 2010, we have completed net workforce reductions of approximately 12,800 employees and exited 1.1 million net square feet of facilities. We are targeting the majority of the remaining workforce and all facility related cost reduction actions for completion during 2010 and 2011. Approximately 60% of the total pre-tax charge will require cash payments, which we will fund with cash generated from operations. During the first six months of 2010, we had cash outflows of approximately $131 million related to the 2009 actions. We expect to incur additional restructuring and other costs of $63 million to complete these actions. We expect recurring pre-tax savings to increase over the two-year period subsequent to initiating the actions to approximately $700 million annually.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September 2009, Pratt &amp; Whitney announced plans to close a repair facility and an engine overhaul facility in Connecticut. For additional information concerning litigation related to Pratt &amp; Whitney’s decision to close these two facilities, see Part II, Item 1, “Legal Proceedings” in this Form 10-Q for further discussion.</w:t>
      </w:r>
    </w:p>
    <w:p>
      <w:pPr>
        <w:spacing w:after="0" w:line="134"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Additional 2010 Actions. </w:t>
      </w:r>
      <w:r>
        <w:rPr>
          <w:rFonts w:ascii="Arial" w:cs="Arial" w:eastAsia="Arial" w:hAnsi="Arial"/>
          <w:sz w:val="16"/>
          <w:szCs w:val="16"/>
          <w:color w:val="auto"/>
        </w:rPr>
        <w:t>We expect to initiate additional restructuring actions during the remainder of 2010. Including trailing costs from previously announced</w:t>
      </w:r>
      <w:r>
        <w:rPr>
          <w:rFonts w:ascii="Arial" w:cs="Arial" w:eastAsia="Arial" w:hAnsi="Arial"/>
          <w:sz w:val="16"/>
          <w:szCs w:val="16"/>
          <w:b w:val="1"/>
          <w:bCs w:val="1"/>
          <w:color w:val="auto"/>
        </w:rPr>
        <w:t xml:space="preserve"> </w:t>
      </w:r>
      <w:r>
        <w:rPr>
          <w:rFonts w:ascii="Arial" w:cs="Arial" w:eastAsia="Arial" w:hAnsi="Arial"/>
          <w:sz w:val="16"/>
          <w:szCs w:val="16"/>
          <w:color w:val="auto"/>
        </w:rPr>
        <w:t>restructuring actions, we expect a net $.20 charge to diluted earnings per share for anticipated restructuring costs and non-recurring items for the full year 2010. Except for those actions described above, no specific plans for significant other actions have been finalized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June 30, 2010 and 2009 are included in “Eliminations and other” below, which also includes certain small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June 30, 2010 and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42"/>
        </w:trPr>
        <w:tc>
          <w:tcPr>
            <w:tcW w:w="50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380" w:type="dxa"/>
            <w:vAlign w:val="bottom"/>
          </w:tcPr>
          <w:p>
            <w:pPr>
              <w:spacing w:after="0"/>
              <w:rPr>
                <w:sz w:val="12"/>
                <w:szCs w:val="12"/>
                <w:color w:val="auto"/>
              </w:rPr>
            </w:pPr>
          </w:p>
        </w:tc>
        <w:tc>
          <w:tcPr>
            <w:tcW w:w="5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15.8%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13,284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13,890</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13,196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1,925</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1,637</w:t>
            </w:r>
          </w:p>
        </w:tc>
        <w:tc>
          <w:tcPr>
            <w:tcW w:w="38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Second quarter 2010 and 2009 restructuring and other costs included in consolidated operating profit totaled $85 million and $301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5"/>
              </w:rPr>
              <w:t>Quarter Ended June 30,</w:t>
            </w:r>
          </w:p>
        </w:tc>
        <w:tc>
          <w:tcPr>
            <w:tcW w:w="0" w:type="dxa"/>
            <w:vAlign w:val="bottom"/>
          </w:tcPr>
          <w:p>
            <w:pPr>
              <w:spacing w:after="0"/>
              <w:rPr>
                <w:sz w:val="1"/>
                <w:szCs w:val="1"/>
                <w:color w:val="auto"/>
              </w:rPr>
            </w:pPr>
          </w:p>
        </w:tc>
      </w:tr>
      <w:tr>
        <w:trPr>
          <w:trHeight w:val="142"/>
        </w:trPr>
        <w:tc>
          <w:tcPr>
            <w:tcW w:w="3100" w:type="dxa"/>
            <w:vAlign w:val="bottom"/>
            <w:gridSpan w:val="3"/>
            <w:vMerge w:val="continue"/>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38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3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60" w:type="dxa"/>
            <w:vAlign w:val="bottom"/>
            <w:vMerge w:val="restart"/>
          </w:tcPr>
          <w:p>
            <w:pPr>
              <w:jc w:val="right"/>
              <w:ind w:right="2252"/>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six months ended June 30, 2010 and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Operating Profits</w:t>
            </w:r>
          </w:p>
        </w:tc>
        <w:tc>
          <w:tcPr>
            <w:tcW w:w="1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42"/>
        </w:trPr>
        <w:tc>
          <w:tcPr>
            <w:tcW w:w="50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5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$1,237</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5,587</w:t>
            </w:r>
          </w:p>
        </w:tc>
        <w:tc>
          <w:tcPr>
            <w:tcW w:w="500" w:type="dxa"/>
            <w:vAlign w:val="bottom"/>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6,291</w:t>
            </w:r>
          </w:p>
        </w:tc>
        <w:tc>
          <w:tcPr>
            <w:tcW w:w="500" w:type="dxa"/>
            <w:vAlign w:val="bottom"/>
          </w:tcPr>
          <w:p>
            <w:pPr>
              <w:jc w:val="right"/>
              <w:spacing w:after="0"/>
              <w:rPr>
                <w:sz w:val="20"/>
                <w:szCs w:val="20"/>
                <w:color w:val="auto"/>
              </w:rPr>
            </w:pPr>
            <w:r>
              <w:rPr>
                <w:rFonts w:ascii="Arial" w:cs="Arial" w:eastAsia="Arial" w:hAnsi="Arial"/>
                <w:sz w:val="18"/>
                <w:szCs w:val="18"/>
                <w:color w:val="auto"/>
              </w:rPr>
              <w:t>958</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903</w:t>
            </w:r>
          </w:p>
        </w:tc>
        <w:tc>
          <w:tcPr>
            <w:tcW w:w="3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2,723</w:t>
            </w:r>
          </w:p>
        </w:tc>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249</w:t>
            </w:r>
          </w:p>
        </w:tc>
        <w:tc>
          <w:tcPr>
            <w:tcW w:w="3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25,617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25,981</w:t>
            </w: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25,445</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3,463</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2,887</w:t>
            </w:r>
          </w:p>
        </w:tc>
        <w:tc>
          <w:tcPr>
            <w:tcW w:w="38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13.3%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first six months of 2010 and 2009, restructuring and other costs included in consolidated operating profit totaled $152 million and $464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4280" w:type="dxa"/>
            <w:vAlign w:val="bottom"/>
            <w:gridSpan w:val="3"/>
            <w:vMerge w:val="continue"/>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5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2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tables and segment discussions that follow address the factors that contributed to the year-over-year changes in revenues and operating profits: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3320" w:type="dxa"/>
            <w:vAlign w:val="bottom"/>
            <w:gridSpan w:val="5"/>
          </w:tcPr>
          <w:p>
            <w:pPr>
              <w:ind w:left="380"/>
              <w:spacing w:after="0" w:line="142" w:lineRule="exact"/>
              <w:rPr>
                <w:sz w:val="20"/>
                <w:szCs w:val="20"/>
                <w:color w:val="auto"/>
              </w:rPr>
            </w:pPr>
            <w:r>
              <w:rPr>
                <w:rFonts w:ascii="Arial" w:cs="Arial" w:eastAsia="Arial" w:hAnsi="Arial"/>
                <w:sz w:val="14"/>
                <w:szCs w:val="14"/>
                <w:b w:val="1"/>
                <w:bCs w:val="1"/>
                <w:color w:val="auto"/>
              </w:rPr>
              <w:t>Quarter Ended June 30, 2010</w:t>
            </w:r>
          </w:p>
        </w:tc>
        <w:tc>
          <w:tcPr>
            <w:tcW w:w="24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9"/>
              </w:rPr>
              <w:t>Six Months Ended June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Revenues</w:t>
            </w: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88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0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w:t>
            </w:r>
          </w:p>
        </w:tc>
        <w:tc>
          <w:tcPr>
            <w:tcW w:w="236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5 %</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1 %</w:t>
            </w:r>
          </w:p>
        </w:tc>
        <w:tc>
          <w:tcPr>
            <w:tcW w:w="460" w:type="dxa"/>
            <w:vAlign w:val="bottom"/>
          </w:tcPr>
          <w:p>
            <w:pPr>
              <w:spacing w:after="0"/>
              <w:rPr>
                <w:sz w:val="18"/>
                <w:szCs w:val="18"/>
                <w:color w:val="auto"/>
              </w:rPr>
            </w:pPr>
          </w:p>
        </w:tc>
        <w:tc>
          <w:tcPr>
            <w:tcW w:w="1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20"/>
              <w:spacing w:after="0"/>
              <w:rPr>
                <w:sz w:val="20"/>
                <w:szCs w:val="20"/>
                <w:color w:val="auto"/>
              </w:rPr>
            </w:pPr>
            <w:r>
              <w:rPr>
                <w:rFonts w:ascii="Arial" w:cs="Arial" w:eastAsia="Arial" w:hAnsi="Arial"/>
                <w:sz w:val="18"/>
                <w:szCs w:val="18"/>
                <w:color w:val="auto"/>
              </w:rPr>
              <w:t>3 %</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1 %</w:t>
            </w:r>
          </w:p>
        </w:tc>
        <w:tc>
          <w:tcPr>
            <w:tcW w:w="4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1 %</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360" w:type="dxa"/>
            <w:vAlign w:val="bottom"/>
            <w:gridSpan w:val="3"/>
          </w:tcPr>
          <w:p>
            <w:pPr>
              <w:ind w:left="1360"/>
              <w:spacing w:after="0"/>
              <w:rPr>
                <w:sz w:val="20"/>
                <w:szCs w:val="20"/>
                <w:color w:val="auto"/>
              </w:rPr>
            </w:pPr>
            <w:r>
              <w:rPr>
                <w:rFonts w:ascii="Arial" w:cs="Arial" w:eastAsia="Arial" w:hAnsi="Arial"/>
                <w:sz w:val="18"/>
                <w:szCs w:val="18"/>
                <w:color w:val="auto"/>
              </w:rPr>
              <w:t>6 %</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w:t>
            </w:r>
          </w:p>
        </w:tc>
        <w:tc>
          <w:tcPr>
            <w:tcW w:w="236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(4)%</w:t>
            </w:r>
          </w:p>
        </w:tc>
        <w:tc>
          <w:tcPr>
            <w:tcW w:w="2360" w:type="dxa"/>
            <w:vAlign w:val="bottom"/>
            <w:gridSpan w:val="3"/>
          </w:tcPr>
          <w:p>
            <w:pPr>
              <w:ind w:left="1360"/>
              <w:spacing w:after="0"/>
              <w:rPr>
                <w:sz w:val="20"/>
                <w:szCs w:val="20"/>
                <w:color w:val="auto"/>
              </w:rPr>
            </w:pPr>
            <w:r>
              <w:rPr>
                <w:rFonts w:ascii="Arial" w:cs="Arial" w:eastAsia="Arial" w:hAnsi="Arial"/>
                <w:sz w:val="18"/>
                <w:szCs w:val="18"/>
                <w:color w:val="auto"/>
              </w:rPr>
              <w:t>2 %</w:t>
            </w: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(1)%</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2010 Compared with Quarter Ended June 30, 2009</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Revenues decreased $115 million (4%) in the second quarter of 2010, compared with the same period of 2009. The organic revenue decline in the quarter was due to a decrease in new equipment sales, as continued growth in China was offset by declines in most other major markets. The decrease in new equipment sales was partially offset by continued growth in the contractual maintenance business and resumption of growth in repair sales. The decrease contributed by “Other” reflects the absence of a $52 million gain recognized in the second quarter of 2009.</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Operating profits increased $10 million (2%) in the second quarter of 2010, compared with the same period of 2009. Operational profit improvement was primarily due to the benefits from on-going cost reduction programs as well as strong conversion of manufacturing volume in China, and higher service volume globally. The decrease contributed by “Other” reflects the absence of a $52 million gain recognized in the second quarter of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with Six Months Ended June 30, 2009</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Revenues decreased $48 million (1%) in the first six months of 2010, compared with the same period of 2009, as lower organic volume was mostly offset by the favorable impact of foreign currency translation. The organic revenue decline in the first half of 2010 was due primarily to a decrease in new equipment sales in North America and Europe, partially offset by a strong rebound in China and strength in the contractual maintenance business. The decrease contributed by “Other” reflects the absence of a $52 million gain recognized in the second quarter of 2009.</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profits increased $100 million (9%) in the first six months of 2010, compared with the same period of 2009. Operational profit improvement was primarily due to the benefits from on-going cost reduction programs, strong conversion on manufacturing volume in China, and increased volume in the contractual maintenance business. The decrease contributed by “Other” reflects the absence of a $52 million gain recognized in the second quarter of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3320" w:type="dxa"/>
            <w:vAlign w:val="bottom"/>
            <w:gridSpan w:val="5"/>
          </w:tcPr>
          <w:p>
            <w:pPr>
              <w:ind w:left="380"/>
              <w:spacing w:after="0" w:line="142" w:lineRule="exact"/>
              <w:rPr>
                <w:sz w:val="20"/>
                <w:szCs w:val="20"/>
                <w:color w:val="auto"/>
              </w:rPr>
            </w:pPr>
            <w:r>
              <w:rPr>
                <w:rFonts w:ascii="Arial" w:cs="Arial" w:eastAsia="Arial" w:hAnsi="Arial"/>
                <w:sz w:val="14"/>
                <w:szCs w:val="14"/>
                <w:b w:val="1"/>
                <w:bCs w:val="1"/>
                <w:color w:val="auto"/>
              </w:rPr>
              <w:t>Quarter Ended June 30, 2010</w:t>
            </w:r>
          </w:p>
        </w:tc>
        <w:tc>
          <w:tcPr>
            <w:tcW w:w="24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9"/>
              </w:rPr>
              <w:t>Six Months Ended June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Revenues</w:t>
            </w: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88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0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7 %</w:t>
            </w:r>
          </w:p>
        </w:tc>
        <w:tc>
          <w:tcPr>
            <w:tcW w:w="2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30 %</w:t>
            </w:r>
          </w:p>
        </w:tc>
        <w:tc>
          <w:tcPr>
            <w:tcW w:w="1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5 %</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1 %</w:t>
            </w:r>
          </w:p>
        </w:tc>
        <w:tc>
          <w:tcPr>
            <w:tcW w:w="460" w:type="dxa"/>
            <w:vAlign w:val="bottom"/>
          </w:tcPr>
          <w:p>
            <w:pPr>
              <w:spacing w:after="0"/>
              <w:rPr>
                <w:sz w:val="18"/>
                <w:szCs w:val="18"/>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20"/>
              <w:spacing w:after="0"/>
              <w:rPr>
                <w:sz w:val="20"/>
                <w:szCs w:val="20"/>
                <w:color w:val="auto"/>
              </w:rPr>
            </w:pPr>
            <w:r>
              <w:rPr>
                <w:rFonts w:ascii="Arial" w:cs="Arial" w:eastAsia="Arial" w:hAnsi="Arial"/>
                <w:sz w:val="18"/>
                <w:szCs w:val="18"/>
                <w:color w:val="auto"/>
              </w:rPr>
              <w:t>2 %</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w:t>
            </w:r>
          </w:p>
        </w:tc>
        <w:tc>
          <w:tcPr>
            <w:tcW w:w="2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15 %</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1 %</w:t>
            </w:r>
          </w:p>
        </w:tc>
        <w:tc>
          <w:tcPr>
            <w:tcW w:w="2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1 %</w:t>
            </w: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28 %</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2010 Compared with Quarter Ended June 30, 2009</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Revenues increased $24 million (1%) in the second quarter of 2010, compared with the same period of 2009. Organic revenue growth was driven by improvement in both the U.S. residential systems and transport refrigeration markets, partially offset by a decline in the global commercial HVAC equipment market. The 8% decrease in “Acquisitions and divestitures, net” reflects the net year-over-year impact from acquisitions and divestitures completed in the preceding twelve months, including the transaction in the third quarter of 2009 with Watsco, Inc.</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Operating profit increased $73 million (28%) in the second quarter of 2010, compared with the same period of 2009. The operational profit improvement was driven by strong revenue growth combined with the carry-over benefits of aggressive cost reduction and organizational restructuring, partially offset by increased commodity costs and some price pressure. Included in “Other” in the second quarter of 2010 is a net charge of approximately $47 million resulting from dispositions associated with Carrier’s ongoing portfolio transformation. Included in this net charge is an approximately $58 million asset impairment charge associated with the expected disposition of a business, partially offset by a gain on the sale of another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with Six Months Ended June 30, 2009</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Revenues decreased $23 million in the first six months of 2010, compared with the same period of 2009. Organic revenue growth was driven by improvement in both the U.S. residential systems and transport refrigeration markets, partially offset by a decline in the global commercial HVAC equipment market. The 7% decrease in “Acquisitions and divestitures, net” in the first six months of 2010 reflects the net year-over-year impact from acquisitions and divestitures completed in the preceding twelve months, including the transaction in the third quarter of 2009 with Watsco, Inc.</w:t>
      </w:r>
    </w:p>
    <w:p>
      <w:pPr>
        <w:spacing w:after="0" w:line="113"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Operating profits increased $190 million (67%) in the first six months of 2010, compared with the same period of 2009. The operational profit improvement was largely driven by conversion on the revenue growth combined with carry-over benefits of aggressive cost reduction and organizational restructuring. The decrease contributed by “Other” primarily reflects the year-over-year net impact of transactions resulting from dispositions arising from Carrier’s ongoing portfolio transformation. Included in this net charge is an approximately $58 million asset impairment charge in the second quarter of 2010 associated with the expected disposition of a business, partially offset by a gain on the sale of another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Fire &amp; Security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3"/>
              </w:rPr>
              <w:t>Factors Contributing to Total % Change Year-Over-Year in:</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3320" w:type="dxa"/>
            <w:vAlign w:val="bottom"/>
            <w:gridSpan w:val="5"/>
          </w:tcPr>
          <w:p>
            <w:pPr>
              <w:jc w:val="right"/>
              <w:ind w:right="1240"/>
              <w:spacing w:after="0" w:line="142" w:lineRule="exact"/>
              <w:rPr>
                <w:sz w:val="20"/>
                <w:szCs w:val="20"/>
                <w:color w:val="auto"/>
              </w:rPr>
            </w:pPr>
            <w:r>
              <w:rPr>
                <w:rFonts w:ascii="Arial" w:cs="Arial" w:eastAsia="Arial" w:hAnsi="Arial"/>
                <w:sz w:val="14"/>
                <w:szCs w:val="14"/>
                <w:b w:val="1"/>
                <w:bCs w:val="1"/>
                <w:color w:val="auto"/>
              </w:rPr>
              <w:t>Quarter Ended June 30, 2010</w:t>
            </w:r>
          </w:p>
        </w:tc>
        <w:tc>
          <w:tcPr>
            <w:tcW w:w="24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9"/>
              </w:rPr>
              <w:t>Six Months Ended June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Revenues</w:t>
            </w: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88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880"/>
              <w:spacing w:after="0" w:line="142" w:lineRule="exact"/>
              <w:rPr>
                <w:sz w:val="20"/>
                <w:szCs w:val="20"/>
                <w:color w:val="auto"/>
              </w:rPr>
            </w:pPr>
            <w:r>
              <w:rPr>
                <w:rFonts w:ascii="Arial" w:cs="Arial" w:eastAsia="Arial" w:hAnsi="Arial"/>
                <w:sz w:val="14"/>
                <w:szCs w:val="14"/>
                <w:b w:val="1"/>
                <w:bCs w:val="1"/>
                <w:color w:val="auto"/>
                <w:w w:val="78"/>
              </w:rPr>
              <w:t>Revenues</w:t>
            </w:r>
          </w:p>
        </w:tc>
        <w:tc>
          <w:tcPr>
            <w:tcW w:w="10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1 %</w:t>
            </w: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5 %</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5 %</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25 %</w:t>
            </w:r>
          </w:p>
        </w:tc>
        <w:tc>
          <w:tcPr>
            <w:tcW w:w="2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96 %</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17 %</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122 %</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22 %</w:t>
            </w: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205 %</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16 %</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2010 Compared with Quarter Ended June 30, 2009</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Revenues increased $289 million (22%) in the second quarter of 2010, compared with the same period of 2009. Organically, the revenue contraction was driven by declines in the service and install businesses (4%). Geographically, weakness was experienced in most regions as a result of weaker economic conditions. The increase contributed by “Acquisitions and divestitures, net” principally reflects the net year-over-year impact from acquisition and divestitures completed in the preceding twelve months, led by the acquisition in March 2010 of the GE Security business.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Operating profits increased $113 million (205%) in the second quarter of 2010, compared with the same period of 2009, primarily due to the favorable impact of net acquisitions and lower year-over-year restructuring costs. The operational profit decline reflects the impact of organic volume contraction, largely offset by the benefits of integration of field operations, restructuring actions taken, and cost controls. The increase contributed by “Acquisitions and divestitures, net” primarily reflects the acquisition in March 2010 of the GE Security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with Six Months Ended June 30, 2009</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increased $422 million (16%) in the first six months of 2010, compared with the same period of 2009. Organically, the revenue contraction was driven by declines in the service and install businesses (5%) and product businesses (1%). Geographically, weakness was experienced across all regions, most notably in the Americas and Europe, as a result of weaker economic conditions. The increase contributed by “Acquisitions and divestitures, net” principally reflects the net year-over-year impact from acquisition and divestitures completed in the preceding twelve months, led by the acquisition in March 2010 of the GE Security business.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profits increased $143 million (97%) in the first six months of 2010, compared with the same period of 2009 primarily due to the impact of net acquisitions and lower year-over-year restructuring costs. The operational profit decline reflects the impact of organic volume contraction, largely offset by the benefits of integration of field operations, restructuring actions taken, and cost controls. The increase contributed by “Acquisitions and divestitures, net” primarily reflects the acquisition in March 2010 of the GE Security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3280" w:type="dxa"/>
            <w:vAlign w:val="bottom"/>
            <w:gridSpan w:val="5"/>
          </w:tcPr>
          <w:p>
            <w:pPr>
              <w:jc w:val="right"/>
              <w:ind w:right="1240"/>
              <w:spacing w:after="0" w:line="142" w:lineRule="exact"/>
              <w:rPr>
                <w:sz w:val="20"/>
                <w:szCs w:val="20"/>
                <w:color w:val="auto"/>
              </w:rPr>
            </w:pPr>
            <w:r>
              <w:rPr>
                <w:rFonts w:ascii="Arial" w:cs="Arial" w:eastAsia="Arial" w:hAnsi="Arial"/>
                <w:sz w:val="14"/>
                <w:szCs w:val="14"/>
                <w:b w:val="1"/>
                <w:bCs w:val="1"/>
                <w:color w:val="auto"/>
              </w:rPr>
              <w:t>Quarter Ended June 30, 2010</w:t>
            </w:r>
          </w:p>
        </w:tc>
        <w:tc>
          <w:tcPr>
            <w:tcW w:w="24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9"/>
              </w:rPr>
              <w:t>Six Months Ended June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78"/>
              </w:rPr>
              <w:t>Revenues</w:t>
            </w:r>
          </w:p>
        </w:tc>
        <w:tc>
          <w:tcPr>
            <w:tcW w:w="3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88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0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1 %</w:t>
            </w:r>
          </w:p>
        </w:tc>
        <w:tc>
          <w:tcPr>
            <w:tcW w:w="2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Foreign currency (including P&amp;WC net hedging)*</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4 %</w:t>
            </w:r>
          </w:p>
        </w:tc>
        <w:tc>
          <w:tcPr>
            <w:tcW w:w="2300" w:type="dxa"/>
            <w:vAlign w:val="bottom"/>
            <w:gridSpan w:val="3"/>
          </w:tcPr>
          <w:p>
            <w:pPr>
              <w:jc w:val="right"/>
              <w:ind w:right="740"/>
              <w:spacing w:after="0"/>
              <w:rPr>
                <w:sz w:val="20"/>
                <w:szCs w:val="20"/>
                <w:color w:val="auto"/>
              </w:rPr>
            </w:pPr>
            <w:r>
              <w:rPr>
                <w:rFonts w:ascii="Arial" w:cs="Arial" w:eastAsia="Arial" w:hAnsi="Arial"/>
                <w:sz w:val="18"/>
                <w:szCs w:val="18"/>
                <w:color w:val="auto"/>
              </w:rPr>
              <w:t>8 %</w:t>
            </w:r>
          </w:p>
        </w:tc>
        <w:tc>
          <w:tcPr>
            <w:tcW w:w="1420" w:type="dxa"/>
            <w:vAlign w:val="bottom"/>
            <w:gridSpan w:val="2"/>
          </w:tcPr>
          <w:p>
            <w:pPr>
              <w:ind w:left="420"/>
              <w:spacing w:after="0"/>
              <w:rPr>
                <w:sz w:val="20"/>
                <w:szCs w:val="20"/>
                <w:color w:val="auto"/>
              </w:rPr>
            </w:pPr>
            <w:r>
              <w:rPr>
                <w:rFonts w:ascii="Arial" w:cs="Arial" w:eastAsia="Arial" w:hAnsi="Arial"/>
                <w:sz w:val="18"/>
                <w:szCs w:val="18"/>
                <w:color w:val="auto"/>
              </w:rPr>
              <w:t>4 %</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1 %</w:t>
            </w:r>
          </w:p>
        </w:tc>
        <w:tc>
          <w:tcPr>
            <w:tcW w:w="23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2 %</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300" w:type="dxa"/>
            <w:vAlign w:val="bottom"/>
            <w:gridSpan w:val="3"/>
          </w:tcPr>
          <w:p>
            <w:pPr>
              <w:jc w:val="right"/>
              <w:ind w:right="740"/>
              <w:spacing w:after="0"/>
              <w:rPr>
                <w:sz w:val="20"/>
                <w:szCs w:val="20"/>
                <w:color w:val="auto"/>
              </w:rPr>
            </w:pPr>
            <w:r>
              <w:rPr>
                <w:rFonts w:ascii="Arial" w:cs="Arial" w:eastAsia="Arial" w:hAnsi="Arial"/>
                <w:sz w:val="18"/>
                <w:szCs w:val="18"/>
                <w:color w:val="auto"/>
              </w:rPr>
              <w:t>10 %</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6 %</w:t>
            </w:r>
          </w:p>
        </w:tc>
        <w:tc>
          <w:tcPr>
            <w:tcW w:w="2300" w:type="dxa"/>
            <w:vAlign w:val="bottom"/>
            <w:gridSpan w:val="3"/>
          </w:tcPr>
          <w:p>
            <w:pPr>
              <w:jc w:val="right"/>
              <w:ind w:right="740"/>
              <w:spacing w:after="0"/>
              <w:rPr>
                <w:sz w:val="20"/>
                <w:szCs w:val="20"/>
                <w:color w:val="auto"/>
              </w:rPr>
            </w:pPr>
            <w:r>
              <w:rPr>
                <w:rFonts w:ascii="Arial" w:cs="Arial" w:eastAsia="Arial" w:hAnsi="Arial"/>
                <w:sz w:val="18"/>
                <w:szCs w:val="18"/>
                <w:color w:val="auto"/>
              </w:rPr>
              <w:t>12 %</w:t>
            </w: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80" w:hanging="212"/>
        <w:spacing w:after="0" w:line="294" w:lineRule="auto"/>
        <w:tabs>
          <w:tab w:leader="none" w:pos="2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 revenue/operational operating 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2010 Compared with Quarter Ended June 30, 2009</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Revenues increased $187 million (6%) in the second quarter of 2010, compared with the same period of 2009. The increase in organic revenues primarily reflects an increase in large commercial engine and military OEM shipments, offset by lower engine volumes at P&amp;WC. The impact from foreign currency reflects the beneficial transactional impact of foreign exchange hedging at P&amp;WC.</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Operating profits increased $55 million (12%) in the second quarter of 2010, compared with the same period of 2009. The operational profit decline was primarily driven by the unfavorable impact of increased research and development costs (5%). A decrease in operating profits at P&amp;WC, driven by lower engine volumes, was mostly offset by the favorable impact of higher military OEM shipments.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with Six Months Ended June 30, 2009</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Revenues decreased $101 million (2%) in the first six months of 2010, compared with the same period of 2009. The decrease in organic revenues is primarily attributable to lower engine volumes at P&amp;WC. The impact from foreign currency reflects the beneficial transactional impact of foreign exchange hedging at P&amp;WC.</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Operating profits increased $55 million (6%) in the first six months of 2010, compared with the same period of 2009. The operational profit decline was primarily driven by a decline at P&amp;WC as a result of lower engine volumes, and a decrease within the large commercial engine business, driven by lower aftermarket volume.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320" w:type="dxa"/>
            <w:vAlign w:val="bottom"/>
            <w:gridSpan w:val="5"/>
          </w:tcPr>
          <w:p>
            <w:pPr>
              <w:jc w:val="right"/>
              <w:ind w:right="1240"/>
              <w:spacing w:after="0" w:line="142" w:lineRule="exact"/>
              <w:rPr>
                <w:sz w:val="20"/>
                <w:szCs w:val="20"/>
                <w:color w:val="auto"/>
              </w:rPr>
            </w:pPr>
            <w:r>
              <w:rPr>
                <w:rFonts w:ascii="Arial" w:cs="Arial" w:eastAsia="Arial" w:hAnsi="Arial"/>
                <w:sz w:val="14"/>
                <w:szCs w:val="14"/>
                <w:b w:val="1"/>
                <w:bCs w:val="1"/>
                <w:color w:val="auto"/>
              </w:rPr>
              <w:t>Quarter Ended June 30, 2010</w:t>
            </w:r>
          </w:p>
        </w:tc>
        <w:tc>
          <w:tcPr>
            <w:tcW w:w="24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9"/>
              </w:rPr>
              <w:t>Six Months Ended June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Revenues</w:t>
            </w: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88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w:t>
            </w:r>
          </w:p>
        </w:tc>
        <w:tc>
          <w:tcPr>
            <w:tcW w:w="2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7 %</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(1)%</w:t>
            </w:r>
          </w:p>
        </w:tc>
        <w:tc>
          <w:tcPr>
            <w:tcW w:w="2360" w:type="dxa"/>
            <w:vAlign w:val="bottom"/>
            <w:gridSpan w:val="3"/>
          </w:tcPr>
          <w:p>
            <w:pPr>
              <w:jc w:val="right"/>
              <w:ind w:right="660"/>
              <w:spacing w:after="0"/>
              <w:rPr>
                <w:sz w:val="20"/>
                <w:szCs w:val="20"/>
                <w:color w:val="auto"/>
              </w:rPr>
            </w:pPr>
            <w:r>
              <w:rPr>
                <w:rFonts w:ascii="Arial" w:cs="Arial" w:eastAsia="Arial" w:hAnsi="Arial"/>
                <w:sz w:val="18"/>
                <w:szCs w:val="18"/>
                <w:color w:val="auto"/>
              </w:rPr>
              <w:t>(1)%</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16 %</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1 %</w:t>
            </w:r>
          </w:p>
        </w:tc>
        <w:tc>
          <w:tcPr>
            <w:tcW w:w="2360" w:type="dxa"/>
            <w:vAlign w:val="bottom"/>
            <w:gridSpan w:val="3"/>
          </w:tcPr>
          <w:p>
            <w:pPr>
              <w:jc w:val="right"/>
              <w:ind w:right="660"/>
              <w:spacing w:after="0"/>
              <w:rPr>
                <w:sz w:val="20"/>
                <w:szCs w:val="20"/>
                <w:color w:val="auto"/>
              </w:rPr>
            </w:pPr>
            <w:r>
              <w:rPr>
                <w:rFonts w:ascii="Arial" w:cs="Arial" w:eastAsia="Arial" w:hAnsi="Arial"/>
                <w:sz w:val="18"/>
                <w:szCs w:val="18"/>
                <w:color w:val="auto"/>
              </w:rPr>
              <w:t>(13)%</w:t>
            </w:r>
          </w:p>
        </w:tc>
        <w:tc>
          <w:tcPr>
            <w:tcW w:w="1420" w:type="dxa"/>
            <w:vAlign w:val="bottom"/>
            <w:gridSpan w:val="2"/>
          </w:tcPr>
          <w:p>
            <w:pPr>
              <w:ind w:left="420"/>
              <w:spacing w:after="0"/>
              <w:rPr>
                <w:sz w:val="20"/>
                <w:szCs w:val="20"/>
                <w:color w:val="auto"/>
              </w:rPr>
            </w:pPr>
            <w:r>
              <w:rPr>
                <w:rFonts w:ascii="Arial" w:cs="Arial" w:eastAsia="Arial" w:hAnsi="Arial"/>
                <w:sz w:val="18"/>
                <w:szCs w:val="18"/>
                <w:color w:val="auto"/>
              </w:rPr>
              <w:t>1 %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w:t>
            </w:r>
          </w:p>
        </w:tc>
        <w:tc>
          <w:tcPr>
            <w:tcW w:w="2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9 %</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2010 Compared with Quarter Ended June 30, 2009</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Revenues decreased $15 million (1%) in the second quarter of 2010, compared with the same period of 2009. The organic revenue contraction reflects volume decline in the aerospace businesses (3%), partially offset by an increase in the industrial businesses (2%). The decrease within aerospace was due to a decline in OEM (4%) partially offset by an increase in aftermarket (1%).</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Operating profits increased $17 million (9%) in the second quarter of 2010, compared with the same period of 2009. The increase in operational profit reflects an increase in the industrial businesses (8%) partially offset by a decrease in the aerospace businesses (1%). The decrease within aerospace was due to a decline in OEM (8%), which is primarily attributable to an increase in year-over-year research and development costs (6%) and higher net commodities costs (1%), offset by an increase in aftermarket (7%). The decrease contributed by “Other” includes approximately $28 million of asset impairment charges recorded in the second quarter of 2010. These charges relate primarily to the expected disposition of an aerospace business as part of Hamilton Sundstrand’s efforts to implement low cost sourcing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with Six Months Ended June 30, 2009</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Revenues decreased $55 million (2%) in the first six months of 2010, compared with the same period of 2009. The organic revenue contraction reflects volume decline in the aerospace businesses (4%), partially offset by an increase in the industrial businesses (1%). The decrease within aerospace was attributable to a decline in OEM (5%), partially offset by an increase in aftermarket (1%).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profits increased $46 million (12%) in the first six months of 2010, compared with the same period of 2009. The increase in operational profit is primarily attributable to an increase in the industrial businesses (8%), partially offset by a decrease in the aerospace businesses (2%). The decrease within aerospace was due to a decline in OEM (7%) partially offset by an increase in aftermarket (5%). The decrease contributed by “Other” includes approximately $28 million of asset impairment charges recorded in the second quarter of 2010. These charges relate primarily to the expected disposition of an aerospace business as part of Hamilton Sundstrand’s efforts to implement low cost sourcing initiatives.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Factors Contributing to Total % Change Year-Over-Year in:</w:t>
            </w:r>
          </w:p>
        </w:tc>
        <w:tc>
          <w:tcPr>
            <w:tcW w:w="10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328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rPr>
              <w:t>Quarter Ended June 30, 2010</w:t>
            </w:r>
          </w:p>
        </w:tc>
        <w:tc>
          <w:tcPr>
            <w:tcW w:w="24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9"/>
              </w:rPr>
              <w:t>Six Months Ended June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4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Operating Profits</w:t>
            </w:r>
          </w:p>
        </w:tc>
        <w:tc>
          <w:tcPr>
            <w:tcW w:w="880" w:type="dxa"/>
            <w:vAlign w:val="bottom"/>
          </w:tcPr>
          <w:p>
            <w:pPr>
              <w:spacing w:after="0"/>
              <w:rPr>
                <w:sz w:val="12"/>
                <w:szCs w:val="12"/>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0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22 %</w:t>
            </w:r>
          </w:p>
        </w:tc>
        <w:tc>
          <w:tcPr>
            <w:tcW w:w="23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33 %</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12 %</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Acquisitions and divestitures, net</w:t>
            </w: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right"/>
              <w:ind w:right="680"/>
              <w:spacing w:after="0"/>
              <w:rPr>
                <w:sz w:val="20"/>
                <w:szCs w:val="20"/>
                <w:color w:val="auto"/>
              </w:rPr>
            </w:pPr>
            <w:r>
              <w:rPr>
                <w:rFonts w:ascii="Arial" w:cs="Arial" w:eastAsia="Arial" w:hAnsi="Arial"/>
                <w:sz w:val="18"/>
                <w:szCs w:val="18"/>
                <w:color w:val="auto"/>
              </w:rPr>
              <w:t>(6)%</w:t>
            </w: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22 %</w:t>
            </w:r>
          </w:p>
        </w:tc>
        <w:tc>
          <w:tcPr>
            <w:tcW w:w="2380" w:type="dxa"/>
            <w:vAlign w:val="bottom"/>
            <w:gridSpan w:val="3"/>
          </w:tcPr>
          <w:p>
            <w:pPr>
              <w:jc w:val="right"/>
              <w:ind w:right="740"/>
              <w:spacing w:after="0"/>
              <w:rPr>
                <w:sz w:val="20"/>
                <w:szCs w:val="20"/>
                <w:color w:val="auto"/>
              </w:rPr>
            </w:pPr>
            <w:r>
              <w:rPr>
                <w:rFonts w:ascii="Arial" w:cs="Arial" w:eastAsia="Arial" w:hAnsi="Arial"/>
                <w:sz w:val="18"/>
                <w:szCs w:val="18"/>
                <w:color w:val="auto"/>
              </w:rPr>
              <w:t>27 %</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12 %</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2010 Compared with Quarter Ended June 30, 2009</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Revenues increased $302 million (22%) in the second quarter of 2010, compared with the same period of 2009. Organic revenue growth was primarily driven by increased military revenues (20%).</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profits increased $36 million (27%) in the second quarter of 2010, compared with the same period of 2009. The operational profit improvement was primarily attributable to increased aircraft deliveries, lower manufacturing costs, and favorable mix for aircraft within military (combined 49%). This increase was partially offset primarily by increased research and development costs. The 6% decrease contributed in “Acquisitions and divestitures, net” reflects start-up costs of a new equity investment in the United Arab Emirates in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with Six Months Ended June 30, 2009</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Revenues increased $334 million (12%) in the first six months of 2010, compared with the same period of 2009. Organic revenue growth was primarily driven by an increase in military revenues (12%).</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Operating profits increased $65 million (26%) in the first six months of 2010, compared with the same period of 2009. The operational profit improvement was primarily attributable to increased aircraft deliveries and favorable mix for aircraft within military (combined 31%) partially offset by higher research and development costs (10%). The impact from reduced operational profit within commercial operations, primarily due to commercial market weakness and a less favorable aircraft configuration mix, was offset by operational profit growth from aftermarket operations and customer funded development programs. The 3% decrease contributed in “Acquisitions and divestitures, net” reflects start-up costs of a new equity investment in the United Arab Emirates in 2010. The 8% increase contributed by “Other” primarily reflects the absence of prior year costs associated with a union contract ratified in the first quarter of 2009.</w:t>
      </w:r>
    </w:p>
    <w:p>
      <w:pPr>
        <w:spacing w:after="0" w:line="11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Eliminations and other— </w:t>
      </w:r>
      <w:r>
        <w:rPr>
          <w:rFonts w:ascii="Arial" w:cs="Arial" w:eastAsia="Arial" w:hAnsi="Arial"/>
          <w:sz w:val="16"/>
          <w:szCs w:val="16"/>
          <w:color w:val="auto"/>
        </w:rPr>
        <w:t>The year-over-year change in revenues for the second quarter of 2010, as compared with the same period of 2009, primarily reflects a</w:t>
      </w:r>
      <w:r>
        <w:rPr>
          <w:rFonts w:ascii="Arial" w:cs="Arial" w:eastAsia="Arial" w:hAnsi="Arial"/>
          <w:sz w:val="16"/>
          <w:szCs w:val="16"/>
          <w:b w:val="1"/>
          <w:bCs w:val="1"/>
          <w:color w:val="auto"/>
        </w:rPr>
        <w:t xml:space="preserve"> </w:t>
      </w:r>
      <w:r>
        <w:rPr>
          <w:rFonts w:ascii="Arial" w:cs="Arial" w:eastAsia="Arial" w:hAnsi="Arial"/>
          <w:sz w:val="16"/>
          <w:szCs w:val="16"/>
          <w:color w:val="auto"/>
        </w:rPr>
        <w:t>$24 million favorable pretax interest adjustment associated with the resolution of an uncertain temporary tax item, partially offset by the impact in the second quarter of 2010 from the early redemption of long-term debt that was due November 15, 2010, and losses associated with our equity investment in Clipper. Including the items noted above, the year-over-year change in operating profit also reflects the adverse impact of pension curtailment costs.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June 30,</w:t>
            </w: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w:t>
            </w:r>
          </w:p>
        </w:tc>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$ 4,997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$ 4,016</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12,065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9,744</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10,816</w:t>
            </w:r>
          </w:p>
        </w:tc>
        <w:tc>
          <w:tcPr>
            <w:tcW w:w="2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Total equity</w:t>
            </w:r>
            <w:r>
              <w:rPr>
                <w:rFonts w:ascii="Arial" w:cs="Arial" w:eastAsia="Arial" w:hAnsi="Arial"/>
                <w:sz w:val="11"/>
                <w:szCs w:val="11"/>
                <w:color w:val="auto"/>
              </w:rPr>
              <w:t>1</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20,915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20,999</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18,087</w:t>
            </w:r>
          </w:p>
        </w:tc>
        <w:tc>
          <w:tcPr>
            <w:tcW w:w="2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r>
              <w:rPr>
                <w:rFonts w:ascii="Arial" w:cs="Arial" w:eastAsia="Arial" w:hAnsi="Arial"/>
                <w:sz w:val="11"/>
                <w:szCs w:val="11"/>
                <w:color w:val="auto"/>
              </w:rPr>
              <w:t>1</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32,980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28,903</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w w:val="98"/>
              </w:rPr>
              <w:t>Net capitalization (debt plus equity less cash and cash equivalents)</w:t>
            </w:r>
            <w:r>
              <w:rPr>
                <w:rFonts w:ascii="Arial" w:cs="Arial" w:eastAsia="Arial" w:hAnsi="Arial"/>
                <w:sz w:val="11"/>
                <w:szCs w:val="11"/>
                <w:color w:val="auto"/>
                <w:w w:val="98"/>
              </w:rPr>
              <w:t>1</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27,983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26,294</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24,887</w:t>
            </w:r>
          </w:p>
        </w:tc>
        <w:tc>
          <w:tcPr>
            <w:tcW w:w="2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r>
              <w:rPr>
                <w:rFonts w:ascii="Arial" w:cs="Arial" w:eastAsia="Arial" w:hAnsi="Arial"/>
                <w:sz w:val="11"/>
                <w:szCs w:val="11"/>
                <w:color w:val="auto"/>
              </w:rPr>
              <w:t>1</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r>
              <w:rPr>
                <w:rFonts w:ascii="Arial" w:cs="Arial" w:eastAsia="Arial" w:hAnsi="Arial"/>
                <w:sz w:val="11"/>
                <w:szCs w:val="11"/>
                <w:color w:val="auto"/>
              </w:rPr>
              <w:t>1</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18" w:lineRule="exact"/>
        <w:rPr>
          <w:sz w:val="20"/>
          <w:szCs w:val="20"/>
          <w:color w:val="auto"/>
        </w:rPr>
      </w:pPr>
    </w:p>
    <w:p>
      <w:pPr>
        <w:ind w:left="460" w:right="20" w:hanging="458"/>
        <w:spacing w:after="0" w:line="253" w:lineRule="auto"/>
        <w:rPr>
          <w:sz w:val="20"/>
          <w:szCs w:val="20"/>
          <w:color w:val="auto"/>
        </w:rPr>
      </w:pPr>
      <w:r>
        <w:rPr>
          <w:rFonts w:ascii="Arial" w:cs="Arial" w:eastAsia="Arial" w:hAnsi="Arial"/>
          <w:sz w:val="22"/>
          <w:szCs w:val="22"/>
          <w:color w:val="auto"/>
          <w:vertAlign w:val="superscript"/>
        </w:rPr>
        <w:t>Note 1</w:t>
      </w:r>
      <w:r>
        <w:rPr>
          <w:rFonts w:ascii="Arial" w:cs="Arial" w:eastAsia="Arial" w:hAnsi="Arial"/>
          <w:sz w:val="18"/>
          <w:szCs w:val="18"/>
          <w:color w:val="auto"/>
        </w:rPr>
        <w:t xml:space="preserve"> During 2009, we adopted the FASB Accounting Standards Update (ASU) for redeemable equity instruments, applicable for all noncontrolling interests with redemption features, such as put options, that are not solely within our control (redeemable noncontrolling interests). The standards require redeemable noncontrolling interests to be reported in the mezzanine section of the balance sheet, between liabilities and equity, at the greater of redemption value or initial carrying value. As a result of this adoption, we have retroactively reclassified “Redeemable noncontrolling interests” in the mezzanine section of the balance sheet and have increased them to redemption value, where required, resulting in a $319 million reclassification from total equity at June 30, 2009. Additional discussion of the accounting for redeemable noncontrolling interests is included in Note 9 to the Condensed Consolidated Financial Statements.</w:t>
      </w:r>
    </w:p>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Distress in the financial markets over the last several years has had an adverse impact on financial markets including, among other things, extreme volatility in security prices, diminished liquidity and credit availability, rating downgrades of certain investments and declining valuations of others. We have assessed the implications of these factors on our current business, are closely monitoring the impact on our customers and suppliers, and have determined that while there has been some impact to working capital, overall there has not been a significant effect on our financial position, results of operations or liquidity during the first six months of 2010. Our pension plans have not experienced any significant impact on liquidity or counterparty exposure due to the volatility in the credit markets. Due to the substantial improvement in equity markets during the course of 2009, our domestic pension funds experienced a positive return on assets of approximately 21% in 2009. During the first six months of 2010, the return on our domestic pension funds was insignificant. As a result of the positive returns experienced during 2009, as well as additional funding during 2009 and a change to the final average earnings formula, pension expense in 2010 is expected to be lower than 2009 levels.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Approximately 88% of our domestic pension plans are invested in readily-liquid investments, including equity, fixed income, asset-backed receivables and structured products. The balance of our domestic pension plans (12%) is invested in less-liquid but market-valued investments, including real estate and private equity.</w:t>
      </w:r>
    </w:p>
    <w:p>
      <w:pPr>
        <w:spacing w:after="0" w:line="140"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As discussed further below, our strong debt ratings and financial position have historically enabled us to issue long-term debt at favorable market rates, including our $2.25 billion of long-term debt issuances in February 2010. In May 2010, we repaid the entire $600 million outstanding principal amount of our</w:t>
      </w:r>
    </w:p>
    <w:p>
      <w:pPr>
        <w:jc w:val="both"/>
        <w:spacing w:after="0" w:line="255" w:lineRule="auto"/>
        <w:rPr>
          <w:sz w:val="20"/>
          <w:szCs w:val="20"/>
          <w:color w:val="auto"/>
        </w:rPr>
      </w:pPr>
      <w:r>
        <w:rPr>
          <w:rFonts w:ascii="Arial" w:cs="Arial" w:eastAsia="Arial" w:hAnsi="Arial"/>
          <w:sz w:val="18"/>
          <w:szCs w:val="18"/>
          <w:color w:val="auto"/>
        </w:rPr>
        <w:t>4.375% notes at maturity, and in June 2010, we redeemed the entire $500 million outstanding principal amount of our 7.125% notes that were due November 15, 2010. Our ability to obtain debt financing at comparable risk-based interest rates is partly a function of our existing debt-to-total-capitalization level as well as our current credit standing.</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continued market volatility cannot be predicted, we believe we have sufficient operating flexibility, cash reserves and funding sources to maintain adequate amounts of liquidity and to meet our future operating cash needs.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Most of our cash is denominated in foreign currencies. We manage our worldwide cash requirements by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will continue to transfer cash from those subsidiaries to UTC and to other international subsidiaries when it is cost effective to do so.</w:t>
      </w:r>
    </w:p>
    <w:p>
      <w:pPr>
        <w:spacing w:after="0" w:line="9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occasion, we are required to maintain cash deposits with certain banks in respect to contractual obligations related to acquisitions or divestitures or other legal obligations. As of June 30, 2009, $346 million of restricted cash was reported in current assets in the Condensed Consolidated Balance Sheet. Restricted cash as of June 30, 2010 was not significant.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504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66"/>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increase in cash generated from operating activities in the first six months of 2010 as compared with the same period in 2009 is due largely to the increase in net income attributable to common shareowners as a result of higher volumes, and to lower global pension cash contributions, partially offset by higher working capital cash requirements. During the first six months of 2010, the change in working capital resulted in a cash outflow of $397 million compared to a cash outflow of $196 million during the first six months of 2009, a year-over-year increase of $201 million. Accounts receivable increased approximately $550 million during the first six months of 2010 due to sales volume increases primarily at Carrier and Sikorsky during the second quarter. An increase in the cash expended on inventories (approximately $650 million) was more than offset by a corresponding increase in accounts payable (approximately $550 million) and accruals of approximately $285 million primarily associated with increased current tax liabilities.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funded status of our pension plans is dependent upon many factors, including returns on invested assets and the level of market interest rates. We can contribute cash or company stock to our plans at our discretion. We made $261 million of cash contributions and contributed $250 million in UTC common stock to our global defined benefit pension plans in the first six months of 2010. We expect to make total cash contributions of $600 million to our global defined benefit pension plans during the year, including approximately $400 million to our domestic plans inclusive of the contributions to our domestic plans in the first six months of 2010. Expected contributions to our global defined pension plans in 2010 will meet or exceed the current funding requirements.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20" w:type="dxa"/>
            <w:vAlign w:val="bottom"/>
          </w:tcPr>
          <w:p>
            <w:pPr>
              <w:spacing w:after="0"/>
              <w:rPr>
                <w:sz w:val="14"/>
                <w:szCs w:val="14"/>
                <w:color w:val="auto"/>
              </w:rPr>
            </w:pPr>
          </w:p>
        </w:tc>
        <w:tc>
          <w:tcPr>
            <w:tcW w:w="21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4760" w:type="dxa"/>
            <w:vAlign w:val="bottom"/>
            <w:gridSpan w:val="3"/>
            <w:vMerge w:val="continue"/>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2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(2,359)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(527)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the net use of cash flows year-over-year in investing activities is largely a result of an increase in acquisitions activity in the first six months of 2010 as compared to the first six months of 2009. Investments in businesses in the first six months of 2010 primarily reflect the acquisition of the GE Security business for approximately $1.8 billion and the acquisition of a 49.9% equity stake in Clipper for approximately $270 million. We expect total investments in businesses in 2010 to be approximately $3 billion, including acquisitions completed during the first six months of 2010; however, actual acquisition spending may vary depending upon the timing, availability and appropriate value of acquisition opportunities. Capital expenditures declined year-over-year as most of the businesses curtailed such expenditures in line with the volume reductions as a result of the challenging economic climate.</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Customer financing activities was a net use of cash of $28 million for the first six months of 2010, compared to a net use of cash of $38 million for the same period in 2009. While we expect that 2010 customer financing activity will be a net use of funds, actual funding is subject to usage under existing customer financing commitments during the remainder of the year. We may also arrange for third-party investors to assume a portion of our commitments. We had financing and rental commitments of approximately $875 million and $909 million related to commercial aircraft at June 30, 2010 and December 31, 2009, respectively, of which as much as $113 million may be required to be disbursed during 2010.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4"/>
                <w:szCs w:val="14"/>
                <w:color w:val="auto"/>
              </w:rPr>
            </w:pPr>
          </w:p>
        </w:tc>
        <w:tc>
          <w:tcPr>
            <w:tcW w:w="20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530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In February 2010, we issued $2.25 billion of long-term debt. We used the net proceeds from these issuances primarily to partially fund the acquisition of the GE Security business and to repay commercial paper borrowings. In May 2010, we repaid the entire $600 million outstanding principal amount of our 4.375% notes at maturity and in June 2010, we redeemed the entire $500 million outstanding principal amount of our 7.125% notes that were due November 15, 2010. We had approximately $1,225 million of commercial paper outstanding at June 30, 2010, all of which was scheduled to mature within one month.</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June 30, 2010, we had two committed credit agreements from banks permitting aggregate borrowings of up to $2.5 billion. One credit commitment is a $1.5 billion revolving credit agreement. As of June 30, 2010, there were no borrowings under this revolving credit agreement, which expires in October 2011. We also have a $1.0 billion multicurrency revolving credit agreement that is available for general funding purposes, including acquisitions. As of June 30, 2010, there were no borrowings under this revolving credit agreement, which expires in November 2011. The undrawn portions of both the $1.5 billion revolving credit agreement and $1.0 billion multicurrency revolving credit agreement are also available to serve as backup facilities for the issuance of commercial paper.</w:t>
      </w:r>
    </w:p>
    <w:p>
      <w:pPr>
        <w:spacing w:after="0" w:line="1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repurchased $1,160 million of our common stock of which $1,150 million was paid for in the first six months of 2010, under a 60 million share repurchase program. On March 10, 2010, the Board of Directors authorized a new 60 million common share repurchase program that replaced the previous program, approved in June 2008, which was nearing completion. Share repurchases in the first six months of 2010 represent approximately 16.7 million shares, which includes 4.9 million shares repurchased under the previous program and 11.8 million shares repurchased under the new program. At June 30, 2010, approximately 48.2 million shares remain available for repurchase under the new share repurchase program. We expect total share repurchases in 2010 to be approximately $2.0 billion. However, total repurchases may vary depending upon various factors including the level of other investing activities. The share repurchase program continues to be a significant use of our cash flows and, at a minimum, is expected to offset the dilutive effect of the issuance of stock and options under stock-based employee benefit programs.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paid dividends of $0.425 per share in the first quarter of 2010 totaling $373 million and $0.425 per share in the second quarter of 2010 totaling $371 million. On June 9, 2010, the Board of Directors declared a dividend of $0.425 per share payable September 10, 2010.</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our 2009 Annual Report, incorporated by reference in our 2009 Form 10-K, we disclosed our off-balance sheet arrangements and contractual obligations. At June 30, 2010, there have been no material changes to these off-balance sheet arrangements and contractual obligations outside the ordinary course of business except as otherwise disclosed.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has been no significant change in our exposure to market risk during the first six months of 2010. For discussion of our exposure to market risk, refer to Part II, Item 7A, “Quantitative and Qualitative Disclosures About Market Risk,” contained in our 2009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required by Rule 13a-15 under the Securities Exchange Act of 1934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June 30, 2010.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2010,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2010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revenues, earnings, cash flow, uses of cash and other measures of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economic conditions in the United States and globally, including the financial condition of our customers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scope, nature or impact of acquisition and divestiture activity including integration of acquired businesses into our existing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availability of and access to credit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changes in tax, environmental and other laws and regulations in the United States and other countries in which we operate.</w:t>
      </w:r>
    </w:p>
    <w:p>
      <w:pPr>
        <w:spacing w:after="0" w:line="19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All forward-looking statements involve risks and uncertainties that may cause actual results to differ materially from those expressed or implied in the forward-looking statements. This Quarterly Report on Form 10-Q includes important information as to these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Accounting Estimates,” “Results of Continuing Operations,” and “Liquidity and Financial Condition” and the section titled “Risk Factors.” Our 2009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2009 Annual Report in the section titled “Management’s Discussion and Analysis of Financial Condition and Results of Operations” under the headings “Business Overview,” “Critical Accounting Estimates,” “Environmental Matters” and “Restructuring and Other Costs.” For additional information identifying factors that may cause actual results to vary materially from those stated in the forward-looking statements, see our reports on Forms 10-K, 10-Q and 8-K filed with the SEC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previously disclosed, in September 2009 Pratt &amp; Whitney announced plans to close a repair facility in East Hartford, Connecticut by the second quarter of 2010 and an engine overhaul facility in Cheshire, Connecticut by early 2011. The International Association of Machinists (IAM) subsequently filed a lawsuit in the U.S. District Court for the District of Connecticut in Hartford, Connecticut alleging that Pratt &amp; Whitney’s decision to close these facilities and transfer certain work to facilities outside Connecticut breached the terms of its collective bargaining agreement with the IAM and seeking to enjoin Pratt &amp; Whitney from moving the work for the duration of the current collective bargaining agreement. In February 2010, following a trial on the merits, the District Court issued a declaratory judgment permanently enjoining Pratt &amp; Whitney from closing the facilities and transferring the work for the duration of the current collective bargaining agreement, which expires on December 5, 2010. Pratt &amp; Whitney subsequently filed an appeal with the U.S. Court of Appeals for the Second Circuit. On July 8, 2010, the Court of Appeals upheld the District Court’s decision. Pratt &amp; Whitney is reviewing this decision and considering its impact on Pratt &amp; Whitney’s operations. Pratt &amp; Whitney recorded $53 million of restructuring costs in 2009 and $5 million of restructuring costs in 2010 associated with these planned closures. We do not believe that resolution of this matter will have a material adverse effect upon our competitive position, results of operations, cash flows or financial condition.</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Except as noted above, there have been no material developments in legal proceedings. For a description of previously reported legal proceedings refer to Part I, Item 3, “Legal Proceedings,” of our 2009 Form 10-K, and Part II, Item 1 of our Form 10-Q for the quarter ended March 31, 2010.</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2009 Form 10-K, in “Management’s Discussion and Analysis of Financial Condition and Results of Operations” and “Notes to Consolidated Financial Statements” in our 2009 Annual Report, and in “Management’s Discussion and Analysis of Financial Condition and Results of Operations” and “Notes to Condensed Consolidated Financial Statements” in this Form 10-Q.</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As widely reported, the global economic turmoil that began in 2008 continued throughout 2009 and into 2010, including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Governments have taken unprecedented actions intended to address extreme financial and economic conditions that include severely restricted credit and declines in real estate values. In recent months, certain indices and economic data have begun to show signs of improvement and stabilization in the macroeconomic environment. However, there can be no assurance that these improvements will be broad-based and sustainable, or that they will affect markets relevant to us. Further, there can be no assurance that we will not experience further adverse effects that may be material to our revenues, results of operations, financial condition and ability to access capital.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business jet operators, and government procurement. Strengthening of the rate of exchange for the U.S. dollar against certain major currencies such as the Euro, the Canadian dollar and other currencies also adversely affects our results. We are unable to predict the likely duration and severity of disruption in financial markets and adverse economic conditions in the U.S. and other countries.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171"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58% of our consolidated revenues in 2009,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In addition to these factors, Carrier’s financial performance can also be influenced by production and utilization of transport equipment and, in its residential business, weather conditions.</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42% of our consolidated revenues in 2009, are directly tied to the economic conditions in the commercial aviation and defense industries, which are cyclical in nature. While there have been recent positive signs in these industries, the challenging operating environment currently faced by commercial airlines is expected to continue. As a result, financial difficulties, including bankruptcy, of one or more of the major commercial airlines could result in significant cancellations of orders, reductions in our aerospace revenues and losses under existing contracts. In addition, capital spending and demand for aircraft engine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pandemic health issues or major natural disasters could dramatically reduce both the demand for air travel and aftermarket sales and margins in our aerospace businesses. Also, since a substantial portion of the backlog for commercial aerospace customers is scheduled for delivery beyond 2010,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The space industry is also impacted by changing U.S. government budget priorities, the phase-out of existing programs, and other similar factors.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an adverse effect on our financial performance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to reflect the policies of a new administration or Congress.</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conduct our business on a global basis, with approximately 59% of our total 2009 segment revenues derived from operations outside of the United States and from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revenues are non-U.S. based, a strengthening of the U.S. dollar against other major foreign currencies could adversely affect our results of operations.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and Note 13 to the Consolidated Financial Statements in our 2009 Annual Report and Note 8 to the Condensed Consolidated Financial Statements in this Form 10-Q for a discussion of our hedging strategies.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as part of our globalization strategy, we have invested in certain countries, including Argentina, Brazil, China, India, Russia, South Africa and countries in the Middle East, that carry high levels of currency, political and economic risk. We expect that sales to emerging markets will continue to account for a significant portion of our total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 practices, volatility in gross domestic product, economic and government instability, and the imposition of exchange controls. While these factors or the impact of these factors are difficult to predict, any one or more of them could adversely affect our business, financial condition or operating results.</w:t>
      </w:r>
    </w:p>
    <w:p>
      <w:pPr>
        <w:spacing w:after="0" w:line="12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18"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seek to grow through strategic acquisitions. In the past several years, we have made various acquisitions and entered into joint venture arrangements intended to complement and expand our businesses, and may continue to do so in the future. The success of these transactions will depend on our ability to integrate assets and personnel acquired in these transactions, apply our internal controls processes to these acquired businesses, and cooperate with our strategic partners. We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Any of the foregoing could adversely affect our business and results of operations. In addition, the recent effectiveness of revisions to accounting for business combinations, which, among other things, require companies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a transaction. Lower performance by divested businesses could affect our future financial results.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or our suppliers and subcontractors may encounter difficulties in developing and producing these new products and services, and may not realize the degree or timing of benefits initially anticipated. In particular, we cannot predict with certainty whether, when and in what quantities our aerospace businesses will produce aircraft engines, helicopters, aircraft systems and components and other products currently in development or pending required certifications. Any of the foregoing could adversely affect our business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Litigation, Tax, Environmental and Other Legal Compliance Risks That Could Adversely Affect Our Operating Results</w:t>
      </w:r>
    </w:p>
    <w:p>
      <w:pPr>
        <w:spacing w:after="0" w:line="19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are subject to a variety of litigation, tax and legal compliance risks. These risks include, among other things, litigation concerning product liability matters, personal injuries, intellectual property rights, government contracts, taxes, environmental matters and compliance with U.S. and foreign export laws, competition laws and laws governing improper business practices. We or one of our business units could be charged with wrongdoing as a result of such litigation. If convicted or found liable, we could be subject to fines, penalties, repayments, other damages (in certain cases, treble damages), or suspension or debarment from government contracts. Independently, failure of us or one of our business units to comply with applicable export and trade practice laws could result in civil or criminal penalties and suspension or termination of export privileges.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and regulations could result in higher expenses and payments, and uncertainty relating to laws and regulations may also affect how we conduct our operations and structure our investments and could limit our ability to enforce our rights. Changes in environmental laws and regulations could lead to new or additional investment in product designs and could increase environmental compliance expenditures. In the area of tax,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2009 Form 10-K, as updated from time to time in subsequent filings, including this Form 10-Q.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the tax benefit will be sustained, we do not recognize a tax 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June 30, 2010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6"/>
              </w:rPr>
              <w:t>Total Number of Shares</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86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860" w:type="dxa"/>
            <w:vAlign w:val="bottom"/>
          </w:tcPr>
          <w:p>
            <w:pPr>
              <w:spacing w:after="0"/>
              <w:rPr>
                <w:sz w:val="12"/>
                <w:szCs w:val="12"/>
                <w:color w:val="auto"/>
              </w:rPr>
            </w:pPr>
          </w:p>
        </w:tc>
        <w:tc>
          <w:tcPr>
            <w:tcW w:w="22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Program</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2010</w:t>
            </w:r>
          </w:p>
        </w:tc>
        <w:tc>
          <w:tcPr>
            <w:tcW w:w="37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(000’s)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per Share</w:t>
            </w:r>
          </w:p>
        </w:tc>
        <w:tc>
          <w:tcPr>
            <w:tcW w:w="860" w:type="dxa"/>
            <w:vAlign w:val="bottom"/>
          </w:tcPr>
          <w:p>
            <w:pPr>
              <w:spacing w:after="0"/>
              <w:rPr>
                <w:sz w:val="14"/>
                <w:szCs w:val="14"/>
                <w:color w:val="auto"/>
              </w:rPr>
            </w:pPr>
          </w:p>
        </w:tc>
        <w:tc>
          <w:tcPr>
            <w:tcW w:w="2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(000’s)</w:t>
            </w: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31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1,833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May 1 - May 31</w:t>
            </w:r>
          </w:p>
        </w:tc>
        <w:tc>
          <w:tcPr>
            <w:tcW w:w="1000" w:type="dxa"/>
            <w:vAlign w:val="bottom"/>
          </w:tcPr>
          <w:p>
            <w:pPr>
              <w:jc w:val="right"/>
              <w:spacing w:after="0"/>
              <w:rPr>
                <w:sz w:val="20"/>
                <w:szCs w:val="20"/>
                <w:color w:val="auto"/>
              </w:rPr>
            </w:pPr>
            <w:r>
              <w:rPr>
                <w:rFonts w:ascii="Arial" w:cs="Arial" w:eastAsia="Arial" w:hAnsi="Arial"/>
                <w:sz w:val="18"/>
                <w:szCs w:val="18"/>
                <w:color w:val="auto"/>
              </w:rPr>
              <w:t>3,682</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3120" w:type="dxa"/>
            <w:vAlign w:val="bottom"/>
            <w:gridSpan w:val="3"/>
          </w:tcPr>
          <w:p>
            <w:pPr>
              <w:jc w:val="right"/>
              <w:ind w:right="880"/>
              <w:spacing w:after="0"/>
              <w:rPr>
                <w:sz w:val="20"/>
                <w:szCs w:val="20"/>
                <w:color w:val="auto"/>
              </w:rPr>
            </w:pPr>
            <w:r>
              <w:rPr>
                <w:rFonts w:ascii="Arial" w:cs="Arial" w:eastAsia="Arial" w:hAnsi="Arial"/>
                <w:sz w:val="18"/>
                <w:szCs w:val="18"/>
                <w:color w:val="auto"/>
              </w:rPr>
              <w:t>3,681</w:t>
            </w:r>
          </w:p>
        </w:tc>
        <w:tc>
          <w:tcPr>
            <w:tcW w:w="1260" w:type="dxa"/>
            <w:vAlign w:val="bottom"/>
          </w:tcPr>
          <w:p>
            <w:pPr>
              <w:jc w:val="right"/>
              <w:spacing w:after="0"/>
              <w:rPr>
                <w:sz w:val="20"/>
                <w:szCs w:val="20"/>
                <w:color w:val="auto"/>
              </w:rPr>
            </w:pPr>
            <w:r>
              <w:rPr>
                <w:rFonts w:ascii="Arial" w:cs="Arial" w:eastAsia="Arial" w:hAnsi="Arial"/>
                <w:sz w:val="18"/>
                <w:szCs w:val="18"/>
                <w:color w:val="auto"/>
              </w:rPr>
              <w:t>52,222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8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3,979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3"/>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9,497</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69.52</w:t>
            </w:r>
          </w:p>
        </w:tc>
        <w:tc>
          <w:tcPr>
            <w:tcW w:w="3120" w:type="dxa"/>
            <w:vAlign w:val="bottom"/>
            <w:gridSpan w:val="3"/>
          </w:tcPr>
          <w:p>
            <w:pPr>
              <w:jc w:val="right"/>
              <w:ind w:right="880"/>
              <w:spacing w:after="0"/>
              <w:rPr>
                <w:sz w:val="20"/>
                <w:szCs w:val="20"/>
                <w:color w:val="auto"/>
              </w:rPr>
            </w:pPr>
            <w:r>
              <w:rPr>
                <w:rFonts w:ascii="Arial" w:cs="Arial" w:eastAsia="Arial" w:hAnsi="Arial"/>
                <w:sz w:val="18"/>
                <w:szCs w:val="18"/>
                <w:color w:val="auto"/>
              </w:rPr>
              <w:t>9,493</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10, 2010, the Board of Directors authorized the repurchase of up to 60 million shares of our common stock. This new authorization replaces a previous program, approved in June 2008, which was nearing completion. Under this program, shares may be purchased on the open market, in privately negotiated transactions and under plans complying with Rules 10b5-1 and 10b-18 under the Securities Exchange Act of 1934, as amended. These repurchases are included within the scope of our overall repurchase program discussed above. We may also reacquire shares outside of the program from time to time in connection with the surrender of shares to cover taxes on vesting of restricted stock. Approximately 4,000 shares were reacquired in transactions outside the program during the quarter.</w:t>
      </w:r>
    </w:p>
    <w:p>
      <w:pPr>
        <w:spacing w:after="0" w:line="14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May 2010, we contributed 3,763,000 shares of our common stock valued at $250 million to our domestic defined benefit pension plans, in accordance with Section 4(2) of the Securities Act of 1933, as amended. This contribution will reduce our future obligations to fund the plans.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1"/>
              </w:rPr>
              <w:t>Item 6.</w:t>
            </w:r>
          </w:p>
        </w:tc>
        <w:tc>
          <w:tcPr>
            <w:tcW w:w="506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3340" w:type="dxa"/>
            <w:vAlign w:val="bottom"/>
          </w:tcPr>
          <w:p>
            <w:pPr>
              <w:spacing w:after="0"/>
              <w:rPr>
                <w:sz w:val="14"/>
                <w:szCs w:val="14"/>
                <w:color w:val="auto"/>
              </w:rPr>
            </w:pPr>
          </w:p>
        </w:tc>
      </w:tr>
      <w:tr>
        <w:trPr>
          <w:trHeight w:val="316"/>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88"/>
              </w:rPr>
              <w:t>Statement re: computation of ratio of earnings to fixed charges.*</w:t>
            </w:r>
          </w:p>
        </w:tc>
      </w:tr>
      <w:tr>
        <w:trPr>
          <w:trHeight w:val="324"/>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utx-20100630_pre.xml)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utx-20100630_def.xml)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Attached as Exhibit 101 to this report are the following formatted in XBRL (Extensible Business Reporting Language): (i) Condensed Consolidated Statements of Operations for the quarters and six months ended June 30, 2010 and 2009, (ii) Condensed Consolidated Balance Sheet at June 30, 2010 and December 31, 2009,</w:t>
      </w:r>
    </w:p>
    <w:p>
      <w:pPr>
        <w:ind w:right="160" w:firstLine="8"/>
        <w:spacing w:after="0" w:line="295" w:lineRule="auto"/>
        <w:tabs>
          <w:tab w:leader="none" w:pos="307"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Condensed Consolidated Statement of Cash Flows for the six months ended June 30, 2010 and 2009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ectPr>
          <w:pgSz w:w="11900" w:h="16838" w:orient="portrait"/>
          <w:cols w:equalWidth="0" w:num="1">
            <w:col w:w="11060"/>
          </w:cols>
          <w:pgMar w:left="240" w:top="459" w:right="59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Dated: July 26,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Dated: July 26, 2010</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2020" w:val="left"/>
          <w:tab w:leader="none" w:pos="2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Gregory J. Hayes</w:t>
      </w:r>
    </w:p>
    <w:p>
      <w:pPr>
        <w:jc w:val="center"/>
        <w:ind w:left="-99"/>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6" w:lineRule="exact"/>
        <w:rPr>
          <w:sz w:val="20"/>
          <w:szCs w:val="20"/>
          <w:color w:val="auto"/>
        </w:rPr>
      </w:pPr>
    </w:p>
    <w:p>
      <w:pPr>
        <w:ind w:left="340" w:right="180"/>
        <w:spacing w:after="0" w:line="268" w:lineRule="auto"/>
        <w:rPr>
          <w:sz w:val="20"/>
          <w:szCs w:val="20"/>
          <w:color w:val="auto"/>
        </w:rPr>
      </w:pPr>
      <w:r>
        <w:rPr>
          <w:rFonts w:ascii="Arial" w:cs="Arial" w:eastAsia="Arial" w:hAnsi="Arial"/>
          <w:sz w:val="18"/>
          <w:szCs w:val="18"/>
          <w:color w:val="auto"/>
        </w:rPr>
        <w:t>(on behalf of the Registrant and as the Registrant’s Principal Financial Officer)</w:t>
      </w:r>
    </w:p>
    <w:p>
      <w:pPr>
        <w:spacing w:after="0" w:line="186" w:lineRule="exact"/>
        <w:rPr>
          <w:sz w:val="20"/>
          <w:szCs w:val="20"/>
          <w:color w:val="auto"/>
        </w:rPr>
      </w:pPr>
    </w:p>
    <w:p>
      <w:pPr>
        <w:spacing w:after="0"/>
        <w:tabs>
          <w:tab w:leader="none" w:pos="1900" w:val="left"/>
          <w:tab w:leader="none" w:pos="2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ARGARET</w:t>
      </w:r>
      <w:r>
        <w:rPr>
          <w:rFonts w:ascii="Arial" w:cs="Arial" w:eastAsia="Arial" w:hAnsi="Arial"/>
          <w:sz w:val="18"/>
          <w:szCs w:val="18"/>
          <w:color w:val="auto"/>
        </w:rPr>
        <w:t xml:space="preserve"> M. S</w:t>
      </w:r>
      <w:r>
        <w:rPr>
          <w:rFonts w:ascii="Arial" w:cs="Arial" w:eastAsia="Arial" w:hAnsi="Arial"/>
          <w:sz w:val="14"/>
          <w:szCs w:val="14"/>
          <w:color w:val="auto"/>
        </w:rPr>
        <w:t>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Margaret M. Smyth</w:t>
      </w:r>
    </w:p>
    <w:p>
      <w:pPr>
        <w:jc w:val="center"/>
        <w:ind w:left="-99"/>
        <w:spacing w:after="0"/>
        <w:rPr>
          <w:sz w:val="20"/>
          <w:szCs w:val="20"/>
          <w:color w:val="auto"/>
        </w:rPr>
      </w:pPr>
      <w:r>
        <w:rPr>
          <w:rFonts w:ascii="Arial" w:cs="Arial" w:eastAsia="Arial" w:hAnsi="Arial"/>
          <w:sz w:val="14"/>
          <w:szCs w:val="14"/>
          <w:b w:val="1"/>
          <w:bCs w:val="1"/>
          <w:color w:val="auto"/>
        </w:rPr>
        <w:t>Vice President, Controller</w:t>
      </w:r>
    </w:p>
    <w:p>
      <w:pPr>
        <w:spacing w:after="0" w:line="86" w:lineRule="exact"/>
        <w:rPr>
          <w:sz w:val="20"/>
          <w:szCs w:val="20"/>
          <w:color w:val="auto"/>
        </w:rPr>
      </w:pPr>
    </w:p>
    <w:p>
      <w:pPr>
        <w:ind w:left="340"/>
        <w:spacing w:after="0" w:line="268" w:lineRule="auto"/>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ectPr>
          <w:pgSz w:w="11900" w:h="16838" w:orient="portrait"/>
          <w:cols w:equalWidth="0" w:num="2">
            <w:col w:w="4900" w:space="720"/>
            <w:col w:w="5440"/>
          </w:cols>
          <w:pgMar w:left="240" w:top="459" w:right="59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4060" w:type="dxa"/>
            <w:vAlign w:val="bottom"/>
            <w:gridSpan w:val="2"/>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utx-20100630_pre.xml)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utx-20100630_def.xml)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Attached as Exhibit 101 to this report are the following formatted in XBRL (Extensible Business Reporting Language): (i) Condensed Consolidated Statements of Operations for the quarters and six months ended June 30, 2010 and 2009, (ii) Condensed Consolidated Balance Sheet at June 30, 2010 and December 31, 2009,</w:t>
      </w:r>
    </w:p>
    <w:p>
      <w:pPr>
        <w:jc w:val="both"/>
        <w:ind w:right="160" w:firstLine="8"/>
        <w:spacing w:after="0" w:line="320" w:lineRule="auto"/>
        <w:tabs>
          <w:tab w:leader="none" w:pos="307"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Condensed Consolidated Statement of Cash Flows for the six months ended June 30, 2010 and 2009,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60" w:type="dxa"/>
            <w:vAlign w:val="bottom"/>
            <w:gridSpan w:val="3"/>
            <w:vMerge w:val="continue"/>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Earnings:</w:t>
            </w: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3"/>
            <w:vMerge w:val="continue"/>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Fixed charges per above</w:t>
            </w:r>
          </w:p>
        </w:tc>
        <w:tc>
          <w:tcPr>
            <w:tcW w:w="18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Total earnings</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3,543</w:t>
            </w:r>
          </w:p>
        </w:tc>
        <w:tc>
          <w:tcPr>
            <w:tcW w:w="32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220" w:right="220" w:hanging="212"/>
        <w:spacing w:after="0" w:line="269" w:lineRule="auto"/>
        <w:tabs>
          <w:tab w:leader="none" w:pos="22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Pursuant to the guidance in the Income Taxes Topic of the FASB ASC, interest related to unrecognized tax benefits recorded was approximately $15 million and $11 million for the six months ended June 30, 2010 and 2009, respectively. The ratio of earnings to fixed charges would have been 7.98 and 7.05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20"/>
        <w:spacing w:after="0" w:line="199" w:lineRule="auto"/>
        <w:rPr>
          <w:sz w:val="20"/>
          <w:szCs w:val="20"/>
          <w:color w:val="auto"/>
        </w:rPr>
      </w:pPr>
      <w:r>
        <w:rPr>
          <w:rFonts w:ascii="Arial" w:cs="Arial" w:eastAsia="Arial" w:hAnsi="Arial"/>
          <w:sz w:val="18"/>
          <w:szCs w:val="18"/>
          <w:color w:val="auto"/>
        </w:rPr>
        <w:t>six months ended June 30, 2010 and 2009, respectively, if such interest were excluded from the calculation.</w:t>
      </w:r>
    </w:p>
    <w:p>
      <w:pPr>
        <w:spacing w:after="0" w:line="8"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are aware that our report dated July 26, 2010 on our review of interim financial information of United Technologies Corporation (the “Corporation”) for the three and six-month periods ended June 30, 2010 and 2009 and included in the Corporation’s quarterly report on Form 10-Q for the quarter ended June 30, 2010 is incorporated by reference in its Registration Statement on Form S-3 (No. 333-167771), in the Registration Statement on Form S-4 (No. 333-77991) as amended by Post-Effective Amendment No. 1 on Form S-8 (No. 333-77991) and in the Registration Statements on Form S-8 (Nos. 333-163822, 333-156390, 333-156385, 333-150643, 333-125293, 333-110020, 333-100724, 333-100723, 333-100718, 333-82911, 333-77817, 333-21853, 333-21851, 033-57769 and 033-51385).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July 26, 2010</w:t>
            </w:r>
          </w:p>
        </w:tc>
        <w:tc>
          <w:tcPr>
            <w:tcW w:w="560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July 26, 2010</w:t>
            </w: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Margaret M. Smyth,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ARGARET</w:t>
            </w:r>
            <w:r>
              <w:rPr>
                <w:rFonts w:ascii="Arial" w:cs="Arial" w:eastAsia="Arial" w:hAnsi="Arial"/>
                <w:sz w:val="18"/>
                <w:szCs w:val="18"/>
                <w:color w:val="auto"/>
              </w:rPr>
              <w:t xml:space="preserve"> M. S</w:t>
            </w:r>
            <w:r>
              <w:rPr>
                <w:rFonts w:ascii="Arial" w:cs="Arial" w:eastAsia="Arial" w:hAnsi="Arial"/>
                <w:sz w:val="14"/>
                <w:szCs w:val="14"/>
                <w:color w:val="auto"/>
              </w:rPr>
              <w:t>MYTH</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Margaret M. Smyth</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July 26, 2010</w:t>
            </w:r>
          </w:p>
        </w:tc>
        <w:tc>
          <w:tcPr>
            <w:tcW w:w="560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Quarterly Report on Form 10-Q for the quarter ended June 30, 2010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26, 2010</w:t>
      </w:r>
      <w:r>
        <w:rPr>
          <w:sz w:val="20"/>
          <w:szCs w:val="20"/>
          <w:color w:val="auto"/>
        </w:rPr>
        <w:tab/>
      </w:r>
      <w:r>
        <w:rPr>
          <w:rFonts w:ascii="Arial" w:cs="Arial" w:eastAsia="Arial" w:hAnsi="Arial"/>
          <w:sz w:val="16"/>
          <w:szCs w:val="16"/>
          <w:color w:val="auto"/>
        </w:rPr>
        <w:t>/s/ 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&amp; Chief Executive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26, 2010</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26, 2010</w:t>
      </w:r>
      <w:r>
        <w:rPr>
          <w:sz w:val="20"/>
          <w:szCs w:val="20"/>
          <w:color w:val="auto"/>
        </w:rPr>
        <w:tab/>
      </w:r>
      <w:r>
        <w:rPr>
          <w:rFonts w:ascii="Arial" w:cs="Arial" w:eastAsia="Arial" w:hAnsi="Arial"/>
          <w:sz w:val="16"/>
          <w:szCs w:val="16"/>
          <w:color w:val="auto"/>
        </w:rPr>
        <w:t>/s/ M</w:t>
      </w:r>
      <w:r>
        <w:rPr>
          <w:rFonts w:ascii="Arial" w:cs="Arial" w:eastAsia="Arial" w:hAnsi="Arial"/>
          <w:sz w:val="13"/>
          <w:szCs w:val="13"/>
          <w:color w:val="auto"/>
        </w:rPr>
        <w:t>ARGARET</w:t>
      </w:r>
      <w:r>
        <w:rPr>
          <w:rFonts w:ascii="Arial" w:cs="Arial" w:eastAsia="Arial" w:hAnsi="Arial"/>
          <w:sz w:val="16"/>
          <w:szCs w:val="16"/>
          <w:color w:val="auto"/>
        </w:rPr>
        <w:t xml:space="preserve"> M. S</w:t>
      </w:r>
      <w:r>
        <w:rPr>
          <w:rFonts w:ascii="Arial" w:cs="Arial" w:eastAsia="Arial" w:hAnsi="Arial"/>
          <w:sz w:val="13"/>
          <w:szCs w:val="13"/>
          <w:color w:val="auto"/>
        </w:rPr>
        <w:t>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Margaret M. Smyth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31"/>
    </w:lvl>
  </w:abstractNum>
  <w:abstractNum w:abstractNumId="11">
    <w:nsid w:val="41A7C4C9"/>
    <w:multiLevelType w:val="hybridMultilevel"/>
    <w:lvl w:ilvl="0">
      <w:lvlJc w:val="left"/>
      <w:lvlText w:val="(%1)"/>
      <w:numFmt w:val="lowerRoman"/>
      <w:start w:val="3"/>
    </w:lvl>
  </w:abstractNum>
  <w:abstractNum w:abstractNumId="12">
    <w:nsid w:val="6B68079A"/>
    <w:multiLevelType w:val="hybridMultilevel"/>
    <w:lvl w:ilvl="0">
      <w:lvlJc w:val="left"/>
      <w:lvlText w:val="%1"/>
      <w:numFmt w:val="decimal"/>
      <w:start w:val="31"/>
    </w:lvl>
  </w:abstractNum>
  <w:abstractNum w:abstractNumId="13">
    <w:nsid w:val="4E6AFB66"/>
    <w:multiLevelType w:val="hybridMultilevel"/>
    <w:lvl w:ilvl="0">
      <w:lvlJc w:val="left"/>
      <w:lvlText w:val="(%1)"/>
      <w:numFmt w:val="lowerRoman"/>
      <w:start w:val="3"/>
    </w:lvl>
  </w:abstractNum>
  <w:abstractNum w:abstractNumId="14">
    <w:nsid w:val="25E45D32"/>
    <w:multiLevelType w:val="hybridMultilevel"/>
    <w:lvl w:ilvl="0">
      <w:lvlJc w:val="left"/>
      <w:lvlText w:val="1"/>
      <w:numFmt w:val="bullet"/>
      <w:start w:val="1"/>
    </w:lvl>
  </w:abstractNum>
  <w:abstractNum w:abstractNumId="15">
    <w:nsid w:val="519B500D"/>
    <w:multiLevelType w:val="hybridMultilevel"/>
    <w:lvl w:ilvl="0">
      <w:lvlJc w:val="left"/>
      <w:lvlText w:val="2"/>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2019-12-10T03:47:46Z</dcterms:created>
  <dcterms:modified xsi:type="dcterms:W3CDTF">2019-12-10T03:47:46Z</dcterms:modified>
</cp:coreProperties>
</file>