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36"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RAYTHEON TECHNOLOGIES CORPORATION</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200"/>
          </w:cols>
          <w:pgMar w:left="320" w:top="225" w:right="379" w:bottom="1440" w:gutter="0" w:footer="0" w:header="0"/>
        </w:sectPr>
      </w:pPr>
    </w:p>
    <w:p>
      <w:pPr>
        <w:spacing w:after="0" w:line="4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sectPr>
          <w:pgSz w:w="11900" w:h="16838" w:orient="portrait"/>
          <w:cols w:equalWidth="0" w:num="2">
            <w:col w:w="7400" w:space="720"/>
            <w:col w:w="3080"/>
          </w:cols>
          <w:pgMar w:left="320" w:top="225" w:right="37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740" w:space="720"/>
            <w:col w:w="3740"/>
          </w:cols>
          <w:pgMar w:left="320" w:top="225" w:right="379" w:bottom="1440" w:gutter="0" w:footer="0" w:header="0"/>
          <w:type w:val="continuous"/>
        </w:sectPr>
      </w:pPr>
    </w:p>
    <w:p>
      <w:pPr>
        <w:spacing w:after="0" w:line="62"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870 Winter Street,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Waltham,</w:t>
        <w:tab/>
        <w:t>Massachusetts</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02451</w:t>
      </w:r>
    </w:p>
    <w:p>
      <w:pPr>
        <w:spacing w:after="0" w:line="42" w:lineRule="exact"/>
        <w:rPr>
          <w:sz w:val="24"/>
          <w:szCs w:val="24"/>
          <w:color w:val="auto"/>
        </w:rPr>
      </w:pPr>
    </w:p>
    <w:p>
      <w:pPr>
        <w:sectPr>
          <w:pgSz w:w="11900" w:h="16838" w:orient="portrait"/>
          <w:cols w:equalWidth="0" w:num="3">
            <w:col w:w="4280" w:space="420"/>
            <w:col w:w="2160" w:space="640"/>
            <w:col w:w="3700"/>
          </w:cols>
          <w:pgMar w:left="320" w:top="225" w:right="379" w:bottom="1440" w:gutter="0" w:footer="0" w:header="0"/>
          <w:type w:val="continuous"/>
        </w:sect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680" w:space="720"/>
            <w:col w:w="3800"/>
          </w:cols>
          <w:pgMar w:left="320" w:top="225" w:right="379" w:bottom="1440" w:gutter="0" w:footer="0" w:header="0"/>
          <w:type w:val="continuous"/>
        </w:sectPr>
      </w:pP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4" w:lineRule="exact"/>
        <w:rPr>
          <w:sz w:val="24"/>
          <w:szCs w:val="24"/>
          <w:color w:val="auto"/>
        </w:rPr>
      </w:pPr>
    </w:p>
    <w:p>
      <w:pPr>
        <w:ind w:right="6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Non-accelerated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04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58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2022 there were 1,487,215,106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1"/>
          </w:tcPr>
          <w:p>
            <w:pPr>
              <w:ind w:left="92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80" w:type="dxa"/>
            <w:vAlign w:val="bottom"/>
            <w:gridSpan w:val="12"/>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20" w:type="dxa"/>
            <w:vAlign w:val="bottom"/>
            <w:gridSpan w:val="11"/>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2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quarters ended March 31, 2022 and 2021</w:t>
            </w:r>
          </w:p>
        </w:tc>
        <w:tc>
          <w:tcPr>
            <w:tcW w:w="3120" w:type="dxa"/>
            <w:vAlign w:val="bottom"/>
            <w:gridSpan w:val="4"/>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ended March 31, 2022 and 2021</w:t>
            </w:r>
          </w:p>
        </w:tc>
        <w:tc>
          <w:tcPr>
            <w:tcW w:w="220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 at March 31, 2022 and December 31, 2021</w:t>
            </w:r>
          </w:p>
        </w:tc>
        <w:tc>
          <w:tcPr>
            <w:tcW w:w="220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quarters ended March 31, 2022 and 2021</w:t>
            </w:r>
          </w:p>
        </w:tc>
        <w:tc>
          <w:tcPr>
            <w:tcW w:w="3060" w:type="dxa"/>
            <w:vAlign w:val="bottom"/>
            <w:gridSpan w:val="3"/>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Equity for the quarters ended March 31, 2022 and 2021</w:t>
            </w:r>
          </w:p>
        </w:tc>
        <w:tc>
          <w:tcPr>
            <w:tcW w:w="2580" w:type="dxa"/>
            <w:vAlign w:val="bottom"/>
            <w:gridSpan w:val="2"/>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580" w:type="dxa"/>
            <w:vAlign w:val="bottom"/>
            <w:gridSpan w:val="2"/>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100" w:type="dxa"/>
            <w:vAlign w:val="bottom"/>
            <w:gridSpan w:val="1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2"/>
                <w:szCs w:val="22"/>
                <w:color w:val="auto"/>
              </w:rPr>
            </w:pPr>
          </w:p>
        </w:tc>
      </w:tr>
      <w:tr>
        <w:trPr>
          <w:trHeight w:val="264"/>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840" w:type="dxa"/>
            <w:vAlign w:val="bottom"/>
            <w:gridSpan w:val="16"/>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540" w:type="dxa"/>
            <w:vAlign w:val="bottom"/>
            <w:gridSpan w:val="8"/>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Raytheon Technologies Corporation and its subsidiaries’ names, abbreviations thereof, logos, and products and services designators are all either the registered or unregistered trademarks or tradenames of Raytheon Technologies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Products sales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11,862</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11,664</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Services sales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3,854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15,716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15,251</w:t>
            </w:r>
          </w:p>
        </w:tc>
        <w:tc>
          <w:tcPr>
            <w:tcW w:w="0" w:type="dxa"/>
            <w:vAlign w:val="bottom"/>
          </w:tcPr>
          <w:p>
            <w:pPr>
              <w:spacing w:after="0"/>
              <w:rPr>
                <w:sz w:val="1"/>
                <w:szCs w:val="1"/>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sales - products</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9,820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9,974</w:t>
            </w:r>
          </w:p>
        </w:tc>
        <w:tc>
          <w:tcPr>
            <w:tcW w:w="0" w:type="dxa"/>
            <w:vAlign w:val="bottom"/>
          </w:tcPr>
          <w:p>
            <w:pPr>
              <w:spacing w:after="0"/>
              <w:rPr>
                <w:sz w:val="1"/>
                <w:szCs w:val="1"/>
                <w:color w:val="auto"/>
              </w:rPr>
            </w:pPr>
          </w:p>
        </w:tc>
      </w:tr>
      <w:tr>
        <w:trPr>
          <w:trHeight w:val="231"/>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sales - services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2,740</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635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1,469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0" w:type="dxa"/>
            <w:vAlign w:val="bottom"/>
          </w:tcPr>
          <w:p>
            <w:pPr>
              <w:spacing w:after="0"/>
              <w:rPr>
                <w:sz w:val="1"/>
                <w:szCs w:val="1"/>
                <w:color w:val="auto"/>
              </w:rPr>
            </w:pP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14,664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14,346</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1,080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0" w:type="dxa"/>
            <w:vAlign w:val="bottom"/>
          </w:tcPr>
          <w:p>
            <w:pPr>
              <w:spacing w:after="0"/>
              <w:rPr>
                <w:sz w:val="1"/>
                <w:szCs w:val="1"/>
                <w:color w:val="auto"/>
              </w:rPr>
            </w:pPr>
          </w:p>
        </w:tc>
      </w:tr>
      <w:tr>
        <w:trPr>
          <w:trHeight w:val="23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318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before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1,242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28"/>
        </w:trPr>
        <w:tc>
          <w:tcPr>
            <w:tcW w:w="8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116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1,126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8"/>
        </w:trPr>
        <w:tc>
          <w:tcPr>
            <w:tcW w:w="8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Noncontrolling interest in subsidiaries’ earnings from continuing operations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attributable to common shareowners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1,103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28"/>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attributable to common shareowners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2"/>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1,084</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0" w:type="dxa"/>
            <w:vAlign w:val="bottom"/>
          </w:tcPr>
          <w:p>
            <w:pPr>
              <w:spacing w:after="0"/>
              <w:rPr>
                <w:sz w:val="1"/>
                <w:szCs w:val="1"/>
                <w:color w:val="auto"/>
              </w:rPr>
            </w:pPr>
          </w:p>
        </w:tc>
      </w:tr>
      <w:tr>
        <w:trPr>
          <w:trHeight w:val="203"/>
        </w:trPr>
        <w:tc>
          <w:tcPr>
            <w:tcW w:w="8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Basic: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0.74</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2"/>
        </w:trPr>
        <w:tc>
          <w:tcPr>
            <w:tcW w:w="8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0.73</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Diluted: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0.74</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2"/>
        </w:trPr>
        <w:tc>
          <w:tcPr>
            <w:tcW w:w="8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0.72</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and discontinued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907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40" w:type="dxa"/>
            <w:vAlign w:val="bottom"/>
          </w:tcPr>
          <w:p>
            <w:pPr>
              <w:spacing w:after="0"/>
              <w:rPr>
                <w:sz w:val="16"/>
                <w:szCs w:val="16"/>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9,076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11,566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 net</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9,749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9,178</w:t>
            </w:r>
          </w:p>
        </w:tc>
      </w:tr>
      <w:tr>
        <w:trPr>
          <w:trHeight w:val="230"/>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 current</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4,309</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40,740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42,050</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2,766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27,815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27,637</w:t>
            </w:r>
          </w:p>
        </w:tc>
      </w:tr>
      <w:tr>
        <w:trPr>
          <w:trHeight w:val="229"/>
        </w:trPr>
        <w:tc>
          <w:tcPr>
            <w:tcW w:w="6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(12,978)</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Fixed assets, net</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14,837</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1,911</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54,316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54,436</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38,118</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38,516</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6,678</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6,624</w:t>
            </w:r>
          </w:p>
        </w:tc>
      </w:tr>
      <w:tr>
        <w:trPr>
          <w:trHeight w:val="232"/>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Assets</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159,366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8,270</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31"/>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11,004</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10,162</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13,739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13,720</w:t>
            </w:r>
          </w:p>
        </w:tc>
      </w:tr>
      <w:tr>
        <w:trPr>
          <w:trHeight w:val="230"/>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35,057</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35,449</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31,308</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31,327</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1,627</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r>
      <w:tr>
        <w:trPr>
          <w:trHeight w:val="23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7,709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7,855</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9,643</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10,417</w:t>
            </w:r>
          </w:p>
        </w:tc>
      </w:tr>
      <w:tr>
        <w:trPr>
          <w:trHeight w:val="223"/>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85,344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86,705</w:t>
            </w:r>
          </w:p>
        </w:tc>
      </w:tr>
      <w:tr>
        <w:trPr>
          <w:trHeight w:val="22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Common Stock</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37,504</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37,483</w:t>
            </w:r>
          </w:p>
        </w:tc>
      </w:tr>
      <w:tr>
        <w:trPr>
          <w:trHeight w:val="228"/>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w:t>
            </w:r>
          </w:p>
        </w:tc>
        <w:tc>
          <w:tcPr>
            <w:tcW w:w="1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(13,483)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w:t>
            </w:r>
          </w:p>
        </w:tc>
      </w:tr>
      <w:tr>
        <w:trPr>
          <w:trHeight w:val="231"/>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17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50,592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50,265</w:t>
            </w:r>
          </w:p>
        </w:tc>
      </w:tr>
      <w:tr>
        <w:trPr>
          <w:trHeight w:val="228"/>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Unearned ESOP shares</w:t>
            </w:r>
          </w:p>
        </w:tc>
        <w:tc>
          <w:tcPr>
            <w:tcW w:w="1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9"/>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23"/>
        </w:trPr>
        <w:tc>
          <w:tcPr>
            <w:tcW w:w="6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7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72,462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73,068</w:t>
            </w: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7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23"/>
        </w:trPr>
        <w:tc>
          <w:tcPr>
            <w:tcW w:w="6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Total Equity</w:t>
            </w:r>
          </w:p>
        </w:tc>
        <w:tc>
          <w:tcPr>
            <w:tcW w:w="1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73,986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74,664</w:t>
            </w:r>
          </w:p>
        </w:tc>
      </w:tr>
      <w:tr>
        <w:trPr>
          <w:trHeight w:val="232"/>
        </w:trPr>
        <w:tc>
          <w:tcPr>
            <w:tcW w:w="63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159,366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1,126</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from continuing operations to net cash flows provided by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(benefit) provision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556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 from continuing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 in businesses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 (Note 2)</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financing assets payments,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collaboration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provided by investing activities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short-term borrowings, net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transfers to discontinued operations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cash used in discontinued operations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7,853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8,832</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6,081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8,616</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6,040</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8,579</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74,664</w:t>
            </w:r>
          </w:p>
        </w:tc>
        <w:tc>
          <w:tcPr>
            <w:tcW w:w="4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73,852</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37,483</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36,930</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37,504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36,997</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(12,727)</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(10,407)</w:t>
            </w: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(756)</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(13,483)</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50,265</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49,423</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1,084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(745)</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50,592</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49,460</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(1,915)</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8"/>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March 31</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73,986</w:t>
            </w:r>
          </w:p>
        </w:tc>
        <w:tc>
          <w:tcPr>
            <w:tcW w:w="46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73,308</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1,817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0" w:type="dxa"/>
            <w:vAlign w:val="bottom"/>
          </w:tcPr>
          <w:p>
            <w:pPr>
              <w:spacing w:after="0"/>
              <w:rPr>
                <w:sz w:val="1"/>
                <w:szCs w:val="1"/>
                <w:color w:val="auto"/>
              </w:rPr>
            </w:pP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7,883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5,197</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0.510</w:t>
            </w: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0.475</w:t>
            </w:r>
          </w:p>
        </w:tc>
        <w:tc>
          <w:tcPr>
            <w:tcW w:w="0" w:type="dxa"/>
            <w:vAlign w:val="bottom"/>
          </w:tcPr>
          <w:p>
            <w:pPr>
              <w:spacing w:after="0"/>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March 31, 2022 and for the quarters ended March 31, 2022 and 2021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2021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“Raytheon Technologies,” and “RTC” mean Raytheon Technologies Corporation and its subsidiaries.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Russia Sanctions. </w:t>
      </w:r>
      <w:r>
        <w:rPr>
          <w:rFonts w:ascii="Times New Roman" w:cs="Times New Roman" w:eastAsia="Times New Roman" w:hAnsi="Times New Roman"/>
          <w:sz w:val="18"/>
          <w:szCs w:val="18"/>
          <w:color w:val="auto"/>
        </w:rPr>
        <w:t>In response to the Russian military’s invasion of Ukraine on February 24, 2022, the U.S. government has imposed broad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sanctions and export controls targeting key industries, entities and individuals in Russia. These U.S. government measures, among other items, restrict transactions involving various Russian banks and financial institutions and impose enhanced export controls limiting transfers of various goods, software and technologies to Russia, including broadened export controls specifically targeting Russia’s aerospace sector. Governments of various other jurisdictions in which we operate, including Canada, the United Kingdom, the European Union and others, have implemented similar measures. These sanctions and export controls, as well as responses from Russia, have adversely affected and could continue to adversely affect the Company and/or our supply chain, business partners or customers. As a result of these sanctions and export controls, in the first quarter of 2022, we recorded pretax charges of $290 million, $210 million net of tax and the impact of noncontrolling interest, within our Collins Aerospace Systems (Collins) and Pratt &amp; Whitney businesses primarily related to increased estimates for credit losses on both our accounts receivables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Additionally, we reversed approximately $1.3 billion of remaining performance obligation (RPO) in the quarter ended March 31, 2022 related to our sales contracts in Russia at Pratt &amp; Whitney and Collins. We will continue to monitor the changes in sanctions and other developments, which may result in financial impacts in future periods. Based on information available to date, we currently do not expect these incremental impacts to have a material effect on the Company’s financial condition, results of operations or liquidity.</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The coronavirus disease 2019 (COVID-19) pandemic continues to negatively affect the global economy,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supply chains, and the industries in which we operate. However, we continue to see indications that commercial air travel is recovering in certain areas of demand.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Dispositions,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quarters ended March 31, 2022 and 2021, cash inflows related to dispositions were $35 million and $1.0 billion,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dispositions of businesses in the quarter ended March 31, 2022, primarily consisted of immaterial dispositions in our aerospace businesses.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Dispositions of businesses in the quarter ended March 31, 2021 reflect the January 8, 2021 sale of our Forcepoint business, for proceeds of $1.1 billion, net of cash transferred. We did not recognize a pre-tax gain or loss within the Condensed Consolidated Statement of Operations related to the sale of Forcepoint.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quarter ended March 31,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8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 31,</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31,244</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58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9"/>
                <w:szCs w:val="19"/>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5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9,813</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9,834</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11,659</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5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54,419</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54,299</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54,316</w:t>
            </w:r>
          </w:p>
        </w:tc>
        <w:tc>
          <w:tcPr>
            <w:tcW w:w="0" w:type="dxa"/>
            <w:vAlign w:val="bottom"/>
          </w:tcPr>
          <w:p>
            <w:pPr>
              <w:spacing w:after="0"/>
              <w:rPr>
                <w:sz w:val="1"/>
                <w:szCs w:val="1"/>
                <w:color w:val="auto"/>
              </w:rPr>
            </w:pPr>
          </w:p>
        </w:tc>
      </w:tr>
      <w:tr>
        <w:trPr>
          <w:trHeight w:val="41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3"/>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gridSpan w:val="2"/>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20" w:type="dxa"/>
            <w:vAlign w:val="bottom"/>
          </w:tcPr>
          <w:p>
            <w:pPr>
              <w:spacing w:after="0"/>
              <w:rPr>
                <w:sz w:val="11"/>
                <w:szCs w:val="11"/>
                <w:color w:val="auto"/>
              </w:rPr>
            </w:pPr>
          </w:p>
        </w:tc>
        <w:tc>
          <w:tcPr>
            <w:tcW w:w="1360" w:type="dxa"/>
            <w:vAlign w:val="bottom"/>
          </w:tcPr>
          <w:p>
            <w:pPr>
              <w:jc w:val="center"/>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5,319</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2,673</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1,214</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29,957</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29,982</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39,275</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39,188</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8,690</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8,696</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47,965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(9,847)</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47,884</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ended March 31, 2022 and 2021 was $487 million and $596 million, respectively. The following is the expected amortization of intangible assets for the remainder of 2022 through 2027.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2022</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2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2,216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1,103</w:t>
            </w:r>
          </w:p>
        </w:tc>
        <w:tc>
          <w:tcPr>
            <w:tcW w:w="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1,084</w:t>
            </w:r>
          </w:p>
        </w:tc>
        <w:tc>
          <w:tcPr>
            <w:tcW w:w="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1,486.8</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1,497.9</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0.74</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0.73</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0.74</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0.72</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quarters ended March 31, 2022 and 2021, the number of stock awards excluded from the computation was 7.5 million and 26.7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primarily within our Raytheon Intelligence &amp; Space (RIS) and Raytheon Missiles &amp; Defense (RMD) segments. These obligations may or may not be distinct depending on their nature. If cash is paid to a customer to satisfy our offset obligations it is recorded as a reduction in the transaction price.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for our contracts accounted for on a percentage of completion basis.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97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36</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28</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from continuing operations attributable to common shareholders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0.02</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9,589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20" w:type="dxa"/>
            <w:vAlign w:val="bottom"/>
          </w:tcPr>
          <w:p>
            <w:pPr>
              <w:spacing w:after="0"/>
              <w:rPr>
                <w:sz w:val="16"/>
                <w:szCs w:val="16"/>
                <w:color w:val="auto"/>
              </w:rPr>
            </w:pP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11,566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(13,739)</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increased $205 million during the quarter ended March 31, 2022 primarily due to sales in excess of billings at RIS and RMD. Contract liabilities were relatively consistent during the quarter ended March 31, 2022 compared to December 31, 2021. We recognized revenue of $1.8 billion during the quarter ended March 31, 2022, related to contract liabilities as of January 1, 2022 and $1.7 billion during the quarter ended March 31, 2021, related to contract liabilities as of January 1, 2021.</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our Contract liabilities include approximately $420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 In addition, as of March 31, 2022, our Contract liabilities include advance payments, in immaterial amounts, received from Russian customers on contracts we are currently unable to perform on due to global sanctions on Russia and export controls. Depending on the contractual terms and as allowed by sanctions, certain of these advance payments may become refundable.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include an allowance for credit losses of $330 million and $251 million as of March 31,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2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6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3,079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2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3,471</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3,199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9,749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Borrowings and Lines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pension contributions, debt refinancing, dividend payments and repurchases of our common stock. The commercial paper notes have original maturities of not more than 90 days from the date of issuance. As of March 31, 2022, our maximum commercial paper borrowing limit was $5.0 billion as the commercial paper is backed by our $5.0 billion revolving credit agreement. We had no commercial paper outstanding at March 31, 2022 or December 31, 2021.</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we had revolving credit agreements with various banks permitting aggregate borrowings of up to $7.0 billion, consisting of a $5.0 billion revolving credit agreement, which expires in April 2025, and a $2.0 billion revolving credit agreement, which expires in May 2022. As of March 31, 2022, there were no borrowings outstanding under these agreements.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There were no repayments of long-term debt during the quarter ended March 31, 2022. We made the following repayments of long-term debt during the quarter ended March 31, 2021:</w:t>
      </w:r>
    </w:p>
    <w:tbl>
      <w:tblPr>
        <w:tblLayout w:type="fixed"/>
        <w:tblInd w:w="0" w:type="dxa"/>
        <w:tblCellMar>
          <w:top w:w="0" w:type="dxa"/>
          <w:left w:w="0" w:type="dxa"/>
          <w:bottom w:w="0" w:type="dxa"/>
          <w:right w:w="0" w:type="dxa"/>
        </w:tblCellMar>
      </w:tblPr>
      <w:tr>
        <w:trPr>
          <w:trHeight w:val="149"/>
        </w:trPr>
        <w:tc>
          <w:tcPr>
            <w:tcW w:w="22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980" w:type="dxa"/>
            <w:vAlign w:val="bottom"/>
          </w:tcPr>
          <w:p>
            <w:pPr>
              <w:spacing w:after="0"/>
              <w:rPr>
                <w:sz w:val="12"/>
                <w:szCs w:val="12"/>
                <w:color w:val="auto"/>
              </w:rPr>
            </w:pPr>
          </w:p>
        </w:tc>
        <w:tc>
          <w:tcPr>
            <w:tcW w:w="3160" w:type="dxa"/>
            <w:vAlign w:val="bottom"/>
            <w:gridSpan w:val="3"/>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5"/>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2021</w:t>
            </w: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8.750% notes due 2021</w:t>
            </w:r>
          </w:p>
        </w:tc>
        <w:tc>
          <w:tcPr>
            <w:tcW w:w="9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7"/>
                <w:szCs w:val="17"/>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3.700% notes due 2023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719</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414</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117</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30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31,283</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value adjustments, (discounts)/premiums, and debt issuance costs)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31,332</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31,351</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31,308</w:t>
            </w: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31,327</w:t>
            </w:r>
          </w:p>
        </w:tc>
      </w:tr>
    </w:tbl>
    <w:p>
      <w:pPr>
        <w:spacing w:after="0" w:line="2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at March 31, 2022 is approximately 15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2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8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311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40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60" w:type="dxa"/>
            <w:vAlign w:val="bottom"/>
          </w:tcPr>
          <w:p>
            <w:pPr>
              <w:spacing w:after="0"/>
              <w:rPr>
                <w:sz w:val="17"/>
                <w:szCs w:val="17"/>
                <w:color w:val="auto"/>
              </w:rPr>
            </w:pP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3,538</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860" w:type="dxa"/>
            <w:vAlign w:val="bottom"/>
          </w:tcPr>
          <w:p>
            <w:pPr>
              <w:spacing w:after="0"/>
              <w:rPr>
                <w:sz w:val="19"/>
                <w:szCs w:val="19"/>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310</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7,709</w:t>
            </w: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60" w:type="dxa"/>
            <w:vAlign w:val="bottom"/>
          </w:tcPr>
          <w:p>
            <w:pPr>
              <w:spacing w:after="0"/>
              <w:rPr>
                <w:sz w:val="17"/>
                <w:szCs w:val="17"/>
                <w:color w:val="auto"/>
              </w:rPr>
            </w:pP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6,748</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860" w:type="dxa"/>
            <w:vAlign w:val="bottom"/>
          </w:tcPr>
          <w:p>
            <w:pPr>
              <w:spacing w:after="0"/>
              <w:rPr>
                <w:sz w:val="19"/>
                <w:szCs w:val="19"/>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898</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8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63</w:t>
            </w:r>
          </w:p>
        </w:tc>
        <w:tc>
          <w:tcPr>
            <w:tcW w:w="7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7,709</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(income) expense for our defined pension and PRB plans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00" w:type="dxa"/>
            <w:vAlign w:val="bottom"/>
          </w:tcPr>
          <w:p>
            <w:pPr>
              <w:spacing w:after="0"/>
              <w:rPr>
                <w:sz w:val="16"/>
                <w:szCs w:val="16"/>
                <w:color w:val="auto"/>
              </w:rPr>
            </w:pPr>
          </w:p>
        </w:tc>
        <w:tc>
          <w:tcPr>
            <w:tcW w:w="246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r>
      <w:tr>
        <w:trPr>
          <w:trHeight w:val="196"/>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118</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77</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2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effective tax rate was 9.3% and 29.8% in the quarters ended March 31, 2022 and 2021, respectively. The effective tax rate in the quarter ended March 31, 2022 includes a benefit of 5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Tax expense in the quarter ended March 31, 2021 includes tax charges incremental to the U.S. statutory rate of $148 million associated with the sale of the Forcepoint business, as described in “Note 2: Acquisitions, Dispositions, Goodwill and Intangible Assets.” Subsequently, in the fourth quarter of 2021, we recognized an incremental $104 million tax benefit due to the revaluation of that Forcepoint tax benefit as a result of completing the divestiture of RIS’s global training and services business.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$20 million to $500 million of unrecognized tax benefits may occur within the next 12 months as a result of the revaluation of uncertain tax positions arising from the issuance of legislation, regulatory or other guidance or developments in examinations, in appeals, or in the courts, or the closure of tax statutes.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Examination Division of the IRS is also auditing pre-acquisition Rockwell Collins fiscal tax years 2016 and 2017, which is projected to close during 2022. As a result of the projected closure of the audit of Rockwell Collins fiscal tax years 2016 and 2017, it is reasonably possible that the Company may recognize non-cash gains in the range of $20 million to $100 million during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our outstanding foreign currency hedges was $8.6 billion and $8.5 billion at March 31, 2022 and December 31, 2021, respectively. At March 31, 2022, all derivative contracts accounted for as cash flow hedges will mature by February 2030.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80" w:type="dxa"/>
            <w:vAlign w:val="bottom"/>
          </w:tcPr>
          <w:p>
            <w:pPr>
              <w:spacing w:after="0"/>
              <w:rPr>
                <w:sz w:val="16"/>
                <w:szCs w:val="16"/>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211</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(loss) and on the Condensed Consolidated Statement of Operations in the quarters ended March 31, 2022 and 2021 are presented in “Note 16: Accumulated Other Comprehensive Loss.” The amounts of gain or loss are attributable to foreign exchange contract activity and are primarily recorded as a component of Products sales when reclassified from Accumulated other comprehensive loss.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we have €500 million of euro-denominated long-term debt outstanding, which qualifies as a net investment hedge against our investments in European businesses, which is deemed to be effective.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net, on the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857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783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965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20" w:type="dxa"/>
            <w:vAlign w:val="bottom"/>
          </w:tcPr>
          <w:p>
            <w:pPr>
              <w:jc w:val="center"/>
              <w:ind w:right="22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Pr>
          <w:p>
            <w:pPr>
              <w:spacing w:after="0"/>
              <w:rPr>
                <w:sz w:val="11"/>
                <w:szCs w:val="11"/>
                <w:color w:val="auto"/>
              </w:rPr>
            </w:pPr>
          </w:p>
        </w:tc>
        <w:tc>
          <w:tcPr>
            <w:tcW w:w="860" w:type="dxa"/>
            <w:vAlign w:val="bottom"/>
          </w:tcPr>
          <w:p>
            <w:pPr>
              <w:jc w:val="center"/>
              <w:ind w:right="39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201"/>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1"/>
                <w:szCs w:val="11"/>
                <w:color w:val="auto"/>
              </w:rPr>
            </w:pPr>
          </w:p>
        </w:tc>
        <w:tc>
          <w:tcPr>
            <w:tcW w:w="1020" w:type="dxa"/>
            <w:vAlign w:val="bottom"/>
          </w:tcPr>
          <w:p>
            <w:pPr>
              <w:jc w:val="center"/>
              <w:ind w:right="21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(31,233)</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(32,566)</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(31,250)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provides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9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187</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187</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(32,566)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(32,516)</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8"/>
        <w:spacing w:after="0" w:line="282"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as the primary beneficiary. IAE and IAE LLC have, therefore, been consolidated. The carrying amounts and classification of assets and liabilities for variable interest entities in our Condensed Consolidated Balance Sheet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6,630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801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7,431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7,880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7,915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2028. Additional guarantees of project performance for which there is no stated value also remain outstanding. As of March 31, 2022 and December 31, 2021, the following financial guarantees were outstanding: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1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304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503</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values of the guaranteed assets equal or exceed the value of the related guarantees, net of existing reserves. Collaboration partners’ share of these financing guarantees is $140 million and $141 million at March 31, 2022 and December 31, 2021,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$118 million and $120 million at March 31, 2022 and December 31, 2021, respectively. These primarily relate to environmental liabilities, which are included in our total environmental liabilities as further discussed in “Note 15: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quarters ended March 31,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March 31, 2022 and December 31, 2021, we had $830 million and $834 million, respectively,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$15.5 billion and $15.6 billion as of March 31, 2022 and December 31, 2021,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$3.7 billion as of March 31, 2022.</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Obligations. </w:t>
      </w:r>
      <w:r>
        <w:rPr>
          <w:rFonts w:ascii="Times New Roman" w:cs="Times New Roman" w:eastAsia="Times New Roman" w:hAnsi="Times New Roman"/>
          <w:sz w:val="18"/>
          <w:szCs w:val="18"/>
          <w:color w:val="auto"/>
        </w:rPr>
        <w:t>We have entered into industrial cooperation agreements, sometimes in the form of either offset agreements or ICIP agreements,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to obtaining orders for our products and services from certain customers in foreign countries. At March 31, 2022, the aggregate amount of our offset agreements, both agreed to and anticipated to be agreed to, had an outstanding notional value of approximately $10.9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Times New Roman" w:cs="Times New Roman" w:eastAsia="Times New Roman" w:hAnsi="Times New Roman"/>
          <w:sz w:val="18"/>
          <w:szCs w:val="18"/>
          <w:color w:val="212529"/>
        </w:rPr>
        <w:t>Agencies that oversee contract performance include: the Defense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w:t>
      </w:r>
      <w:r>
        <w:rPr>
          <w:rFonts w:ascii="Times New Roman" w:cs="Times New Roman" w:eastAsia="Times New Roman" w:hAnsi="Times New Roman"/>
          <w:sz w:val="18"/>
          <w:szCs w:val="18"/>
          <w:color w:val="000000"/>
        </w:rPr>
        <w:t>The U.S. government also reserves the right to debar a contractor from receiving new government contracts for fraudulent, criminal or other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w:t>
      </w:r>
      <w:r>
        <w:rPr>
          <w:rFonts w:ascii="Times New Roman" w:cs="Times New Roman" w:eastAsia="Times New Roman" w:hAnsi="Times New Roman"/>
          <w:sz w:val="18"/>
          <w:szCs w:val="18"/>
          <w:color w:val="212529"/>
        </w:rPr>
        <w:t>Our final allowable incurred costs for each year are also subject to audit and have, from time to time, resulted in disputes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Times New Roman" w:cs="Times New Roman" w:eastAsia="Times New Roman" w:hAnsi="Times New Roman"/>
          <w:sz w:val="18"/>
          <w:szCs w:val="18"/>
          <w:color w:val="000000"/>
        </w:rPr>
        <w:t>In addition, we accrue for liabilities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$1.73 billion plus interest ($748 million at March 31, 2022).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($121 million at March 31, 2022).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Although the ASBCA decision may also be subject to further appellate review, we believe that the ASBCA’s rejection of the DCMA’s asserted measure of the cost of collaborator parts is well supported in fact and law and likely will be sustained. In December 2018, a DCMA DACO issued a second claim against Pratt &amp; Whitney that similarly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($82 million at March 31, 2022). Pratt &amp; Whitney appealed this second claim to the ASBCA in January 2019. Although subject to further litigation at the ASBCA and potentially further appellate proceedings, we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Matter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is cooperating fully with the SEC’s and DOJ’s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results of operations, financial condition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Contract Pricing Disputes and Related Civil Litigation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51" w:lineRule="auto"/>
        <w:tabs>
          <w:tab w:leader="none" w:pos="2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t>
      </w:r>
      <w:r>
        <w:rPr>
          <w:rFonts w:ascii="Times New Roman" w:cs="Times New Roman" w:eastAsia="Times New Roman" w:hAnsi="Times New Roman"/>
          <w:sz w:val="18"/>
          <w:szCs w:val="18"/>
          <w:color w:val="212529"/>
        </w:rPr>
        <w:t>We have made substantial progress in our internal review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issues raised by the DOJ investigation. </w:t>
      </w:r>
      <w:r>
        <w:rPr>
          <w:rFonts w:ascii="Times New Roman" w:cs="Times New Roman" w:eastAsia="Times New Roman" w:hAnsi="Times New Roman"/>
          <w:sz w:val="18"/>
          <w:szCs w:val="18"/>
          <w:color w:val="000000"/>
        </w:rPr>
        <w:t>Although we continue to believe we have defenses to the potential claims, the Company has determined that there 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 probable risk of liability for damages, interest and potential penalties </w:t>
      </w:r>
      <w:r>
        <w:rPr>
          <w:rFonts w:ascii="Times New Roman" w:cs="Times New Roman" w:eastAsia="Times New Roman" w:hAnsi="Times New Roman"/>
          <w:sz w:val="18"/>
          <w:szCs w:val="18"/>
          <w:color w:val="212529"/>
        </w:rPr>
        <w:t>and has accrued approximately $290 million for this matter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We are currently unable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to estimate an incremental loss, if any, which may result following the completion of our internal review and resolution of the DOJ investigation. Based on the information available to date, we do not believe the results of the investigation or of any potential civil litigation will have a material adverse effect on our results of operations, financial condition or liquidity.</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Darnis, et al.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We continue to believe that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has meritorious defenses to these claims. At this time, the Company is unable to predict the outcome; however, based on the information available to date, we do not believe that this matter will have a material adverse effect on our results of operations, financial condition or liquidity.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Grand Jury Investigation and Related Civil Litigation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Company received a grand jury subpoena in late 2019, as part of a DOJ criminal investigation into purported agreements not to solicit or hire employees in violation of the federal antitrust laws. While the investigation has focused on alleged hiring restrictions between and among Pratt &amp; Whitney and certain of its suppliers of outsourced engineering services, the subpoena also included requests regarding Collins. Since receipt of the subpoena, the Company has been cooperating with the DOJ investigation. On December 15, 2021, a criminal indictment was filed in the United States District Court for the District of Connecticut, against a former Pratt &amp; Whitney employee and other employees of certain outsourced engineering suppliers charging each of them with one count of violating the federal antitrust laws. No current or former Collins employees were named in the indictment. We were recently advised that the Company is a target of the DOJ investigation, and we continue to cooperate with the investigation. No criminal charge has been filed against the Company or its affiliates.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After the criminal charges against the individuals were filed, numerous civil class action antitrust lawsuits have been filed against Pratt &amp; Whitney and other corporate and individual defendants in the United States District Court for the District of Connecticut. The allegations in each of the civil lawsuits track the factual assertions in the criminal indictment and generally allege that Pratt &amp; Whitney and the other defendants agreed to restrict the hiring and recruiting of certain engineers and skilled laborers in a manner that violated federal antitrust laws. Plaintiffs in each of the civil lawsuits seek to represent different purported classes of engineers and skilled laborers employed by Pratt &amp; Whitney and other supplier-defendants since 2011. Collins was also named as a defendant in some of the lawsuits. Plaintiffs in each of the lawsuits seek treble damages in an undetermined amount, plus attorneys’ fees and costs of suit. All of the lawsuits have been consolidated, and we anticipate the filing of a single amended class action complaint. We believe that the claims asserted lack merit. Based on the information available to date, we do not believe that this matter will have a material adverse effect on our results of operations, financial condition or liquidity.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Where appropriate, we have recorded loss contingency accruals for the above-referenced matters, and the amounts individually, or in the aggregate, are not material.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14: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ended March 31, 2022 and 2021 is provided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13"/>
                <w:szCs w:val="13"/>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March 31,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24"/>
                <w:szCs w:val="24"/>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March 31, 2021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The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March 31, 2022 and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0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4,824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314</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4,529</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4,030</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3.3 %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3,572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3,765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388</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3,527</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3,793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387</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496</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11.0 %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16,452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15,958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1,356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1,218</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 and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423</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(516)</w:t>
            </w:r>
          </w:p>
        </w:tc>
        <w:tc>
          <w:tcPr>
            <w:tcW w:w="1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15,716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15,251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1,080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1,013</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6.9 %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Lower Tier Air and Missile Defense Sensor (LTAMDS) project.</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quarters ended March 31,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497</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Middle East and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Canada and All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293</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728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3,253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319</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3,572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customer for the quarters ended March 31,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government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 commercial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aerospace and other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3,109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3,055</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6,243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3,253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319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3,572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March 31,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2,604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1,896</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3,854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3,253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319</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3,572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15,716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quarters ended March 31,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3,572</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3,527</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Remaining Performance Obligations (RPO)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RPO represent the aggregate amount of total contract transaction price that is unsatisfied or partially unsatisfied. Total RPO was $154 billion as of March 31, 2022. In the quarter ended March 31, 2022, we reversed approximately $1.3 billion of RPO related to our sales contracts in Russia due to global sanctions on and export controls with respect to Russia, as further discussed in “Note 1: Basis of Presentation.” Of the total RPO as of March 31, 2022, we expect approximately 30% will be recognized as sales over the next 12 months. Approximately 40% of our RPO relates to long-term commercial aerospace maintenance contracts at Pratt &amp; Whitney, which are generally expected to be realized over a span of up to 15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2021-08, Business Combinations (Topic 805): Accounting for Contract Assets and Contract Liabilities from Contracts with Customers, which requires an acquirer to apply the guidance in ASC 606, Revenue from Contracts with Customers, to recognize and measure contract assets and contract liabilities in a business combination, rather than using fair value. The new standard is effective for fiscal years, and interim periods within those fiscal years, beginning after December 15, 2022, with early adoption permitted. Effective January 1, 2022, we elected to early adopt the requirements of the new standard on a prospective basis. The adoption of the standard did not have an impact on our financial position, results of operations or liquidity.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business entities to make specific annual disclosures about transactions with a government. The new standard is effective for fiscal years beginning after December 15, 2021. We are currently evaluating the impact of the standard, but we do not expect it to have a material impact on our disclosures.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March 31, 2022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Raytheon Technologies for the quarters ended March 31, 2022 and 2021, PricewaterhouseCoopers LLP (PwC) reported that it has applied limited procedures in accordance with professional standards for a review of such information. However, its report dated April 26, 2022,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Raytheon Technologies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Raytheon Technologies Corporation and its subsidiaries (the “Company”) as of March 31, 2022, and the related condensed consolidated statements of operations, of comprehensive income, of changes in equity, and of cash flows for the three-month periods ended March 31, 2022 and 2021,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2021, and the related consolidated statements of operations, of comprehensive income (loss), of changes in equity and of cash flows for the year then ended (not presented herein), and in our report dated February 11,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four principal business segments: Collins Aerospace Systems (Collins), Pratt &amp; Whitney, Raytheon Intelligence &amp; Space (RIS) and Raytheon Missiles &amp; Defense (RMD). Unless the context otherwise requires, the terms “we,” “our,” “us,” “the Company,” “Raytheon Technologies,” and “RTC” mean Raytheon Technologies Corporation and its subsidiaries.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2022 is discussed below. For additional discussion, refer to the “Business Overview” section in Management’s Discussion and Analysis of Financial Condition and Results of Operations (MD&amp;A) in our 2021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and Pratt &amp; Whitney, which are inclusive of both spare parts and services.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 RMD, and the defense operations of Collins and Pratt &amp; Whitney are affected by U.S. Department of Defense (DoD) budget and spending levels, changes in demand, changes in policy positions or priorities and the global political environment.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the 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coronavirus disease 2019 (COVID-19) pandemic continues to negatively affect the global economy, our business and operations, supply chains, and the industries in which we operate. However, we continue to see indications that commercial air travel is recovering in certain areas of demand.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labor costs, interest rates, foreign currency exchange rates, energy costs,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the Russian military’s invasion of Ukraine on February 24, 2022, the U.S. government has imposed broad economic sanctions and export controls targeting key industries, entities and individuals in Russia. These U.S. government measures, among other items, restrict transactions involving various Russian banks and financial institutions and impose enhanced export controls limiting transfers of various goods, software and technologies to Russia, including broadened export controls specifically targeting Russia’s aerospace sector. Governments of various other jurisdictions in which we operate, including Canada, the United Kingdom, the European Union and others, have implemented similar measures. These sanctions and export controls, as well as responses from Russia, have adversely affected and could continue to adversely affect the Company and/or our supply chain, business partners or customers; however, we do not believe this matter will have a material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effect on our financial results. In the quarter ended March 31, 2022, we reversed $1.3 billion of backlog, which would have been recognized over a span of approximately 10 years, and recorded certain impairment charges and increases to reserves related to operations at our Pratt &amp; Whitney and Collins businesses, as discussed further in “Note 1: Basis of Presentation” within Item 1 of this Form 10-Q.</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October 2020, the People’s Republic of China (China) announced that it may sanction Raytheon in connection with a possible Foreign Military Sale to Taiwan of six MS-110 Reconnaissance Pods and related equipment manufactured by Collins. Foreign Military Sales are government-to-government transactions that are initiated by, and carried out at the direction of, the U.S. government. Similarly, in February 2022, China announced that it plans to take countermeasures against RTC in connection with an approved Foreign Military Sale of Patriot missile system upgrade services to Taiwan. To date, the Chinese government has not imposed sanctions on RTC or indicated the nature or timing of any future potential sanctions or other countermeasures. If China were to impose sanctions or take other regulatory action against any RTC entity, our suppliers, affiliates or partners, it could potentially disrupt our business operations. The impact of potential sanctions or other actions by China cannot be determined at this time.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July 2019, the U.S. government suspended Turkey’s participation in the F-35 Joint Strike Fighter program because Turkey accepted delivery of the Russian-built S-400 air and missile defense system. The U.S. has imposed, and may impose additional, sanctions on Turkey, as well as contractual restrictions on the use of Turkish sources on certain military programs, as a result of this or other political disputes. Turkish companies supply us with components, some of which are sole-sourced, primarily in our aerospace operations for commercial and military engines and aerospace products. Depending upon the scope and timing of U.S. sanctions or contractual prohibitions on Turkey and potential reciprocal actions, if any, such sanctions or actions could impact our sources of supply and could have a material adverse effect on our results of operations, cash flows or financial condition.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March 31, 2022, our Contract liabilities include approximately $420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2021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2021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non-recurring and non-operational items (“Other”). Additionally, the organic change in Cost of sales and Operating profit excludes restructuring costs, the FAS/CAS operating adjustment and costs related to certain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Restructuring costs generally arise from severance related to workforce reductions and facility exit costs. 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8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15,716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factors contributing to the total change year-over-year in total net sales for the quarter ended March 31, 2022 are as follows: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increased $664 million organically in the quarter ended March 31, 2022 compared to the quarter ended March 31, 2021 primarily due to higher organic sales of $0.5 billion at Pratt &amp; Whitney and $0.5 billion at Collins, partially offset by lower organic sales of $0.3 billion at RMD. The $168 million decrease in net sales related to Acquisitions and divestitures, net for the quarter ended March 31, 2022 compared to the quarter ended March 31, 2021, was primarily driven by the sale of our global training and services business within our RIS segment in the fourth quarter of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11,862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75.5 %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3,854</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24.5 %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15,716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$198 million in the quarter ended March 31, 2022 compared to the quarter ended March 31, 2021 primarily due to increases in external products sales of $0.3 billion at Collins and $0.2 billion at Pratt &amp; Whitney, partially offset by a decrease in external products sales of $0.2 billion at RMD.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$267 million in the quarter ended March 31, 2022 compared to the quarter ended March 31, 2021 primarily due to increases in external services sales of $0.3 billion at Pratt &amp; Whitney and $0.1 billion at Collins, partially offset by a decrease in external services sales of $0.1 billion at RIS.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7,338</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46.7 %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1,176</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959</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6,243</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39.7 %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15,716</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15,251</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64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80" w:type="dxa"/>
            <w:vAlign w:val="bottom"/>
            <w:vMerge w:val="continue"/>
          </w:tcPr>
          <w:p>
            <w:pPr>
              <w:spacing w:after="0"/>
              <w:rPr>
                <w:sz w:val="15"/>
                <w:szCs w:val="15"/>
                <w:color w:val="auto"/>
              </w:rPr>
            </w:pPr>
          </w:p>
        </w:tc>
        <w:tc>
          <w:tcPr>
            <w:tcW w:w="18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12,560</w:t>
            </w:r>
          </w:p>
        </w:tc>
        <w:tc>
          <w:tcPr>
            <w:tcW w:w="54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12,537</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79.9 %</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0" w:type="dxa"/>
            <w:vAlign w:val="bottom"/>
          </w:tcPr>
          <w:p>
            <w:pPr>
              <w:spacing w:after="0"/>
              <w:rPr>
                <w:sz w:val="1"/>
                <w:szCs w:val="1"/>
                <w:color w:val="auto"/>
              </w:rPr>
            </w:pPr>
          </w:p>
        </w:tc>
      </w:tr>
      <w:tr>
        <w:trPr>
          <w:trHeight w:val="419"/>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ended March 31, 2022 are as follows: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vMerge w:val="continue"/>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0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$53 million for the quarter ended March 31, 2022 compared to the quarter ended March 31, 2021 was primarily driven by the organic sales increases at Collins and Pratt &amp; Whitney, partially offset by the organic sales decrease at RMD noted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$143 million decrease in cost of sales related to Acquisitions and divestitures, net for the quarter ended March 31, 2022 compared to the quarter ended March 31, 2021, was primarily driven by the sale of our global training and services business within our RIS segment in the fourth quarter of 2021.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cost of sales of $137 million for the quarter ended March 31, 2022 compared to the quarter ended March 31, 2021, was primarily driven by charges at Pratt &amp; Whitney and Collins related to impairment of customer financing assets for products under lease, inventory reserves, purchase order obligations, and the impairment of contract fulfillment costs that are no longer recoverable, all due to global sanctions on and export controls with respect to Russia. See “Note 1: Basis of Presentation” within Item 1 of this Form 10-Q for additional information.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9,820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62.5 %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2,740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17.4 %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12,560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79.9 %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decreased $154 million in the quarter ended March 31, 2022 compared to the quarter ended March 31, 2021 primarily due to a decrease at RIS and RMD, partially offset by an increase at Collins. The decrease at RIS was primarily driven by productivity improvements across numerous programs. The changes at RMD and Collins were related to the changes in products sales noted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cost of sales increased $177 million in the quarter ended March 31, 2022 compared to the quarter ended March 31, 2021 primarily due to an increase in external services cost of sales at Pratt &amp; Whitney driven by the services sales increase noted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0" w:type="dxa"/>
            <w:vAlign w:val="bottom"/>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635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1,086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Company-funded research and development as a percentage of net sales for the quarter ended March 31, 2022 was relatively consistent with the quarter ended March 31, 2021, with the increase principally driven by an increase in research and development spending at Pratt &amp; Whitney.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customer-funded research and development of $46 million for the quarter ended March 31, 2022 compared to the quarter ended March 31, 2021, was primarily driven by lower expenses on various military programs at Collins and Pratt and Whitney, partially offset by higher expenses at RMD primarily driven by the Next Generation Interceptor (NGI) program awarded in the second quarter of 2021.</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1,469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$249 million in the quarter ended March 31, 2022 compared to the quarter ended March 31, 2021 primarily driven by higher expenses of $0.2 billion at Collins and Pratt &amp; Whitney principally driven by $71 million of charges related to increased estimates for credit losses due to global sanctions on and export controls with respect to Russia, and higher employee-related costs. Also included in the increase was higher Corporate selling, general and administrative expenses driven by higher restructuring costs of $34 million and unallocated state taxes of $30 million related to the impact of capitalization of research or experimental expenditures for tax-purposes. See “Note 1: Basis of Presentation” within Item 1 of this Form 10-Q for additional information on Russia sanctions.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8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12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and other ongoing and nonrecurring items. The decrease in Other income, net of $80 million for the quarter ended March 31, 2022, compared to the quarter ended March 31, 2021 was primarily due to the absence of prior year foreign government wage subsidies related to COVID-19 at Pratt &amp; Whitney of $29 million, and a loss resulting from the exit of our investment in a Russia-based joint venture at Collins in the quarter ended March 31,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1,080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Operating profit of $67 million for the quarter ended March 31, 2022 compared to the quarter ended March 31, 2021 was primarily driven by the operating performance at our segments as described below in the individual segment results.</w:t>
      </w:r>
    </w:p>
    <w:p>
      <w:pPr>
        <w:spacing w:after="0" w:line="5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$11 million for the quarter ended March 31, 2022 compared to the quarter ended March 31, 2021 was primarily due to an increase in the discount rate, partially offset by prior years’ pension asset returns exceeding our expected return on assets (EROA) assumption.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3"/>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322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(31)</w:t>
            </w:r>
          </w:p>
        </w:tc>
        <w:tc>
          <w:tcPr>
            <w:tcW w:w="48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non-operating expense (income)</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27</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318</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Primarily consists of the unrealized gains or losses on marketable securities held in trusts associated with certain of our nonqualified deferred compensation and employee benefit plans.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of $28 million in the quarter ended March 31, 2022 compared to the quarter ended March 31, 2021 was primarily due to repayments of higher interest rate long-term debt during 2021, partially offset by debt issuances with lower interest rates during 2021, and adjustments of certain tax-related interest reserves in the quarter ended March 31, 2022.</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Quarter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780" w:type="dxa"/>
            <w:vAlign w:val="bottom"/>
            <w:tcBorders>
              <w:bottom w:val="single" w:sz="8" w:color="auto"/>
            </w:tcBorders>
            <w:gridSpan w:val="2"/>
            <w:shd w:val="clear" w:color="auto" w:fill="CCEEFF"/>
          </w:tcPr>
          <w:p>
            <w:pPr>
              <w:jc w:val="right"/>
              <w:ind w:right="686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tax rate in the quarter ended March 31, 2022 includes a benefit of 5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The effective tax rate for the quarter ended March 31, 2021 includes tax charges incremental to the U.S. statutory rate of $148 million associated with the sale of the Forcepoint business, as described in “Note 2: Acquisitions, Dispositions, Goodwill and Intangible Assets” within Item 1 of this Form 10-Q. Subsequently, in the fourth quarter of 2021, we recognized an incremental $104 million tax benefit due to the revaluation of that Forcepoint tax benefit as a result of completing the divestiture of RIS’s global training and services business.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Continuing Operations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1,103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0.74</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March 31, 2022 includes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$379 million, net of tax, which had an unfavorable impact on diluted earnings per share (EPS) from continuing operations of $0.25; and</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and reserve adjustments related to the global sanctions on and export controls with respect to Russia of $210 million, net of tax, which had an unfavorable impact on diluted EPS from continuing operations of $0.14.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March 31, 2021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$398 million, net of tax, which had an unfavorable impact on diluted EPS from continuing operations of $0.26; and</w:t>
      </w: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of $148 million related to the sale of our Forcepoint business, which had an unfavorable impact on diluted EPS from continuing operations of $0.10.</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1,084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0.72</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income attributable to common shareowners and diluted earnings per share from operations for the quarter ended March 31, 2022 compared to the quarter ended March 31, 2021 was primarily driven by the increase in continuing operations, as discussed above in Net Income from Continuing Operations Attributable to Common Shareowners.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vMerge w:val="continue"/>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4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4,824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4,529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3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3,572</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3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3,527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16,452</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43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15,716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0" w:type="dxa"/>
            <w:vAlign w:val="bottom"/>
          </w:tcPr>
          <w:p>
            <w:pPr>
              <w:spacing w:after="0"/>
              <w:rPr>
                <w:sz w:val="1"/>
                <w:szCs w:val="1"/>
                <w:color w:val="auto"/>
              </w:rPr>
            </w:pPr>
          </w:p>
        </w:tc>
      </w:tr>
      <w:tr>
        <w:trPr>
          <w:trHeight w:val="972"/>
        </w:trPr>
        <w:tc>
          <w:tcPr>
            <w:tcW w:w="3900" w:type="dxa"/>
            <w:vAlign w:val="bottom"/>
          </w:tcPr>
          <w:p>
            <w:pPr>
              <w:spacing w:after="0"/>
              <w:rPr>
                <w:sz w:val="24"/>
                <w:szCs w:val="24"/>
                <w:color w:val="auto"/>
              </w:rPr>
            </w:pPr>
          </w:p>
        </w:tc>
        <w:tc>
          <w:tcPr>
            <w:tcW w:w="396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by segment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1,356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1,080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perform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aggregate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374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net EAC adjustments of $24 million in the quarter ended March 31, 2022 compared to the quarter ended March 31, 2021 was primarily due to a favorable change in net EAC adjustments of $58 million at Collins, partially offset by an unfavorable change in net EAC adjustments of $42 million at RMD, both spread across numerous individual programs with no individual or common significant driver.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Backlog and Defense Bookings. </w:t>
      </w:r>
      <w:r>
        <w:rPr>
          <w:rFonts w:ascii="Times New Roman" w:cs="Times New Roman" w:eastAsia="Times New Roman" w:hAnsi="Times New Roman"/>
          <w:sz w:val="18"/>
          <w:szCs w:val="18"/>
          <w:color w:val="auto"/>
        </w:rPr>
        <w:t>Total backlog was approximately $154 billion and $156 billion as of March 31, 2022 and December 31, 2021,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defense backlog of $62 billion and $63 billion as of March 31, 2022 and December 31, 2021, respectively. In the quarter ended March 31, 2022, we reversed $1.3 billion of backlog at our Pratt &amp; Whitney and Collins businesses, as discussed further in “Note 1: Basis of Presentation” within Item 1 of this Form 10-Q. Our defense operations consist primarily of our RIS and RMD businesses and operations in the defense businesses within our Collins and Pratt &amp; Whitney segments. Defense bookings were approximately $8 billion and $9 billion for the quarters ended March 31, 2022 and 2021, respectively.</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Defense 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governmental approvals and notifications. In addition, due to these factors, quarterly bookings tend to fluctuate from period to period, particularly on a segment basis.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vMerge w:val="continue"/>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4,824</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4,370</w:t>
            </w:r>
          </w:p>
        </w:tc>
        <w:tc>
          <w:tcPr>
            <w:tcW w:w="1180" w:type="dxa"/>
            <w:vAlign w:val="bottom"/>
            <w:tcBorders>
              <w:top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440</w:t>
            </w:r>
          </w:p>
        </w:tc>
        <w:tc>
          <w:tcPr>
            <w:tcW w:w="44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118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3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9.1 %</w:t>
            </w: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4"/>
                <w:szCs w:val="24"/>
                <w:color w:val="auto"/>
              </w:rPr>
            </w:pPr>
          </w:p>
        </w:tc>
        <w:tc>
          <w:tcPr>
            <w:tcW w:w="644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2022 Compared with Quarter Ended March 31, 2021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18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6"/>
              </w:rPr>
              <w:t>454</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15</w:t>
            </w: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126</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sales increase of $0.5 billion in the quarter ended March 31, 2022 compared to the quarter ended March 31, 2021 primarily relates to higher commercial aerospace aftermarket sales of $0.5 billion, including increases across all aftermarket sales channels, primarily due to an increase in flight hours and aircraft fleet utilization as commercial aerospace continues to recover from the unfavorable economic environment principally driven by the COVID-19 pandemic. The increase also includes higher commercial aerospace OEM sales of $0.2 billion primarily due to narrow-body growth. These increases were partially offset by lower military sales of $0.2 billion in the quarter ended March 31, 2022 compared to the quarter ended March 31, 2021 primarily due to supply chain constraints and lower F-35 volume.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profit increase of $0.2 billion in the quarter ended March 31, 2022 compared to the quarter ended March 31, 2021 was primarily due to higher commercial aerospace operating profit of $0.4 billion principally driven by the higher commercial aerospace aftermarket sales discussed above. This increase in commercial aerospace operating profit was partially offset by lower military operating profit of $0.1 billion principally driven by the lower military sales volume discussed above, and higher selling, general and administrative expenses of $0.1 billion primarily due to higher employee-related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operating profits of $133 million in the quarter ended March 31, 2022 compared to the quarter ended March 31, 2021 was primarily due to $141 million of pretax charges related to increased estimates for credit losses, inventory reserves, recognition of purchase order obligations and a loss resulting from the exit of our investment in a Russia-based joint venture, all due to global sanctions on and export controls with respect to Russia. See “Note 1: Basis of Presentation” within Item 1 of this Form 10-Q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vMerge w:val="continue"/>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4,529</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4,030</w:t>
            </w:r>
          </w:p>
        </w:tc>
        <w:tc>
          <w:tcPr>
            <w:tcW w:w="1180" w:type="dxa"/>
            <w:vAlign w:val="bottom"/>
            <w:tcBorders>
              <w:top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151</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36"/>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3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3.3 %</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360" w:type="dxa"/>
            <w:vAlign w:val="bottom"/>
          </w:tcPr>
          <w:p>
            <w:pPr>
              <w:spacing w:after="0"/>
              <w:rPr>
                <w:sz w:val="24"/>
                <w:szCs w:val="24"/>
                <w:color w:val="auto"/>
              </w:rPr>
            </w:pPr>
          </w:p>
        </w:tc>
        <w:tc>
          <w:tcPr>
            <w:tcW w:w="6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2022 Compared with Quarter Ended March 31, 2021</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0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2"/>
        </w:trPr>
        <w:tc>
          <w:tcPr>
            <w:tcW w:w="23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1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6"/>
              </w:rPr>
              <w:t>499</w:t>
            </w:r>
          </w:p>
        </w:tc>
        <w:tc>
          <w:tcPr>
            <w:tcW w:w="0" w:type="dxa"/>
            <w:vAlign w:val="bottom"/>
          </w:tcPr>
          <w:p>
            <w:pPr>
              <w:spacing w:after="0"/>
              <w:rPr>
                <w:sz w:val="1"/>
                <w:szCs w:val="1"/>
                <w:color w:val="auto"/>
              </w:rPr>
            </w:pPr>
          </w:p>
        </w:tc>
      </w:tr>
      <w:tr>
        <w:trPr>
          <w:trHeight w:val="236"/>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18</w:t>
            </w:r>
          </w:p>
        </w:tc>
        <w:tc>
          <w:tcPr>
            <w:tcW w:w="6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131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$0.5 billion in the quarter ended March 31, 2022 compared to the quarter ended March 31, 2021 reflects higher commercial aftermarket sales of $0.6 billion primarily due to an increase in shop visits and related spare part sales as commercial aerospace continues to recover from the unfavorable economic environment principally driven by the COVID-19 pandemic. The increase also includes higher commercial OEM sales of $0.1 billion primarily driven by favorable mix on large commercial engine shipments. These increases were partially offset by lower military sales of $0.2 billion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lower sales on F-135 production due to the timing of awards and lower volume, partially offset by higher F-135 sustainment volume.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profit increase of $0.3 billion in the quarter ended March 31, 2022 compared to the quarter ended March 31, 2021 was primarily driven by higher commercial aerospace operating profit of $0.5 billion principally due to the aftermarket sales volume increase discussed above, favorable OEM mix, and higher Pratt &amp; Whitney Canada OEM volume. This increase was partially offset by an increase in selling, general and administrative expenses and research and development costs of $0.1 billion combined and slightly lower military operating profit principally due to the military sales volume decrease discussed above. The change in organic operating profit was also affected by the absence of prior year foreign government wage subsidies related to COVID-19 of $29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operating profits of $156 million in the quarter ended March 31, 2022 compared to the quarter ended March 31, 2021 was primarily due to $155 million of pretax charges related to impairment of customer financing assets for products under lease, increased estimates for credit losses, inventory reserves and recognition of purchase order obligations, all due to global sanctions on and export controls with respect to Russia. See “Note 1: Basis of Presentation” within Item 1 of this Form 10-Q for additional information.</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March 31, 2022 Pratt &amp; Whitney booked $251 million for tanker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Lots 7 and 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Intelligence &amp; Space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40" w:type="dxa"/>
            <w:vAlign w:val="bottom"/>
            <w:gridSpan w:val="6"/>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3,572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378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10.6 %</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10.3 %</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2,592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4"/>
                <w:szCs w:val="24"/>
                <w:color w:val="auto"/>
              </w:rPr>
            </w:pPr>
          </w:p>
        </w:tc>
        <w:tc>
          <w:tcPr>
            <w:tcW w:w="6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2022 Compared with Quarter Ended March 31, 2021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60" w:type="dxa"/>
            <w:vAlign w:val="bottom"/>
          </w:tcPr>
          <w:p>
            <w:pPr>
              <w:spacing w:after="0"/>
              <w:rPr>
                <w:sz w:val="11"/>
                <w:szCs w:val="11"/>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8"/>
              </w:rPr>
              <w:t>Total Change</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80" w:type="dxa"/>
            <w:vAlign w:val="bottom"/>
            <w:tcBorders>
              <w:bottom w:val="single" w:sz="8" w:color="auto"/>
            </w:tcBorders>
            <w:gridSpan w:val="2"/>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80" w:type="dxa"/>
            <w:vAlign w:val="bottom"/>
            <w:tcBorders>
              <w:bottom w:val="single" w:sz="8" w:color="auto"/>
            </w:tcBorders>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2"/>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rPr>
              <w:t>(171)</w:t>
            </w:r>
          </w:p>
        </w:tc>
        <w:tc>
          <w:tcPr>
            <w:tcW w:w="100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(5)</w:t>
            </w:r>
          </w:p>
        </w:tc>
        <w:tc>
          <w:tcPr>
            <w:tcW w:w="5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6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580" w:type="dxa"/>
            <w:vAlign w:val="bottom"/>
          </w:tcPr>
          <w:p>
            <w:pPr>
              <w:jc w:val="center"/>
              <w:ind w:left="28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auto"/>
            </w:tcBorders>
            <w:shd w:val="clear" w:color="auto" w:fill="CCEEFF"/>
          </w:tcPr>
          <w:p>
            <w:pPr>
              <w:jc w:val="right"/>
              <w:ind w:right="134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sales in the quarter ended March 31, 2022 were relatively consistent with the quarter ended March 31, 2021. Included in the organic change in sales were lower command and control and communications sales of $0.1 billion primarily driven by a planned decrease in production volumes on certain tactical communications systems programs and slightly lower sensing and effects sales, nearly offset by an increase in cyber, training and services sales on certain classified cyber programs.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operating profit of $10 million in the quarter ended March 31, 2022 compared to the quarter ended March 31, 2021, was primarily due to acquisition / divestitures, net described below, which was partially offset by the net favorable change in EAC adjustments of $16 million, which was spread across numerous programs. The increase in operating profit margins in the quarter ended March 31, 2022 compared to the quarter ended March 31, 2021, was primarily due to the net favorable change in EAC adjustments, partially offset by the impact of acquisitions / divestitures, net.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the global training and services business in the fourth quarter of 2021.</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$17 billion at March 31, 2022 and $18 billion at December 31, 2021. In the quarter ended March 31, 2022, 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booked $1.1 billion on a number of classified contracts and $311 million on the Next-Generation Overhead Persistent Infrared (Next-Gen OPIR) GEO missile warning and defense contract for the U.S. Space Force.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Missiles &amp; Defense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gridSpan w:val="6"/>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3,527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387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11.0 %</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13.1 %</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1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4,100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2,532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419"/>
        </w:trPr>
        <w:tc>
          <w:tcPr>
            <w:tcW w:w="2360" w:type="dxa"/>
            <w:vAlign w:val="bottom"/>
          </w:tcPr>
          <w:p>
            <w:pPr>
              <w:spacing w:after="0"/>
              <w:rPr>
                <w:sz w:val="24"/>
                <w:szCs w:val="24"/>
                <w:color w:val="auto"/>
              </w:rPr>
            </w:pPr>
          </w:p>
        </w:tc>
        <w:tc>
          <w:tcPr>
            <w:tcW w:w="64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2022 Compared with Quarter Ended March 31, 2021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60" w:type="dxa"/>
            <w:vAlign w:val="bottom"/>
            <w:gridSpan w:val="5"/>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480" w:type="dxa"/>
            <w:vAlign w:val="bottom"/>
            <w:gridSpan w:val="2"/>
          </w:tcPr>
          <w:p>
            <w:pPr>
              <w:jc w:val="center"/>
              <w:ind w:right="150"/>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3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8"/>
              </w:rPr>
              <w:t>Total Change</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300" w:type="dxa"/>
            <w:vAlign w:val="bottom"/>
            <w:tcBorders>
              <w:bottom w:val="single" w:sz="8" w:color="auto"/>
            </w:tcBorders>
            <w:gridSpan w:val="2"/>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(6)</w:t>
            </w:r>
          </w:p>
        </w:tc>
        <w:tc>
          <w:tcPr>
            <w:tcW w:w="5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0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sales decrease of $260 million in the quarter ended March 31, 2022 compared to the quarter ended March 31, 2021 was primarily due to lower net sales of $0.2 billion on our Land Warfare and Air Defense programs, primarily driven by lower material receipts as a result of supply chain constraints and planned decreases in production on certain programs. Also included in the decrease in organic sales were lower net sales of $85 million on the Advanced Medium Range Air-to-Air Missile (AMRAAM) program and higher net sales of $80 million on the NGI program.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operating profit of $109 million and the related decrease in operating margin in the quarter ended March 31, 2022 compared to the quarter ended March 31, 2021, was primarily due to the change in mix and other performance of $43 million primarily driven by the lower sales on the Land Warfare and Air Defense programs discussed above, and a net unfavorable change in EAC adjustments of $42 million, which was spread across numerous programs with no individual or common significant driver.</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$29 billion at both March 31, 2022 and December 31, 2021. In the quarter ended March 31, 2022, RMD booked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on a number of classified contracts, including a strategic competitive award. RMD also booked $651 million for the SPY-6 Hardware Production and Sustainment contract for the U.S. Navy, $384 million for Excalibur Rapid Demonstration Phase 2 for the U.S. Army, $219 million for Air Intercept Missile (AIM-9X) Sidewinder short-range air-to-air missiles for the U.S. Navy and Air Force and international customers and $218 million to provide Patriot engineering support services for the U.S. Army and international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non-reportable business segments. Corporate expenses and other unallocated items consists of costs and certain other unallowable corporate costs not considered part of management’s evaluation of reportable segment operating performance including restructuring costs related to the Raytheon merger, net costs associated with corporate research and development, including the Lower Tier Air and Missile Defense Sensor (LTAMDS) program and certain reserves.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(136)</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$29 million in the quarter ended March 31, 2022 compared to the quarter ended March 31, 2021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quarter ended March 31, 2022 was relatively consistent with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Corporate expenses and other unallocated items of $55 million in the quarter ended March 31, 2022 compared to the quarter ended March 31, 2021, was primarily due to higher restructuring costs of $34 million and unallocated state taxes of $30 million related to the impact of capitalization of research or experimental expenditures for tax-purposes.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postretirement benefit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(91)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469</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6"/>
              </w:rPr>
              <w:t>524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378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6"/>
              </w:rPr>
              <w:t>423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our FAS/CAS operating adjustment of $45 million in the quarter ended March 31, 2022 compared to the quarter ended March 31, 2021 was driven by a $55 million decrease in CAS expense, partially offset by a $10 million decrease in FAS service cost. The decrease in CAS expense was primarily due to an increase in applicable discount rates as a result of U.S. qualified pension plan funding relief included in the American Rescue Plan Act of 2021 (ARPA).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 below-market</w:t>
            </w: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w:t>
            </w: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405"/>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8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Acquisition accounting adjustments of $32 million for the quarter ended March 31, 2022 compared to the quarter ended March 31, 2021, was primarily driven by a decrease in RIS and RMD intangibles amortization related to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Raytheon merger in 2020, partially offset by the absence of $47 million of amortization of customer contractual obligations due to the accelerated liquidation of a below-market contract reserve at Collins driven by the termination of a customer contract recognized in the quarter ended March 31,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40" w:type="dxa"/>
            <w:vAlign w:val="bottom"/>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6,040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7,832</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31,472</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31,485</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73,986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74,664</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105,458</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106,149</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3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At March 31, 2022, we had cash and cash equivalents of $6.0 billion, of which approximately 42%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90 days from the date of issuance. As of March 31, 2022, our maximum commercial paper borrowing limit was $5.0 billion as the commercial paper is backed by our $5.0 billion revolving credit agreement. We had no commercial paper outstanding at March 31, 2022.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we had revolving credit agreements with various banks permitting aggregate borrowings of up to $7.0 billion, consisting of a $5.0 billion revolving credit agreement, which expires in April 2025, and a $2.0 billion revolving credit agreement, which expires in May 2022 and is expected to be renewed in the second quarter of 2022. As of March 31, 2022, there were no borrowings outstanding under these agreements.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Securities and Exchange Commission (SEC) on September 27, 2019, for an indeterminate amount of debt and equity securities for future issuance, subject to our internal limitations on the amount of debt to be issued under this shelf registration statement.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the SCF program does not impact our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w:t>
            </w:r>
          </w:p>
        </w:tc>
        <w:tc>
          <w:tcPr>
            <w:tcW w:w="10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generated by operating activities from continuing operations in the quarter ended March 31, 2022 was $0.2 billion lower than the same period in 2021, primarily driven by an unfavorable change in inventory primarily due to current year increases to support anticipated sales volume growth at Pratt &amp; Whitney and Collins, partially offset by a favorable change in accounts receivable primarily driven by the timing of engine deliveries and related billings at Pratt &amp; Whitney. The remaining favorable change in accounts receivable was primarily driven by collaborator receivables at Pratt &amp; Whitney, which was mostly offset with an unfavorable change in accounts payable and accrued liabilities primarily driven by collaborator payables. In addition, current year working capital also reflects a $0.5 billion increase in accounts payable and accrued liabilities related to a non-cash charge to income tax expense driven by the capitalization of research and experimental expenditures for tax purposes, as discussed further below. Net income after adjusting for this non-cash charge, as well as adjustments for depreciation and amortization, deferred income tax (benefit) provision, stock compensation costs, and net periodic pension and other postretirement benefit was consistent with the prior year.</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Factoring activity resulted in an increase of approximately $0.5 billion in cash provided by operating activities during the quarter ended March 31, 2022, compared to an increase in cash flows provided by operating activities of approximately $0.6 billion during the quarter ended March 31, 2021. Factoring activity includes amounts factored on certain aerospace receivables at the customers’ request for which we may be compensated by the customer.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net tax payments of $133 million and $113 million in the quarters ended March 31, 2022 and 2021, respectively. A provision enacted in the Tax Cuts and Jobs Act of 2017 related to the capitalization of research and experimental expenditures for tax purposes became effective on January 1, 2022. If this provision is not deferred, our full year 2022 tax payments are expected to increase by an estimated $2 billion, which has a significant impact on our tax payable and deferred tax balances. The increased payments will begin later in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investing activities from continuing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(518)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$1.1 billion change in cash flows (used in) provided by investing activities from continuing operations in the quarter ended March 31, 2022 compared to March 31, 2021 primarily relates to the absence of the prior year sale of our Forcepoint business described below.</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in the quarter ended March 31, 2022 increased by $52 million from the quarter ended March 31, 2021 primarily due to investments in production facilities at Pratt &amp; Whitney.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Dispositions of businesses in the quarter ended March 31, 2021 were $1.0 billion primarily related to the sale of our Forcepoint business. For additional detail, see “Note 2: Acquisitions, Dispositions, Goodwill and Intangible Assets” within Item 1 of this Form 10-Q.</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financing assets payments, net were $19 million and $81 million in quarters ended March 31, 2022 and 2021, respectively, and include purchases and sales of engines in our leased asset pool as well as customer financing. The decrease in customer financing assets payments, net was primarily due to the absence of a prior year sale and leaseback transaction for the sale of equipment.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quarters ended March 31, 2022 and 2021, we increased our collaboration intangible assets by $50 million and $32 million, respectively, which primarily relates to payments made under our 2012 agreement to acquire Rolls-Royce’s collaboration interests in International Aero Engines AG (IAE).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quarters ended March 31, 2022 and 2021, we had net cash payments of $33 million and receipts of $49 million, respectively, from the settlement of these derivative instruments not designated as hedging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 from continuing operations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(1,745)</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short-term and long-term debt, payment of dividends and stock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were a cash outflow of $1.7 billion in the quarter ended March 31, 2022 compared to a cash outflow of $1.5 billion in the quarter ended March 31, 2021. This change was driven by an increase in share repurchases of $0.4 billion and an increase in taxes paid on employee stock awards of $0.1 billion, partially offset by the absence of the prior year repayment of long-term debt of $0.3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Borrowings and Lines of Credit” within Item 1 of this Form 10-Q for additional information on debt issuances and repayments.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management had remaining authority to repurchase approximately $5.2 billion of our common stock under the December 7, 2021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743</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7,758</w:t>
            </w:r>
          </w:p>
        </w:tc>
        <w:tc>
          <w:tcPr>
            <w:tcW w:w="10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96"/>
              </w:rPr>
              <w:t>375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355"/>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(1) Relates to share repurchases that were settled in cash during the period.</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0.510</w:t>
            </w:r>
          </w:p>
        </w:tc>
        <w:tc>
          <w:tcPr>
            <w:tcW w:w="6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0.475</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25, 2022, the Board of Directors declared a dividend of $0.55 per share payable June 16, 2022 to shareowners of record at the close of business on May 20, 2022.</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quarter ended March 31, 2022. For discussion of our exposure to market risk, refer to Part II, Item 7A, “Quantitative and Qualitative Disclosures About Market Risk,” contained in our 2021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March 31, 2022. There are inherent limitations to the effectiveness of any system of disclosure controls and procedures, including the possibility of human error and the circumvention or overriding of the controls and procedures. Accordingly, even effective disclosure controls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procedures can only provide reasonable assurance of achieving their control objectives. Based upon our evaluation, our CEO, CFO and Controller concluded that, as of March 31, 2022,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costs savings, other measures of financial performance, potential future plans, strategies or transactions, credit ratings and net indebtedness,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fluctuations in commodity prices, inflation, interest rates and foreign currency exchange rates, disruptions in global supply chain and labor markets, and geopolitical risks;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or the allocation of funds to governmental responses to the coronavirus disease 2019 (COVID-19) pandemic, a continuing resolution, a government shutdown, or otherwise, and uncertain funding of programs;</w:t>
      </w:r>
    </w:p>
    <w:p>
      <w:pPr>
        <w:spacing w:after="0" w:line="2"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and support of Raytheon Technologies Corporation (RTC) advanced technologies and new products and services, as well as the challenges of operating in RTC’s highly-competitive industries;</w:t>
      </w:r>
    </w:p>
    <w:p>
      <w:pPr>
        <w:spacing w:after="0" w:line="1"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and risks relating to COVID-19 on RTC’s business, supply chain, operations and the industries in which it operates, including the decrease in global air travel, and the timing and extent of the recovery from COVID-19;</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RTC’s reliance on U.S. and non-U.S. suppliers and commodity markets, including the effect of sanctions, delays and disruptions in the delivery of materials and services to RTC or its suppliers and price increases;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RTC and its businesses operate;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or otherwise;</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RTC’s ability to engage in desirable capital-raising or strategic transactions, including its capital structure, levels of indebtedness, capital expenditures and research and development spending, and the availability of credit,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RTC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RTC strategic initiatives such as cost reduction, restructuring, digital transformation and other operational initiatives;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integration of the legacy businesses of United Technologies Corporation (UTC) and Raytheon Company in connection with the Raytheon merger, and the realization of the anticipated benefits of those transactions;</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RTC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RTC to attract, train and retain qualified personnel and maintain its culture and high ethical standards, and ability of our personnel to continue to operate our facilities and businesses around the world;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RTC product safety failure or other failure affecting RTC’s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cyber-attacks on RTC’s information technology infrastructure, products, suppliers, customers and partners, threats to RTC facilities and personnel, as well as other events outside of RTC’s control such as public health crises, damaging weather or other acts of nature;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UTC and former UTC shareowners, in each case, for U.S. federal income tax purposes.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Times New Roman" w:cs="Times New Roman" w:eastAsia="Times New Roman" w:hAnsi="Times New Roman"/>
          <w:sz w:val="18"/>
          <w:szCs w:val="18"/>
          <w:color w:val="212529"/>
        </w:rPr>
        <w:t>Securities and Exchange Commission (SEC)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Commitments and Contingencies” within Item 1 of this Form 10-Q for a discussion regarding material legal proceedings.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noted, there have been no material developments in legal proceedings. For previously reported information about legal proceedings refer to Part I, Item 3, “Legal Proceedings,” of our 2021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2021 Annual Report on Form 10-K (2021 Form 10-K). There have been no material changes from the factors disclosed in our 2021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March 31,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460" w:type="dxa"/>
            <w:vAlign w:val="bottom"/>
            <w:vMerge w:val="restart"/>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4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60" w:type="dxa"/>
            <w:vAlign w:val="bottom"/>
          </w:tcPr>
          <w:p>
            <w:pPr>
              <w:jc w:val="center"/>
              <w:ind w:left="4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58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24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88.49</w:t>
            </w:r>
          </w:p>
        </w:tc>
        <w:tc>
          <w:tcPr>
            <w:tcW w:w="2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24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3,196</w:t>
            </w:r>
          </w:p>
        </w:tc>
        <w:tc>
          <w:tcPr>
            <w:tcW w:w="280" w:type="dxa"/>
            <w:vAlign w:val="bottom"/>
          </w:tcPr>
          <w:p>
            <w:pPr>
              <w:spacing w:after="0"/>
              <w:rPr>
                <w:sz w:val="19"/>
                <w:szCs w:val="19"/>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94.87</w:t>
            </w:r>
          </w:p>
        </w:tc>
        <w:tc>
          <w:tcPr>
            <w:tcW w:w="22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3,196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24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3,470</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99.46</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3,470</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7,883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95.91</w:t>
            </w:r>
          </w:p>
        </w:tc>
        <w:tc>
          <w:tcPr>
            <w:tcW w:w="2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7,883</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2021, our Board of Directors authorized a share repurchase program for up to $6 billion of our common stock, replacing the previous program announced on December 7, 2020.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March 31,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4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0000FF"/>
              </w:rPr>
              <w:t>Schedule of Terms for restricted stock unit awards relating to the Raytheon Technologies Corporation 2018 Long-Term Incentive Plan, as</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amended and restated (referred to in Exhibit 10.22 to the Company’s Annual Report on Form 10-K (Commission file number 1-812) for the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fiscal year ended December 31, 2021).*</w:t>
            </w:r>
          </w:p>
        </w:tc>
        <w:tc>
          <w:tcPr>
            <w:tcW w:w="7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Schedule of Terms for performance share unit awards relating to the Raytheon Technologies Corporation 2018 Long-Term Incentive Plan,</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as amended and restated (referred to in Exhibit 10.22 to the Company’s Annual Report on Form 10-K (Commission file number 1-812) for</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the fiscal year ended December 31, 2021).*</w:t>
            </w:r>
          </w:p>
        </w:tc>
        <w:tc>
          <w:tcPr>
            <w:tcW w:w="706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Schedule of Terms for stock appreciation right awards relating to the Raytheon Technologies Corporation 2018 Long-Term Incentive Plan,</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as amended and restated (referred to in Exhibit 10.22 to the Company’s Annual Report on Form 10-K (Commission file number 1-812) for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the fiscal year ended December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Schedule of Terms for stock option awards relating to the Raytheon Technologies Corporation 2018 Long-Term Incentive Plan, as amended</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and restated (referred to in Exhibit 10.22 to the Company’s Annual Report on Form 10-K (Commission file number 1-812) for the fiscal</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year ended December 31, 2021).*</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Raytheon Technologies Corporation Executive Severance Plan, effective April 4, 2022.*</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Consulting Agreement, dated as of April 1, 2022, by and between Raytheon Technologies Corporation and Michael R. Dumais.*</w:t>
            </w:r>
          </w:p>
        </w:tc>
        <w:tc>
          <w:tcPr>
            <w:tcW w:w="9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5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3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3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Rule 13a-14(a)/15d-14(a) Certification.*</w:t>
            </w: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73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Statement of Operations for the quarters ended March 31, 2022 and 2021, (ii) Condensed Consolidated Statement of Comprehensive Income for the quarters ended March 31, 2022 and 2021, (iii) Condensed Consolidated Balance Sheet as of March 31, 2022 and December 31, 2021, (iv) Condensed Consolidated Statement of Cash Flows for the quarters ended March 31, 2022 and 2021, (v) Condensed Consolidated Statement of Changes in Equity for the quarters ended March 31, 2022 and 2021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April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April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Restricted Stock Unit Award (the “RSU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04"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221E1F"/>
        </w:rPr>
        <w:t>Certain Definitions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9"/>
          <w:szCs w:val="19"/>
          <w:color w:val="221E1F"/>
        </w:rPr>
        <w:t xml:space="preserve">A Restricted Stock Unit (an “RSU”) represents the right to receive one share of Common Stock of Raytheon Technologies </w:t>
      </w:r>
      <w:r>
        <w:rPr>
          <w:rFonts w:ascii="Arial" w:cs="Arial" w:eastAsia="Arial" w:hAnsi="Arial"/>
          <w:sz w:val="19"/>
          <w:szCs w:val="19"/>
          <w:color w:val="000000"/>
        </w:rPr>
        <w:t xml:space="preserve">Corporation </w:t>
      </w:r>
      <w:r>
        <w:rPr>
          <w:rFonts w:ascii="Arial" w:cs="Arial" w:eastAsia="Arial" w:hAnsi="Arial"/>
          <w:sz w:val="19"/>
          <w:szCs w:val="19"/>
          <w:color w:val="221E1F"/>
        </w:rPr>
        <w:t>(the “Common Stock”) (or a cash payment equal to the Fair Market Value thereof). RSUs generally vest and are</w:t>
      </w:r>
      <w:r>
        <w:rPr>
          <w:rFonts w:ascii="Arial" w:cs="Arial" w:eastAsia="Arial" w:hAnsi="Arial"/>
          <w:sz w:val="19"/>
          <w:szCs w:val="19"/>
          <w:color w:val="000000"/>
        </w:rPr>
        <w:t xml:space="preserve"> </w:t>
      </w:r>
      <w:r>
        <w:rPr>
          <w:rFonts w:ascii="Arial" w:cs="Arial" w:eastAsia="Arial" w:hAnsi="Arial"/>
          <w:sz w:val="19"/>
          <w:szCs w:val="19"/>
          <w:color w:val="221E1F"/>
        </w:rPr>
        <w:t xml:space="preserve">converted into shares of Common Stock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w:t>
      </w:r>
      <w:r>
        <w:rPr>
          <w:rFonts w:ascii="Arial" w:cs="Arial" w:eastAsia="Arial" w:hAnsi="Arial"/>
          <w:sz w:val="19"/>
          <w:szCs w:val="19"/>
          <w:color w:val="000000"/>
        </w:rPr>
        <w:t>“Company” means Raytheon Technologies</w:t>
      </w:r>
      <w:r>
        <w:rPr>
          <w:rFonts w:ascii="Arial" w:cs="Arial" w:eastAsia="Arial" w:hAnsi="Arial"/>
          <w:sz w:val="19"/>
          <w:szCs w:val="19"/>
          <w:color w:val="221E1F"/>
        </w:rPr>
        <w:t xml:space="preserve"> </w:t>
      </w:r>
      <w:r>
        <w:rPr>
          <w:rFonts w:ascii="Arial" w:cs="Arial" w:eastAsia="Arial" w:hAnsi="Arial"/>
          <w:sz w:val="19"/>
          <w:szCs w:val="19"/>
          <w:color w:val="000000"/>
        </w:rPr>
        <w:t xml:space="preserve">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19"/>
          <w:szCs w:val="19"/>
          <w:color w:val="221E1F"/>
        </w:rPr>
        <w:t>the Human Capital &amp; Compensation Committee of the</w:t>
      </w:r>
      <w:r>
        <w:rPr>
          <w:rFonts w:ascii="Arial" w:cs="Arial" w:eastAsia="Arial" w:hAnsi="Arial"/>
          <w:sz w:val="19"/>
          <w:szCs w:val="19"/>
          <w:color w:val="000000"/>
        </w:rPr>
        <w:t xml:space="preserve"> </w:t>
      </w:r>
      <w:r>
        <w:rPr>
          <w:rFonts w:ascii="Arial" w:cs="Arial" w:eastAsia="Arial" w:hAnsi="Arial"/>
          <w:sz w:val="19"/>
          <w:szCs w:val="19"/>
          <w:color w:val="221E1F"/>
        </w:rPr>
        <w:t xml:space="preserve">Board. </w:t>
      </w:r>
      <w:r>
        <w:rPr>
          <w:rFonts w:ascii="Arial" w:cs="Arial" w:eastAsia="Arial" w:hAnsi="Arial"/>
          <w:sz w:val="19"/>
          <w:szCs w:val="19"/>
          <w:color w:val="000000"/>
        </w:rPr>
        <w:t>Capitalized terms not otherwise defined in this Schedule of Terms have the same meaning as defined in the LTIP.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color w:val="auto"/>
        </w:rPr>
        <w:t>The number of RSUs awarded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w:t>
      </w:r>
    </w:p>
    <w:p>
      <w:pPr>
        <w:spacing w:after="0" w:line="155"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and Slovenia.</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4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221E1F"/>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31" w:lineRule="exact"/>
        <w:rPr>
          <w:sz w:val="20"/>
          <w:szCs w:val="20"/>
          <w:color w:val="auto"/>
        </w:rPr>
      </w:pPr>
    </w:p>
    <w:p>
      <w:pPr>
        <w:ind w:right="820"/>
        <w:spacing w:after="0" w:line="300" w:lineRule="auto"/>
        <w:rPr>
          <w:sz w:val="20"/>
          <w:szCs w:val="20"/>
          <w:color w:val="auto"/>
        </w:rPr>
      </w:pPr>
      <w:r>
        <w:rPr>
          <w:rFonts w:ascii="Arial" w:cs="Arial" w:eastAsia="Arial" w:hAnsi="Arial"/>
          <w:sz w:val="20"/>
          <w:szCs w:val="20"/>
          <w:color w:val="221E1F"/>
        </w:rPr>
        <w:t>RSUs will vest in accordance with the schedule set forth in the Award Agreement, subject to the Participant’s continued employment with the Company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83" w:right="339" w:bottom="1440" w:gutter="0" w:footer="0" w:header="0"/>
        </w:sectPr>
      </w:pPr>
    </w:p>
    <w:bookmarkStart w:id="50" w:name="page51"/>
    <w:bookmarkEnd w:id="50"/>
    <w:p>
      <w:pPr>
        <w:ind w:right="620"/>
        <w:spacing w:after="0" w:line="276" w:lineRule="auto"/>
        <w:rPr>
          <w:sz w:val="20"/>
          <w:szCs w:val="20"/>
          <w:color w:val="auto"/>
        </w:rPr>
      </w:pPr>
      <w:r>
        <w:rPr>
          <w:rFonts w:ascii="Arial" w:cs="Arial" w:eastAsia="Arial" w:hAnsi="Arial"/>
          <w:sz w:val="20"/>
          <w:szCs w:val="20"/>
          <w:color w:val="221E1F"/>
        </w:rPr>
        <w:t>RSUs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179" w:lineRule="exact"/>
        <w:rPr>
          <w:sz w:val="20"/>
          <w:szCs w:val="20"/>
          <w:color w:val="auto"/>
        </w:rPr>
      </w:pPr>
    </w:p>
    <w:p>
      <w:pPr>
        <w:ind w:right="260"/>
        <w:spacing w:after="0" w:line="300"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31"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18"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31" w:lineRule="exact"/>
        <w:rPr>
          <w:sz w:val="20"/>
          <w:szCs w:val="20"/>
          <w:color w:val="auto"/>
        </w:rPr>
      </w:pPr>
    </w:p>
    <w:p>
      <w:pPr>
        <w:spacing w:after="0" w:line="262"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w:t>
      </w:r>
    </w:p>
    <w:p>
      <w:pPr>
        <w:spacing w:after="0" w:line="165"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38"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RSUs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convert into shares of Common Stock (or cash) to be delivered to the Participant as soon as administratively practicable thereafter. For this purpose, Retirement means either a Normal Retirement or Early Retirement as defined below:</w:t>
      </w:r>
    </w:p>
    <w:p>
      <w:pPr>
        <w:spacing w:after="0" w:line="193"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28" w:lineRule="exact"/>
        <w:rPr>
          <w:rFonts w:ascii="Times New Roman" w:cs="Times New Roman" w:eastAsia="Times New Roman" w:hAnsi="Times New Roman"/>
          <w:sz w:val="20"/>
          <w:szCs w:val="20"/>
          <w:color w:val="221E1F"/>
        </w:rPr>
      </w:pPr>
    </w:p>
    <w:p>
      <w:pPr>
        <w:ind w:left="700" w:hanging="368"/>
        <w:spacing w:after="0"/>
        <w:tabs>
          <w:tab w:leader="none" w:pos="700" w:val="left"/>
        </w:tabs>
        <w:numPr>
          <w:ilvl w:val="0"/>
          <w:numId w:val="11"/>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41" w:lineRule="exact"/>
        <w:rPr>
          <w:rFonts w:ascii="Times New Roman" w:cs="Times New Roman" w:eastAsia="Times New Roman" w:hAnsi="Times New Roman"/>
          <w:sz w:val="20"/>
          <w:szCs w:val="20"/>
          <w:color w:val="221E1F"/>
        </w:rPr>
      </w:pPr>
    </w:p>
    <w:p>
      <w:pPr>
        <w:ind w:left="1300" w:hanging="320"/>
        <w:spacing w:after="0"/>
        <w:tabs>
          <w:tab w:leader="none" w:pos="1300" w:val="left"/>
        </w:tabs>
        <w:numPr>
          <w:ilvl w:val="1"/>
          <w:numId w:val="11"/>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38" w:lineRule="exact"/>
        <w:rPr>
          <w:rFonts w:ascii="Courier New" w:cs="Courier New" w:eastAsia="Courier New" w:hAnsi="Courier New"/>
          <w:sz w:val="20"/>
          <w:szCs w:val="20"/>
          <w:color w:val="221E1F"/>
        </w:rPr>
      </w:pPr>
    </w:p>
    <w:p>
      <w:pPr>
        <w:ind w:left="1300" w:right="160" w:hanging="320"/>
        <w:spacing w:after="0" w:line="281" w:lineRule="auto"/>
        <w:tabs>
          <w:tab w:leader="none" w:pos="1300" w:val="left"/>
        </w:tabs>
        <w:numPr>
          <w:ilvl w:val="1"/>
          <w:numId w:val="11"/>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70"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UTC Savings Plan. The calculation to determine Early Retirement will include partial years, rounded down to the nearest full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98" w:right="339" w:bottom="1440" w:gutter="0" w:footer="0" w:header="0"/>
        </w:sectPr>
      </w:pPr>
    </w:p>
    <w:bookmarkStart w:id="51" w:name="page52"/>
    <w:bookmarkEnd w:id="51"/>
    <w:p>
      <w:pPr>
        <w:ind w:right="580"/>
        <w:spacing w:after="0" w:line="300"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2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 w:cs="Arial" w:eastAsia="Arial" w:hAnsi="Arial"/>
          <w:sz w:val="20"/>
          <w:szCs w:val="20"/>
          <w:color w:val="000000"/>
        </w:rPr>
        <w:t>as of the</w:t>
      </w:r>
      <w:r>
        <w:rPr>
          <w:rFonts w:ascii="Arial" w:cs="Arial" w:eastAsia="Arial" w:hAnsi="Arial"/>
          <w:sz w:val="20"/>
          <w:szCs w:val="20"/>
          <w:color w:val="221E1F"/>
        </w:rPr>
        <w:t xml:space="preserve"> Termination </w:t>
      </w:r>
      <w:r>
        <w:rPr>
          <w:rFonts w:ascii="Arial" w:cs="Arial" w:eastAsia="Arial" w:hAnsi="Arial"/>
          <w:sz w:val="20"/>
          <w:szCs w:val="20"/>
          <w:color w:val="000000"/>
        </w:rPr>
        <w:t>Date</w:t>
      </w:r>
      <w:r>
        <w:rPr>
          <w:rFonts w:ascii="Arial" w:cs="Arial" w:eastAsia="Arial" w:hAnsi="Arial"/>
          <w:sz w:val="20"/>
          <w:szCs w:val="20"/>
          <w:color w:val="221E1F"/>
        </w:rPr>
        <w:t>.</w:t>
      </w:r>
    </w:p>
    <w:p>
      <w:pPr>
        <w:spacing w:after="0" w:line="202"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167" w:lineRule="exact"/>
        <w:rPr>
          <w:sz w:val="20"/>
          <w:szCs w:val="20"/>
          <w:color w:val="auto"/>
        </w:rPr>
      </w:pPr>
    </w:p>
    <w:p>
      <w:pPr>
        <w:ind w:right="480"/>
        <w:spacing w:after="0" w:line="286" w:lineRule="auto"/>
        <w:rPr>
          <w:sz w:val="20"/>
          <w:szCs w:val="20"/>
          <w:color w:val="auto"/>
        </w:rPr>
      </w:pPr>
      <w:r>
        <w:rPr>
          <w:rFonts w:ascii="Arial" w:cs="Arial" w:eastAsia="Arial" w:hAnsi="Arial"/>
          <w:sz w:val="20"/>
          <w:szCs w:val="20"/>
          <w:color w:val="auto"/>
        </w:rPr>
        <w:t>Pro-rata vesting will occur for involuntary terminations resulting from workforce reductions, location closings, restructurings, layoffs</w:t>
      </w:r>
      <w:r>
        <w:rPr>
          <w:rFonts w:ascii="Arial" w:cs="Arial" w:eastAsia="Arial" w:hAnsi="Arial"/>
          <w:sz w:val="20"/>
          <w:szCs w:val="20"/>
          <w:color w:val="221E1F"/>
        </w:rPr>
        <w:t>,</w:t>
      </w:r>
      <w:r>
        <w:rPr>
          <w:rFonts w:ascii="Arial" w:cs="Arial" w:eastAsia="Arial" w:hAnsi="Arial"/>
          <w:sz w:val="20"/>
          <w:szCs w:val="20"/>
          <w:color w:val="auto"/>
        </w:rPr>
        <w:t xml:space="preserve"> or similar events, as determined by the Committee </w:t>
      </w:r>
      <w:r>
        <w:rPr>
          <w:rFonts w:ascii="Arial" w:cs="Arial" w:eastAsia="Arial" w:hAnsi="Arial"/>
          <w:sz w:val="20"/>
          <w:szCs w:val="20"/>
          <w:color w:val="221E1F"/>
        </w:rPr>
        <w:t>or its delegate</w:t>
      </w:r>
      <w:r>
        <w:rPr>
          <w:rFonts w:ascii="Arial" w:cs="Arial" w:eastAsia="Arial" w:hAnsi="Arial"/>
          <w:sz w:val="20"/>
          <w:szCs w:val="20"/>
          <w:color w:val="auto"/>
        </w:rPr>
        <w:t>.</w:t>
      </w:r>
    </w:p>
    <w:p>
      <w:pPr>
        <w:spacing w:after="0" w:line="154" w:lineRule="exact"/>
        <w:rPr>
          <w:sz w:val="20"/>
          <w:szCs w:val="20"/>
          <w:color w:val="auto"/>
        </w:rPr>
      </w:pPr>
    </w:p>
    <w:p>
      <w:pPr>
        <w:jc w:val="both"/>
        <w:ind w:right="680"/>
        <w:spacing w:after="0" w:line="262" w:lineRule="auto"/>
        <w:rPr>
          <w:sz w:val="20"/>
          <w:szCs w:val="20"/>
          <w:color w:val="auto"/>
        </w:rPr>
      </w:pPr>
      <w:r>
        <w:rPr>
          <w:rFonts w:ascii="Arial" w:cs="Arial" w:eastAsia="Arial" w:hAnsi="Arial"/>
          <w:sz w:val="20"/>
          <w:szCs w:val="20"/>
          <w:color w:val="auto"/>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20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RSUs.</w:t>
      </w:r>
    </w:p>
    <w:p>
      <w:pPr>
        <w:spacing w:after="0" w:line="150" w:lineRule="exact"/>
        <w:rPr>
          <w:sz w:val="20"/>
          <w:szCs w:val="20"/>
          <w:color w:val="auto"/>
        </w:rPr>
      </w:pPr>
    </w:p>
    <w:p>
      <w:pPr>
        <w:ind w:right="460"/>
        <w:spacing w:after="0" w:line="269"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RSUs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remains disabled under a Company sponsored long-term disability plan. </w:t>
      </w:r>
      <w:r>
        <w:rPr>
          <w:rFonts w:ascii="Arial" w:cs="Arial" w:eastAsia="Arial" w:hAnsi="Arial"/>
          <w:sz w:val="20"/>
          <w:szCs w:val="20"/>
          <w:color w:val="000000"/>
        </w:rPr>
        <w:t>Unvested RSUs will remain eligible to vest on the</w:t>
      </w:r>
      <w:r>
        <w:rPr>
          <w:rFonts w:ascii="Arial" w:cs="Arial" w:eastAsia="Arial" w:hAnsi="Arial"/>
          <w:sz w:val="20"/>
          <w:szCs w:val="20"/>
          <w:color w:val="221E1F"/>
        </w:rPr>
        <w:t xml:space="preserve"> </w:t>
      </w:r>
      <w:r>
        <w:rPr>
          <w:rFonts w:ascii="Arial" w:cs="Arial" w:eastAsia="Arial" w:hAnsi="Arial"/>
          <w:sz w:val="20"/>
          <w:szCs w:val="20"/>
          <w:color w:val="000000"/>
        </w:rPr>
        <w:t>earlier of (</w:t>
      </w:r>
      <w:r>
        <w:rPr>
          <w:rFonts w:ascii="Arial" w:cs="Arial" w:eastAsia="Arial" w:hAnsi="Arial"/>
          <w:sz w:val="20"/>
          <w:szCs w:val="20"/>
          <w:color w:val="221E1F"/>
        </w:rPr>
        <w:t>i</w:t>
      </w:r>
      <w:r>
        <w:rPr>
          <w:rFonts w:ascii="Arial" w:cs="Arial" w:eastAsia="Arial" w:hAnsi="Arial"/>
          <w:sz w:val="20"/>
          <w:szCs w:val="20"/>
          <w:color w:val="000000"/>
        </w:rPr>
        <w:t>) the vesting date specified in the Award Agreement; or (</w:t>
      </w:r>
      <w:r>
        <w:rPr>
          <w:rFonts w:ascii="Arial" w:cs="Arial" w:eastAsia="Arial" w:hAnsi="Arial"/>
          <w:sz w:val="20"/>
          <w:szCs w:val="20"/>
          <w:color w:val="221E1F"/>
        </w:rPr>
        <w:t>ii</w:t>
      </w:r>
      <w:r>
        <w:rPr>
          <w:rFonts w:ascii="Arial" w:cs="Arial" w:eastAsia="Arial" w:hAnsi="Arial"/>
          <w:sz w:val="20"/>
          <w:szCs w:val="20"/>
          <w:color w:val="000000"/>
        </w:rPr>
        <w:t>) 29 months following the date a Participant incurs a Disability.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RSUs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to shares of Common Stock to be delivered to the Participant’s estate, net of taxes (where applicable), as soon as administratively practicable.</w:t>
      </w:r>
    </w:p>
    <w:p>
      <w:pPr>
        <w:spacing w:after="0" w:line="162"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98"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practicable after the Termination Date, subject to the six-month delay noted below under “Specified Employees”, if applicable.</w:t>
      </w:r>
    </w:p>
    <w:p>
      <w:pPr>
        <w:spacing w:after="0" w:line="254"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b w:val="1"/>
          <w:bCs w:val="1"/>
          <w:color w:val="221E1F"/>
        </w:rPr>
        <w:t>Specified Employees</w:t>
      </w:r>
      <w:r>
        <w:rPr>
          <w:rFonts w:ascii="Arial" w:cs="Arial" w:eastAsia="Arial" w:hAnsi="Arial"/>
          <w:sz w:val="19"/>
          <w:szCs w:val="19"/>
          <w:color w:val="221E1F"/>
        </w:rPr>
        <w:t>. If a Participant is a “specified employee” within the meaning of Section 409A of the Code (i.e., generally</w:t>
      </w:r>
      <w:r>
        <w:rPr>
          <w:rFonts w:ascii="Arial" w:cs="Arial" w:eastAsia="Arial" w:hAnsi="Arial"/>
          <w:sz w:val="19"/>
          <w:szCs w:val="19"/>
          <w:b w:val="1"/>
          <w:bCs w:val="1"/>
          <w:color w:val="221E1F"/>
        </w:rPr>
        <w:t xml:space="preserve"> </w:t>
      </w:r>
      <w:r>
        <w:rPr>
          <w:rFonts w:ascii="Arial" w:cs="Arial" w:eastAsia="Arial" w:hAnsi="Arial"/>
          <w:sz w:val="19"/>
          <w:szCs w:val="19"/>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(dividend equivalent eligible) and will vest on the first day of the seventh month following the Termination Date. </w:t>
      </w:r>
      <w:r>
        <w:rPr>
          <w:rFonts w:ascii="Arial" w:cs="Arial" w:eastAsia="Arial" w:hAnsi="Arial"/>
          <w:sz w:val="19"/>
          <w:szCs w:val="19"/>
          <w:color w:val="000000"/>
        </w:rPr>
        <w:t>Upon vest, RSUs will convert into an equal number of shares of Common Stock (or cash) to be delivered to</w:t>
      </w:r>
      <w:r>
        <w:rPr>
          <w:rFonts w:ascii="Arial" w:cs="Arial" w:eastAsia="Arial" w:hAnsi="Arial"/>
          <w:sz w:val="19"/>
          <w:szCs w:val="19"/>
          <w:color w:val="221E1F"/>
        </w:rPr>
        <w:t xml:space="preserve"> </w:t>
      </w:r>
      <w:r>
        <w:rPr>
          <w:rFonts w:ascii="Arial" w:cs="Arial" w:eastAsia="Arial" w:hAnsi="Arial"/>
          <w:sz w:val="19"/>
          <w:szCs w:val="19"/>
          <w:color w:val="000000"/>
        </w:rPr>
        <w:t>the Participant as soon as administratively practicable. The value of the RSUs will be determined as of the vest 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221E1F"/>
        </w:rPr>
        <w:t xml:space="preserve">RSU Awards, including common stock delivered for vested RSUs, are subject to the Raytheon Technologies Corporation Clawback Policy, as amended from time to time, available on </w:t>
      </w:r>
      <w:r>
        <w:rPr>
          <w:rFonts w:ascii="Arial" w:cs="Arial" w:eastAsia="Arial" w:hAnsi="Arial"/>
          <w:sz w:val="20"/>
          <w:szCs w:val="20"/>
          <w:u w:val="single" w:color="auto"/>
          <w:color w:val="0000FF"/>
        </w:rPr>
        <w:t>www.rtx.com</w:t>
      </w:r>
      <w:r>
        <w:rPr>
          <w:rFonts w:ascii="Arial" w:cs="Arial" w:eastAsia="Arial" w:hAnsi="Arial"/>
          <w:sz w:val="20"/>
          <w:szCs w:val="20"/>
          <w:color w:val="221E1F"/>
        </w:rPr>
        <w:t>. RSUs will be immediately forfeited, and a Participant may be obligated to repay to the Company the value realized from previously vested RSUs upon the occurrence of any of the following events:</w:t>
      </w:r>
    </w:p>
    <w:p>
      <w:pPr>
        <w:spacing w:after="0" w:line="18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29" w:lineRule="exact"/>
        <w:rPr>
          <w:rFonts w:ascii="Arial" w:cs="Arial" w:eastAsia="Arial" w:hAnsi="Arial"/>
          <w:sz w:val="20"/>
          <w:szCs w:val="20"/>
          <w:color w:val="auto"/>
        </w:rPr>
      </w:pPr>
    </w:p>
    <w:p>
      <w:pPr>
        <w:ind w:left="500" w:right="140" w:hanging="168"/>
        <w:spacing w:after="0" w:line="300" w:lineRule="auto"/>
        <w:tabs>
          <w:tab w:leader="none" w:pos="652"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15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42" w:lineRule="exact"/>
        <w:rPr>
          <w:rFonts w:ascii="Arial" w:cs="Arial" w:eastAsia="Arial" w:hAnsi="Arial"/>
          <w:sz w:val="20"/>
          <w:szCs w:val="20"/>
          <w:color w:val="auto"/>
        </w:rPr>
      </w:pPr>
    </w:p>
    <w:p>
      <w:pPr>
        <w:ind w:left="820" w:right="140" w:hanging="326"/>
        <w:spacing w:after="0" w:line="286" w:lineRule="auto"/>
        <w:tabs>
          <w:tab w:leader="none" w:pos="814" w:val="left"/>
        </w:tabs>
        <w:numPr>
          <w:ilvl w:val="1"/>
          <w:numId w:val="12"/>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62" w:lineRule="exact"/>
        <w:rPr>
          <w:rFonts w:ascii="Arial" w:cs="Arial" w:eastAsia="Arial" w:hAnsi="Arial"/>
          <w:sz w:val="20"/>
          <w:szCs w:val="20"/>
          <w:color w:val="auto"/>
        </w:rPr>
      </w:pPr>
    </w:p>
    <w:p>
      <w:pPr>
        <w:ind w:left="820" w:right="380" w:hanging="326"/>
        <w:spacing w:after="0" w:line="293" w:lineRule="auto"/>
        <w:tabs>
          <w:tab w:leader="none" w:pos="814" w:val="left"/>
        </w:tabs>
        <w:numPr>
          <w:ilvl w:val="1"/>
          <w:numId w:val="12"/>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w:t>
      </w:r>
      <w:r>
        <w:rPr>
          <w:rFonts w:ascii="Arial" w:cs="Arial" w:eastAsia="Arial" w:hAnsi="Arial"/>
          <w:sz w:val="21"/>
          <w:szCs w:val="21"/>
          <w:color w:val="auto"/>
        </w:rPr>
        <w:t>,</w:t>
      </w:r>
      <w:r>
        <w:rPr>
          <w:rFonts w:ascii="Arial" w:cs="Arial" w:eastAsia="Arial" w:hAnsi="Arial"/>
          <w:sz w:val="20"/>
          <w:szCs w:val="20"/>
          <w:color w:val="auto"/>
        </w:rPr>
        <w:t xml:space="preserve"> or otherwise makes a public statement that is materially detrimental to the interests of the Company or such individuals; or</w:t>
      </w:r>
    </w:p>
    <w:p>
      <w:pPr>
        <w:spacing w:after="0" w:line="158" w:lineRule="exact"/>
        <w:rPr>
          <w:rFonts w:ascii="Arial" w:cs="Arial" w:eastAsia="Arial" w:hAnsi="Arial"/>
          <w:sz w:val="20"/>
          <w:szCs w:val="20"/>
          <w:color w:val="auto"/>
        </w:rPr>
      </w:pPr>
    </w:p>
    <w:p>
      <w:pPr>
        <w:ind w:left="500" w:hanging="168"/>
        <w:spacing w:after="0" w:line="266" w:lineRule="auto"/>
        <w:tabs>
          <w:tab w:leader="none" w:pos="65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85" w:right="339" w:bottom="1440" w:gutter="0" w:footer="0" w:header="0"/>
        </w:sectPr>
      </w:pPr>
    </w:p>
    <w:bookmarkStart w:id="53" w:name="page54"/>
    <w:bookmarkEnd w:id="53"/>
    <w:p>
      <w:pPr>
        <w:ind w:left="500" w:right="360" w:hanging="168"/>
        <w:spacing w:after="0" w:line="300" w:lineRule="auto"/>
        <w:tabs>
          <w:tab w:leader="none" w:pos="6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Negligent conduct injurious to the Company, including negligent supervision of a subordinate whose action requires a restatement of financial results, or other significant harm to the Company as determined by the Committee.</w:t>
      </w:r>
    </w:p>
    <w:p>
      <w:pPr>
        <w:spacing w:after="0" w:line="141"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color w:val="auto"/>
        </w:rPr>
        <w:t xml:space="preserve">The Participant agrees that the foregoing restrictions are reasonable and that the value of </w:t>
      </w:r>
      <w:r>
        <w:rPr>
          <w:rFonts w:ascii="Arial" w:cs="Arial" w:eastAsia="Arial" w:hAnsi="Arial"/>
          <w:sz w:val="20"/>
          <w:szCs w:val="20"/>
          <w:color w:val="221E1F"/>
        </w:rPr>
        <w:t>the</w:t>
      </w:r>
      <w:r>
        <w:rPr>
          <w:rFonts w:ascii="Arial" w:cs="Arial" w:eastAsia="Arial" w:hAnsi="Arial"/>
          <w:sz w:val="20"/>
          <w:szCs w:val="20"/>
          <w:color w:val="auto"/>
        </w:rPr>
        <w:t xml:space="preserve">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w:t>
      </w:r>
      <w:r>
        <w:rPr>
          <w:rFonts w:ascii="Arial" w:cs="Arial" w:eastAsia="Arial" w:hAnsi="Arial"/>
          <w:sz w:val="20"/>
          <w:szCs w:val="20"/>
          <w:color w:val="221E1F"/>
        </w:rPr>
        <w:t xml:space="preserve"> </w:t>
      </w:r>
      <w:r>
        <w:rPr>
          <w:rFonts w:ascii="Arial" w:cs="Arial" w:eastAsia="Arial" w:hAnsi="Arial"/>
          <w:sz w:val="20"/>
          <w:szCs w:val="20"/>
          <w:color w:val="000000"/>
        </w:rPr>
        <w:t xml:space="preserve">the obligation to repay gains realized from LTIP awards are set forth in Section 14(i) of the LTIP, available </w:t>
      </w:r>
      <w:r>
        <w:rPr>
          <w:rFonts w:ascii="Arial" w:cs="Arial" w:eastAsia="Arial" w:hAnsi="Arial"/>
          <w:sz w:val="20"/>
          <w:szCs w:val="20"/>
          <w:color w:val="221E1F"/>
        </w:rPr>
        <w:t>at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 the Raytheon Technologies Corporation Clawback Policy, available on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31" w:lineRule="exact"/>
        <w:rPr>
          <w:sz w:val="20"/>
          <w:szCs w:val="20"/>
          <w:color w:val="auto"/>
        </w:rPr>
      </w:pPr>
    </w:p>
    <w:p>
      <w:pPr>
        <w:jc w:val="both"/>
        <w:ind w:right="400"/>
        <w:spacing w:after="0" w:line="297"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w:t>
      </w:r>
    </w:p>
    <w:p>
      <w:pPr>
        <w:spacing w:after="0" w:line="161" w:lineRule="exact"/>
        <w:rPr>
          <w:sz w:val="20"/>
          <w:szCs w:val="20"/>
          <w:color w:val="auto"/>
        </w:rPr>
      </w:pPr>
    </w:p>
    <w:p>
      <w:pPr>
        <w:ind w:right="2400"/>
        <w:spacing w:after="0" w:line="300"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u w:val="single" w:color="auto"/>
          <w:color w:val="221E1F"/>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31"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color w:val="221E1F"/>
        </w:rPr>
        <w:t>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98"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221E1F"/>
        </w:rPr>
        <w:t>Taxes / Withholding</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RSUs, any payment or delivery of shares due to a Participant or from Participant’s regular compensation to effect compliance with all Tax-Related Items, including withholding and reporting with respect to the vesting of any RSU, or in advance of vesting, for retirement eligible Participants to comply with FICA tax requirements.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 grant and the</w:t>
      </w:r>
      <w:r>
        <w:rPr>
          <w:rFonts w:ascii="Arial" w:cs="Arial" w:eastAsia="Arial" w:hAnsi="Arial"/>
          <w:sz w:val="20"/>
          <w:szCs w:val="20"/>
          <w:color w:val="221E1F"/>
        </w:rPr>
        <w:t xml:space="preserve"> </w:t>
      </w:r>
      <w:r>
        <w:rPr>
          <w:rFonts w:ascii="Arial" w:cs="Arial" w:eastAsia="Arial" w:hAnsi="Arial"/>
          <w:sz w:val="20"/>
          <w:szCs w:val="20"/>
          <w:color w:val="211F1F"/>
        </w:rPr>
        <w:t xml:space="preserve">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to the vesting of the RSU Award, the Company shall satisfy the withholding obligation by deducting from the Participant’s regular compensation through payroll withholding; and (ii) with respect to any other Tax-Related Items, the Company shall satisfy the withholding obligation by withholding shares of Common Stock subject to the RSU Award having a Fair Market Value on the date of withholding equal to the amount required to be withheld for tax purposes (calculated using the minimum statutory withholding rate, except as otherwise approved by the Committee). Provided for both items (i) and (ii) above, the Committee retains the right to determine an alternative method of withholding for the Participant, at its sole discretion, provided in all cases, such determination shall be made by the Committee prior to the Tax-Related Items withholding event.</w:t>
      </w:r>
    </w:p>
    <w:p>
      <w:pPr>
        <w:spacing w:after="0" w:line="19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45"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RSU Award, whether voluntary or involuntary, by operation of law or otherwise, is permitted except by will or the laws of descent and distribution</w:t>
      </w:r>
      <w:r>
        <w:rPr>
          <w:rFonts w:ascii="Arial" w:cs="Arial" w:eastAsia="Arial" w:hAnsi="Arial"/>
          <w:sz w:val="20"/>
          <w:szCs w:val="20"/>
          <w:color w:val="000000"/>
        </w:rPr>
        <w:t>. Any other</w:t>
      </w:r>
      <w:r>
        <w:rPr>
          <w:rFonts w:ascii="Arial" w:cs="Arial" w:eastAsia="Arial" w:hAnsi="Arial"/>
          <w:sz w:val="20"/>
          <w:szCs w:val="20"/>
          <w:color w:val="221E1F"/>
        </w:rPr>
        <w:t xml:space="preserve"> attempt to assign such rights or interest shall be void and without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69"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221E1F"/>
        </w:rPr>
        <w:t>Nature of Payments</w:t>
      </w:r>
    </w:p>
    <w:p>
      <w:pPr>
        <w:spacing w:after="0" w:line="245" w:lineRule="exact"/>
        <w:rPr>
          <w:sz w:val="20"/>
          <w:szCs w:val="20"/>
          <w:color w:val="auto"/>
        </w:rPr>
      </w:pPr>
    </w:p>
    <w:p>
      <w:pPr>
        <w:jc w:val="both"/>
        <w:ind w:right="80"/>
        <w:spacing w:after="0" w:line="273"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31" w:lineRule="exact"/>
        <w:rPr>
          <w:sz w:val="20"/>
          <w:szCs w:val="20"/>
          <w:color w:val="auto"/>
        </w:rPr>
      </w:pPr>
    </w:p>
    <w:p>
      <w:pPr>
        <w:jc w:val="both"/>
        <w:ind w:right="100"/>
        <w:spacing w:after="0" w:line="283"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the Chief Human Resources Officer and the Corporate Vice President, Total Rewards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45"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45"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69"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221E1F"/>
        </w:rPr>
        <w:t>Interpretations</w:t>
      </w:r>
    </w:p>
    <w:p>
      <w:pPr>
        <w:spacing w:after="0" w:line="245"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 xml:space="preserve">This Schedule of Terms provides a summary of terms applicable to the RSU Award. </w:t>
      </w:r>
      <w:r>
        <w:rPr>
          <w:rFonts w:ascii="Arial" w:cs="Arial" w:eastAsia="Arial" w:hAnsi="Arial"/>
          <w:sz w:val="20"/>
          <w:szCs w:val="20"/>
          <w:color w:val="221E1F"/>
        </w:rPr>
        <w:t>This Schedule of Terms and each Award</w:t>
      </w:r>
      <w:r>
        <w:rPr>
          <w:rFonts w:ascii="Arial" w:cs="Arial" w:eastAsia="Arial" w:hAnsi="Arial"/>
          <w:sz w:val="20"/>
          <w:szCs w:val="20"/>
          <w:color w:val="auto"/>
        </w:rPr>
        <w:t xml:space="preserve"> </w:t>
      </w:r>
      <w:r>
        <w:rPr>
          <w:rFonts w:ascii="Arial" w:cs="Arial" w:eastAsia="Arial" w:hAnsi="Arial"/>
          <w:sz w:val="20"/>
          <w:szCs w:val="20"/>
          <w:color w:val="221E1F"/>
        </w:rPr>
        <w:t xml:space="preserve">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31" w:lineRule="exact"/>
        <w:rPr>
          <w:sz w:val="20"/>
          <w:szCs w:val="20"/>
          <w:color w:val="auto"/>
        </w:rPr>
      </w:pPr>
    </w:p>
    <w:p>
      <w:pPr>
        <w:ind w:right="60"/>
        <w:spacing w:after="0" w:line="300"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27"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69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Performance Share Unit Award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Performance Share Unit Award (the “PSU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on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04"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221E1F"/>
        </w:rPr>
        <w:t>Certain Definitions</w:t>
      </w:r>
    </w:p>
    <w:p>
      <w:pPr>
        <w:spacing w:after="0" w:line="2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Performance Share Unit (a “PSU”) represents the right to receive one share of Common Stock of Raytheon Technologies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Capitalized terms not otherwise defined in this Schedule of Terms have the same meaning as defined in the LTIP.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31"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auto"/>
        </w:rPr>
        <w:t>The number of PSUs awarded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spacing w:after="0" w:line="168"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Participants must acknowledge and accept the terms and conditions of this PSU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this PSU Award by signing and returning the designated hard copy portion of the Award Agreement to the Stock Plan Administrator. These countries currently include Russia, Turkey, Hungary, and Slovenia.</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04"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color w:val="221E1F"/>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 w:cs="Arial" w:eastAsia="Arial" w:hAnsi="Arial"/>
          <w:sz w:val="19"/>
          <w:szCs w:val="19"/>
          <w:b w:val="1"/>
          <w:bCs w:val="1"/>
          <w:color w:val="000000"/>
        </w:rPr>
        <w:t>Please</w:t>
      </w:r>
    </w:p>
    <w:p>
      <w:pPr>
        <w:spacing w:after="0" w:line="2" w:lineRule="exact"/>
        <w:rPr>
          <w:sz w:val="20"/>
          <w:szCs w:val="20"/>
          <w:color w:val="auto"/>
        </w:rPr>
      </w:pPr>
    </w:p>
    <w:p>
      <w:pPr>
        <w:ind w:right="1180"/>
        <w:spacing w:after="0" w:line="275" w:lineRule="auto"/>
        <w:rPr>
          <w:sz w:val="20"/>
          <w:szCs w:val="20"/>
          <w:color w:val="auto"/>
        </w:rPr>
      </w:pPr>
      <w:r>
        <w:rPr>
          <w:rFonts w:ascii="Arial" w:cs="Arial" w:eastAsia="Arial" w:hAnsi="Arial"/>
          <w:sz w:val="19"/>
          <w:szCs w:val="19"/>
          <w:b w:val="1"/>
          <w:bCs w:val="1"/>
          <w:color w:val="auto"/>
        </w:rPr>
        <w:t>refer to Appendix A for actual Performance Goals for the 2022-2024 performance cycle</w:t>
      </w:r>
      <w:r>
        <w:rPr>
          <w:rFonts w:ascii="Arial" w:cs="Arial" w:eastAsia="Arial" w:hAnsi="Arial"/>
          <w:sz w:val="19"/>
          <w:szCs w:val="19"/>
          <w:b w:val="1"/>
          <w:bCs w:val="1"/>
          <w:color w:val="221E1F"/>
        </w:rPr>
        <w:t>, including minimum</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221E1F"/>
        </w:rPr>
        <w:t>performance required for vesting, range of vesting and relative weighting for each Performance Goal.</w:t>
      </w:r>
    </w:p>
    <w:p>
      <w:pPr>
        <w:spacing w:after="0" w:line="143" w:lineRule="exact"/>
        <w:rPr>
          <w:sz w:val="20"/>
          <w:szCs w:val="20"/>
          <w:color w:val="auto"/>
        </w:rPr>
      </w:pPr>
    </w:p>
    <w:p>
      <w:pPr>
        <w:ind w:right="20"/>
        <w:spacing w:after="0"/>
        <w:rPr>
          <w:sz w:val="20"/>
          <w:szCs w:val="20"/>
          <w:color w:val="auto"/>
        </w:rPr>
      </w:pPr>
      <w:r>
        <w:rPr>
          <w:rFonts w:ascii="Arial" w:cs="Arial" w:eastAsia="Arial" w:hAnsi="Arial"/>
          <w:sz w:val="20"/>
          <w:szCs w:val="20"/>
          <w:color w:val="221E1F"/>
        </w:rPr>
        <w:t>2022 Performance Goals include: (i) diluted earnings per share (“EPS”); (ii) return on invested capital (“ROIC”); (iii) total shareowner return (“TSR”) relative to the companies within the S&amp;P 500 Index; and (iv) TSR relative to nine aerospace and defense companies (i.e., Honeywell, Boeing, General Electric, Lockheed Martin, Airbus, Northrop Grumman, General Dynamics, L3Harris and Safran) (the “A&amp;D peer companies”). For 2022, all Performance Goals will be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2" w:right="339" w:bottom="1440" w:gutter="0" w:footer="0" w:header="0"/>
        </w:sectPr>
      </w:pPr>
    </w:p>
    <w:bookmarkStart w:id="59" w:name="page60"/>
    <w:bookmarkEnd w:id="59"/>
    <w:p>
      <w:pPr>
        <w:ind w:right="60"/>
        <w:spacing w:after="0" w:line="257" w:lineRule="auto"/>
        <w:rPr>
          <w:sz w:val="20"/>
          <w:szCs w:val="20"/>
          <w:color w:val="auto"/>
        </w:rPr>
      </w:pPr>
      <w:r>
        <w:rPr>
          <w:rFonts w:ascii="Arial" w:cs="Arial" w:eastAsia="Arial" w:hAnsi="Arial"/>
          <w:sz w:val="20"/>
          <w:szCs w:val="20"/>
          <w:color w:val="221E1F"/>
        </w:rPr>
        <w:t xml:space="preserve">measured over </w:t>
      </w:r>
      <w:r>
        <w:rPr>
          <w:rFonts w:ascii="Arial" w:cs="Arial" w:eastAsia="Arial" w:hAnsi="Arial"/>
          <w:sz w:val="20"/>
          <w:szCs w:val="20"/>
          <w:color w:val="000000"/>
        </w:rPr>
        <w:t>a three-year performance period of the Award (as discussed below); however, PSU Awards will not vest until the</w:t>
      </w:r>
      <w:r>
        <w:rPr>
          <w:rFonts w:ascii="Arial" w:cs="Arial" w:eastAsia="Arial" w:hAnsi="Arial"/>
          <w:sz w:val="20"/>
          <w:szCs w:val="20"/>
          <w:color w:val="221E1F"/>
        </w:rPr>
        <w:t xml:space="preserve"> </w:t>
      </w:r>
      <w:r>
        <w:rPr>
          <w:rFonts w:ascii="Arial" w:cs="Arial" w:eastAsia="Arial" w:hAnsi="Arial"/>
          <w:sz w:val="20"/>
          <w:szCs w:val="20"/>
          <w:color w:val="000000"/>
        </w:rPr>
        <w:t>completion of the three-year performance period, following the Committee’s certification of performance results.</w:t>
      </w:r>
    </w:p>
    <w:p>
      <w:pPr>
        <w:spacing w:after="0" w:line="196"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The 2022 PSU Award will include a three-year compound annual growth rate EPS goal. EPS is net income from continuing operations divided by weighted average diluted shares outstanding, subject to adjustments for restructuring, non-recurring and other significant, defined non-operational items and acquisition/divestiture accounting. The Committee may adjust the EPS calculation (positively or negatively) to exclude the impact of certain items unrelated to operational performance. Such adjustment may be made when necessary to maintain the validity of the Performance Goal, as originally established.</w:t>
      </w:r>
    </w:p>
    <w:p>
      <w:pPr>
        <w:spacing w:after="0" w:line="173"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The 2022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relative ranking calculation.</w:t>
      </w:r>
    </w:p>
    <w:p>
      <w:pPr>
        <w:spacing w:after="0" w:line="17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The 2022 PSU Award will include a three-year ROIC goal measured on an average quarterly basis over the three-year performance period of the Award. ROIC is the ratio of net operating profit after tax (“NOPAT”) to Invested Capital (total debt less cash plus equity), subject to certain adjustments as detailed below. NOPAT excludes non-controlling interest, non-service pension, acquisitions and divestiture earnings, one-timers, restructuring, material one-time tax charges and the impact of foreign exchange fluctuations. Invested Capital excludes accumulated other comprehensive income, cash and equivalents, acquisition and divestiture borrowings, short-term borrowings and material one-time tax charges. ROIC is based on continuing operations and subject to adjustment for the impact of restructuring charges and other significant non-operational, and non-recurring items when necessary to maintain the validity of the Performance Goal, as originally established.</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221E1F"/>
        </w:rPr>
        <w:t>In the case that that value of the PSU award at vesting is greater than 400% of the value of the PSU award at grant, the performance results shall be reduced so that the value delivered to participants will be no greater than 400% of the grant value. The value of the PSU award at grant is equal to the number of PSUs at target level performance granted to a participant multiplied by the closing stock price of RTX on the grant date. The value of the PSU award at vest is equal to the product of: (i) the number of the PSUs at target level performance granted to a participant; (ii) the Performance Factor certified by the Committee; and (iii) the closing stock price of RTX on the vesting date.</w:t>
      </w:r>
    </w:p>
    <w:p>
      <w:pPr>
        <w:spacing w:after="0" w:line="176" w:lineRule="exact"/>
        <w:rPr>
          <w:sz w:val="20"/>
          <w:szCs w:val="20"/>
          <w:color w:val="auto"/>
        </w:rPr>
      </w:pPr>
    </w:p>
    <w:p>
      <w:pPr>
        <w:ind w:right="460"/>
        <w:spacing w:after="0" w:line="248" w:lineRule="auto"/>
        <w:rPr>
          <w:sz w:val="20"/>
          <w:szCs w:val="20"/>
          <w:color w:val="auto"/>
        </w:rPr>
      </w:pPr>
      <w:r>
        <w:rPr>
          <w:rFonts w:ascii="Arial" w:cs="Arial" w:eastAsia="Arial" w:hAnsi="Arial"/>
          <w:sz w:val="20"/>
          <w:szCs w:val="20"/>
          <w:color w:val="221E1F"/>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0" w:name="page61"/>
    <w:bookmarkEnd w:id="60"/>
    <w:p>
      <w:pPr>
        <w:ind w:right="280"/>
        <w:spacing w:after="0" w:line="257" w:lineRule="auto"/>
        <w:rPr>
          <w:sz w:val="20"/>
          <w:szCs w:val="20"/>
          <w:color w:val="auto"/>
        </w:rPr>
      </w:pPr>
      <w:r>
        <w:rPr>
          <w:rFonts w:ascii="Arial" w:cs="Arial" w:eastAsia="Arial" w:hAnsi="Arial"/>
          <w:sz w:val="20"/>
          <w:szCs w:val="20"/>
          <w:color w:val="auto"/>
        </w:rPr>
        <w:t>PSUs may also be forfeited and value realized from previously vested PSUs may be recouped by the Company under certain circumstances (see “Forfeiture of Award and Repayment of Realized Gains”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8"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221E1F"/>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PSUs</w:t>
      </w:r>
    </w:p>
    <w:p>
      <w:pPr>
        <w:spacing w:after="0" w:line="218"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221E1F"/>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be paid in cash if the Committee so determines, including where local law restricts the distribution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0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21E1F"/>
        </w:rPr>
        <w:t>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w:t>
      </w:r>
    </w:p>
    <w:p>
      <w:pPr>
        <w:spacing w:after="0" w:line="16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4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PSUs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a Normal Retirement or Early Retirement as defined below:</w:t>
      </w:r>
    </w:p>
    <w:p>
      <w:pPr>
        <w:spacing w:after="0" w:line="17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14" w:lineRule="exact"/>
        <w:rPr>
          <w:rFonts w:ascii="Times New Roman" w:cs="Times New Roman" w:eastAsia="Times New Roman" w:hAnsi="Times New Roman"/>
          <w:sz w:val="20"/>
          <w:szCs w:val="20"/>
          <w:color w:val="221E1F"/>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01" w:lineRule="exact"/>
        <w:rPr>
          <w:rFonts w:ascii="Times New Roman" w:cs="Times New Roman" w:eastAsia="Times New Roman" w:hAnsi="Times New Roman"/>
          <w:sz w:val="20"/>
          <w:szCs w:val="20"/>
          <w:color w:val="221E1F"/>
        </w:rPr>
      </w:pPr>
    </w:p>
    <w:p>
      <w:pPr>
        <w:ind w:left="1300" w:hanging="320"/>
        <w:spacing w:after="0"/>
        <w:tabs>
          <w:tab w:leader="none" w:pos="1300" w:val="left"/>
        </w:tabs>
        <w:numPr>
          <w:ilvl w:val="1"/>
          <w:numId w:val="14"/>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11" w:lineRule="exact"/>
        <w:rPr>
          <w:rFonts w:ascii="Courier New" w:cs="Courier New" w:eastAsia="Courier New" w:hAnsi="Courier New"/>
          <w:sz w:val="20"/>
          <w:szCs w:val="20"/>
          <w:color w:val="221E1F"/>
        </w:rPr>
      </w:pPr>
    </w:p>
    <w:p>
      <w:pPr>
        <w:ind w:left="1300" w:right="160" w:hanging="320"/>
        <w:spacing w:after="0" w:line="253" w:lineRule="auto"/>
        <w:tabs>
          <w:tab w:leader="none" w:pos="1300" w:val="left"/>
        </w:tabs>
        <w:numPr>
          <w:ilvl w:val="1"/>
          <w:numId w:val="14"/>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1" w:name="page62"/>
    <w:bookmarkEnd w:id="61"/>
    <w:p>
      <w:pPr>
        <w:ind w:right="220"/>
        <w:spacing w:after="0" w:line="284"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UTC Savings Plan. The calculation to determine Early Retirement will include partial years, rounded down to the nearest full month.</w:t>
      </w:r>
    </w:p>
    <w:p>
      <w:pPr>
        <w:spacing w:after="0" w:line="144"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 Participant will not receive Retirement treatment with respect to any Award in the event of involuntary termination by the Company for Cause.</w:t>
      </w:r>
    </w:p>
    <w:p>
      <w:pPr>
        <w:spacing w:after="0" w:line="167"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PSUs will be forfeited as of the Termination Date regardless of the Participant’s Retirement eligibility. In addition, value realized from previously vested PSUs is subject to repayment in the event of termination for Cause or certain other occurrences (see “Forfeiture of Award and Repayment of Realized Gains” below).</w:t>
      </w:r>
    </w:p>
    <w:p>
      <w:pPr>
        <w:spacing w:after="0" w:line="197"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If the Participant’s termination results from an involuntary termination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 w:cs="Arial" w:eastAsia="Arial" w:hAnsi="Arial"/>
          <w:sz w:val="20"/>
          <w:szCs w:val="20"/>
          <w:color w:val="221E1F"/>
        </w:rPr>
        <w:t>The pro-rata PSUs will</w:t>
      </w:r>
      <w:r>
        <w:rPr>
          <w:rFonts w:ascii="Arial" w:cs="Arial" w:eastAsia="Arial" w:hAnsi="Arial"/>
          <w:sz w:val="20"/>
          <w:szCs w:val="20"/>
          <w:color w:val="auto"/>
        </w:rPr>
        <w:t xml:space="preserve"> </w:t>
      </w:r>
      <w:r>
        <w:rPr>
          <w:rFonts w:ascii="Arial" w:cs="Arial" w:eastAsia="Arial" w:hAnsi="Arial"/>
          <w:sz w:val="20"/>
          <w:szCs w:val="20"/>
          <w:color w:val="221E1F"/>
        </w:rPr>
        <w:t xml:space="preserve">remain outstanding and eligible to vest on the originally scheduled vest date, following the Committee’s certification of performance results, per the terms of the Award. </w:t>
      </w:r>
      <w:r>
        <w:rPr>
          <w:rFonts w:ascii="Arial" w:cs="Arial" w:eastAsia="Arial" w:hAnsi="Arial"/>
          <w:sz w:val="20"/>
          <w:szCs w:val="20"/>
          <w:color w:val="000000"/>
        </w:rPr>
        <w:t>PSUs not deemed eligible to vest under this pro-rata vesting formula will be</w:t>
      </w:r>
      <w:r>
        <w:rPr>
          <w:rFonts w:ascii="Arial" w:cs="Arial" w:eastAsia="Arial" w:hAnsi="Arial"/>
          <w:sz w:val="20"/>
          <w:szCs w:val="20"/>
          <w:color w:val="221E1F"/>
        </w:rPr>
        <w:t xml:space="preserve"> </w:t>
      </w:r>
      <w:r>
        <w:rPr>
          <w:rFonts w:ascii="Arial" w:cs="Arial" w:eastAsia="Arial" w:hAnsi="Arial"/>
          <w:sz w:val="20"/>
          <w:szCs w:val="20"/>
          <w:color w:val="000000"/>
        </w:rPr>
        <w:t>forfeited as of the Termination Date.</w:t>
      </w:r>
    </w:p>
    <w:p>
      <w:pPr>
        <w:spacing w:after="0" w:line="218"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196" w:lineRule="exact"/>
        <w:rPr>
          <w:sz w:val="20"/>
          <w:szCs w:val="20"/>
          <w:color w:val="auto"/>
        </w:rPr>
      </w:pPr>
    </w:p>
    <w:p>
      <w:pPr>
        <w:ind w:right="980"/>
        <w:spacing w:after="0" w:line="257" w:lineRule="auto"/>
        <w:rPr>
          <w:sz w:val="20"/>
          <w:szCs w:val="20"/>
          <w:color w:val="auto"/>
        </w:rPr>
      </w:pPr>
      <w:r>
        <w:rPr>
          <w:rFonts w:ascii="Arial" w:cs="Arial" w:eastAsia="Arial" w:hAnsi="Arial"/>
          <w:sz w:val="20"/>
          <w:szCs w:val="20"/>
          <w:color w:val="221E1F"/>
        </w:rPr>
        <w:t xml:space="preserve">Pro-rata vesting eligibility will occur for involuntary terminations resulting from </w:t>
      </w:r>
      <w:r>
        <w:rPr>
          <w:rFonts w:ascii="Arial" w:cs="Arial" w:eastAsia="Arial" w:hAnsi="Arial"/>
          <w:sz w:val="20"/>
          <w:szCs w:val="20"/>
          <w:color w:val="000000"/>
        </w:rPr>
        <w:t>workforce reductions, location closings,</w:t>
      </w:r>
      <w:r>
        <w:rPr>
          <w:rFonts w:ascii="Arial" w:cs="Arial" w:eastAsia="Arial" w:hAnsi="Arial"/>
          <w:sz w:val="20"/>
          <w:szCs w:val="20"/>
          <w:color w:val="221E1F"/>
        </w:rPr>
        <w:t xml:space="preserve"> </w:t>
      </w:r>
      <w:r>
        <w:rPr>
          <w:rFonts w:ascii="Arial" w:cs="Arial" w:eastAsia="Arial" w:hAnsi="Arial"/>
          <w:sz w:val="20"/>
          <w:szCs w:val="20"/>
          <w:color w:val="000000"/>
        </w:rPr>
        <w:t>restructurings, layoffs, or similar events, as determined by the Committee or its delegate.</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PSUs.</w:t>
      </w:r>
    </w:p>
    <w:p>
      <w:pPr>
        <w:spacing w:after="0" w:line="165" w:lineRule="exact"/>
        <w:rPr>
          <w:sz w:val="20"/>
          <w:szCs w:val="20"/>
          <w:color w:val="auto"/>
        </w:rPr>
      </w:pPr>
    </w:p>
    <w:p>
      <w:pPr>
        <w:ind w:right="460"/>
        <w:spacing w:after="0" w:line="241"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PSUs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remains disabled under a Company-sponsored long-term disability plan. Unvested PSUs will remain eligible to vest on the earlier of (1) the vesting date specified in the Award Agreement; or (2) 29 months following the date a Participant incurs a Disability.</w:t>
      </w:r>
    </w:p>
    <w:p>
      <w:pPr>
        <w:spacing w:after="0" w:line="170"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PSUs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(at target performance) to shares of Common Stock to be delivered to the Participant’s estate, net of taxes (where applicable), as soon as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2" w:name="page63"/>
    <w:bookmarkEnd w:id="62"/>
    <w:p>
      <w:pPr>
        <w:ind w:right="580"/>
        <w:spacing w:after="0" w:line="237"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w:t>
      </w:r>
    </w:p>
    <w:p>
      <w:pPr>
        <w:spacing w:after="0" w:line="3"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level performance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spacing w:after="0" w:line="214"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221E1F"/>
        </w:rPr>
        <w:t xml:space="preserve">Specified Employees. </w:t>
      </w:r>
      <w:r>
        <w:rPr>
          <w:rFonts w:ascii="Arial" w:cs="Arial" w:eastAsia="Arial" w:hAnsi="Arial"/>
          <w:sz w:val="20"/>
          <w:szCs w:val="20"/>
          <w:color w:val="221E1F"/>
        </w:rPr>
        <w:t>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the Participant’s UBS account and will vest on the first day of the seventh month following the Participant’s Termination Date. Upon vest, PSUs will convert into an equal number of shares of Common Stock (or cash). The value of the PSUs will be determined as of the vest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20"/>
          <w:szCs w:val="20"/>
          <w:color w:val="221E1F"/>
        </w:rPr>
        <w:t xml:space="preserve">PSU Awards, including common stock delivered for vested PSUs,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PSUs will be immediately forfeited and a Participant may be obligated to repay to the Company the value realized from previously vested PSUs upon the occurrence of any of the following events:</w:t>
      </w:r>
    </w:p>
    <w:p>
      <w:pPr>
        <w:spacing w:after="0" w:line="187"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02" w:lineRule="exact"/>
        <w:rPr>
          <w:rFonts w:ascii="Arial" w:cs="Arial" w:eastAsia="Arial" w:hAnsi="Arial"/>
          <w:sz w:val="20"/>
          <w:szCs w:val="20"/>
          <w:color w:val="auto"/>
        </w:rPr>
      </w:pPr>
    </w:p>
    <w:p>
      <w:pPr>
        <w:ind w:left="660" w:right="180" w:hanging="328"/>
        <w:spacing w:after="0" w:line="271" w:lineRule="auto"/>
        <w:tabs>
          <w:tab w:leader="none" w:pos="65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Committee determines that Award vesting was based on incorrect performance measurement calculations. In such event, vesting (and recoupment, if applicable) will be adjusted consistent with the actual corrected results;</w:t>
      </w:r>
    </w:p>
    <w:p>
      <w:pPr>
        <w:spacing w:after="0" w:line="142" w:lineRule="exact"/>
        <w:rPr>
          <w:rFonts w:ascii="Arial" w:cs="Arial" w:eastAsia="Arial" w:hAnsi="Arial"/>
          <w:sz w:val="20"/>
          <w:szCs w:val="20"/>
          <w:color w:val="auto"/>
        </w:rPr>
      </w:pPr>
    </w:p>
    <w:p>
      <w:pPr>
        <w:ind w:left="660" w:right="140" w:hanging="328"/>
        <w:spacing w:after="0" w:line="271" w:lineRule="auto"/>
        <w:tabs>
          <w:tab w:leader="none" w:pos="653"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14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Within twenty-four months following a Participant’s Termination Date, the Participant:</w:t>
      </w:r>
    </w:p>
    <w:p>
      <w:pPr>
        <w:spacing w:after="0" w:line="215" w:lineRule="exact"/>
        <w:rPr>
          <w:rFonts w:ascii="Arial" w:cs="Arial" w:eastAsia="Arial" w:hAnsi="Arial"/>
          <w:sz w:val="20"/>
          <w:szCs w:val="20"/>
          <w:color w:val="auto"/>
        </w:rPr>
      </w:pPr>
    </w:p>
    <w:p>
      <w:pPr>
        <w:ind w:left="1300" w:right="700" w:hanging="482"/>
        <w:spacing w:after="0" w:line="257" w:lineRule="auto"/>
        <w:tabs>
          <w:tab w:leader="none" w:pos="1294" w:val="left"/>
        </w:tabs>
        <w:numPr>
          <w:ilvl w:val="1"/>
          <w:numId w:val="15"/>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2" w:right="339" w:bottom="1440" w:gutter="0" w:footer="0" w:header="0"/>
        </w:sectPr>
      </w:pPr>
    </w:p>
    <w:bookmarkStart w:id="63" w:name="page64"/>
    <w:bookmarkEnd w:id="63"/>
    <w:p>
      <w:pPr>
        <w:ind w:left="1300" w:right="100" w:hanging="482"/>
        <w:spacing w:after="0" w:line="257" w:lineRule="auto"/>
        <w:tabs>
          <w:tab w:leader="none" w:pos="1294" w:val="left"/>
        </w:tabs>
        <w:numPr>
          <w:ilvl w:val="1"/>
          <w:numId w:val="16"/>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168" w:lineRule="exact"/>
        <w:rPr>
          <w:rFonts w:ascii="Arial" w:cs="Arial" w:eastAsia="Arial" w:hAnsi="Arial"/>
          <w:sz w:val="20"/>
          <w:szCs w:val="20"/>
          <w:color w:val="auto"/>
        </w:rPr>
      </w:pPr>
    </w:p>
    <w:p>
      <w:pPr>
        <w:ind w:left="660" w:right="60" w:hanging="328"/>
        <w:spacing w:after="0" w:line="236" w:lineRule="auto"/>
        <w:tabs>
          <w:tab w:leader="none" w:pos="651" w:val="left"/>
        </w:tabs>
        <w:numPr>
          <w:ilvl w:val="0"/>
          <w:numId w:val="17"/>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a Participant’s Termination Date: (i) the Participant becomes employed by, consults for, or otherwise renders services to any business entity or person engaged in activities that compete with the Corporation or the business unit that employed the Participant; or (ii)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2" w:lineRule="exact"/>
        <w:rPr>
          <w:sz w:val="20"/>
          <w:szCs w:val="20"/>
          <w:color w:val="auto"/>
        </w:rPr>
      </w:pPr>
    </w:p>
    <w:p>
      <w:pPr>
        <w:ind w:left="660" w:right="360" w:hanging="323"/>
        <w:spacing w:after="0" w:line="271" w:lineRule="auto"/>
        <w:rPr>
          <w:sz w:val="20"/>
          <w:szCs w:val="20"/>
          <w:color w:val="auto"/>
        </w:rPr>
      </w:pPr>
      <w:r>
        <w:rPr>
          <w:rFonts w:ascii="Arial" w:cs="Arial" w:eastAsia="Arial" w:hAnsi="Arial"/>
          <w:sz w:val="20"/>
          <w:szCs w:val="20"/>
          <w:color w:val="auto"/>
        </w:rPr>
        <w:t>(vii)Negligent conduct injurious to the Company, including negligent supervision of a subordinate whose action requires a restatement of financial results, or other significant harm to the Company as determined by the Committee.</w:t>
      </w:r>
    </w:p>
    <w:p>
      <w:pPr>
        <w:spacing w:after="0" w:line="169"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color w:val="221E1F"/>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spacing w:after="0" w:line="192"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Raytheon Technologies Corporation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18" w:lineRule="exact"/>
        <w:rPr>
          <w:sz w:val="20"/>
          <w:szCs w:val="20"/>
          <w:color w:val="auto"/>
        </w:rPr>
      </w:pPr>
    </w:p>
    <w:p>
      <w:pPr>
        <w:jc w:val="both"/>
        <w:ind w:right="400"/>
        <w:spacing w:after="0" w:line="268"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spacing w:after="0" w:line="146" w:lineRule="exact"/>
        <w:rPr>
          <w:sz w:val="20"/>
          <w:szCs w:val="20"/>
          <w:color w:val="auto"/>
        </w:rPr>
      </w:pPr>
    </w:p>
    <w:p>
      <w:pPr>
        <w:ind w:right="2400"/>
        <w:spacing w:after="0" w:line="25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0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4" w:name="page65"/>
    <w:bookmarkEnd w:id="64"/>
    <w:p>
      <w:pPr>
        <w:ind w:right="440"/>
        <w:spacing w:after="0" w:line="257" w:lineRule="auto"/>
        <w:rPr>
          <w:sz w:val="20"/>
          <w:szCs w:val="20"/>
          <w:color w:val="auto"/>
        </w:rPr>
      </w:pPr>
      <w:r>
        <w:rPr>
          <w:rFonts w:ascii="Arial" w:cs="Arial" w:eastAsia="Arial" w:hAnsi="Arial"/>
          <w:sz w:val="20"/>
          <w:szCs w:val="20"/>
          <w:color w:val="221E1F"/>
        </w:rPr>
        <w:t xml:space="preserve">Performance Goals, as the Committee may deem appropriate. Further details concerning Change-in-Control are set forth in Section 10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31" w:lineRule="exact"/>
        <w:rPr>
          <w:sz w:val="20"/>
          <w:szCs w:val="20"/>
          <w:color w:val="auto"/>
        </w:rPr>
      </w:pPr>
    </w:p>
    <w:p>
      <w:pPr>
        <w:ind w:right="380"/>
        <w:spacing w:after="0" w:line="256" w:lineRule="auto"/>
        <w:rPr>
          <w:sz w:val="20"/>
          <w:szCs w:val="20"/>
          <w:color w:val="auto"/>
        </w:rPr>
      </w:pPr>
      <w:r>
        <w:rPr>
          <w:rFonts w:ascii="Arial" w:cs="Arial" w:eastAsia="Arial" w:hAnsi="Arial"/>
          <w:sz w:val="19"/>
          <w:szCs w:val="19"/>
          <w:color w:val="221E1F"/>
        </w:rPr>
        <w:t>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45" w:lineRule="exact"/>
        <w:rPr>
          <w:sz w:val="20"/>
          <w:szCs w:val="20"/>
          <w:color w:val="auto"/>
        </w:rPr>
      </w:pPr>
    </w:p>
    <w:p>
      <w:pPr>
        <w:spacing w:after="0" w:line="23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w:t>
      </w:r>
      <w:r>
        <w:rPr>
          <w:rFonts w:ascii="Arial" w:cs="Arial" w:eastAsia="Arial" w:hAnsi="Arial"/>
          <w:sz w:val="20"/>
          <w:szCs w:val="20"/>
          <w:color w:val="221E1F"/>
        </w:rPr>
        <w:t xml:space="preserve"> </w:t>
      </w:r>
      <w:r>
        <w:rPr>
          <w:rFonts w:ascii="Arial" w:cs="Arial" w:eastAsia="Arial" w:hAnsi="Arial"/>
          <w:sz w:val="20"/>
          <w:szCs w:val="20"/>
          <w:color w:val="211F1F"/>
        </w:rPr>
        <w:t xml:space="preserve">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 account of such</w:t>
      </w:r>
      <w:r>
        <w:rPr>
          <w:rFonts w:ascii="Arial" w:cs="Arial" w:eastAsia="Arial" w:hAnsi="Arial"/>
          <w:sz w:val="20"/>
          <w:szCs w:val="20"/>
          <w:color w:val="211F1F"/>
        </w:rPr>
        <w:t xml:space="preserve"> </w:t>
      </w:r>
      <w:r>
        <w:rPr>
          <w:rFonts w:ascii="Arial" w:cs="Arial" w:eastAsia="Arial" w:hAnsi="Arial"/>
          <w:sz w:val="20"/>
          <w:szCs w:val="20"/>
          <w:color w:val="221E1F"/>
        </w:rPr>
        <w:t>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spacing w:after="0" w:line="221"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the Company shall satisfy the withholding obligation by deducting from the Participant’s regular compensation through payroll withholding; and (ii) with respect to any other Tax-Related Items, the Company shall satisfy the withholding obligation by withholding shares of Common Stock subject to the PSU Award having a Fair Market Value on the date of withholding equal to the amount required to be withheld for tax purposes (calculated using the minimum statutory withholding rate, except as otherwise approved by the Committee). Provided for both items (i) and (ii) above, t</w:t>
      </w:r>
      <w:r>
        <w:rPr>
          <w:rFonts w:ascii="Arial" w:cs="Arial" w:eastAsia="Arial" w:hAnsi="Arial"/>
          <w:sz w:val="20"/>
          <w:szCs w:val="20"/>
          <w:color w:val="000000"/>
        </w:rPr>
        <w:t>he Committee retains the right to determine an alternative method of withholding for the Participant, at</w:t>
      </w:r>
      <w:r>
        <w:rPr>
          <w:rFonts w:ascii="Arial" w:cs="Arial" w:eastAsia="Arial" w:hAnsi="Arial"/>
          <w:sz w:val="20"/>
          <w:szCs w:val="20"/>
          <w:color w:val="221E1F"/>
        </w:rPr>
        <w:t xml:space="preserve"> </w:t>
      </w:r>
      <w:r>
        <w:rPr>
          <w:rFonts w:ascii="Arial" w:cs="Arial" w:eastAsia="Arial" w:hAnsi="Arial"/>
          <w:sz w:val="20"/>
          <w:szCs w:val="20"/>
          <w:color w:val="000000"/>
        </w:rPr>
        <w:t>its sole discretion, provided in all cases, such determination shall be made by the Committee prior to the Tax-Related Items withholding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5" w:name="page66"/>
    <w:bookmarkEnd w:id="65"/>
    <w:p>
      <w:pPr>
        <w:ind w:right="120"/>
        <w:spacing w:after="0" w:line="257"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Deferral of Gain (U.S. based executives)</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20"/>
          <w:szCs w:val="20"/>
          <w:color w:val="221E1F"/>
        </w:rPr>
        <w:t>A Participant who is qualified to participate in the Company’s LTIP Award Deferral Plan may irrevocably elect to 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(“DSUs”) that will convert into shares of Common Stock on the distribution date as specified in the deferral election and the LTIP Award Deferral Plan. DSUs will be credited with dividend equivalents, which will be deferred and invested in additional DSUs. Under U.S. income tax law, a Participant will generally not be taxed until the DSUs are converted to shares of Common Stock and distributed. DSUs will not be funded by the Company. In this regard, a Participant’s rights to DSUs are those of a general unsecured creditor of the Company. Details of the deferral of PSUs into DSUs will be provided with election materials. The opportunity to make such an election is subject to the discretion of the Committee and changes in Federal tax law. The Committee reserves the right to determine whether a deferral election will be offered to Participants with respect to an annual award of PSUs, and to discontinue offering PSU deferral elections at any time for any reason it deems appropriate in its sole discretion.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31"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31" w:lineRule="exact"/>
        <w:rPr>
          <w:sz w:val="20"/>
          <w:szCs w:val="20"/>
          <w:color w:val="auto"/>
        </w:rPr>
      </w:pPr>
    </w:p>
    <w:p>
      <w:pPr>
        <w:jc w:val="both"/>
        <w:ind w:right="40"/>
        <w:spacing w:after="0" w:line="269" w:lineRule="auto"/>
        <w:rPr>
          <w:sz w:val="20"/>
          <w:szCs w:val="20"/>
          <w:color w:val="auto"/>
        </w:rPr>
      </w:pPr>
      <w:r>
        <w:rPr>
          <w:rFonts w:ascii="Arial" w:cs="Arial" w:eastAsia="Arial" w:hAnsi="Arial"/>
          <w:sz w:val="20"/>
          <w:szCs w:val="20"/>
          <w:color w:val="211E1F"/>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3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6" w:name="page67"/>
    <w:bookmarkEnd w:id="66"/>
    <w:p>
      <w:pPr>
        <w:ind w:right="160"/>
        <w:spacing w:after="0" w:line="256" w:lineRule="auto"/>
        <w:rPr>
          <w:sz w:val="20"/>
          <w:szCs w:val="20"/>
          <w:color w:val="auto"/>
        </w:rPr>
      </w:pPr>
      <w:r>
        <w:rPr>
          <w:rFonts w:ascii="Arial" w:cs="Arial" w:eastAsia="Arial" w:hAnsi="Arial"/>
          <w:sz w:val="20"/>
          <w:szCs w:val="20"/>
          <w:color w:val="221E1F"/>
        </w:rPr>
        <w:t>administer Awards in a manner that is consistent with the terms of the LTIP. The Committee has, consistent with its charter and subject to certain limitations, delegated to the Chief Executive Officer, the Chief Human Resources Officer, the Corporate Vice President, Total Rewards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45"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 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45"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221E1F"/>
        </w:rPr>
        <w:t xml:space="preserve">This Schedule of Terms provides a summary of terms applicable to the PSU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45" w:lineRule="exact"/>
        <w:rPr>
          <w:sz w:val="20"/>
          <w:szCs w:val="20"/>
          <w:color w:val="auto"/>
        </w:rPr>
      </w:pPr>
    </w:p>
    <w:p>
      <w:pPr>
        <w:ind w:right="120"/>
        <w:spacing w:after="0" w:line="300"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14" w:right="339" w:bottom="1440" w:gutter="0" w:footer="0" w:header="0"/>
        </w:sectPr>
      </w:pPr>
    </w:p>
    <w:bookmarkStart w:id="67" w:name="page68"/>
    <w:bookmarkEnd w:id="67"/>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line="197" w:lineRule="auto"/>
        <w:rPr>
          <w:sz w:val="20"/>
          <w:szCs w:val="20"/>
          <w:color w:val="auto"/>
        </w:rPr>
      </w:pPr>
      <w:r>
        <w:rPr>
          <w:rFonts w:ascii="Arial" w:cs="Arial" w:eastAsia="Arial" w:hAnsi="Arial"/>
          <w:sz w:val="20"/>
          <w:szCs w:val="20"/>
          <w:color w:val="auto"/>
        </w:rPr>
        <w:t>Attn: Stock Plan Administrator</w:t>
      </w:r>
    </w:p>
    <w:p>
      <w:pPr>
        <w:ind w:left="660"/>
        <w:spacing w:after="0" w:line="211" w:lineRule="auto"/>
        <w:rPr>
          <w:sz w:val="20"/>
          <w:szCs w:val="20"/>
          <w:color w:val="auto"/>
        </w:rPr>
      </w:pPr>
      <w:r>
        <w:rPr>
          <w:rFonts w:ascii="Arial" w:cs="Arial" w:eastAsia="Arial" w:hAnsi="Arial"/>
          <w:sz w:val="20"/>
          <w:szCs w:val="20"/>
          <w:color w:val="auto"/>
        </w:rPr>
        <w:t>4 Farm Springs Road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Farmington, CT 06032</w:t>
      </w:r>
    </w:p>
    <w:p>
      <w:pPr>
        <w:spacing w:after="0" w:line="400"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40"/>
          </w:cols>
          <w:pgMar w:left="320" w:top="1440"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22"/>
          <w:szCs w:val="22"/>
          <w:b w:val="1"/>
          <w:bCs w:val="1"/>
          <w:color w:val="auto"/>
        </w:rPr>
        <w:t>Appendix A: 2022 PSU Performance Goals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illustrates the Performance Goals for the 2022-2024 performance cycle.</w:t>
      </w:r>
    </w:p>
    <w:p>
      <w:pPr>
        <w:spacing w:after="0" w:line="216" w:lineRule="exact"/>
        <w:rPr>
          <w:sz w:val="20"/>
          <w:szCs w:val="20"/>
          <w:color w:val="auto"/>
        </w:rPr>
      </w:pPr>
    </w:p>
    <w:p>
      <w:pPr>
        <w:ind w:right="200"/>
        <w:spacing w:after="0" w:line="224" w:lineRule="auto"/>
        <w:rPr>
          <w:sz w:val="20"/>
          <w:szCs w:val="20"/>
          <w:color w:val="auto"/>
        </w:rPr>
      </w:pPr>
      <w:r>
        <w:rPr>
          <w:rFonts w:ascii="Arial" w:cs="Arial" w:eastAsia="Arial" w:hAnsi="Arial"/>
          <w:sz w:val="19"/>
          <w:szCs w:val="19"/>
          <w:color w:val="auto"/>
        </w:rPr>
        <w:t>Threshold, target and maximum Performance Goals each have a corresponding payout percentage, and each metric is measured and funded independently. Performance below the threshold level will result in 0% payout, while performance above</w:t>
      </w:r>
    </w:p>
    <w:p>
      <w:pPr>
        <w:spacing w:after="0" w:line="2" w:lineRule="exact"/>
        <w:rPr>
          <w:sz w:val="20"/>
          <w:szCs w:val="20"/>
          <w:color w:val="auto"/>
        </w:rPr>
      </w:pPr>
    </w:p>
    <w:p>
      <w:pPr>
        <w:ind w:right="860"/>
        <w:spacing w:after="0" w:line="232" w:lineRule="auto"/>
        <w:rPr>
          <w:sz w:val="20"/>
          <w:szCs w:val="20"/>
          <w:color w:val="auto"/>
        </w:rPr>
      </w:pPr>
      <w:r>
        <w:rPr>
          <w:rFonts w:ascii="Arial" w:cs="Arial" w:eastAsia="Arial" w:hAnsi="Arial"/>
          <w:sz w:val="20"/>
          <w:szCs w:val="20"/>
          <w:color w:val="auto"/>
        </w:rPr>
        <w:t>the maximum level cannot exceed the maximum payout level. Performance that falls between the threshold, target and maximum levels will results in a payout that is interpolated between the applicable levels.</w:t>
      </w:r>
    </w:p>
    <w:p>
      <w:pPr>
        <w:spacing w:after="0" w:line="172"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The final Performance Factor will be based on the Company’s actual achievement against these Performance Goals at the conclusion of the award’s performance cycle and will equal the sum of the four payout percentages after weighting is applied.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80" w:type="dxa"/>
            <w:vAlign w:val="bottom"/>
            <w:tcBorders>
              <w:top w:val="single" w:sz="8" w:color="auto"/>
              <w:left w:val="single" w:sz="8" w:color="auto"/>
              <w:bottom w:val="single" w:sz="8" w:color="auto"/>
              <w:right w:val="single" w:sz="8" w:color="auto"/>
            </w:tcBorders>
            <w:vMerge w:val="restart"/>
            <w:shd w:val="clear" w:color="auto" w:fill="C00000"/>
          </w:tcPr>
          <w:p>
            <w:pPr>
              <w:ind w:left="140"/>
              <w:spacing w:after="0"/>
              <w:rPr>
                <w:sz w:val="20"/>
                <w:szCs w:val="20"/>
                <w:color w:val="auto"/>
              </w:rPr>
            </w:pPr>
            <w:r>
              <w:rPr>
                <w:rFonts w:ascii="Arial" w:cs="Arial" w:eastAsia="Arial" w:hAnsi="Arial"/>
                <w:sz w:val="16"/>
                <w:szCs w:val="16"/>
                <w:b w:val="1"/>
                <w:bCs w:val="1"/>
                <w:color w:val="FFFFFF"/>
              </w:rPr>
              <w:t>Metric</w:t>
            </w:r>
          </w:p>
        </w:tc>
        <w:tc>
          <w:tcPr>
            <w:tcW w:w="960" w:type="dxa"/>
            <w:vAlign w:val="bottom"/>
            <w:tcBorders>
              <w:top w:val="single" w:sz="8" w:color="auto"/>
              <w:bottom w:val="single" w:sz="8" w:color="auto"/>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Weight</w:t>
            </w:r>
          </w:p>
        </w:tc>
        <w:tc>
          <w:tcPr>
            <w:tcW w:w="340" w:type="dxa"/>
            <w:vAlign w:val="bottom"/>
            <w:tcBorders>
              <w:top w:val="single" w:sz="8" w:color="auto"/>
              <w:bottom w:val="single" w:sz="8" w:color="auto"/>
            </w:tcBorders>
            <w:shd w:val="clear" w:color="auto" w:fill="C00000"/>
          </w:tcPr>
          <w:p>
            <w:pPr>
              <w:spacing w:after="0"/>
              <w:rPr>
                <w:sz w:val="19"/>
                <w:szCs w:val="19"/>
                <w:color w:val="auto"/>
              </w:rPr>
            </w:pPr>
          </w:p>
        </w:tc>
        <w:tc>
          <w:tcPr>
            <w:tcW w:w="100" w:type="dxa"/>
            <w:vAlign w:val="bottom"/>
            <w:tcBorders>
              <w:top w:val="single" w:sz="8" w:color="auto"/>
              <w:bottom w:val="single" w:sz="8" w:color="auto"/>
            </w:tcBorders>
            <w:shd w:val="clear" w:color="auto" w:fill="C00000"/>
          </w:tcPr>
          <w:p>
            <w:pPr>
              <w:spacing w:after="0"/>
              <w:rPr>
                <w:sz w:val="19"/>
                <w:szCs w:val="19"/>
                <w:color w:val="auto"/>
              </w:rPr>
            </w:pPr>
          </w:p>
        </w:tc>
        <w:tc>
          <w:tcPr>
            <w:tcW w:w="800" w:type="dxa"/>
            <w:vAlign w:val="bottom"/>
            <w:tcBorders>
              <w:top w:val="single" w:sz="8" w:color="auto"/>
              <w:bottom w:val="single" w:sz="8" w:color="auto"/>
            </w:tcBorders>
            <w:shd w:val="clear" w:color="auto" w:fill="C00000"/>
          </w:tcPr>
          <w:p>
            <w:pPr>
              <w:spacing w:after="0"/>
              <w:rPr>
                <w:sz w:val="19"/>
                <w:szCs w:val="19"/>
                <w:color w:val="auto"/>
              </w:rPr>
            </w:pPr>
          </w:p>
        </w:tc>
        <w:tc>
          <w:tcPr>
            <w:tcW w:w="1620" w:type="dxa"/>
            <w:vAlign w:val="bottom"/>
            <w:tcBorders>
              <w:top w:val="single" w:sz="8" w:color="auto"/>
              <w:bottom w:val="single" w:sz="8" w:color="auto"/>
            </w:tcBorders>
            <w:gridSpan w:val="5"/>
            <w:shd w:val="clear" w:color="auto" w:fill="C00000"/>
          </w:tcPr>
          <w:p>
            <w:pPr>
              <w:jc w:val="center"/>
              <w:spacing w:after="0"/>
              <w:rPr>
                <w:sz w:val="20"/>
                <w:szCs w:val="20"/>
                <w:color w:val="auto"/>
              </w:rPr>
            </w:pPr>
            <w:r>
              <w:rPr>
                <w:rFonts w:ascii="Arial" w:cs="Arial" w:eastAsia="Arial" w:hAnsi="Arial"/>
                <w:sz w:val="16"/>
                <w:szCs w:val="16"/>
                <w:b w:val="1"/>
                <w:bCs w:val="1"/>
                <w:color w:val="FFFFFF"/>
              </w:rPr>
              <w:t>Performance Goals</w:t>
            </w:r>
          </w:p>
        </w:tc>
        <w:tc>
          <w:tcPr>
            <w:tcW w:w="260" w:type="dxa"/>
            <w:vAlign w:val="bottom"/>
            <w:tcBorders>
              <w:top w:val="single" w:sz="8" w:color="auto"/>
              <w:bottom w:val="single" w:sz="8" w:color="auto"/>
            </w:tcBorders>
            <w:shd w:val="clear" w:color="auto" w:fill="C00000"/>
          </w:tcPr>
          <w:p>
            <w:pPr>
              <w:spacing w:after="0"/>
              <w:rPr>
                <w:sz w:val="19"/>
                <w:szCs w:val="19"/>
                <w:color w:val="auto"/>
              </w:rPr>
            </w:pPr>
          </w:p>
        </w:tc>
        <w:tc>
          <w:tcPr>
            <w:tcW w:w="80" w:type="dxa"/>
            <w:vAlign w:val="bottom"/>
            <w:tcBorders>
              <w:top w:val="single" w:sz="8" w:color="auto"/>
              <w:bottom w:val="single" w:sz="8" w:color="auto"/>
            </w:tcBorders>
            <w:shd w:val="clear" w:color="auto" w:fill="C00000"/>
          </w:tcPr>
          <w:p>
            <w:pPr>
              <w:spacing w:after="0"/>
              <w:rPr>
                <w:sz w:val="19"/>
                <w:szCs w:val="19"/>
                <w:color w:val="auto"/>
              </w:rPr>
            </w:pPr>
          </w:p>
        </w:tc>
        <w:tc>
          <w:tcPr>
            <w:tcW w:w="940" w:type="dxa"/>
            <w:vAlign w:val="bottom"/>
            <w:tcBorders>
              <w:top w:val="single" w:sz="8" w:color="auto"/>
              <w:bottom w:val="single" w:sz="8" w:color="auto"/>
              <w:right w:val="single" w:sz="8" w:color="auto"/>
            </w:tcBorders>
            <w:shd w:val="clear" w:color="auto" w:fill="C00000"/>
          </w:tcPr>
          <w:p>
            <w:pPr>
              <w:spacing w:after="0"/>
              <w:rPr>
                <w:sz w:val="19"/>
                <w:szCs w:val="19"/>
                <w:color w:val="auto"/>
              </w:rPr>
            </w:pPr>
          </w:p>
        </w:tc>
        <w:tc>
          <w:tcPr>
            <w:tcW w:w="1100" w:type="dxa"/>
            <w:vAlign w:val="bottom"/>
            <w:tcBorders>
              <w:top w:val="single" w:sz="8" w:color="auto"/>
              <w:bottom w:val="single" w:sz="8" w:color="auto"/>
            </w:tcBorders>
            <w:shd w:val="clear" w:color="auto" w:fill="C00000"/>
          </w:tcPr>
          <w:p>
            <w:pPr>
              <w:spacing w:after="0"/>
              <w:rPr>
                <w:sz w:val="19"/>
                <w:szCs w:val="19"/>
                <w:color w:val="auto"/>
              </w:rPr>
            </w:pPr>
          </w:p>
        </w:tc>
        <w:tc>
          <w:tcPr>
            <w:tcW w:w="1960" w:type="dxa"/>
            <w:vAlign w:val="bottom"/>
            <w:tcBorders>
              <w:top w:val="single" w:sz="8" w:color="auto"/>
              <w:bottom w:val="single" w:sz="8" w:color="auto"/>
            </w:tcBorders>
            <w:gridSpan w:val="3"/>
            <w:shd w:val="clear" w:color="auto" w:fill="C00000"/>
          </w:tcPr>
          <w:p>
            <w:pPr>
              <w:jc w:val="center"/>
              <w:spacing w:after="0"/>
              <w:rPr>
                <w:sz w:val="20"/>
                <w:szCs w:val="20"/>
                <w:color w:val="auto"/>
              </w:rPr>
            </w:pPr>
            <w:r>
              <w:rPr>
                <w:rFonts w:ascii="Arial" w:cs="Arial" w:eastAsia="Arial" w:hAnsi="Arial"/>
                <w:sz w:val="16"/>
                <w:szCs w:val="16"/>
                <w:b w:val="1"/>
                <w:bCs w:val="1"/>
                <w:color w:val="FFFFFF"/>
              </w:rPr>
              <w:t>Payout (as a % of target)</w:t>
            </w:r>
          </w:p>
        </w:tc>
        <w:tc>
          <w:tcPr>
            <w:tcW w:w="1120" w:type="dxa"/>
            <w:vAlign w:val="bottom"/>
            <w:tcBorders>
              <w:top w:val="single" w:sz="8" w:color="auto"/>
              <w:bottom w:val="single" w:sz="8" w:color="auto"/>
              <w:right w:val="single" w:sz="8" w:color="auto"/>
            </w:tcBorders>
            <w:shd w:val="clear" w:color="auto" w:fill="C00000"/>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shd w:val="clear" w:color="auto" w:fill="C00000"/>
          </w:tcPr>
          <w:p>
            <w:pPr>
              <w:spacing w:after="0"/>
              <w:rPr>
                <w:sz w:val="8"/>
                <w:szCs w:val="8"/>
                <w:color w:val="auto"/>
              </w:rPr>
            </w:pPr>
          </w:p>
        </w:tc>
        <w:tc>
          <w:tcPr>
            <w:tcW w:w="960" w:type="dxa"/>
            <w:vAlign w:val="bottom"/>
            <w:tcBorders>
              <w:right w:val="single" w:sz="8" w:color="auto"/>
            </w:tcBorders>
            <w:vMerge w:val="continue"/>
            <w:shd w:val="clear" w:color="auto" w:fill="C00000"/>
          </w:tcPr>
          <w:p>
            <w:pPr>
              <w:spacing w:after="0"/>
              <w:rPr>
                <w:sz w:val="8"/>
                <w:szCs w:val="8"/>
                <w:color w:val="auto"/>
              </w:rPr>
            </w:pPr>
          </w:p>
        </w:tc>
        <w:tc>
          <w:tcPr>
            <w:tcW w:w="1240" w:type="dxa"/>
            <w:vAlign w:val="bottom"/>
            <w:gridSpan w:val="3"/>
            <w:vMerge w:val="restart"/>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rPr>
              <w:t>Threshold</w:t>
            </w:r>
          </w:p>
        </w:tc>
        <w:tc>
          <w:tcPr>
            <w:tcW w:w="120" w:type="dxa"/>
            <w:vAlign w:val="bottom"/>
            <w:tcBorders>
              <w:right w:val="single" w:sz="8" w:color="auto"/>
            </w:tcBorders>
            <w:shd w:val="clear" w:color="auto" w:fill="C00000"/>
          </w:tcPr>
          <w:p>
            <w:pPr>
              <w:spacing w:after="0"/>
              <w:rPr>
                <w:sz w:val="8"/>
                <w:szCs w:val="8"/>
                <w:color w:val="auto"/>
              </w:rPr>
            </w:pPr>
          </w:p>
        </w:tc>
        <w:tc>
          <w:tcPr>
            <w:tcW w:w="380" w:type="dxa"/>
            <w:vAlign w:val="bottom"/>
            <w:shd w:val="clear" w:color="auto" w:fill="C00000"/>
          </w:tcPr>
          <w:p>
            <w:pPr>
              <w:spacing w:after="0"/>
              <w:rPr>
                <w:sz w:val="8"/>
                <w:szCs w:val="8"/>
                <w:color w:val="auto"/>
              </w:rPr>
            </w:pPr>
          </w:p>
        </w:tc>
        <w:tc>
          <w:tcPr>
            <w:tcW w:w="1020" w:type="dxa"/>
            <w:vAlign w:val="bottom"/>
            <w:tcBorders>
              <w:right w:val="single" w:sz="8" w:color="auto"/>
            </w:tcBorders>
            <w:gridSpan w:val="2"/>
            <w:vMerge w:val="restart"/>
            <w:shd w:val="clear" w:color="auto" w:fill="C00000"/>
          </w:tcPr>
          <w:p>
            <w:pPr>
              <w:jc w:val="center"/>
              <w:ind w:right="319"/>
              <w:spacing w:after="0"/>
              <w:rPr>
                <w:sz w:val="20"/>
                <w:szCs w:val="20"/>
                <w:color w:val="auto"/>
              </w:rPr>
            </w:pPr>
            <w:r>
              <w:rPr>
                <w:rFonts w:ascii="Arial" w:cs="Arial" w:eastAsia="Arial" w:hAnsi="Arial"/>
                <w:sz w:val="16"/>
                <w:szCs w:val="16"/>
                <w:b w:val="1"/>
                <w:bCs w:val="1"/>
                <w:color w:val="FFFFFF"/>
              </w:rPr>
              <w:t>Target</w:t>
            </w:r>
          </w:p>
        </w:tc>
        <w:tc>
          <w:tcPr>
            <w:tcW w:w="100" w:type="dxa"/>
            <w:vAlign w:val="bottom"/>
            <w:shd w:val="clear" w:color="auto" w:fill="C00000"/>
          </w:tcPr>
          <w:p>
            <w:pPr>
              <w:spacing w:after="0"/>
              <w:rPr>
                <w:sz w:val="8"/>
                <w:szCs w:val="8"/>
                <w:color w:val="auto"/>
              </w:rPr>
            </w:pPr>
          </w:p>
        </w:tc>
        <w:tc>
          <w:tcPr>
            <w:tcW w:w="1280" w:type="dxa"/>
            <w:vAlign w:val="bottom"/>
            <w:tcBorders>
              <w:right w:val="single" w:sz="8" w:color="auto"/>
            </w:tcBorders>
            <w:gridSpan w:val="3"/>
            <w:vMerge w:val="restart"/>
            <w:shd w:val="clear" w:color="auto" w:fill="C00000"/>
          </w:tcPr>
          <w:p>
            <w:pPr>
              <w:ind w:left="200"/>
              <w:spacing w:after="0"/>
              <w:rPr>
                <w:sz w:val="20"/>
                <w:szCs w:val="20"/>
                <w:color w:val="auto"/>
              </w:rPr>
            </w:pPr>
            <w:r>
              <w:rPr>
                <w:rFonts w:ascii="Arial" w:cs="Arial" w:eastAsia="Arial" w:hAnsi="Arial"/>
                <w:sz w:val="16"/>
                <w:szCs w:val="16"/>
                <w:b w:val="1"/>
                <w:bCs w:val="1"/>
                <w:color w:val="FFFFFF"/>
              </w:rPr>
              <w:t>Maximum</w:t>
            </w:r>
          </w:p>
        </w:tc>
        <w:tc>
          <w:tcPr>
            <w:tcW w:w="1100" w:type="dxa"/>
            <w:vAlign w:val="bottom"/>
            <w:vMerge w:val="restart"/>
            <w:shd w:val="clear" w:color="auto" w:fill="C00000"/>
          </w:tcPr>
          <w:p>
            <w:pPr>
              <w:jc w:val="center"/>
              <w:ind w:left="199"/>
              <w:spacing w:after="0"/>
              <w:rPr>
                <w:sz w:val="20"/>
                <w:szCs w:val="20"/>
                <w:color w:val="auto"/>
              </w:rPr>
            </w:pPr>
            <w:r>
              <w:rPr>
                <w:rFonts w:ascii="Arial" w:cs="Arial" w:eastAsia="Arial" w:hAnsi="Arial"/>
                <w:sz w:val="16"/>
                <w:szCs w:val="16"/>
                <w:b w:val="1"/>
                <w:bCs w:val="1"/>
                <w:color w:val="FFFFFF"/>
              </w:rPr>
              <w:t>Threshold</w:t>
            </w:r>
          </w:p>
        </w:tc>
        <w:tc>
          <w:tcPr>
            <w:tcW w:w="300" w:type="dxa"/>
            <w:vAlign w:val="bottom"/>
            <w:tcBorders>
              <w:right w:val="single" w:sz="8" w:color="auto"/>
            </w:tcBorders>
            <w:shd w:val="clear" w:color="auto" w:fill="C00000"/>
          </w:tcPr>
          <w:p>
            <w:pPr>
              <w:spacing w:after="0"/>
              <w:rPr>
                <w:sz w:val="8"/>
                <w:szCs w:val="8"/>
                <w:color w:val="auto"/>
              </w:rPr>
            </w:pPr>
          </w:p>
        </w:tc>
        <w:tc>
          <w:tcPr>
            <w:tcW w:w="1380" w:type="dxa"/>
            <w:vAlign w:val="bottom"/>
            <w:tcBorders>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280" w:type="dxa"/>
            <w:vAlign w:val="bottom"/>
            <w:shd w:val="clear" w:color="auto" w:fill="C00000"/>
          </w:tcPr>
          <w:p>
            <w:pPr>
              <w:spacing w:after="0"/>
              <w:rPr>
                <w:sz w:val="8"/>
                <w:szCs w:val="8"/>
                <w:color w:val="auto"/>
              </w:rPr>
            </w:pPr>
          </w:p>
        </w:tc>
        <w:tc>
          <w:tcPr>
            <w:tcW w:w="1120" w:type="dxa"/>
            <w:vAlign w:val="bottom"/>
            <w:tcBorders>
              <w:right w:val="single" w:sz="8" w:color="auto"/>
            </w:tcBorders>
            <w:vMerge w:val="restart"/>
            <w:shd w:val="clear" w:color="auto" w:fill="C00000"/>
          </w:tcPr>
          <w:p>
            <w:pPr>
              <w:jc w:val="center"/>
              <w:ind w:right="219"/>
              <w:spacing w:after="0"/>
              <w:rPr>
                <w:sz w:val="20"/>
                <w:szCs w:val="20"/>
                <w:color w:val="auto"/>
              </w:rPr>
            </w:pPr>
            <w:r>
              <w:rPr>
                <w:rFonts w:ascii="Arial" w:cs="Arial" w:eastAsia="Arial" w:hAnsi="Arial"/>
                <w:sz w:val="16"/>
                <w:szCs w:val="16"/>
                <w:b w:val="1"/>
                <w:bCs w:val="1"/>
                <w:color w:val="FFFFFF"/>
              </w:rPr>
              <w:t>Maximum</w:t>
            </w:r>
          </w:p>
        </w:tc>
        <w:tc>
          <w:tcPr>
            <w:tcW w:w="0" w:type="dxa"/>
            <w:vAlign w:val="bottom"/>
          </w:tcPr>
          <w:p>
            <w:pPr>
              <w:spacing w:after="0"/>
              <w:rPr>
                <w:sz w:val="1"/>
                <w:szCs w:val="1"/>
                <w:color w:val="auto"/>
              </w:rPr>
            </w:pPr>
          </w:p>
        </w:tc>
      </w:tr>
      <w:tr>
        <w:trPr>
          <w:trHeight w:val="116"/>
        </w:trPr>
        <w:tc>
          <w:tcPr>
            <w:tcW w:w="1980" w:type="dxa"/>
            <w:vAlign w:val="bottom"/>
            <w:tcBorders>
              <w:left w:val="single" w:sz="8" w:color="auto"/>
              <w:bottom w:val="single" w:sz="8" w:color="auto"/>
              <w:right w:val="single" w:sz="8" w:color="auto"/>
            </w:tcBorders>
            <w:shd w:val="clear" w:color="auto" w:fill="C00000"/>
          </w:tcPr>
          <w:p>
            <w:pPr>
              <w:spacing w:after="0"/>
              <w:rPr>
                <w:sz w:val="10"/>
                <w:szCs w:val="10"/>
                <w:color w:val="auto"/>
              </w:rPr>
            </w:pPr>
          </w:p>
        </w:tc>
        <w:tc>
          <w:tcPr>
            <w:tcW w:w="960" w:type="dxa"/>
            <w:vAlign w:val="bottom"/>
            <w:tcBorders>
              <w:bottom w:val="single" w:sz="8" w:color="auto"/>
              <w:right w:val="single" w:sz="8" w:color="auto"/>
            </w:tcBorders>
            <w:shd w:val="clear" w:color="auto" w:fill="C00000"/>
          </w:tcPr>
          <w:p>
            <w:pPr>
              <w:spacing w:after="0"/>
              <w:rPr>
                <w:sz w:val="10"/>
                <w:szCs w:val="10"/>
                <w:color w:val="auto"/>
              </w:rPr>
            </w:pPr>
          </w:p>
        </w:tc>
        <w:tc>
          <w:tcPr>
            <w:tcW w:w="1240" w:type="dxa"/>
            <w:vAlign w:val="bottom"/>
            <w:tcBorders>
              <w:bottom w:val="single" w:sz="8" w:color="auto"/>
            </w:tcBorders>
            <w:gridSpan w:val="3"/>
            <w:vMerge w:val="continue"/>
            <w:shd w:val="clear" w:color="auto" w:fill="C00000"/>
          </w:tcPr>
          <w:p>
            <w:pPr>
              <w:spacing w:after="0"/>
              <w:rPr>
                <w:sz w:val="10"/>
                <w:szCs w:val="10"/>
                <w:color w:val="auto"/>
              </w:rPr>
            </w:pPr>
          </w:p>
        </w:tc>
        <w:tc>
          <w:tcPr>
            <w:tcW w:w="120" w:type="dxa"/>
            <w:vAlign w:val="bottom"/>
            <w:tcBorders>
              <w:bottom w:val="single" w:sz="8" w:color="auto"/>
              <w:right w:val="single" w:sz="8" w:color="auto"/>
            </w:tcBorders>
            <w:shd w:val="clear" w:color="auto" w:fill="C00000"/>
          </w:tcPr>
          <w:p>
            <w:pPr>
              <w:spacing w:after="0"/>
              <w:rPr>
                <w:sz w:val="10"/>
                <w:szCs w:val="10"/>
                <w:color w:val="auto"/>
              </w:rPr>
            </w:pPr>
          </w:p>
        </w:tc>
        <w:tc>
          <w:tcPr>
            <w:tcW w:w="380" w:type="dxa"/>
            <w:vAlign w:val="bottom"/>
            <w:tcBorders>
              <w:bottom w:val="single" w:sz="8" w:color="auto"/>
            </w:tcBorders>
            <w:shd w:val="clear" w:color="auto" w:fill="C00000"/>
          </w:tcPr>
          <w:p>
            <w:pPr>
              <w:spacing w:after="0"/>
              <w:rPr>
                <w:sz w:val="10"/>
                <w:szCs w:val="10"/>
                <w:color w:val="auto"/>
              </w:rPr>
            </w:pPr>
          </w:p>
        </w:tc>
        <w:tc>
          <w:tcPr>
            <w:tcW w:w="1020" w:type="dxa"/>
            <w:vAlign w:val="bottom"/>
            <w:tcBorders>
              <w:bottom w:val="single" w:sz="8" w:color="auto"/>
              <w:right w:val="single" w:sz="8" w:color="auto"/>
            </w:tcBorders>
            <w:gridSpan w:val="2"/>
            <w:vMerge w:val="continue"/>
            <w:shd w:val="clear" w:color="auto" w:fill="C00000"/>
          </w:tcPr>
          <w:p>
            <w:pPr>
              <w:spacing w:after="0"/>
              <w:rPr>
                <w:sz w:val="10"/>
                <w:szCs w:val="10"/>
                <w:color w:val="auto"/>
              </w:rPr>
            </w:pPr>
          </w:p>
        </w:tc>
        <w:tc>
          <w:tcPr>
            <w:tcW w:w="100" w:type="dxa"/>
            <w:vAlign w:val="bottom"/>
            <w:tcBorders>
              <w:bottom w:val="single" w:sz="8" w:color="auto"/>
            </w:tcBorders>
            <w:shd w:val="clear" w:color="auto" w:fill="C00000"/>
          </w:tcPr>
          <w:p>
            <w:pPr>
              <w:spacing w:after="0"/>
              <w:rPr>
                <w:sz w:val="10"/>
                <w:szCs w:val="10"/>
                <w:color w:val="auto"/>
              </w:rPr>
            </w:pPr>
          </w:p>
        </w:tc>
        <w:tc>
          <w:tcPr>
            <w:tcW w:w="1280" w:type="dxa"/>
            <w:vAlign w:val="bottom"/>
            <w:tcBorders>
              <w:bottom w:val="single" w:sz="8" w:color="auto"/>
              <w:right w:val="single" w:sz="8" w:color="auto"/>
            </w:tcBorders>
            <w:gridSpan w:val="3"/>
            <w:vMerge w:val="continue"/>
            <w:shd w:val="clear" w:color="auto" w:fill="C00000"/>
          </w:tcPr>
          <w:p>
            <w:pPr>
              <w:spacing w:after="0"/>
              <w:rPr>
                <w:sz w:val="10"/>
                <w:szCs w:val="10"/>
                <w:color w:val="auto"/>
              </w:rPr>
            </w:pPr>
          </w:p>
        </w:tc>
        <w:tc>
          <w:tcPr>
            <w:tcW w:w="1100" w:type="dxa"/>
            <w:vAlign w:val="bottom"/>
            <w:tcBorders>
              <w:bottom w:val="single" w:sz="8" w:color="auto"/>
            </w:tcBorders>
            <w:vMerge w:val="continue"/>
            <w:shd w:val="clear" w:color="auto" w:fill="C00000"/>
          </w:tcPr>
          <w:p>
            <w:pPr>
              <w:spacing w:after="0"/>
              <w:rPr>
                <w:sz w:val="10"/>
                <w:szCs w:val="10"/>
                <w:color w:val="auto"/>
              </w:rPr>
            </w:pPr>
          </w:p>
        </w:tc>
        <w:tc>
          <w:tcPr>
            <w:tcW w:w="300" w:type="dxa"/>
            <w:vAlign w:val="bottom"/>
            <w:tcBorders>
              <w:bottom w:val="single" w:sz="8" w:color="auto"/>
              <w:right w:val="single" w:sz="8" w:color="auto"/>
            </w:tcBorders>
            <w:shd w:val="clear" w:color="auto" w:fill="C00000"/>
          </w:tcPr>
          <w:p>
            <w:pPr>
              <w:spacing w:after="0"/>
              <w:rPr>
                <w:sz w:val="10"/>
                <w:szCs w:val="10"/>
                <w:color w:val="auto"/>
              </w:rPr>
            </w:pPr>
          </w:p>
        </w:tc>
        <w:tc>
          <w:tcPr>
            <w:tcW w:w="1380" w:type="dxa"/>
            <w:vAlign w:val="bottom"/>
            <w:tcBorders>
              <w:bottom w:val="single" w:sz="8" w:color="auto"/>
              <w:right w:val="single" w:sz="8" w:color="auto"/>
            </w:tcBorders>
            <w:vMerge w:val="continue"/>
            <w:shd w:val="clear" w:color="auto" w:fill="C00000"/>
          </w:tcPr>
          <w:p>
            <w:pPr>
              <w:spacing w:after="0"/>
              <w:rPr>
                <w:sz w:val="10"/>
                <w:szCs w:val="10"/>
                <w:color w:val="auto"/>
              </w:rPr>
            </w:pPr>
          </w:p>
        </w:tc>
        <w:tc>
          <w:tcPr>
            <w:tcW w:w="280" w:type="dxa"/>
            <w:vAlign w:val="bottom"/>
            <w:tcBorders>
              <w:bottom w:val="single" w:sz="8" w:color="auto"/>
            </w:tcBorders>
            <w:shd w:val="clear" w:color="auto" w:fill="C00000"/>
          </w:tcPr>
          <w:p>
            <w:pPr>
              <w:spacing w:after="0"/>
              <w:rPr>
                <w:sz w:val="10"/>
                <w:szCs w:val="10"/>
                <w:color w:val="auto"/>
              </w:rPr>
            </w:pPr>
          </w:p>
        </w:tc>
        <w:tc>
          <w:tcPr>
            <w:tcW w:w="1120" w:type="dxa"/>
            <w:vAlign w:val="bottom"/>
            <w:tcBorders>
              <w:bottom w:val="single" w:sz="8" w:color="auto"/>
              <w:right w:val="single" w:sz="8" w:color="auto"/>
            </w:tcBorders>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w w:val="96"/>
              </w:rPr>
              <w:t>14.1%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w w:val="96"/>
              </w:rPr>
              <w:t>17.9%</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7.8%</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TSR vs. S&amp;P 500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15%</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r>
              <w:rPr>
                <w:rFonts w:ascii="Arial" w:cs="Arial" w:eastAsia="Arial" w:hAnsi="Arial"/>
                <w:sz w:val="11"/>
                <w:szCs w:val="11"/>
                <w:color w:val="auto"/>
                <w:w w:val="86"/>
              </w:rPr>
              <w:t>th</w:t>
            </w:r>
          </w:p>
        </w:tc>
        <w:tc>
          <w:tcPr>
            <w:tcW w:w="800" w:type="dxa"/>
            <w:vAlign w:val="bottom"/>
            <w:vMerge w:val="restart"/>
          </w:tcPr>
          <w:p>
            <w:pPr>
              <w:ind w:left="20"/>
              <w:spacing w:after="0"/>
              <w:rPr>
                <w:sz w:val="20"/>
                <w:szCs w:val="20"/>
                <w:color w:val="auto"/>
              </w:rPr>
            </w:pPr>
            <w:r>
              <w:rPr>
                <w:rFonts w:ascii="Arial" w:cs="Arial" w:eastAsia="Arial" w:hAnsi="Arial"/>
                <w:sz w:val="16"/>
                <w:szCs w:val="16"/>
                <w:color w:val="auto"/>
              </w:rPr>
              <w:t>percentile</w:t>
            </w:r>
          </w:p>
        </w:tc>
        <w:tc>
          <w:tcPr>
            <w:tcW w:w="120" w:type="dxa"/>
            <w:vAlign w:val="bottom"/>
            <w:tcBorders>
              <w:right w:val="single" w:sz="8" w:color="auto"/>
            </w:tcBorders>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0"/>
                <w:szCs w:val="20"/>
                <w:color w:val="auto"/>
              </w:rPr>
            </w:pPr>
            <w:r>
              <w:rPr>
                <w:rFonts w:ascii="Arial" w:cs="Arial" w:eastAsia="Arial" w:hAnsi="Arial"/>
                <w:sz w:val="9"/>
                <w:szCs w:val="9"/>
                <w:color w:val="auto"/>
                <w:w w:val="79"/>
              </w:rPr>
              <w:t>th</w:t>
            </w:r>
          </w:p>
        </w:tc>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percentile</w:t>
            </w:r>
          </w:p>
        </w:tc>
        <w:tc>
          <w:tcPr>
            <w:tcW w:w="10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6"/>
                <w:szCs w:val="16"/>
                <w:color w:val="auto"/>
                <w:w w:val="89"/>
              </w:rPr>
              <w:t>75</w:t>
            </w:r>
          </w:p>
        </w:tc>
        <w:tc>
          <w:tcPr>
            <w:tcW w:w="80" w:type="dxa"/>
            <w:vAlign w:val="bottom"/>
          </w:tcPr>
          <w:p>
            <w:pPr>
              <w:spacing w:after="0"/>
              <w:rPr>
                <w:sz w:val="20"/>
                <w:szCs w:val="20"/>
                <w:color w:val="auto"/>
              </w:rPr>
            </w:pPr>
            <w:r>
              <w:rPr>
                <w:rFonts w:ascii="Arial" w:cs="Arial" w:eastAsia="Arial" w:hAnsi="Arial"/>
                <w:sz w:val="9"/>
                <w:szCs w:val="9"/>
                <w:color w:val="auto"/>
                <w:w w:val="79"/>
              </w:rPr>
              <w:t>th</w:t>
            </w: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percentile</w:t>
            </w:r>
          </w:p>
        </w:tc>
        <w:tc>
          <w:tcPr>
            <w:tcW w:w="1100" w:type="dxa"/>
            <w:vAlign w:val="bottom"/>
            <w:vMerge w:val="restart"/>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Pr>
          <w:p>
            <w:pPr>
              <w:spacing w:after="0"/>
              <w:rPr>
                <w:sz w:val="14"/>
                <w:szCs w:val="14"/>
                <w:color w:val="auto"/>
              </w:rPr>
            </w:pPr>
          </w:p>
        </w:tc>
        <w:tc>
          <w:tcPr>
            <w:tcW w:w="112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bottom w:val="single" w:sz="8" w:color="auto"/>
              <w:right w:val="single" w:sz="8" w:color="auto"/>
            </w:tcBorders>
          </w:tcPr>
          <w:p>
            <w:pPr>
              <w:ind w:left="140"/>
              <w:spacing w:after="0" w:line="203" w:lineRule="exact"/>
              <w:rPr>
                <w:sz w:val="20"/>
                <w:szCs w:val="20"/>
                <w:color w:val="auto"/>
              </w:rPr>
            </w:pPr>
            <w:r>
              <w:rPr>
                <w:rFonts w:ascii="Arial" w:cs="Arial" w:eastAsia="Arial" w:hAnsi="Arial"/>
                <w:sz w:val="16"/>
                <w:szCs w:val="16"/>
                <w:color w:val="auto"/>
              </w:rPr>
              <w:t xml:space="preserve">companies </w:t>
            </w:r>
            <w:r>
              <w:rPr>
                <w:rFonts w:ascii="Arial" w:cs="Arial" w:eastAsia="Arial" w:hAnsi="Arial"/>
                <w:sz w:val="21"/>
                <w:szCs w:val="21"/>
                <w:color w:val="auto"/>
                <w:vertAlign w:val="superscript"/>
              </w:rPr>
              <w:t>(2)</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6"/>
                <w:szCs w:val="16"/>
                <w:color w:val="auto"/>
              </w:rPr>
              <w:t xml:space="preserve">TSR vs. A&amp;D peers </w:t>
            </w:r>
            <w:r>
              <w:rPr>
                <w:rFonts w:ascii="Arial" w:cs="Arial" w:eastAsia="Arial" w:hAnsi="Arial"/>
                <w:sz w:val="21"/>
                <w:szCs w:val="21"/>
                <w:color w:val="auto"/>
                <w:vertAlign w:val="superscript"/>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1240" w:type="dxa"/>
            <w:vAlign w:val="bottom"/>
            <w:tcBorders>
              <w:bottom w:val="single" w:sz="8" w:color="auto"/>
            </w:tcBorders>
            <w:gridSpan w:val="3"/>
          </w:tcPr>
          <w:p>
            <w:pPr>
              <w:jc w:val="center"/>
              <w:spacing w:after="0" w:line="210" w:lineRule="exact"/>
              <w:rPr>
                <w:sz w:val="20"/>
                <w:szCs w:val="20"/>
                <w:color w:val="auto"/>
              </w:rPr>
            </w:pPr>
            <w:r>
              <w:rPr>
                <w:rFonts w:ascii="Arial" w:cs="Arial" w:eastAsia="Arial" w:hAnsi="Arial"/>
                <w:sz w:val="16"/>
                <w:szCs w:val="16"/>
                <w:color w:val="auto"/>
                <w:w w:val="96"/>
              </w:rPr>
              <w:t>25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jc w:val="center"/>
              <w:spacing w:after="0" w:line="210" w:lineRule="exact"/>
              <w:rPr>
                <w:sz w:val="20"/>
                <w:szCs w:val="20"/>
                <w:color w:val="auto"/>
              </w:rPr>
            </w:pPr>
            <w:r>
              <w:rPr>
                <w:rFonts w:ascii="Arial" w:cs="Arial" w:eastAsia="Arial" w:hAnsi="Arial"/>
                <w:sz w:val="16"/>
                <w:szCs w:val="16"/>
                <w:color w:val="auto"/>
                <w:w w:val="96"/>
              </w:rPr>
              <w:t>50</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3"/>
          </w:tcPr>
          <w:p>
            <w:pPr>
              <w:ind w:left="80"/>
              <w:spacing w:after="0" w:line="210" w:lineRule="exact"/>
              <w:rPr>
                <w:sz w:val="20"/>
                <w:szCs w:val="20"/>
                <w:color w:val="auto"/>
              </w:rPr>
            </w:pPr>
            <w:r>
              <w:rPr>
                <w:rFonts w:ascii="Arial" w:cs="Arial" w:eastAsia="Arial" w:hAnsi="Arial"/>
                <w:sz w:val="16"/>
                <w:szCs w:val="16"/>
                <w:color w:val="auto"/>
              </w:rPr>
              <w:t>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2022 through December 31, 2024</w:t>
      </w:r>
    </w:p>
    <w:p>
      <w:pPr>
        <w:spacing w:after="0" w:line="53" w:lineRule="exact"/>
        <w:rPr>
          <w:rFonts w:ascii="Arial" w:cs="Arial" w:eastAsia="Arial" w:hAnsi="Arial"/>
          <w:sz w:val="13"/>
          <w:szCs w:val="13"/>
          <w:i w:val="1"/>
          <w:iCs w:val="1"/>
          <w:color w:val="auto"/>
        </w:rPr>
      </w:pPr>
    </w:p>
    <w:p>
      <w:pPr>
        <w:ind w:left="180" w:right="140" w:hanging="172"/>
        <w:spacing w:after="0" w:line="261" w:lineRule="auto"/>
        <w:tabs>
          <w:tab w:leader="none" w:pos="179"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2022 through December 31, 2024, calculated using the November/December average adjusted stock price prior to and at the end of the 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11</w:t>
      </w:r>
    </w:p>
    <w:p>
      <w:pPr>
        <w:spacing w:after="0"/>
        <w:rPr>
          <w:sz w:val="20"/>
          <w:szCs w:val="20"/>
          <w:color w:val="auto"/>
        </w:rPr>
      </w:pPr>
      <w:r>
        <w:rPr>
          <w:rFonts w:ascii="Arial" w:cs="Arial" w:eastAsia="Arial" w:hAnsi="Arial"/>
          <w:sz w:val="14"/>
          <w:szCs w:val="14"/>
          <w:color w:val="221E1F"/>
        </w:rPr>
        <w:t>02/2022</w:t>
      </w:r>
    </w:p>
    <w:p>
      <w:pPr>
        <w:sectPr>
          <w:pgSz w:w="11900" w:h="16838" w:orient="portrait"/>
          <w:cols w:equalWidth="0" w:num="1">
            <w:col w:w="11260"/>
          </w:cols>
          <w:pgMar w:left="320" w:top="1394"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Stock Appreciation Right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Stock Appreciation Right Award (the “SAR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04"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45"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A Stock Appreciation Right (a “SAR”) represents the right to receive the appreciation in one share of Common Stock of Raytheon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Capitalized terms not otherwise defined in this Schedule of Terms have the same meaning as defined in the LTIP.</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31"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number of SARs awarded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spacing w:after="0" w:line="182"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this SAR Award by signing and returning the designated hard copy portion of the Award Agreement to the Stock Plan Administrator. These countries currently include Russia, Turkey, Hungary, and Slovenia.</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45" w:lineRule="exact"/>
        <w:rPr>
          <w:sz w:val="20"/>
          <w:szCs w:val="20"/>
          <w:color w:val="auto"/>
        </w:rPr>
      </w:pPr>
    </w:p>
    <w:p>
      <w:pPr>
        <w:ind w:right="160"/>
        <w:spacing w:after="0" w:line="300"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45" w:lineRule="exact"/>
        <w:rPr>
          <w:sz w:val="20"/>
          <w:szCs w:val="20"/>
          <w:color w:val="auto"/>
        </w:rPr>
      </w:pPr>
    </w:p>
    <w:p>
      <w:pPr>
        <w:ind w:right="120"/>
        <w:spacing w:after="0" w:line="292" w:lineRule="auto"/>
        <w:rPr>
          <w:sz w:val="20"/>
          <w:szCs w:val="20"/>
          <w:color w:val="auto"/>
        </w:rPr>
      </w:pPr>
      <w:r>
        <w:rPr>
          <w:rFonts w:ascii="Arial" w:cs="Arial" w:eastAsia="Arial" w:hAnsi="Arial"/>
          <w:sz w:val="19"/>
          <w:szCs w:val="19"/>
          <w:color w:val="221E1F"/>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1"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243"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associated rights lapse; or</w:t>
      </w:r>
    </w:p>
    <w:p>
      <w:pPr>
        <w:spacing w:after="0" w:line="229" w:lineRule="exact"/>
        <w:rPr>
          <w:rFonts w:ascii="Arial" w:cs="Arial" w:eastAsia="Arial" w:hAnsi="Arial"/>
          <w:sz w:val="20"/>
          <w:szCs w:val="20"/>
          <w:color w:val="221E1F"/>
        </w:rPr>
      </w:pPr>
    </w:p>
    <w:p>
      <w:pPr>
        <w:ind w:left="280" w:hanging="272"/>
        <w:spacing w:after="0"/>
        <w:tabs>
          <w:tab w:leader="none" w:pos="280" w:val="left"/>
        </w:tabs>
        <w:numPr>
          <w:ilvl w:val="0"/>
          <w:numId w:val="19"/>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243" w:lineRule="exact"/>
        <w:rPr>
          <w:sz w:val="20"/>
          <w:szCs w:val="20"/>
          <w:color w:val="auto"/>
        </w:rPr>
      </w:pPr>
    </w:p>
    <w:p>
      <w:pPr>
        <w:ind w:right="920"/>
        <w:spacing w:after="0" w:line="300"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45" w:lineRule="exact"/>
        <w:rPr>
          <w:sz w:val="20"/>
          <w:szCs w:val="20"/>
          <w:color w:val="auto"/>
        </w:rPr>
      </w:pPr>
    </w:p>
    <w:p>
      <w:pPr>
        <w:jc w:val="both"/>
        <w:ind w:right="140"/>
        <w:spacing w:after="0" w:line="276" w:lineRule="auto"/>
        <w:rPr>
          <w:sz w:val="20"/>
          <w:szCs w:val="20"/>
          <w:color w:val="auto"/>
        </w:rPr>
      </w:pPr>
      <w:r>
        <w:rPr>
          <w:rFonts w:ascii="Arial" w:cs="Arial" w:eastAsia="Arial" w:hAnsi="Arial"/>
          <w:sz w:val="20"/>
          <w:szCs w:val="20"/>
          <w:color w:val="221E1F"/>
        </w:rPr>
        <w:t>A SAR is the right to receive the appreciation in a share of Common Stock, subject to continued employment and certain other conditions. The holder of a SAR has no voting, dividend, or other rights accorded to owners of Common Stock, unless and until SARs are exercised and settled in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31" w:lineRule="exact"/>
        <w:rPr>
          <w:sz w:val="20"/>
          <w:szCs w:val="20"/>
          <w:color w:val="auto"/>
        </w:rPr>
      </w:pPr>
    </w:p>
    <w:p>
      <w:pPr>
        <w:ind w:right="140"/>
        <w:spacing w:after="0" w:line="272"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spacing w:after="0" w:line="168" w:lineRule="exact"/>
        <w:rPr>
          <w:sz w:val="20"/>
          <w:szCs w:val="20"/>
          <w:color w:val="auto"/>
        </w:rPr>
      </w:pPr>
    </w:p>
    <w:p>
      <w:pPr>
        <w:ind w:right="40"/>
        <w:spacing w:after="0" w:line="305" w:lineRule="auto"/>
        <w:rPr>
          <w:sz w:val="20"/>
          <w:szCs w:val="20"/>
          <w:color w:val="auto"/>
        </w:rPr>
      </w:pPr>
      <w:r>
        <w:rPr>
          <w:rFonts w:ascii="Arial" w:cs="Arial" w:eastAsia="Arial" w:hAnsi="Arial"/>
          <w:sz w:val="19"/>
          <w:szCs w:val="19"/>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Company to the Participant with respect to expiration is provided as a courtesy only.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45"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w:t>
      </w:r>
    </w:p>
    <w:p>
      <w:pPr>
        <w:spacing w:after="0" w:line="192" w:lineRule="exact"/>
        <w:rPr>
          <w:sz w:val="20"/>
          <w:szCs w:val="20"/>
          <w:color w:val="auto"/>
        </w:rPr>
      </w:pPr>
    </w:p>
    <w:p>
      <w:pPr>
        <w:ind w:right="280"/>
        <w:spacing w:after="0" w:line="314"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52" w:lineRule="exact"/>
        <w:rPr>
          <w:sz w:val="20"/>
          <w:szCs w:val="20"/>
          <w:color w:val="auto"/>
        </w:rPr>
      </w:pPr>
    </w:p>
    <w:p>
      <w:pPr>
        <w:ind w:right="360"/>
        <w:spacing w:after="0" w:line="306"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SARs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3" w:right="339" w:bottom="1440" w:gutter="0" w:footer="0" w:header="0"/>
        </w:sectPr>
      </w:pPr>
    </w:p>
    <w:bookmarkStart w:id="72" w:name="page73"/>
    <w:bookmarkEnd w:id="72"/>
    <w:p>
      <w:pPr>
        <w:ind w:left="640" w:hanging="308"/>
        <w:spacing w:after="0"/>
        <w:tabs>
          <w:tab w:leader="none" w:pos="640" w:val="left"/>
        </w:tabs>
        <w:numPr>
          <w:ilvl w:val="0"/>
          <w:numId w:val="20"/>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41" w:lineRule="exact"/>
        <w:rPr>
          <w:rFonts w:ascii="Times New Roman" w:cs="Times New Roman" w:eastAsia="Times New Roman" w:hAnsi="Times New Roman"/>
          <w:sz w:val="20"/>
          <w:szCs w:val="20"/>
          <w:color w:val="221E1F"/>
        </w:rPr>
      </w:pPr>
    </w:p>
    <w:p>
      <w:pPr>
        <w:ind w:left="700" w:hanging="368"/>
        <w:spacing w:after="0"/>
        <w:tabs>
          <w:tab w:leader="none" w:pos="700" w:val="left"/>
        </w:tabs>
        <w:numPr>
          <w:ilvl w:val="0"/>
          <w:numId w:val="20"/>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28" w:lineRule="exact"/>
        <w:rPr>
          <w:rFonts w:ascii="Times New Roman" w:cs="Times New Roman" w:eastAsia="Times New Roman" w:hAnsi="Times New Roman"/>
          <w:sz w:val="20"/>
          <w:szCs w:val="20"/>
          <w:color w:val="221E1F"/>
        </w:rPr>
      </w:pPr>
    </w:p>
    <w:p>
      <w:pPr>
        <w:ind w:left="1300" w:hanging="320"/>
        <w:spacing w:after="0"/>
        <w:tabs>
          <w:tab w:leader="none" w:pos="1300" w:val="left"/>
        </w:tabs>
        <w:numPr>
          <w:ilvl w:val="1"/>
          <w:numId w:val="20"/>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38" w:lineRule="exact"/>
        <w:rPr>
          <w:rFonts w:ascii="Courier New" w:cs="Courier New" w:eastAsia="Courier New" w:hAnsi="Courier New"/>
          <w:sz w:val="20"/>
          <w:szCs w:val="20"/>
          <w:color w:val="221E1F"/>
        </w:rPr>
      </w:pPr>
    </w:p>
    <w:p>
      <w:pPr>
        <w:ind w:left="1300" w:right="160" w:hanging="320"/>
        <w:spacing w:after="0" w:line="295" w:lineRule="auto"/>
        <w:tabs>
          <w:tab w:leader="none" w:pos="1300" w:val="left"/>
        </w:tabs>
        <w:numPr>
          <w:ilvl w:val="1"/>
          <w:numId w:val="20"/>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SARs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6686550" cy="4003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6550" cy="400367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72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221E1F"/>
                <w:w w:val="98"/>
              </w:rPr>
              <w:t>Company Consents to Early</w:t>
            </w:r>
          </w:p>
        </w:tc>
        <w:tc>
          <w:tcPr>
            <w:tcW w:w="4960" w:type="dxa"/>
            <w:vAlign w:val="bottom"/>
            <w:tcBorders>
              <w:top w:val="single" w:sz="8" w:color="auto"/>
            </w:tcBorders>
            <w:vMerge w:val="restart"/>
          </w:tcPr>
          <w:p>
            <w:pPr>
              <w:ind w:left="174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68"/>
        </w:trPr>
        <w:tc>
          <w:tcPr>
            <w:tcW w:w="2860" w:type="dxa"/>
            <w:vAlign w:val="bottom"/>
            <w:tcBorders>
              <w:right w:val="single" w:sz="8" w:color="auto"/>
            </w:tcBorders>
            <w:vMerge w:val="continue"/>
          </w:tcPr>
          <w:p>
            <w:pPr>
              <w:spacing w:after="0"/>
              <w:rPr>
                <w:sz w:val="14"/>
                <w:szCs w:val="14"/>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w:t>
            </w:r>
          </w:p>
        </w:tc>
        <w:tc>
          <w:tcPr>
            <w:tcW w:w="4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8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vMerge w:val="continue"/>
          </w:tcPr>
          <w:p>
            <w:pPr>
              <w:spacing w:after="0"/>
              <w:rPr>
                <w:sz w:val="7"/>
                <w:szCs w:val="7"/>
                <w:color w:val="auto"/>
              </w:rPr>
            </w:pPr>
          </w:p>
        </w:tc>
        <w:tc>
          <w:tcPr>
            <w:tcW w:w="4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4960" w:type="dxa"/>
            <w:vAlign w:val="bottom"/>
          </w:tcPr>
          <w:p>
            <w:pPr>
              <w:ind w:left="80"/>
              <w:spacing w:after="0" w:line="183" w:lineRule="exact"/>
              <w:rPr>
                <w:sz w:val="20"/>
                <w:szCs w:val="20"/>
                <w:color w:val="auto"/>
              </w:rPr>
            </w:pPr>
            <w:r>
              <w:rPr>
                <w:rFonts w:ascii="Arial" w:cs="Arial" w:eastAsia="Arial" w:hAnsi="Arial"/>
                <w:sz w:val="20"/>
                <w:szCs w:val="20"/>
                <w:color w:val="221E1F"/>
              </w:rPr>
              <w:t>SARs may be exercised until the expiration of their</w:t>
            </w:r>
          </w:p>
        </w:tc>
        <w:tc>
          <w:tcPr>
            <w:tcW w:w="0" w:type="dxa"/>
            <w:vAlign w:val="bottom"/>
          </w:tcPr>
          <w:p>
            <w:pPr>
              <w:spacing w:after="0"/>
              <w:rPr>
                <w:sz w:val="1"/>
                <w:szCs w:val="1"/>
                <w:color w:val="auto"/>
              </w:rPr>
            </w:pPr>
          </w:p>
        </w:tc>
      </w:tr>
      <w:tr>
        <w:trPr>
          <w:trHeight w:val="261"/>
        </w:trPr>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N/A</w:t>
            </w:r>
          </w:p>
        </w:tc>
        <w:tc>
          <w:tcPr>
            <w:tcW w:w="4960" w:type="dxa"/>
            <w:vAlign w:val="bottom"/>
          </w:tcPr>
          <w:p>
            <w:pPr>
              <w:ind w:left="80"/>
              <w:spacing w:after="0"/>
              <w:rPr>
                <w:sz w:val="20"/>
                <w:szCs w:val="20"/>
                <w:color w:val="auto"/>
              </w:rPr>
            </w:pPr>
            <w:r>
              <w:rPr>
                <w:rFonts w:ascii="Arial" w:cs="Arial" w:eastAsia="Arial" w:hAnsi="Arial"/>
                <w:sz w:val="20"/>
                <w:szCs w:val="20"/>
                <w:color w:val="221E1F"/>
              </w:rPr>
              <w:t>term</w:t>
            </w:r>
          </w:p>
        </w:tc>
        <w:tc>
          <w:tcPr>
            <w:tcW w:w="0" w:type="dxa"/>
            <w:vAlign w:val="bottom"/>
          </w:tcPr>
          <w:p>
            <w:pPr>
              <w:spacing w:after="0"/>
              <w:rPr>
                <w:sz w:val="1"/>
                <w:szCs w:val="1"/>
                <w:color w:val="auto"/>
              </w:rPr>
            </w:pPr>
          </w:p>
        </w:tc>
      </w:tr>
      <w:tr>
        <w:trPr>
          <w:trHeight w:val="181"/>
        </w:trPr>
        <w:tc>
          <w:tcPr>
            <w:tcW w:w="2860" w:type="dxa"/>
            <w:vAlign w:val="bottom"/>
            <w:tcBorders>
              <w:right w:val="single" w:sz="8" w:color="auto"/>
            </w:tcBorders>
            <w:vMerge w:val="continue"/>
          </w:tcPr>
          <w:p>
            <w:pPr>
              <w:spacing w:after="0"/>
              <w:rPr>
                <w:sz w:val="15"/>
                <w:szCs w:val="15"/>
                <w:color w:val="auto"/>
              </w:rPr>
            </w:pPr>
          </w:p>
        </w:tc>
        <w:tc>
          <w:tcPr>
            <w:tcW w:w="2720" w:type="dxa"/>
            <w:vAlign w:val="bottom"/>
            <w:tcBorders>
              <w:right w:val="single" w:sz="8" w:color="auto"/>
            </w:tcBorders>
            <w:vMerge w:val="continue"/>
          </w:tcPr>
          <w:p>
            <w:pPr>
              <w:spacing w:after="0"/>
              <w:rPr>
                <w:sz w:val="15"/>
                <w:szCs w:val="15"/>
                <w:color w:val="auto"/>
              </w:rPr>
            </w:pPr>
          </w:p>
        </w:tc>
        <w:tc>
          <w:tcPr>
            <w:tcW w:w="4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8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4960" w:type="dxa"/>
            <w:vAlign w:val="bottom"/>
          </w:tcPr>
          <w:p>
            <w:pPr>
              <w:ind w:left="80"/>
              <w:spacing w:after="0" w:line="183" w:lineRule="exact"/>
              <w:rPr>
                <w:sz w:val="20"/>
                <w:szCs w:val="20"/>
                <w:color w:val="auto"/>
              </w:rPr>
            </w:pPr>
            <w:r>
              <w:rPr>
                <w:rFonts w:ascii="Arial" w:cs="Arial" w:eastAsia="Arial" w:hAnsi="Arial"/>
                <w:sz w:val="20"/>
                <w:szCs w:val="20"/>
                <w:color w:val="221E1F"/>
              </w:rPr>
              <w:t>SARs may be exercised until the expiration of their</w:t>
            </w:r>
          </w:p>
        </w:tc>
        <w:tc>
          <w:tcPr>
            <w:tcW w:w="0" w:type="dxa"/>
            <w:vAlign w:val="bottom"/>
          </w:tcPr>
          <w:p>
            <w:pPr>
              <w:spacing w:after="0"/>
              <w:rPr>
                <w:sz w:val="1"/>
                <w:szCs w:val="1"/>
                <w:color w:val="auto"/>
              </w:rPr>
            </w:pPr>
          </w:p>
        </w:tc>
      </w:tr>
      <w:tr>
        <w:trPr>
          <w:trHeight w:val="261"/>
        </w:trPr>
        <w:tc>
          <w:tcPr>
            <w:tcW w:w="2860" w:type="dxa"/>
            <w:vAlign w:val="bottom"/>
            <w:tcBorders>
              <w:right w:val="single" w:sz="8" w:color="auto"/>
            </w:tcBorders>
          </w:tcPr>
          <w:p>
            <w:pPr>
              <w:spacing w:after="0"/>
              <w:rPr>
                <w:sz w:val="22"/>
                <w:szCs w:val="22"/>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2"/>
              </w:rPr>
              <w:t>Yes</w:t>
            </w:r>
          </w:p>
        </w:tc>
        <w:tc>
          <w:tcPr>
            <w:tcW w:w="4960" w:type="dxa"/>
            <w:vAlign w:val="bottom"/>
          </w:tcPr>
          <w:p>
            <w:pPr>
              <w:ind w:left="80"/>
              <w:spacing w:after="0"/>
              <w:rPr>
                <w:sz w:val="20"/>
                <w:szCs w:val="20"/>
                <w:color w:val="auto"/>
              </w:rPr>
            </w:pPr>
            <w:r>
              <w:rPr>
                <w:rFonts w:ascii="Arial" w:cs="Arial" w:eastAsia="Arial" w:hAnsi="Arial"/>
                <w:sz w:val="20"/>
                <w:szCs w:val="20"/>
                <w:color w:val="221E1F"/>
              </w:rPr>
              <w:t>term</w:t>
            </w:r>
          </w:p>
        </w:tc>
        <w:tc>
          <w:tcPr>
            <w:tcW w:w="0" w:type="dxa"/>
            <w:vAlign w:val="bottom"/>
          </w:tcPr>
          <w:p>
            <w:pPr>
              <w:spacing w:after="0"/>
              <w:rPr>
                <w:sz w:val="1"/>
                <w:szCs w:val="1"/>
                <w:color w:val="auto"/>
              </w:rPr>
            </w:pPr>
          </w:p>
        </w:tc>
      </w:tr>
      <w:tr>
        <w:trPr>
          <w:trHeight w:val="86"/>
        </w:trPr>
        <w:tc>
          <w:tcPr>
            <w:tcW w:w="2860" w:type="dxa"/>
            <w:vAlign w:val="bottom"/>
            <w:tcBorders>
              <w:right w:val="single" w:sz="8" w:color="auto"/>
            </w:tcBorders>
            <w:vMerge w:val="restart"/>
          </w:tcPr>
          <w:p>
            <w:pPr>
              <w:jc w:val="center"/>
              <w:spacing w:after="0" w:line="211" w:lineRule="exact"/>
              <w:rPr>
                <w:sz w:val="20"/>
                <w:szCs w:val="20"/>
                <w:color w:val="auto"/>
              </w:rPr>
            </w:pPr>
            <w:r>
              <w:rPr>
                <w:rFonts w:ascii="Arial" w:cs="Arial" w:eastAsia="Arial" w:hAnsi="Arial"/>
                <w:sz w:val="20"/>
                <w:szCs w:val="20"/>
                <w:color w:val="221E1F"/>
                <w:w w:val="98"/>
              </w:rPr>
              <w:t>Early Retirement on or after</w:t>
            </w:r>
          </w:p>
        </w:tc>
        <w:tc>
          <w:tcPr>
            <w:tcW w:w="2720" w:type="dxa"/>
            <w:vAlign w:val="bottom"/>
            <w:tcBorders>
              <w:right w:val="single" w:sz="8" w:color="auto"/>
            </w:tcBorders>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86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9"/>
                <w:szCs w:val="19"/>
                <w:color w:val="221E1F"/>
              </w:rPr>
              <w:t>age 55 + 10 years of</w:t>
            </w:r>
          </w:p>
        </w:tc>
        <w:tc>
          <w:tcPr>
            <w:tcW w:w="2720" w:type="dxa"/>
            <w:vAlign w:val="bottom"/>
            <w:tcBorders>
              <w:bottom w:val="single" w:sz="8" w:color="auto"/>
              <w:right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color w:val="221E1F"/>
                <w:w w:val="99"/>
              </w:rPr>
              <w:t>continuous service as of the</w:t>
            </w:r>
          </w:p>
        </w:tc>
        <w:tc>
          <w:tcPr>
            <w:tcW w:w="2720" w:type="dxa"/>
            <w:vAlign w:val="bottom"/>
            <w:tcBorders>
              <w:right w:val="single" w:sz="8" w:color="auto"/>
            </w:tcBorders>
          </w:tcPr>
          <w:p>
            <w:pPr>
              <w:spacing w:after="0"/>
              <w:rPr>
                <w:sz w:val="17"/>
                <w:szCs w:val="17"/>
                <w:color w:val="auto"/>
              </w:rPr>
            </w:pPr>
          </w:p>
        </w:tc>
        <w:tc>
          <w:tcPr>
            <w:tcW w:w="4960" w:type="dxa"/>
            <w:vAlign w:val="bottom"/>
          </w:tcPr>
          <w:p>
            <w:pPr>
              <w:ind w:left="80"/>
              <w:spacing w:after="0" w:line="196" w:lineRule="exact"/>
              <w:rPr>
                <w:sz w:val="20"/>
                <w:szCs w:val="20"/>
                <w:color w:val="auto"/>
              </w:rPr>
            </w:pPr>
            <w:r>
              <w:rPr>
                <w:rFonts w:ascii="Arial" w:cs="Arial" w:eastAsia="Arial" w:hAnsi="Arial"/>
                <w:sz w:val="20"/>
                <w:szCs w:val="20"/>
                <w:color w:val="221E1F"/>
              </w:rPr>
              <w:t>SARs may be exercised for three (3) years following</w:t>
            </w:r>
          </w:p>
        </w:tc>
        <w:tc>
          <w:tcPr>
            <w:tcW w:w="0" w:type="dxa"/>
            <w:vAlign w:val="bottom"/>
          </w:tcPr>
          <w:p>
            <w:pPr>
              <w:spacing w:after="0"/>
              <w:rPr>
                <w:sz w:val="1"/>
                <w:szCs w:val="1"/>
                <w:color w:val="auto"/>
              </w:rPr>
            </w:pPr>
          </w:p>
        </w:tc>
      </w:tr>
      <w:tr>
        <w:trPr>
          <w:trHeight w:val="203"/>
        </w:trPr>
        <w:tc>
          <w:tcPr>
            <w:tcW w:w="28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221E1F"/>
                <w:w w:val="97"/>
              </w:rPr>
              <w:t>Termination Date</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No</w:t>
            </w:r>
          </w:p>
        </w:tc>
        <w:tc>
          <w:tcPr>
            <w:tcW w:w="4960" w:type="dxa"/>
            <w:vAlign w:val="bottom"/>
          </w:tcPr>
          <w:p>
            <w:pPr>
              <w:ind w:left="80"/>
              <w:spacing w:after="0" w:line="203" w:lineRule="exact"/>
              <w:rPr>
                <w:sz w:val="20"/>
                <w:szCs w:val="20"/>
                <w:color w:val="auto"/>
              </w:rPr>
            </w:pPr>
            <w:r>
              <w:rPr>
                <w:rFonts w:ascii="Arial" w:cs="Arial" w:eastAsia="Arial" w:hAnsi="Arial"/>
                <w:sz w:val="20"/>
                <w:szCs w:val="20"/>
                <w:color w:val="221E1F"/>
              </w:rPr>
              <w:t>the Termination Date or until the expiration of the SAR,</w:t>
            </w:r>
          </w:p>
        </w:tc>
        <w:tc>
          <w:tcPr>
            <w:tcW w:w="0" w:type="dxa"/>
            <w:vAlign w:val="bottom"/>
          </w:tcPr>
          <w:p>
            <w:pPr>
              <w:spacing w:after="0"/>
              <w:rPr>
                <w:sz w:val="1"/>
                <w:szCs w:val="1"/>
                <w:color w:val="auto"/>
              </w:rPr>
            </w:pPr>
          </w:p>
        </w:tc>
      </w:tr>
      <w:tr>
        <w:trPr>
          <w:trHeight w:val="261"/>
        </w:trPr>
        <w:tc>
          <w:tcPr>
            <w:tcW w:w="2860" w:type="dxa"/>
            <w:vAlign w:val="bottom"/>
            <w:tcBorders>
              <w:right w:val="single" w:sz="8" w:color="auto"/>
            </w:tcBorders>
          </w:tcPr>
          <w:p>
            <w:pPr>
              <w:spacing w:after="0"/>
              <w:rPr>
                <w:sz w:val="22"/>
                <w:szCs w:val="22"/>
                <w:color w:val="auto"/>
              </w:rPr>
            </w:pPr>
          </w:p>
        </w:tc>
        <w:tc>
          <w:tcPr>
            <w:tcW w:w="2720" w:type="dxa"/>
            <w:vAlign w:val="bottom"/>
            <w:tcBorders>
              <w:right w:val="single" w:sz="8" w:color="auto"/>
            </w:tcBorders>
            <w:vMerge w:val="continue"/>
          </w:tcPr>
          <w:p>
            <w:pPr>
              <w:spacing w:after="0"/>
              <w:rPr>
                <w:sz w:val="22"/>
                <w:szCs w:val="22"/>
                <w:color w:val="auto"/>
              </w:rPr>
            </w:pPr>
          </w:p>
        </w:tc>
        <w:tc>
          <w:tcPr>
            <w:tcW w:w="4960" w:type="dxa"/>
            <w:vAlign w:val="bottom"/>
          </w:tcPr>
          <w:p>
            <w:pPr>
              <w:ind w:left="8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92"/>
        </w:trPr>
        <w:tc>
          <w:tcPr>
            <w:tcW w:w="28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4960" w:type="dxa"/>
            <w:vAlign w:val="bottom"/>
          </w:tcPr>
          <w:p>
            <w:pPr>
              <w:ind w:left="40"/>
              <w:spacing w:after="0" w:line="183" w:lineRule="exact"/>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194"/>
        </w:trPr>
        <w:tc>
          <w:tcPr>
            <w:tcW w:w="28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2"/>
              </w:rPr>
              <w:t>Yes</w:t>
            </w:r>
          </w:p>
        </w:tc>
        <w:tc>
          <w:tcPr>
            <w:tcW w:w="4960" w:type="dxa"/>
            <w:vAlign w:val="bottom"/>
          </w:tcPr>
          <w:p>
            <w:pPr>
              <w:ind w:left="40"/>
              <w:spacing w:after="0" w:line="194" w:lineRule="exact"/>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61"/>
        </w:trPr>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Early Retirement on or after</w:t>
            </w:r>
          </w:p>
        </w:tc>
        <w:tc>
          <w:tcPr>
            <w:tcW w:w="2720" w:type="dxa"/>
            <w:vAlign w:val="bottom"/>
            <w:tcBorders>
              <w:right w:val="single" w:sz="8" w:color="auto"/>
            </w:tcBorders>
            <w:vMerge w:val="continue"/>
          </w:tcPr>
          <w:p>
            <w:pPr>
              <w:spacing w:after="0"/>
              <w:rPr>
                <w:sz w:val="22"/>
                <w:szCs w:val="22"/>
                <w:color w:val="auto"/>
              </w:rPr>
            </w:pPr>
          </w:p>
        </w:tc>
        <w:tc>
          <w:tcPr>
            <w:tcW w:w="4960" w:type="dxa"/>
            <w:vAlign w:val="bottom"/>
          </w:tcPr>
          <w:p>
            <w:pPr>
              <w:ind w:left="4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84"/>
        </w:trPr>
        <w:tc>
          <w:tcPr>
            <w:tcW w:w="2860" w:type="dxa"/>
            <w:vAlign w:val="bottom"/>
            <w:tcBorders>
              <w:right w:val="single" w:sz="8" w:color="auto"/>
            </w:tcBorders>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20"/>
                <w:szCs w:val="20"/>
                <w:color w:val="221E1F"/>
                <w:w w:val="99"/>
              </w:rPr>
              <w:t>age 50, but prior to age 55 +</w:t>
            </w:r>
          </w:p>
        </w:tc>
        <w:tc>
          <w:tcPr>
            <w:tcW w:w="2720" w:type="dxa"/>
            <w:vAlign w:val="bottom"/>
            <w:tcBorders>
              <w:right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years of service = 65+ as of the</w:t>
            </w:r>
          </w:p>
        </w:tc>
        <w:tc>
          <w:tcPr>
            <w:tcW w:w="2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vMerge w:val="continue"/>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4960" w:type="dxa"/>
            <w:vAlign w:val="bottom"/>
          </w:tcPr>
          <w:p>
            <w:pPr>
              <w:ind w:left="80"/>
              <w:spacing w:after="0" w:line="183" w:lineRule="exact"/>
              <w:rPr>
                <w:sz w:val="20"/>
                <w:szCs w:val="20"/>
                <w:color w:val="auto"/>
              </w:rPr>
            </w:pPr>
            <w:r>
              <w:rPr>
                <w:rFonts w:ascii="Arial" w:cs="Arial" w:eastAsia="Arial" w:hAnsi="Arial"/>
                <w:sz w:val="20"/>
                <w:szCs w:val="20"/>
                <w:color w:val="221E1F"/>
              </w:rPr>
              <w:t>SARs may be exercised for three (3) years following</w:t>
            </w:r>
          </w:p>
        </w:tc>
        <w:tc>
          <w:tcPr>
            <w:tcW w:w="0" w:type="dxa"/>
            <w:vAlign w:val="bottom"/>
          </w:tcPr>
          <w:p>
            <w:pPr>
              <w:spacing w:after="0"/>
              <w:rPr>
                <w:sz w:val="1"/>
                <w:szCs w:val="1"/>
                <w:color w:val="auto"/>
              </w:rPr>
            </w:pPr>
          </w:p>
        </w:tc>
      </w:tr>
      <w:tr>
        <w:trPr>
          <w:trHeight w:val="194"/>
        </w:trPr>
        <w:tc>
          <w:tcPr>
            <w:tcW w:w="2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20"/>
                <w:szCs w:val="20"/>
                <w:color w:val="221E1F"/>
                <w:w w:val="97"/>
              </w:rPr>
              <w:t>Termination Date</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No</w:t>
            </w:r>
          </w:p>
        </w:tc>
        <w:tc>
          <w:tcPr>
            <w:tcW w:w="4960" w:type="dxa"/>
            <w:vAlign w:val="bottom"/>
          </w:tcPr>
          <w:p>
            <w:pPr>
              <w:ind w:left="80"/>
              <w:spacing w:after="0" w:line="194" w:lineRule="exact"/>
              <w:rPr>
                <w:sz w:val="20"/>
                <w:szCs w:val="20"/>
                <w:color w:val="auto"/>
              </w:rPr>
            </w:pPr>
            <w:r>
              <w:rPr>
                <w:rFonts w:ascii="Arial" w:cs="Arial" w:eastAsia="Arial" w:hAnsi="Arial"/>
                <w:sz w:val="20"/>
                <w:szCs w:val="20"/>
                <w:color w:val="221E1F"/>
              </w:rPr>
              <w:t>the Termination Date or until the expiration of the SAR,</w:t>
            </w:r>
          </w:p>
        </w:tc>
        <w:tc>
          <w:tcPr>
            <w:tcW w:w="0" w:type="dxa"/>
            <w:vAlign w:val="bottom"/>
          </w:tcPr>
          <w:p>
            <w:pPr>
              <w:spacing w:after="0"/>
              <w:rPr>
                <w:sz w:val="1"/>
                <w:szCs w:val="1"/>
                <w:color w:val="auto"/>
              </w:rPr>
            </w:pPr>
          </w:p>
        </w:tc>
      </w:tr>
      <w:tr>
        <w:trPr>
          <w:trHeight w:val="261"/>
        </w:trPr>
        <w:tc>
          <w:tcPr>
            <w:tcW w:w="2860" w:type="dxa"/>
            <w:vAlign w:val="bottom"/>
            <w:tcBorders>
              <w:right w:val="single" w:sz="8" w:color="auto"/>
            </w:tcBorders>
          </w:tcPr>
          <w:p>
            <w:pPr>
              <w:spacing w:after="0"/>
              <w:rPr>
                <w:sz w:val="22"/>
                <w:szCs w:val="22"/>
                <w:color w:val="auto"/>
              </w:rPr>
            </w:pPr>
          </w:p>
        </w:tc>
        <w:tc>
          <w:tcPr>
            <w:tcW w:w="2720" w:type="dxa"/>
            <w:vAlign w:val="bottom"/>
            <w:tcBorders>
              <w:right w:val="single" w:sz="8" w:color="auto"/>
            </w:tcBorders>
            <w:vMerge w:val="continue"/>
          </w:tcPr>
          <w:p>
            <w:pPr>
              <w:spacing w:after="0"/>
              <w:rPr>
                <w:sz w:val="22"/>
                <w:szCs w:val="22"/>
                <w:color w:val="auto"/>
              </w:rPr>
            </w:pPr>
          </w:p>
        </w:tc>
        <w:tc>
          <w:tcPr>
            <w:tcW w:w="4960" w:type="dxa"/>
            <w:vAlign w:val="bottom"/>
          </w:tcPr>
          <w:p>
            <w:pPr>
              <w:ind w:left="8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314"/>
        </w:trPr>
        <w:tc>
          <w:tcPr>
            <w:tcW w:w="28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right="1320" w:hanging="140"/>
        <w:spacing w:after="0" w:line="308"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310"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UTC Savings Plan. The calculation to determine Early Retirement will include partial years, rounded down to the nearest full month.</w:t>
      </w:r>
    </w:p>
    <w:p>
      <w:pPr>
        <w:spacing w:after="0" w:line="185" w:lineRule="exact"/>
        <w:rPr>
          <w:sz w:val="20"/>
          <w:szCs w:val="20"/>
          <w:color w:val="auto"/>
        </w:rPr>
      </w:pPr>
    </w:p>
    <w:p>
      <w:pPr>
        <w:ind w:right="580"/>
        <w:spacing w:after="0" w:line="286"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52"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SARs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3" w:right="339" w:bottom="1440" w:gutter="0" w:footer="0" w:header="0"/>
        </w:sectPr>
      </w:pPr>
    </w:p>
    <w:bookmarkStart w:id="73" w:name="page74"/>
    <w:bookmarkEnd w:id="73"/>
    <w:p>
      <w:pPr>
        <w:ind w:right="80"/>
        <w:spacing w:after="0" w:line="269" w:lineRule="auto"/>
        <w:rPr>
          <w:sz w:val="20"/>
          <w:szCs w:val="20"/>
          <w:color w:val="auto"/>
        </w:rPr>
      </w:pPr>
      <w:r>
        <w:rPr>
          <w:rFonts w:ascii="Arial" w:cs="Arial" w:eastAsia="Arial" w:hAnsi="Arial"/>
          <w:sz w:val="20"/>
          <w:szCs w:val="20"/>
          <w:color w:val="221E1F"/>
        </w:rPr>
        <w:t>be forfeited as of the Termination Date regardless of the Participant’s Retirement eligibility. In addition, value realized from previously exercised SARs may be subject to repayment in the event of termination for Cause or certain other occurrences (see “Forfeiture of Award and Repayment of Realized Gains” below).</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 full vesting period. SARs not vested under this pro-rata vesting formula will be forfeited as of the Termination Date.</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221E1F"/>
        </w:rPr>
        <w:t>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w:t>
      </w:r>
    </w:p>
    <w:p>
      <w:pPr>
        <w:spacing w:after="0" w:line="188"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196" w:lineRule="exact"/>
        <w:rPr>
          <w:sz w:val="20"/>
          <w:szCs w:val="20"/>
          <w:color w:val="auto"/>
        </w:rPr>
      </w:pPr>
    </w:p>
    <w:p>
      <w:pPr>
        <w:ind w:right="480"/>
        <w:spacing w:after="0" w:line="286"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 or its delegate.</w:t>
      </w:r>
    </w:p>
    <w:p>
      <w:pPr>
        <w:spacing w:after="0" w:line="181" w:lineRule="exact"/>
        <w:rPr>
          <w:sz w:val="20"/>
          <w:szCs w:val="20"/>
          <w:color w:val="auto"/>
        </w:rPr>
      </w:pPr>
    </w:p>
    <w:p>
      <w:pPr>
        <w:jc w:val="both"/>
        <w:ind w:right="680"/>
        <w:spacing w:after="0" w:line="269"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b w:val="1"/>
          <w:bCs w:val="1"/>
          <w:color w:val="221E1F"/>
        </w:rPr>
        <w:t xml:space="preserve">Voluntary Termination. </w:t>
      </w:r>
      <w:r>
        <w:rPr>
          <w:rFonts w:ascii="Arial" w:cs="Arial" w:eastAsia="Arial" w:hAnsi="Arial"/>
          <w:sz w:val="19"/>
          <w:szCs w:val="19"/>
          <w:color w:val="221E1F"/>
        </w:rPr>
        <w:t>A Participant who voluntarily terminates employment (other than for Retirement or a Change-in-Control</w:t>
      </w:r>
      <w:r>
        <w:rPr>
          <w:rFonts w:ascii="Arial" w:cs="Arial" w:eastAsia="Arial" w:hAnsi="Arial"/>
          <w:sz w:val="19"/>
          <w:szCs w:val="19"/>
          <w:b w:val="1"/>
          <w:bCs w:val="1"/>
          <w:color w:val="221E1F"/>
        </w:rPr>
        <w:t xml:space="preserve"> </w:t>
      </w:r>
      <w:r>
        <w:rPr>
          <w:rFonts w:ascii="Arial" w:cs="Arial" w:eastAsia="Arial" w:hAnsi="Arial"/>
          <w:sz w:val="19"/>
          <w:szCs w:val="19"/>
          <w:color w:val="221E1F"/>
        </w:rPr>
        <w:t>Termination) is not entitled to pro-rata vesting and will forfeit all unvested SARs. Vested SARs may be exercised for up to ninety</w:t>
      </w:r>
    </w:p>
    <w:p>
      <w:pPr>
        <w:spacing w:after="0" w:line="2" w:lineRule="exact"/>
        <w:rPr>
          <w:sz w:val="20"/>
          <w:szCs w:val="20"/>
          <w:color w:val="auto"/>
        </w:rPr>
      </w:pPr>
    </w:p>
    <w:p>
      <w:pPr>
        <w:ind w:right="20" w:firstLine="8"/>
        <w:spacing w:after="0" w:line="258" w:lineRule="auto"/>
        <w:tabs>
          <w:tab w:leader="none" w:pos="407" w:val="left"/>
        </w:tabs>
        <w:numPr>
          <w:ilvl w:val="0"/>
          <w:numId w:val="21"/>
        </w:numPr>
        <w:rPr>
          <w:rFonts w:ascii="Arial" w:cs="Arial" w:eastAsia="Arial" w:hAnsi="Arial"/>
          <w:sz w:val="20"/>
          <w:szCs w:val="20"/>
          <w:color w:val="221E1F"/>
        </w:rPr>
      </w:pPr>
      <w:r>
        <w:rPr>
          <w:rFonts w:ascii="Arial" w:cs="Arial" w:eastAsia="Arial" w:hAnsi="Arial"/>
          <w:sz w:val="20"/>
          <w:szCs w:val="20"/>
          <w:color w:val="221E1F"/>
        </w:rPr>
        <w:t>days from the Termination Date or until the expiration of the SAR (if earlier). Unexercised SARs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136"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b w:val="1"/>
          <w:bCs w:val="1"/>
          <w:color w:val="221E1F"/>
        </w:rPr>
        <w:t xml:space="preserve">Disability. </w:t>
      </w:r>
      <w:r>
        <w:rPr>
          <w:rFonts w:ascii="Arial" w:cs="Arial" w:eastAsia="Arial" w:hAnsi="Arial"/>
          <w:sz w:val="19"/>
          <w:szCs w:val="19"/>
          <w:color w:val="221E1F"/>
        </w:rPr>
        <w:t>If a Participant incurs a Disability (as defined in the LTIP), vested SARs may be exercised for up to three (3) years</w:t>
      </w:r>
      <w:r>
        <w:rPr>
          <w:rFonts w:ascii="Arial" w:cs="Arial" w:eastAsia="Arial" w:hAnsi="Arial"/>
          <w:sz w:val="19"/>
          <w:szCs w:val="19"/>
          <w:b w:val="1"/>
          <w:bCs w:val="1"/>
          <w:color w:val="221E1F"/>
        </w:rPr>
        <w:t xml:space="preserve"> </w:t>
      </w:r>
      <w:r>
        <w:rPr>
          <w:rFonts w:ascii="Arial" w:cs="Arial" w:eastAsia="Arial" w:hAnsi="Arial"/>
          <w:sz w:val="19"/>
          <w:szCs w:val="19"/>
          <w:color w:val="221E1F"/>
        </w:rPr>
        <w:t>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21E1F"/>
        </w:rPr>
        <w:t>(3) years following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090" w:right="339" w:bottom="1440" w:gutter="0" w:footer="0" w:header="0"/>
        </w:sectPr>
      </w:pPr>
    </w:p>
    <w:bookmarkStart w:id="74" w:name="page75"/>
    <w:bookmarkEnd w:id="74"/>
    <w:p>
      <w:pPr>
        <w:ind w:right="20"/>
        <w:spacing w:after="0" w:line="272"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w:t>
      </w:r>
    </w:p>
    <w:p>
      <w:pPr>
        <w:spacing w:after="0" w:line="170" w:lineRule="exact"/>
        <w:rPr>
          <w:sz w:val="20"/>
          <w:szCs w:val="20"/>
          <w:color w:val="auto"/>
        </w:rPr>
      </w:pPr>
    </w:p>
    <w:p>
      <w:pPr>
        <w:spacing w:after="0" w:line="300" w:lineRule="auto"/>
        <w:rPr>
          <w:sz w:val="20"/>
          <w:szCs w:val="20"/>
          <w:color w:val="auto"/>
        </w:rPr>
      </w:pPr>
      <w:r>
        <w:rPr>
          <w:rFonts w:ascii="Arial" w:cs="Arial" w:eastAsia="Arial" w:hAnsi="Arial"/>
          <w:sz w:val="20"/>
          <w:szCs w:val="20"/>
          <w:color w:val="221E1F"/>
        </w:rPr>
        <w:t>Different tax rules may apply when the estate or heir exercises the deceased Participant’s SARs. A personal tax or financial advisor should be consulted under this scenario.</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221E1F"/>
        </w:rPr>
        <w:t xml:space="preserve">SAR Awards, including common stock delivered for exercised SARs,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SARs, whether or not vested, may be immediately forfeited and a Participant will be obligated to repay to the Company the value realized from the prior exercise of SARs upon the occurrence of any of the following events:</w:t>
      </w:r>
    </w:p>
    <w:p>
      <w:pPr>
        <w:spacing w:after="0" w:line="18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29" w:lineRule="exact"/>
        <w:rPr>
          <w:rFonts w:ascii="Arial" w:cs="Arial" w:eastAsia="Arial" w:hAnsi="Arial"/>
          <w:sz w:val="20"/>
          <w:szCs w:val="20"/>
          <w:color w:val="auto"/>
        </w:rPr>
      </w:pPr>
    </w:p>
    <w:p>
      <w:pPr>
        <w:ind w:left="660" w:right="140" w:hanging="328"/>
        <w:spacing w:after="0" w:line="286" w:lineRule="auto"/>
        <w:tabs>
          <w:tab w:leader="none" w:pos="65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153"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29" w:lineRule="exact"/>
        <w:rPr>
          <w:rFonts w:ascii="Arial" w:cs="Arial" w:eastAsia="Arial" w:hAnsi="Arial"/>
          <w:sz w:val="20"/>
          <w:szCs w:val="20"/>
          <w:color w:val="auto"/>
        </w:rPr>
      </w:pPr>
    </w:p>
    <w:p>
      <w:pPr>
        <w:ind w:left="1140" w:right="100" w:hanging="484"/>
        <w:spacing w:after="0" w:line="286" w:lineRule="auto"/>
        <w:tabs>
          <w:tab w:leader="none" w:pos="1134" w:val="left"/>
        </w:tabs>
        <w:numPr>
          <w:ilvl w:val="1"/>
          <w:numId w:val="22"/>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53" w:lineRule="exact"/>
        <w:rPr>
          <w:rFonts w:ascii="Arial" w:cs="Arial" w:eastAsia="Arial" w:hAnsi="Arial"/>
          <w:sz w:val="20"/>
          <w:szCs w:val="20"/>
          <w:color w:val="auto"/>
        </w:rPr>
      </w:pPr>
    </w:p>
    <w:p>
      <w:pPr>
        <w:ind w:left="1140" w:right="60" w:hanging="484"/>
        <w:spacing w:after="0" w:line="286" w:lineRule="auto"/>
        <w:tabs>
          <w:tab w:leader="none" w:pos="1134" w:val="left"/>
        </w:tabs>
        <w:numPr>
          <w:ilvl w:val="1"/>
          <w:numId w:val="22"/>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140"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56" w:lineRule="exact"/>
        <w:rPr>
          <w:rFonts w:ascii="Arial" w:cs="Arial" w:eastAsia="Arial" w:hAnsi="Arial"/>
          <w:sz w:val="20"/>
          <w:szCs w:val="20"/>
          <w:color w:val="auto"/>
        </w:rPr>
      </w:pPr>
    </w:p>
    <w:p>
      <w:pPr>
        <w:ind w:left="660" w:right="60" w:hanging="328"/>
        <w:spacing w:after="0" w:line="264"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1" w:right="339" w:bottom="1440" w:gutter="0" w:footer="0" w:header="0"/>
        </w:sectPr>
      </w:pPr>
    </w:p>
    <w:bookmarkStart w:id="75" w:name="page76"/>
    <w:bookmarkEnd w:id="75"/>
    <w:p>
      <w:pPr>
        <w:ind w:left="660" w:right="120"/>
        <w:spacing w:after="0" w:line="264" w:lineRule="auto"/>
        <w:rPr>
          <w:sz w:val="20"/>
          <w:szCs w:val="20"/>
          <w:color w:val="auto"/>
        </w:rPr>
      </w:pPr>
      <w:r>
        <w:rPr>
          <w:rFonts w:ascii="Arial" w:cs="Arial" w:eastAsia="Arial" w:hAnsi="Arial"/>
          <w:sz w:val="20"/>
          <w:szCs w:val="20"/>
          <w:color w:val="auto"/>
        </w:rPr>
        <w:t>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3" w:lineRule="exact"/>
        <w:rPr>
          <w:sz w:val="20"/>
          <w:szCs w:val="20"/>
          <w:color w:val="auto"/>
        </w:rPr>
      </w:pPr>
    </w:p>
    <w:p>
      <w:pPr>
        <w:ind w:left="660" w:right="360" w:hanging="328"/>
        <w:spacing w:after="0" w:line="230" w:lineRule="auto"/>
        <w:tabs>
          <w:tab w:leader="none" w:pos="649" w:val="left"/>
        </w:tabs>
        <w:numPr>
          <w:ilvl w:val="0"/>
          <w:numId w:val="23"/>
        </w:numPr>
        <w:rPr>
          <w:rFonts w:ascii="Arial" w:cs="Arial" w:eastAsia="Arial" w:hAnsi="Arial"/>
          <w:sz w:val="22"/>
          <w:szCs w:val="22"/>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w:t>
      </w:r>
    </w:p>
    <w:p>
      <w:pPr>
        <w:spacing w:after="0" w:line="212" w:lineRule="exact"/>
        <w:rPr>
          <w:sz w:val="20"/>
          <w:szCs w:val="20"/>
          <w:color w:val="auto"/>
        </w:rPr>
      </w:pPr>
    </w:p>
    <w:p>
      <w:pPr>
        <w:ind w:right="300"/>
        <w:spacing w:after="0" w:line="276" w:lineRule="auto"/>
        <w:rPr>
          <w:sz w:val="20"/>
          <w:szCs w:val="20"/>
          <w:color w:val="auto"/>
        </w:rPr>
      </w:pPr>
      <w:r>
        <w:rPr>
          <w:rFonts w:ascii="Arial" w:cs="Arial" w:eastAsia="Arial" w:hAnsi="Arial"/>
          <w:sz w:val="20"/>
          <w:szCs w:val="20"/>
          <w:color w:val="221E1F"/>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spacing w:after="0" w:line="192"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Raytheon Technologies Corporation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31" w:lineRule="exact"/>
        <w:rPr>
          <w:sz w:val="20"/>
          <w:szCs w:val="20"/>
          <w:color w:val="auto"/>
        </w:rPr>
      </w:pPr>
    </w:p>
    <w:p>
      <w:pPr>
        <w:jc w:val="both"/>
        <w:ind w:right="400"/>
        <w:spacing w:after="0" w:line="30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112" w:lineRule="exact"/>
        <w:rPr>
          <w:sz w:val="20"/>
          <w:szCs w:val="20"/>
          <w:color w:val="auto"/>
        </w:rPr>
      </w:pPr>
    </w:p>
    <w:p>
      <w:pPr>
        <w:ind w:right="2400"/>
        <w:spacing w:after="0" w:line="243"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9"/>
          <w:szCs w:val="19"/>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 </w:t>
      </w:r>
      <w:r>
        <w:rPr>
          <w:rFonts w:ascii="Arial" w:cs="Arial" w:eastAsia="Arial" w:hAnsi="Arial"/>
          <w:sz w:val="19"/>
          <w:szCs w:val="19"/>
          <w:u w:val="single" w:color="auto"/>
          <w:color w:val="0000FF"/>
        </w:rPr>
        <w:t>www.ubs.com/onesource/rtx</w:t>
      </w:r>
      <w:r>
        <w:rPr>
          <w:rFonts w:ascii="Arial" w:cs="Arial" w:eastAsia="Arial" w:hAnsi="Arial"/>
          <w:sz w:val="19"/>
          <w:szCs w:val="19"/>
          <w:color w:val="000000"/>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45" w:lineRule="exact"/>
        <w:rPr>
          <w:sz w:val="20"/>
          <w:szCs w:val="20"/>
          <w:color w:val="auto"/>
        </w:rPr>
      </w:pPr>
    </w:p>
    <w:p>
      <w:pPr>
        <w:ind w:right="1320"/>
        <w:spacing w:after="0" w:line="300" w:lineRule="auto"/>
        <w:rPr>
          <w:sz w:val="20"/>
          <w:szCs w:val="20"/>
          <w:color w:val="auto"/>
        </w:rPr>
      </w:pPr>
      <w:r>
        <w:rPr>
          <w:rFonts w:ascii="Arial" w:cs="Arial" w:eastAsia="Arial" w:hAnsi="Arial"/>
          <w:sz w:val="20"/>
          <w:szCs w:val="20"/>
          <w:color w:val="221E1F"/>
        </w:rPr>
        <w:t>SAR Awards do not in any way affect the right of the Corporation or its shareowners to effect: (i) any adjustments, recapitalizations, reorganizations or other changes in the Corporation’s capital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090" w:right="339" w:bottom="1440" w:gutter="0" w:footer="0" w:header="0"/>
        </w:sectPr>
      </w:pPr>
    </w:p>
    <w:bookmarkStart w:id="76" w:name="page77"/>
    <w:bookmarkEnd w:id="76"/>
    <w:p>
      <w:pPr>
        <w:spacing w:after="0" w:line="273" w:lineRule="auto"/>
        <w:rPr>
          <w:sz w:val="20"/>
          <w:szCs w:val="20"/>
          <w:color w:val="auto"/>
        </w:rPr>
      </w:pPr>
      <w:r>
        <w:rPr>
          <w:rFonts w:ascii="Arial" w:cs="Arial" w:eastAsia="Arial" w:hAnsi="Arial"/>
          <w:sz w:val="20"/>
          <w:szCs w:val="20"/>
          <w:color w:val="221E1F"/>
        </w:rPr>
        <w:t>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31"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subject to the SAR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w:t>
      </w:r>
      <w:r>
        <w:rPr>
          <w:rFonts w:ascii="Arial" w:cs="Arial" w:eastAsia="Arial" w:hAnsi="Arial"/>
          <w:sz w:val="20"/>
          <w:szCs w:val="20"/>
          <w:color w:val="221E1F"/>
        </w:rPr>
        <w:t xml:space="preserve"> </w:t>
      </w:r>
      <w:r>
        <w:rPr>
          <w:rFonts w:ascii="Arial" w:cs="Arial" w:eastAsia="Arial" w:hAnsi="Arial"/>
          <w:sz w:val="20"/>
          <w:szCs w:val="20"/>
          <w:color w:val="211F1F"/>
        </w:rPr>
        <w:t xml:space="preserve">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w:t>
      </w:r>
      <w:r>
        <w:rPr>
          <w:rFonts w:ascii="Arial" w:cs="Arial" w:eastAsia="Arial" w:hAnsi="Arial"/>
          <w:sz w:val="20"/>
          <w:szCs w:val="20"/>
          <w:color w:val="211F1F"/>
        </w:rPr>
        <w:t xml:space="preserve"> </w:t>
      </w:r>
      <w:r>
        <w:rPr>
          <w:rFonts w:ascii="Arial" w:cs="Arial" w:eastAsia="Arial" w:hAnsi="Arial"/>
          <w:sz w:val="20"/>
          <w:szCs w:val="20"/>
          <w:color w:val="221E1F"/>
        </w:rPr>
        <w:t>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6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211F1F"/>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45"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SAR Award, whether voluntary or involuntary, by operation of law or otherwise, is permitted except by will or the laws of descent and distribution. Any other </w:t>
      </w:r>
      <w:r>
        <w:rPr>
          <w:rFonts w:ascii="Arial" w:cs="Arial" w:eastAsia="Arial" w:hAnsi="Arial"/>
          <w:sz w:val="20"/>
          <w:szCs w:val="20"/>
          <w:color w:val="221E1F"/>
        </w:rPr>
        <w:t>attempt to assign such rights or interest shall be void and without force or effect.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31" w:lineRule="exact"/>
        <w:rPr>
          <w:sz w:val="20"/>
          <w:szCs w:val="20"/>
          <w:color w:val="auto"/>
        </w:rPr>
      </w:pPr>
    </w:p>
    <w:p>
      <w:pPr>
        <w:ind w:right="120"/>
        <w:spacing w:after="0" w:line="30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3" w:right="339" w:bottom="1440" w:gutter="0" w:footer="0" w:header="0"/>
        </w:sectPr>
      </w:pPr>
    </w:p>
    <w:bookmarkStart w:id="77" w:name="page78"/>
    <w:bookmarkEnd w:id="77"/>
    <w:p>
      <w:pPr>
        <w:ind w:right="200"/>
        <w:spacing w:after="0" w:line="300" w:lineRule="auto"/>
        <w:rPr>
          <w:sz w:val="20"/>
          <w:szCs w:val="20"/>
          <w:color w:val="auto"/>
        </w:rPr>
      </w:pPr>
      <w:r>
        <w:rPr>
          <w:rFonts w:ascii="Arial" w:cs="Arial" w:eastAsia="Arial" w:hAnsi="Arial"/>
          <w:sz w:val="20"/>
          <w:szCs w:val="20"/>
          <w:color w:val="221E1F"/>
        </w:rPr>
        <w:t>will not be taken into account as compensation for purposes of any of the employee benefit plans of the Company. Awards are made at the discretion of the Committee. Receipt of a current Award does not guarantee receipt of a future Award.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31" w:lineRule="exact"/>
        <w:rPr>
          <w:sz w:val="20"/>
          <w:szCs w:val="20"/>
          <w:color w:val="auto"/>
        </w:rPr>
      </w:pPr>
    </w:p>
    <w:p>
      <w:pPr>
        <w:jc w:val="both"/>
        <w:ind w:right="100"/>
        <w:spacing w:after="0" w:line="269"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the Chief Human Resources Officer and the Corporate Vice President, Total Rewards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31" w:lineRule="exact"/>
        <w:rPr>
          <w:sz w:val="20"/>
          <w:szCs w:val="20"/>
          <w:color w:val="auto"/>
        </w:rPr>
      </w:pPr>
    </w:p>
    <w:p>
      <w:pPr>
        <w:ind w:right="80"/>
        <w:spacing w:after="0" w:line="269"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45" w:lineRule="exact"/>
        <w:rPr>
          <w:sz w:val="20"/>
          <w:szCs w:val="20"/>
          <w:color w:val="auto"/>
        </w:rPr>
      </w:pPr>
    </w:p>
    <w:p>
      <w:pPr>
        <w:ind w:right="320"/>
        <w:spacing w:after="0" w:line="300" w:lineRule="auto"/>
        <w:rPr>
          <w:sz w:val="20"/>
          <w:szCs w:val="20"/>
          <w:color w:val="auto"/>
        </w:rPr>
      </w:pPr>
      <w:r>
        <w:rPr>
          <w:rFonts w:ascii="Arial" w:cs="Arial" w:eastAsia="Arial" w:hAnsi="Arial"/>
          <w:sz w:val="20"/>
          <w:szCs w:val="20"/>
          <w:color w:val="221E1F"/>
        </w:rPr>
        <w:t>This Schedule of Terms provides a summary of terms applicable to the SAR Award. This Schedule of Terms and each Award Agreement are subject in all respects to the terms of the LTIP, available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3" w:right="339" w:bottom="1440" w:gutter="0" w:footer="0" w:header="0"/>
        </w:sectPr>
      </w:pPr>
    </w:p>
    <w:bookmarkStart w:id="78" w:name="page79"/>
    <w:bookmarkEnd w:id="78"/>
    <w:p>
      <w:pPr>
        <w:ind w:right="20"/>
        <w:spacing w:after="0" w:line="268" w:lineRule="auto"/>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w:t>
      </w:r>
      <w:r>
        <w:rPr>
          <w:rFonts w:ascii="Arial" w:cs="Arial" w:eastAsia="Arial" w:hAnsi="Arial"/>
          <w:sz w:val="20"/>
          <w:szCs w:val="20"/>
          <w:color w:val="0000FF"/>
        </w:rPr>
        <w:t xml:space="preserve"> </w:t>
      </w:r>
      <w:r>
        <w:rPr>
          <w:rFonts w:ascii="Arial" w:cs="Arial" w:eastAsia="Arial" w:hAnsi="Arial"/>
          <w:sz w:val="20"/>
          <w:szCs w:val="20"/>
          <w:color w:val="221E1F"/>
        </w:rPr>
        <w:t>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45" w:lineRule="exact"/>
        <w:rPr>
          <w:sz w:val="20"/>
          <w:szCs w:val="20"/>
          <w:color w:val="auto"/>
        </w:rPr>
      </w:pPr>
    </w:p>
    <w:p>
      <w:pPr>
        <w:ind w:right="60"/>
        <w:spacing w:after="0" w:line="300"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line="225" w:lineRule="auto"/>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25"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10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Raytheon Technologies Corporation</w:t>
      </w: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Non-Qualified Stock Option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Non-Qualified Stock Option Award (the “Option Award” or the “Award”) granted under the Raytheon Technologies Corporation 2018 Long-Term Incentive Plan, as amended and restated effective April 26, 2021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04" w:right="339" w:bottom="1440" w:gutter="0" w:footer="0" w:header="0"/>
        </w:sectPr>
      </w:pPr>
    </w:p>
    <w:bookmarkStart w:id="80" w:name="page81"/>
    <w:bookmarkEnd w:id="80"/>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A Non-qualified Stock Option (an “Option”) represents the right to purchase a specified number of shares of Common Stock of Raytheon Technologies Corporation (the “Common Stock”) for a specified price (the “Grant Price”). Upon exercise, the Participant generally receives shares of Common Stock. Options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Raytheon Technologies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Capitalized terms not otherwise defined in this Schedule of Terms have the same meaning as defined in the LTIP.</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 xml:space="preserve">The number of Options awarded and the </w:t>
      </w:r>
      <w:r>
        <w:rPr>
          <w:rFonts w:ascii="Arial" w:cs="Arial" w:eastAsia="Arial" w:hAnsi="Arial"/>
          <w:sz w:val="19"/>
          <w:szCs w:val="19"/>
          <w:color w:val="221E1F"/>
        </w:rPr>
        <w:t>Option</w:t>
      </w:r>
      <w:r>
        <w:rPr>
          <w:rFonts w:ascii="Arial" w:cs="Arial" w:eastAsia="Arial" w:hAnsi="Arial"/>
          <w:sz w:val="19"/>
          <w:szCs w:val="19"/>
          <w:color w:val="auto"/>
        </w:rPr>
        <w:t xml:space="preserve"> 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 xml:space="preserve">Participants must acknowledge and accept the terms and conditions of this Option Award electronically via the UBS </w:t>
      </w:r>
      <w:r>
        <w:rPr>
          <w:rFonts w:ascii="Arial" w:cs="Arial" w:eastAsia="Arial" w:hAnsi="Arial"/>
          <w:sz w:val="19"/>
          <w:szCs w:val="19"/>
          <w:i w:val="1"/>
          <w:iCs w:val="1"/>
          <w:color w:val="auto"/>
        </w:rPr>
        <w:t>One Source</w:t>
      </w:r>
      <w:r>
        <w:rPr>
          <w:rFonts w:ascii="Arial" w:cs="Arial" w:eastAsia="Arial" w:hAnsi="Arial"/>
          <w:sz w:val="19"/>
          <w:szCs w:val="19"/>
          <w:color w:val="auto"/>
        </w:rPr>
        <w:t xml:space="preserve"> website at </w:t>
      </w:r>
      <w:r>
        <w:rPr>
          <w:rFonts w:ascii="Arial" w:cs="Arial" w:eastAsia="Arial" w:hAnsi="Arial"/>
          <w:sz w:val="19"/>
          <w:szCs w:val="19"/>
          <w:u w:val="single" w:color="auto"/>
          <w:color w:val="0000FF"/>
        </w:rPr>
        <w:t>www.ubs.com/onesource/rtx</w:t>
      </w:r>
      <w:r>
        <w:rPr>
          <w:rFonts w:ascii="Calibri" w:cs="Calibri" w:eastAsia="Calibri" w:hAnsi="Calibri"/>
          <w:sz w:val="20"/>
          <w:szCs w:val="20"/>
          <w:color w:val="auto"/>
        </w:rPr>
        <w:t>.</w:t>
      </w:r>
      <w:r>
        <w:rPr>
          <w:rFonts w:ascii="Arial" w:cs="Arial" w:eastAsia="Arial" w:hAnsi="Arial"/>
          <w:sz w:val="19"/>
          <w:szCs w:val="19"/>
          <w:color w:val="auto"/>
        </w:rPr>
        <w:t xml:space="preserve"> Participants based in certain countries may be required to acknowledge and accept the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terms and conditions of this Option Award by signing and returning the designated hard copy portion of the Award Agreement to the Stock Plan Administrator. These countries currently include Russia, Turkey, Hungary, and Slovenia.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8"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221E1F"/>
        </w:rPr>
        <w:t>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221E1F"/>
        </w:rPr>
        <w:t>Options may be exercised on or after the vesting date until the earlier of the:</w:t>
      </w:r>
    </w:p>
    <w:p>
      <w:pPr>
        <w:spacing w:after="0" w:line="216"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Stock Options and all associated rights lapse; or</w:t>
      </w:r>
    </w:p>
    <w:p>
      <w:pPr>
        <w:spacing w:after="0" w:line="215" w:lineRule="exact"/>
        <w:rPr>
          <w:rFonts w:ascii="Arial" w:cs="Arial" w:eastAsia="Arial" w:hAnsi="Arial"/>
          <w:sz w:val="20"/>
          <w:szCs w:val="20"/>
          <w:color w:val="221E1F"/>
        </w:rPr>
      </w:pPr>
    </w:p>
    <w:p>
      <w:pPr>
        <w:ind w:left="280" w:hanging="272"/>
        <w:spacing w:after="0"/>
        <w:tabs>
          <w:tab w:leader="none" w:pos="280" w:val="left"/>
        </w:tabs>
        <w:numPr>
          <w:ilvl w:val="0"/>
          <w:numId w:val="24"/>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216"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221E1F"/>
        </w:rPr>
        <w:t xml:space="preserve">Options </w:t>
      </w:r>
      <w:r>
        <w:rPr>
          <w:rFonts w:ascii="Arial" w:cs="Arial" w:eastAsia="Arial" w:hAnsi="Arial"/>
          <w:sz w:val="20"/>
          <w:szCs w:val="20"/>
          <w:color w:val="000000"/>
        </w:rPr>
        <w:t>may also be forfeited and value realized from exercised</w:t>
      </w:r>
      <w:r>
        <w:rPr>
          <w:rFonts w:ascii="Arial" w:cs="Arial" w:eastAsia="Arial" w:hAnsi="Arial"/>
          <w:sz w:val="20"/>
          <w:szCs w:val="20"/>
          <w:color w:val="221E1F"/>
        </w:rPr>
        <w:t xml:space="preserve"> Options </w:t>
      </w:r>
      <w:r>
        <w:rPr>
          <w:rFonts w:ascii="Arial" w:cs="Arial" w:eastAsia="Arial" w:hAnsi="Arial"/>
          <w:sz w:val="20"/>
          <w:szCs w:val="20"/>
          <w:color w:val="000000"/>
        </w:rPr>
        <w:t>may be recouped by the Company under certain</w:t>
      </w:r>
      <w:r>
        <w:rPr>
          <w:rFonts w:ascii="Arial" w:cs="Arial" w:eastAsia="Arial" w:hAnsi="Arial"/>
          <w:sz w:val="20"/>
          <w:szCs w:val="20"/>
          <w:color w:val="221E1F"/>
        </w:rPr>
        <w:t xml:space="preserve"> </w:t>
      </w:r>
      <w:r>
        <w:rPr>
          <w:rFonts w:ascii="Arial" w:cs="Arial" w:eastAsia="Arial" w:hAnsi="Arial"/>
          <w:sz w:val="20"/>
          <w:szCs w:val="20"/>
          <w:color w:val="000000"/>
        </w:rPr>
        <w:t>circumstances (see “Forfeiture of Award and Repayment of Realized Gains” below).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221E1F"/>
        </w:rPr>
        <w:t xml:space="preserve">An Option is the right to </w:t>
      </w:r>
      <w:r>
        <w:rPr>
          <w:rFonts w:ascii="Arial" w:cs="Arial" w:eastAsia="Arial" w:hAnsi="Arial"/>
          <w:sz w:val="20"/>
          <w:szCs w:val="20"/>
          <w:color w:val="000000"/>
        </w:rPr>
        <w:t>purchase a specified number of shares of</w:t>
      </w:r>
      <w:r>
        <w:rPr>
          <w:rFonts w:ascii="Arial" w:cs="Arial" w:eastAsia="Arial" w:hAnsi="Arial"/>
          <w:sz w:val="20"/>
          <w:szCs w:val="20"/>
          <w:color w:val="221E1F"/>
        </w:rPr>
        <w:t xml:space="preserve"> Common Stock </w:t>
      </w:r>
      <w:r>
        <w:rPr>
          <w:rFonts w:ascii="Arial" w:cs="Arial" w:eastAsia="Arial" w:hAnsi="Arial"/>
          <w:sz w:val="20"/>
          <w:szCs w:val="20"/>
          <w:color w:val="000000"/>
        </w:rPr>
        <w:t>for a specified price,</w:t>
      </w:r>
      <w:r>
        <w:rPr>
          <w:rFonts w:ascii="Arial" w:cs="Arial" w:eastAsia="Arial" w:hAnsi="Arial"/>
          <w:sz w:val="20"/>
          <w:szCs w:val="20"/>
          <w:color w:val="221E1F"/>
        </w:rPr>
        <w:t xml:space="preserve"> subject to continued employment and certain other conditions. The holder of an Option has no voting, dividend, or other rights accorded to owners of Common Stock, unless and until Options are exercised and settled in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8"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221E1F"/>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spacing w:after="0" w:line="181"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Company to the Participant with respect to expiration is provided as a courtesy only.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8"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221E1F"/>
        </w:rPr>
        <w:t>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w:t>
      </w:r>
    </w:p>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Options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71"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55" w:lineRule="exact"/>
        <w:rPr>
          <w:sz w:val="20"/>
          <w:szCs w:val="20"/>
          <w:color w:val="auto"/>
        </w:rPr>
      </w:pPr>
    </w:p>
    <w:p>
      <w:pPr>
        <w:ind w:left="700" w:hanging="368"/>
        <w:spacing w:after="0"/>
        <w:tabs>
          <w:tab w:leader="none" w:pos="700" w:val="left"/>
        </w:tabs>
        <w:numPr>
          <w:ilvl w:val="0"/>
          <w:numId w:val="26"/>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14" w:lineRule="exact"/>
        <w:rPr>
          <w:rFonts w:ascii="Times New Roman" w:cs="Times New Roman" w:eastAsia="Times New Roman" w:hAnsi="Times New Roman"/>
          <w:sz w:val="20"/>
          <w:szCs w:val="20"/>
          <w:color w:val="221E1F"/>
        </w:rPr>
      </w:pPr>
    </w:p>
    <w:p>
      <w:pPr>
        <w:ind w:left="1300" w:hanging="320"/>
        <w:spacing w:after="0"/>
        <w:tabs>
          <w:tab w:leader="none" w:pos="1300" w:val="left"/>
        </w:tabs>
        <w:numPr>
          <w:ilvl w:val="1"/>
          <w:numId w:val="26"/>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11" w:lineRule="exact"/>
        <w:rPr>
          <w:rFonts w:ascii="Courier New" w:cs="Courier New" w:eastAsia="Courier New" w:hAnsi="Courier New"/>
          <w:sz w:val="20"/>
          <w:szCs w:val="20"/>
          <w:color w:val="221E1F"/>
        </w:rPr>
      </w:pPr>
    </w:p>
    <w:p>
      <w:pPr>
        <w:ind w:left="1300" w:right="180" w:hanging="320"/>
        <w:spacing w:after="0" w:line="267" w:lineRule="auto"/>
        <w:tabs>
          <w:tab w:leader="none" w:pos="1300" w:val="left"/>
        </w:tabs>
        <w:numPr>
          <w:ilvl w:val="1"/>
          <w:numId w:val="26"/>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Options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3557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355727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92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20"/>
                <w:szCs w:val="20"/>
                <w:b w:val="1"/>
                <w:bCs w:val="1"/>
                <w:color w:val="221E1F"/>
                <w:w w:val="98"/>
              </w:rPr>
              <w:t>Company Consents to Early</w:t>
            </w:r>
          </w:p>
        </w:tc>
        <w:tc>
          <w:tcPr>
            <w:tcW w:w="5400" w:type="dxa"/>
            <w:vAlign w:val="bottom"/>
            <w:tcBorders>
              <w:top w:val="single" w:sz="8" w:color="auto"/>
            </w:tcBorders>
            <w:vMerge w:val="restart"/>
          </w:tcPr>
          <w:p>
            <w:pPr>
              <w:ind w:left="194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65"/>
        </w:trPr>
        <w:tc>
          <w:tcPr>
            <w:tcW w:w="2940" w:type="dxa"/>
            <w:vAlign w:val="bottom"/>
            <w:tcBorders>
              <w:right w:val="single" w:sz="8" w:color="auto"/>
            </w:tcBorders>
            <w:vMerge w:val="continue"/>
          </w:tcPr>
          <w:p>
            <w:pPr>
              <w:spacing w:after="0"/>
              <w:rPr>
                <w:sz w:val="14"/>
                <w:szCs w:val="14"/>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rPr>
              <w:t>Retirement *</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940" w:type="dxa"/>
            <w:vAlign w:val="bottom"/>
            <w:tcBorders>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N/A</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181"/>
        </w:trPr>
        <w:tc>
          <w:tcPr>
            <w:tcW w:w="2940" w:type="dxa"/>
            <w:vAlign w:val="bottom"/>
            <w:tcBorders>
              <w:right w:val="single" w:sz="8" w:color="auto"/>
            </w:tcBorders>
            <w:vMerge w:val="continue"/>
          </w:tcPr>
          <w:p>
            <w:pPr>
              <w:spacing w:after="0"/>
              <w:rPr>
                <w:sz w:val="15"/>
                <w:szCs w:val="15"/>
                <w:color w:val="auto"/>
              </w:rPr>
            </w:pPr>
          </w:p>
        </w:tc>
        <w:tc>
          <w:tcPr>
            <w:tcW w:w="2920" w:type="dxa"/>
            <w:vAlign w:val="bottom"/>
            <w:tcBorders>
              <w:right w:val="single" w:sz="8" w:color="auto"/>
            </w:tcBorders>
            <w:vMerge w:val="continue"/>
          </w:tcPr>
          <w:p>
            <w:pPr>
              <w:spacing w:after="0"/>
              <w:rPr>
                <w:sz w:val="15"/>
                <w:szCs w:val="15"/>
                <w:color w:val="auto"/>
              </w:rPr>
            </w:pP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right w:val="single" w:sz="8" w:color="auto"/>
            </w:tcBorders>
          </w:tcPr>
          <w:p>
            <w:pPr>
              <w:spacing w:after="0"/>
              <w:rPr>
                <w:sz w:val="16"/>
                <w:szCs w:val="16"/>
                <w:color w:val="auto"/>
              </w:rPr>
            </w:pPr>
          </w:p>
        </w:tc>
        <w:tc>
          <w:tcPr>
            <w:tcW w:w="2920" w:type="dxa"/>
            <w:vAlign w:val="bottom"/>
            <w:tcBorders>
              <w:bottom w:val="single" w:sz="8" w:color="auto"/>
              <w:right w:val="single" w:sz="8" w:color="auto"/>
            </w:tcBorders>
          </w:tcPr>
          <w:p>
            <w:pPr>
              <w:spacing w:after="0"/>
              <w:rPr>
                <w:sz w:val="16"/>
                <w:szCs w:val="16"/>
                <w:color w:val="auto"/>
              </w:rPr>
            </w:pPr>
          </w:p>
        </w:tc>
        <w:tc>
          <w:tcPr>
            <w:tcW w:w="5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130"/>
        </w:trPr>
        <w:tc>
          <w:tcPr>
            <w:tcW w:w="2940" w:type="dxa"/>
            <w:vAlign w:val="bottom"/>
            <w:tcBorders>
              <w:right w:val="single" w:sz="8" w:color="auto"/>
            </w:tcBorders>
            <w:vMerge w:val="continue"/>
          </w:tcPr>
          <w:p>
            <w:pPr>
              <w:spacing w:after="0"/>
              <w:rPr>
                <w:sz w:val="11"/>
                <w:szCs w:val="11"/>
                <w:color w:val="auto"/>
              </w:rPr>
            </w:pPr>
          </w:p>
        </w:tc>
        <w:tc>
          <w:tcPr>
            <w:tcW w:w="2920" w:type="dxa"/>
            <w:vAlign w:val="bottom"/>
            <w:tcBorders>
              <w:right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221E1F"/>
                <w:w w:val="99"/>
              </w:rPr>
              <w:t>55 + 10 years of continuous</w:t>
            </w:r>
          </w:p>
        </w:tc>
        <w:tc>
          <w:tcPr>
            <w:tcW w:w="2920" w:type="dxa"/>
            <w:vAlign w:val="bottom"/>
            <w:tcBorders>
              <w:bottom w:val="single" w:sz="8" w:color="auto"/>
              <w:right w:val="single" w:sz="8" w:color="auto"/>
            </w:tcBorders>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0"/>
                <w:szCs w:val="20"/>
                <w:color w:val="221E1F"/>
                <w:w w:val="98"/>
              </w:rPr>
              <w:t>service as of the Termination</w:t>
            </w:r>
          </w:p>
        </w:tc>
        <w:tc>
          <w:tcPr>
            <w:tcW w:w="2920" w:type="dxa"/>
            <w:vAlign w:val="bottom"/>
            <w:tcBorders>
              <w:right w:val="single" w:sz="8" w:color="auto"/>
            </w:tcBorders>
          </w:tcPr>
          <w:p>
            <w:pPr>
              <w:spacing w:after="0"/>
              <w:rPr>
                <w:sz w:val="17"/>
                <w:szCs w:val="17"/>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127"/>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Date</w:t>
            </w:r>
          </w:p>
        </w:tc>
        <w:tc>
          <w:tcPr>
            <w:tcW w:w="2920" w:type="dxa"/>
            <w:vAlign w:val="bottom"/>
            <w:tcBorders>
              <w:right w:val="single" w:sz="8" w:color="auto"/>
            </w:tcBorders>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40" w:type="dxa"/>
            <w:vAlign w:val="bottom"/>
            <w:tcBorders>
              <w:right w:val="single" w:sz="8" w:color="auto"/>
            </w:tcBorders>
            <w:vMerge w:val="continue"/>
          </w:tcPr>
          <w:p>
            <w:pPr>
              <w:spacing w:after="0"/>
              <w:rPr>
                <w:sz w:val="11"/>
                <w:szCs w:val="11"/>
                <w:color w:val="auto"/>
              </w:rPr>
            </w:pPr>
          </w:p>
        </w:tc>
        <w:tc>
          <w:tcPr>
            <w:tcW w:w="292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20"/>
                <w:szCs w:val="20"/>
                <w:color w:val="221E1F"/>
              </w:rPr>
              <w:t>No</w:t>
            </w:r>
          </w:p>
        </w:tc>
        <w:tc>
          <w:tcPr>
            <w:tcW w:w="5400" w:type="dxa"/>
            <w:vAlign w:val="bottom"/>
            <w:vMerge w:val="restart"/>
          </w:tcPr>
          <w:p>
            <w:pPr>
              <w:ind w:left="20"/>
              <w:spacing w:after="0" w:line="203" w:lineRule="exact"/>
              <w:rPr>
                <w:sz w:val="20"/>
                <w:szCs w:val="20"/>
                <w:color w:val="auto"/>
              </w:rPr>
            </w:pPr>
            <w:r>
              <w:rPr>
                <w:rFonts w:ascii="Arial" w:cs="Arial" w:eastAsia="Arial" w:hAnsi="Arial"/>
                <w:sz w:val="20"/>
                <w:szCs w:val="20"/>
                <w:color w:val="221E1F"/>
              </w:rPr>
              <w:t>Termination Date or until the expiration of the Stock Option,</w:t>
            </w:r>
          </w:p>
        </w:tc>
        <w:tc>
          <w:tcPr>
            <w:tcW w:w="0" w:type="dxa"/>
            <w:vAlign w:val="bottom"/>
          </w:tcPr>
          <w:p>
            <w:pPr>
              <w:spacing w:after="0"/>
              <w:rPr>
                <w:sz w:val="1"/>
                <w:szCs w:val="1"/>
                <w:color w:val="auto"/>
              </w:rPr>
            </w:pPr>
          </w:p>
        </w:tc>
      </w:tr>
      <w:tr>
        <w:trPr>
          <w:trHeight w:val="68"/>
        </w:trPr>
        <w:tc>
          <w:tcPr>
            <w:tcW w:w="2940" w:type="dxa"/>
            <w:vAlign w:val="bottom"/>
            <w:tcBorders>
              <w:right w:val="single" w:sz="8" w:color="auto"/>
            </w:tcBorders>
          </w:tcPr>
          <w:p>
            <w:pPr>
              <w:spacing w:after="0"/>
              <w:rPr>
                <w:sz w:val="5"/>
                <w:szCs w:val="5"/>
                <w:color w:val="auto"/>
              </w:rPr>
            </w:pPr>
          </w:p>
        </w:tc>
        <w:tc>
          <w:tcPr>
            <w:tcW w:w="2920" w:type="dxa"/>
            <w:vAlign w:val="bottom"/>
            <w:tcBorders>
              <w:right w:val="single" w:sz="8" w:color="auto"/>
            </w:tcBorders>
            <w:vMerge w:val="continue"/>
          </w:tcPr>
          <w:p>
            <w:pPr>
              <w:spacing w:after="0"/>
              <w:rPr>
                <w:sz w:val="5"/>
                <w:szCs w:val="5"/>
                <w:color w:val="auto"/>
              </w:rPr>
            </w:pPr>
          </w:p>
        </w:tc>
        <w:tc>
          <w:tcPr>
            <w:tcW w:w="5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94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52"/>
        </w:trPr>
        <w:tc>
          <w:tcPr>
            <w:tcW w:w="2940" w:type="dxa"/>
            <w:vAlign w:val="bottom"/>
            <w:tcBorders>
              <w:bottom w:val="single" w:sz="8" w:color="auto"/>
              <w:right w:val="single" w:sz="8" w:color="auto"/>
            </w:tcBorders>
          </w:tcPr>
          <w:p>
            <w:pPr>
              <w:spacing w:after="0"/>
              <w:rPr>
                <w:sz w:val="13"/>
                <w:szCs w:val="13"/>
                <w:color w:val="auto"/>
              </w:rPr>
            </w:pPr>
          </w:p>
        </w:tc>
        <w:tc>
          <w:tcPr>
            <w:tcW w:w="2920" w:type="dxa"/>
            <w:vAlign w:val="bottom"/>
            <w:tcBorders>
              <w:bottom w:val="single" w:sz="8" w:color="auto"/>
              <w:right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294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for five (5) years following the</w:t>
            </w:r>
          </w:p>
        </w:tc>
        <w:tc>
          <w:tcPr>
            <w:tcW w:w="0" w:type="dxa"/>
            <w:vAlign w:val="bottom"/>
          </w:tcPr>
          <w:p>
            <w:pPr>
              <w:spacing w:after="0"/>
              <w:rPr>
                <w:sz w:val="1"/>
                <w:szCs w:val="1"/>
                <w:color w:val="auto"/>
              </w:rPr>
            </w:pPr>
          </w:p>
        </w:tc>
      </w:tr>
      <w:tr>
        <w:trPr>
          <w:trHeight w:val="203"/>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vMerge w:val="continue"/>
          </w:tcPr>
          <w:p>
            <w:pPr>
              <w:spacing w:after="0"/>
              <w:rPr>
                <w:sz w:val="17"/>
                <w:szCs w:val="17"/>
                <w:color w:val="auto"/>
              </w:rPr>
            </w:pPr>
          </w:p>
        </w:tc>
        <w:tc>
          <w:tcPr>
            <w:tcW w:w="5400" w:type="dxa"/>
            <w:vAlign w:val="bottom"/>
          </w:tcPr>
          <w:p>
            <w:pPr>
              <w:ind w:left="20"/>
              <w:spacing w:after="0" w:line="203" w:lineRule="exact"/>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197"/>
        </w:trPr>
        <w:tc>
          <w:tcPr>
            <w:tcW w:w="2940" w:type="dxa"/>
            <w:vAlign w:val="bottom"/>
            <w:tcBorders>
              <w:right w:val="single" w:sz="8" w:color="auto"/>
            </w:tcBorders>
            <w:vMerge w:val="continue"/>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5400" w:type="dxa"/>
            <w:vAlign w:val="bottom"/>
          </w:tcPr>
          <w:p>
            <w:pPr>
              <w:ind w:left="20"/>
              <w:spacing w:after="0" w:line="197" w:lineRule="exact"/>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94"/>
        </w:trPr>
        <w:tc>
          <w:tcPr>
            <w:tcW w:w="29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20"/>
                <w:szCs w:val="20"/>
                <w:color w:val="221E1F"/>
                <w:w w:val="98"/>
              </w:rPr>
              <w:t>50, but prior to age 55 + years of</w:t>
            </w:r>
          </w:p>
        </w:tc>
        <w:tc>
          <w:tcPr>
            <w:tcW w:w="2920" w:type="dxa"/>
            <w:vAlign w:val="bottom"/>
            <w:tcBorders>
              <w:right w:val="single" w:sz="8" w:color="auto"/>
            </w:tcBorders>
          </w:tcPr>
          <w:p>
            <w:pPr>
              <w:spacing w:after="0"/>
              <w:rPr>
                <w:sz w:val="16"/>
                <w:szCs w:val="16"/>
                <w:color w:val="auto"/>
              </w:rPr>
            </w:pP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Borders>
              <w:right w:val="single" w:sz="8" w:color="auto"/>
            </w:tcBorders>
            <w:vMerge w:val="restart"/>
          </w:tcPr>
          <w:p>
            <w:pPr>
              <w:jc w:val="center"/>
              <w:spacing w:after="0" w:line="197" w:lineRule="exact"/>
              <w:rPr>
                <w:sz w:val="20"/>
                <w:szCs w:val="20"/>
                <w:color w:val="auto"/>
              </w:rPr>
            </w:pPr>
            <w:r>
              <w:rPr>
                <w:rFonts w:ascii="Arial" w:cs="Arial" w:eastAsia="Arial" w:hAnsi="Arial"/>
                <w:sz w:val="20"/>
                <w:szCs w:val="20"/>
                <w:color w:val="221E1F"/>
                <w:w w:val="98"/>
              </w:rPr>
              <w:t>service = 65+ as of the</w:t>
            </w: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40" w:type="dxa"/>
            <w:vAlign w:val="bottom"/>
            <w:tcBorders>
              <w:right w:val="single" w:sz="8" w:color="auto"/>
            </w:tcBorders>
            <w:vMerge w:val="continue"/>
          </w:tcPr>
          <w:p>
            <w:pPr>
              <w:spacing w:after="0"/>
              <w:rPr>
                <w:sz w:val="13"/>
                <w:szCs w:val="13"/>
                <w:color w:val="auto"/>
              </w:rPr>
            </w:pPr>
          </w:p>
        </w:tc>
        <w:tc>
          <w:tcPr>
            <w:tcW w:w="2920" w:type="dxa"/>
            <w:vAlign w:val="bottom"/>
            <w:tcBorders>
              <w:right w:val="single" w:sz="8" w:color="auto"/>
            </w:tcBorders>
          </w:tcPr>
          <w:p>
            <w:pPr>
              <w:spacing w:after="0"/>
              <w:rPr>
                <w:sz w:val="13"/>
                <w:szCs w:val="13"/>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189"/>
        </w:trPr>
        <w:tc>
          <w:tcPr>
            <w:tcW w:w="2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221E1F"/>
                <w:w w:val="97"/>
              </w:rPr>
              <w:t>Termination Date</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No</w:t>
            </w: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vMerge w:val="continue"/>
          </w:tcPr>
          <w:p>
            <w:pPr>
              <w:spacing w:after="0"/>
              <w:rPr>
                <w:sz w:val="16"/>
                <w:szCs w:val="16"/>
                <w:color w:val="auto"/>
              </w:rPr>
            </w:pPr>
          </w:p>
        </w:tc>
        <w:tc>
          <w:tcPr>
            <w:tcW w:w="5400" w:type="dxa"/>
            <w:vAlign w:val="bottom"/>
          </w:tcPr>
          <w:p>
            <w:pPr>
              <w:ind w:left="20"/>
              <w:spacing w:after="0" w:line="194" w:lineRule="exact"/>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261"/>
        </w:trPr>
        <w:tc>
          <w:tcPr>
            <w:tcW w:w="294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52"/>
        </w:trPr>
        <w:tc>
          <w:tcPr>
            <w:tcW w:w="2940" w:type="dxa"/>
            <w:vAlign w:val="bottom"/>
            <w:tcBorders>
              <w:bottom w:val="single" w:sz="8" w:color="auto"/>
              <w:right w:val="single" w:sz="8" w:color="auto"/>
            </w:tcBorders>
          </w:tcPr>
          <w:p>
            <w:pPr>
              <w:spacing w:after="0"/>
              <w:rPr>
                <w:sz w:val="13"/>
                <w:szCs w:val="13"/>
                <w:color w:val="auto"/>
              </w:rPr>
            </w:pPr>
          </w:p>
        </w:tc>
        <w:tc>
          <w:tcPr>
            <w:tcW w:w="2920" w:type="dxa"/>
            <w:vAlign w:val="bottom"/>
            <w:tcBorders>
              <w:bottom w:val="single" w:sz="8" w:color="auto"/>
              <w:right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right="560" w:hanging="140"/>
        <w:spacing w:after="0" w:line="287"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328" w:lineRule="exact"/>
        <w:rPr>
          <w:sz w:val="20"/>
          <w:szCs w:val="20"/>
          <w:color w:val="auto"/>
        </w:rPr>
      </w:pPr>
    </w:p>
    <w:p>
      <w:pPr>
        <w:jc w:val="both"/>
        <w:ind w:right="200"/>
        <w:spacing w:after="0" w:line="298"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UTC Savings Plan. The calculation to determine Early Retirement will include partial years, rounded down to the nearest full month.</w:t>
      </w:r>
    </w:p>
    <w:p>
      <w:pPr>
        <w:spacing w:after="0" w:line="146"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54" w:lineRule="exact"/>
        <w:rPr>
          <w:sz w:val="20"/>
          <w:szCs w:val="20"/>
          <w:color w:val="auto"/>
        </w:rPr>
      </w:pPr>
    </w:p>
    <w:p>
      <w:pPr>
        <w:jc w:val="both"/>
        <w:ind w:right="140"/>
        <w:spacing w:after="0" w:line="249"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Options will be forfeited as of the Termination Date regardless of the Participant’s Retirement eligibility. In addition, value realized from previously exercised Option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60"/>
          </w:cols>
          <w:pgMar w:left="320" w:top="1440" w:right="319" w:bottom="1440" w:gutter="0" w:footer="0" w:header="0"/>
        </w:sectPr>
      </w:pPr>
    </w:p>
    <w:bookmarkStart w:id="83" w:name="page84"/>
    <w:bookmarkEnd w:id="83"/>
    <w:p>
      <w:pPr>
        <w:spacing w:after="0" w:line="55"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221E1F"/>
        </w:rPr>
        <w:t>repayment in the event of termination for Cause or certain other occurrences (see “Forfeiture of Award and Repayment of Realized Gains” below).</w:t>
      </w:r>
    </w:p>
    <w:p>
      <w:pPr>
        <w:spacing w:after="0" w:line="16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 w:cs="Arial" w:eastAsia="Arial" w:hAnsi="Arial"/>
          <w:sz w:val="20"/>
          <w:szCs w:val="20"/>
          <w:color w:val="000000"/>
        </w:rPr>
        <w:t>Option</w:t>
      </w:r>
      <w:r>
        <w:rPr>
          <w:rFonts w:ascii="Arial" w:cs="Arial" w:eastAsia="Arial" w:hAnsi="Arial"/>
          <w:sz w:val="20"/>
          <w:szCs w:val="20"/>
          <w:color w:val="221E1F"/>
        </w:rPr>
        <w:t xml:space="preserve"> Award held for at least one year will be based on the number of months worked during the vesting period, including partial months, relative to the full vesting period. Options not vested under this pro-rata vesting formula will be forfeited as of the Termination Date.</w:t>
      </w:r>
    </w:p>
    <w:p>
      <w:pPr>
        <w:spacing w:after="0" w:line="211"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221E1F"/>
        </w:rPr>
        <w:t>Upon involuntary termination for reasons other than Cause, vested Options may be exercised for one (1) year following the Termination Date or until the expiration of the Option, whichever is 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w:t>
      </w:r>
    </w:p>
    <w:p>
      <w:pPr>
        <w:spacing w:after="0" w:line="194"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183" w:lineRule="exact"/>
        <w:rPr>
          <w:sz w:val="20"/>
          <w:szCs w:val="20"/>
          <w:color w:val="auto"/>
        </w:rPr>
      </w:pPr>
    </w:p>
    <w:p>
      <w:pPr>
        <w:ind w:right="480"/>
        <w:spacing w:after="0" w:line="271"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 or its delegate.</w:t>
      </w:r>
    </w:p>
    <w:p>
      <w:pPr>
        <w:spacing w:after="0" w:line="169"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Options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130"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Options may be exercised for up to three (3) years</w:t>
      </w:r>
      <w:r>
        <w:rPr>
          <w:rFonts w:ascii="Arial" w:cs="Arial" w:eastAsia="Arial" w:hAnsi="Arial"/>
          <w:sz w:val="20"/>
          <w:szCs w:val="20"/>
          <w:b w:val="1"/>
          <w:bCs w:val="1"/>
          <w:color w:val="221E1F"/>
        </w:rPr>
        <w:t xml:space="preserve"> </w:t>
      </w:r>
      <w:r>
        <w:rPr>
          <w:rFonts w:ascii="Arial" w:cs="Arial" w:eastAsia="Arial" w:hAnsi="Arial"/>
          <w:sz w:val="20"/>
          <w:szCs w:val="20"/>
          <w:color w:val="221E1F"/>
        </w:rPr>
        <w:t>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w:t>
      </w:r>
    </w:p>
    <w:p>
      <w:pPr>
        <w:spacing w:after="0" w:line="194"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Options will vest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date of death and become exercisable. A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55" w:lineRule="exact"/>
        <w:rPr>
          <w:sz w:val="20"/>
          <w:szCs w:val="20"/>
          <w:color w:val="auto"/>
        </w:rPr>
      </w:pPr>
    </w:p>
    <w:p>
      <w:pPr>
        <w:spacing w:after="0" w:line="245" w:lineRule="auto"/>
        <w:rPr>
          <w:sz w:val="20"/>
          <w:szCs w:val="20"/>
          <w:color w:val="auto"/>
        </w:rPr>
      </w:pPr>
      <w:r>
        <w:rPr>
          <w:rFonts w:ascii="Arial" w:cs="Arial" w:eastAsia="Arial" w:hAnsi="Arial"/>
          <w:sz w:val="20"/>
          <w:szCs w:val="20"/>
          <w:color w:val="221E1F"/>
        </w:rPr>
        <w:t>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20"/>
          <w:szCs w:val="20"/>
          <w:color w:val="221E1F"/>
        </w:rPr>
        <w:t>Different tax rules may apply when the estate or heir exercises the deceased Participant’s Options. A personal tax or financial advisor should be consulted under this scenario.</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 w:cs="Arial" w:eastAsia="Arial" w:hAnsi="Arial"/>
          <w:sz w:val="20"/>
          <w:szCs w:val="20"/>
          <w:color w:val="221E1F"/>
        </w:rPr>
        <w:t>Options</w:t>
      </w:r>
      <w:r>
        <w:rPr>
          <w:rFonts w:ascii="Arial" w:cs="Arial" w:eastAsia="Arial" w:hAnsi="Arial"/>
          <w:sz w:val="20"/>
          <w:szCs w:val="20"/>
          <w:color w:val="auto"/>
        </w:rPr>
        <w:t xml:space="preserve"> will vest and become exercisable as of the Termination Date and all vested </w:t>
      </w:r>
      <w:r>
        <w:rPr>
          <w:rFonts w:ascii="Arial" w:cs="Arial" w:eastAsia="Arial" w:hAnsi="Arial"/>
          <w:sz w:val="20"/>
          <w:szCs w:val="20"/>
          <w:color w:val="221E1F"/>
        </w:rPr>
        <w:t>Options</w:t>
      </w:r>
      <w:r>
        <w:rPr>
          <w:rFonts w:ascii="Arial" w:cs="Arial" w:eastAsia="Arial" w:hAnsi="Arial"/>
          <w:sz w:val="20"/>
          <w:szCs w:val="20"/>
          <w:color w:val="auto"/>
        </w:rPr>
        <w:t xml:space="preserve"> will be exercisable until the third anniversary of the Termination Date (or until the expiration of the </w:t>
      </w:r>
      <w:r>
        <w:rPr>
          <w:rFonts w:ascii="Arial" w:cs="Arial" w:eastAsia="Arial" w:hAnsi="Arial"/>
          <w:sz w:val="20"/>
          <w:szCs w:val="20"/>
          <w:color w:val="221E1F"/>
        </w:rPr>
        <w:t>Option</w:t>
      </w:r>
      <w:r>
        <w:rPr>
          <w:rFonts w:ascii="Arial" w:cs="Arial" w:eastAsia="Arial" w:hAnsi="Arial"/>
          <w:sz w:val="20"/>
          <w:szCs w:val="20"/>
          <w:color w:val="auto"/>
        </w:rPr>
        <w:t>, if earlier).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8"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221E1F"/>
        </w:rPr>
        <w:t xml:space="preserve">Option Awards, including common stock delivered for exercised Options, are subject to the Raytheon Technologies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Options, whether or not vested, will be immediately forfeited and a Participant may be obligated to repay to the Company the value realized from the prior exercise of Options upon the occurrence of any of the following events:</w:t>
      </w:r>
    </w:p>
    <w:p>
      <w:pPr>
        <w:spacing w:after="0" w:line="18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202" w:lineRule="exact"/>
        <w:rPr>
          <w:rFonts w:ascii="Arial" w:cs="Arial" w:eastAsia="Arial" w:hAnsi="Arial"/>
          <w:sz w:val="20"/>
          <w:szCs w:val="20"/>
          <w:color w:val="auto"/>
        </w:rPr>
      </w:pPr>
    </w:p>
    <w:p>
      <w:pPr>
        <w:ind w:left="660" w:right="140" w:hanging="328"/>
        <w:spacing w:after="0" w:line="271" w:lineRule="auto"/>
        <w:tabs>
          <w:tab w:leader="none" w:pos="65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15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02" w:lineRule="exact"/>
        <w:rPr>
          <w:rFonts w:ascii="Arial" w:cs="Arial" w:eastAsia="Arial" w:hAnsi="Arial"/>
          <w:sz w:val="20"/>
          <w:szCs w:val="20"/>
          <w:color w:val="auto"/>
        </w:rPr>
      </w:pPr>
    </w:p>
    <w:p>
      <w:pPr>
        <w:ind w:left="1140" w:right="100" w:hanging="484"/>
        <w:spacing w:after="0" w:line="271" w:lineRule="auto"/>
        <w:tabs>
          <w:tab w:leader="none" w:pos="1134" w:val="left"/>
        </w:tabs>
        <w:numPr>
          <w:ilvl w:val="1"/>
          <w:numId w:val="27"/>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55" w:lineRule="exact"/>
        <w:rPr>
          <w:rFonts w:ascii="Arial" w:cs="Arial" w:eastAsia="Arial" w:hAnsi="Arial"/>
          <w:sz w:val="20"/>
          <w:szCs w:val="20"/>
          <w:color w:val="auto"/>
        </w:rPr>
      </w:pPr>
    </w:p>
    <w:p>
      <w:pPr>
        <w:ind w:left="1140" w:right="60" w:hanging="484"/>
        <w:spacing w:after="0" w:line="271" w:lineRule="auto"/>
        <w:tabs>
          <w:tab w:leader="none" w:pos="1134" w:val="left"/>
        </w:tabs>
        <w:numPr>
          <w:ilvl w:val="1"/>
          <w:numId w:val="27"/>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142"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60" w:right="60" w:hanging="328"/>
        <w:spacing w:after="0" w:line="24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55" w:lineRule="exact"/>
        <w:rPr>
          <w:sz w:val="20"/>
          <w:szCs w:val="20"/>
          <w:color w:val="auto"/>
        </w:rPr>
      </w:pPr>
    </w:p>
    <w:p>
      <w:pPr>
        <w:ind w:left="660" w:right="20"/>
        <w:spacing w:after="0" w:line="248" w:lineRule="auto"/>
        <w:rPr>
          <w:sz w:val="20"/>
          <w:szCs w:val="20"/>
          <w:color w:val="auto"/>
        </w:rPr>
      </w:pPr>
      <w:r>
        <w:rPr>
          <w:rFonts w:ascii="Arial" w:cs="Arial" w:eastAsia="Arial" w:hAnsi="Arial"/>
          <w:sz w:val="20"/>
          <w:szCs w:val="20"/>
          <w:color w:val="auto"/>
        </w:rPr>
        <w:t>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5" w:lineRule="exact"/>
        <w:rPr>
          <w:sz w:val="20"/>
          <w:szCs w:val="20"/>
          <w:color w:val="auto"/>
        </w:rPr>
      </w:pPr>
    </w:p>
    <w:p>
      <w:pPr>
        <w:ind w:left="660" w:right="360" w:hanging="328"/>
        <w:spacing w:after="0" w:line="230" w:lineRule="auto"/>
        <w:tabs>
          <w:tab w:leader="none" w:pos="649" w:val="left"/>
        </w:tabs>
        <w:numPr>
          <w:ilvl w:val="0"/>
          <w:numId w:val="28"/>
        </w:numPr>
        <w:rPr>
          <w:rFonts w:ascii="Arial" w:cs="Arial" w:eastAsia="Arial" w:hAnsi="Arial"/>
          <w:sz w:val="22"/>
          <w:szCs w:val="22"/>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20"/>
          <w:szCs w:val="20"/>
          <w:color w:val="221E1F"/>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spacing w:after="0" w:line="185"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 xml:space="preserve"> </w:t>
      </w:r>
      <w:r>
        <w:rPr>
          <w:rFonts w:ascii="Arial" w:cs="Arial" w:eastAsia="Arial" w:hAnsi="Arial"/>
          <w:sz w:val="20"/>
          <w:szCs w:val="20"/>
          <w:color w:val="000000"/>
        </w:rPr>
        <w:t>and the Raytheon Technologies Corporation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1"/>
          <w:szCs w:val="21"/>
          <w:color w:val="000000"/>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18" w:lineRule="exact"/>
        <w:rPr>
          <w:sz w:val="20"/>
          <w:szCs w:val="20"/>
          <w:color w:val="auto"/>
        </w:rPr>
      </w:pPr>
    </w:p>
    <w:p>
      <w:pPr>
        <w:jc w:val="both"/>
        <w:ind w:right="400"/>
        <w:spacing w:after="0" w:line="268"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Option Awards may be adjusted as determined by the Committee, in its sole discretion.</w:t>
      </w:r>
    </w:p>
    <w:p>
      <w:pPr>
        <w:spacing w:after="0" w:line="159" w:lineRule="exact"/>
        <w:rPr>
          <w:sz w:val="20"/>
          <w:szCs w:val="20"/>
          <w:color w:val="auto"/>
        </w:rPr>
      </w:pPr>
    </w:p>
    <w:p>
      <w:pPr>
        <w:ind w:right="2400"/>
        <w:spacing w:after="0" w:line="25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8" w:lineRule="exact"/>
        <w:rPr>
          <w:sz w:val="20"/>
          <w:szCs w:val="20"/>
          <w:color w:val="auto"/>
        </w:rPr>
      </w:pPr>
    </w:p>
    <w:p>
      <w:pPr>
        <w:spacing w:after="0" w:line="263" w:lineRule="auto"/>
        <w:rPr>
          <w:sz w:val="20"/>
          <w:szCs w:val="20"/>
          <w:color w:val="auto"/>
        </w:rPr>
      </w:pPr>
      <w:r>
        <w:rPr>
          <w:rFonts w:ascii="Arial" w:cs="Arial" w:eastAsia="Arial" w:hAnsi="Arial"/>
          <w:sz w:val="19"/>
          <w:szCs w:val="19"/>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 </w:t>
      </w:r>
      <w:r>
        <w:rPr>
          <w:rFonts w:ascii="Arial" w:cs="Arial" w:eastAsia="Arial" w:hAnsi="Arial"/>
          <w:sz w:val="19"/>
          <w:szCs w:val="19"/>
          <w:u w:val="single" w:color="auto"/>
          <w:color w:val="0000FF"/>
        </w:rPr>
        <w:t>www.ubs.com/onesource/rtx</w:t>
      </w:r>
      <w:r>
        <w:rPr>
          <w:rFonts w:ascii="Arial" w:cs="Arial" w:eastAsia="Arial" w:hAnsi="Arial"/>
          <w:sz w:val="19"/>
          <w:szCs w:val="19"/>
          <w:color w:val="000000"/>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18" w:lineRule="exact"/>
        <w:rPr>
          <w:sz w:val="20"/>
          <w:szCs w:val="20"/>
          <w:color w:val="auto"/>
        </w:rPr>
      </w:pPr>
    </w:p>
    <w:p>
      <w:pPr>
        <w:ind w:right="420"/>
        <w:spacing w:after="0" w:line="245" w:lineRule="auto"/>
        <w:rPr>
          <w:sz w:val="20"/>
          <w:szCs w:val="20"/>
          <w:color w:val="auto"/>
        </w:rPr>
      </w:pPr>
      <w:r>
        <w:rPr>
          <w:rFonts w:ascii="Arial" w:cs="Arial" w:eastAsia="Arial" w:hAnsi="Arial"/>
          <w:sz w:val="20"/>
          <w:szCs w:val="20"/>
          <w:color w:val="221E1F"/>
        </w:rPr>
        <w:t>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221E1F"/>
        </w:rPr>
        <w:t>the Corporation or the rights of the holders of such Common Stock; (iv) the dissolution or liquidation of the Corporation; (v) any sale or transfer of all or any part of its assets or business; or (vi) any other corporate act or proceeding.</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8"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subject to the Option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w:t>
      </w:r>
      <w:r>
        <w:rPr>
          <w:rFonts w:ascii="Arial" w:cs="Arial" w:eastAsia="Arial" w:hAnsi="Arial"/>
          <w:sz w:val="20"/>
          <w:szCs w:val="20"/>
          <w:color w:val="221E1F"/>
        </w:rPr>
        <w:t xml:space="preserve"> </w:t>
      </w:r>
      <w:r>
        <w:rPr>
          <w:rFonts w:ascii="Arial" w:cs="Arial" w:eastAsia="Arial" w:hAnsi="Arial"/>
          <w:sz w:val="20"/>
          <w:szCs w:val="20"/>
          <w:color w:val="211F1F"/>
        </w:rPr>
        <w:t xml:space="preserve">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w:t>
      </w:r>
      <w:r>
        <w:rPr>
          <w:rFonts w:ascii="Arial" w:cs="Arial" w:eastAsia="Arial" w:hAnsi="Arial"/>
          <w:sz w:val="20"/>
          <w:szCs w:val="20"/>
          <w:color w:val="211F1F"/>
        </w:rPr>
        <w:t xml:space="preserve"> </w:t>
      </w:r>
      <w:r>
        <w:rPr>
          <w:rFonts w:ascii="Arial" w:cs="Arial" w:eastAsia="Arial" w:hAnsi="Arial"/>
          <w:sz w:val="20"/>
          <w:szCs w:val="20"/>
          <w:color w:val="221E1F"/>
        </w:rPr>
        <w:t>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w:t>
      </w:r>
      <w:r>
        <w:rPr>
          <w:rFonts w:ascii="Arial" w:cs="Arial" w:eastAsia="Arial" w:hAnsi="Arial"/>
          <w:sz w:val="20"/>
          <w:szCs w:val="20"/>
          <w:color w:val="221E1F"/>
        </w:rPr>
        <w:t>Option</w:t>
      </w:r>
      <w:r>
        <w:rPr>
          <w:rFonts w:ascii="Arial" w:cs="Arial" w:eastAsia="Arial" w:hAnsi="Arial"/>
          <w:sz w:val="20"/>
          <w:szCs w:val="20"/>
          <w:color w:val="000000"/>
        </w:rPr>
        <w:t xml:space="preserve"> Award, whether voluntary or involuntary, by operation of law or otherwise, is permitted except by will or the laws of descent and distribution. Any other </w:t>
      </w:r>
      <w:r>
        <w:rPr>
          <w:rFonts w:ascii="Arial" w:cs="Arial" w:eastAsia="Arial" w:hAnsi="Arial"/>
          <w:sz w:val="20"/>
          <w:szCs w:val="20"/>
          <w:color w:val="221E1F"/>
        </w:rPr>
        <w:t>attempt to assign such rights or interest shall be void and without force or effect.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18" w:lineRule="exact"/>
        <w:rPr>
          <w:sz w:val="20"/>
          <w:szCs w:val="20"/>
          <w:color w:val="auto"/>
        </w:rPr>
      </w:pPr>
    </w:p>
    <w:p>
      <w:pPr>
        <w:jc w:val="both"/>
        <w:ind w:right="80"/>
        <w:spacing w:after="0" w:line="245"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8"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211E1F"/>
        </w:rPr>
        <w:t xml:space="preserve">Nothing in the LTIP or in any </w:t>
      </w:r>
      <w:r>
        <w:rPr>
          <w:rFonts w:ascii="Arial" w:cs="Arial" w:eastAsia="Arial" w:hAnsi="Arial"/>
          <w:sz w:val="20"/>
          <w:szCs w:val="20"/>
          <w:color w:val="221E1F"/>
        </w:rPr>
        <w:t>Option</w:t>
      </w:r>
      <w:r>
        <w:rPr>
          <w:rFonts w:ascii="Arial" w:cs="Arial" w:eastAsia="Arial" w:hAnsi="Arial"/>
          <w:sz w:val="20"/>
          <w:szCs w:val="20"/>
          <w:color w:val="211E1F"/>
        </w:rPr>
        <w:t xml:space="preserve"> Award shall confer upon any Participant the right to continued employment or service for any period of time or affect any right that the Company may have to terminate the employment of any Participant at any time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the Chief Human Resources Officer, and the Corporate Vice President, Total Rewards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8"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04"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221E1F"/>
        </w:rPr>
        <w:t xml:space="preserve">This Schedule of Terms provides a summary of terms applicable to the Option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5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rtxstockadmin@rtx.com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line="225" w:lineRule="auto"/>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25" w:lineRule="exact"/>
        <w:rPr>
          <w:sz w:val="20"/>
          <w:szCs w:val="20"/>
          <w:color w:val="auto"/>
        </w:rPr>
      </w:pPr>
    </w:p>
    <w:p>
      <w:pPr>
        <w:jc w:val="both"/>
        <w:ind w:right="80"/>
        <w:spacing w:after="0" w:line="275"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02/2022</w:t>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RAYTHEON TECHNOLOGIES CORPORATION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PLAN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 OF THE PLAN</w:t>
      </w:r>
    </w:p>
    <w:p>
      <w:pPr>
        <w:spacing w:after="0" w:line="18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The Human Capital &amp; Compensation Committee of the Board of Directors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Raytheon Technologies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“RTX”) recognizes that corporate restructuring, and other organizational changes are often required to more effectively meet the needs of the Company, which creates uncertainty for Company executives that may result in the loss or distraction of executives to the detriment of the Company and its shareholders.</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The Committee considers the avoidance of such loss and distraction to be essential to protecting and enhancing the best interests of the Company and its shareholders.</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Therefore, in order to fulfill the above purposes, this Raytheon Technologies Corporation Executive Severance Plan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has been developed and is hereby adopted to become effective as of April 4,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Certain terms used herein have the definitions given to them in the first place in which they are used. As used herein, the following words and phrases shall have the following respective meanings: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Affiliated Entity</w:t>
      </w:r>
      <w:r>
        <w:rPr>
          <w:rFonts w:ascii="Times New Roman" w:cs="Times New Roman" w:eastAsia="Times New Roman" w:hAnsi="Times New Roman"/>
          <w:sz w:val="21"/>
          <w:szCs w:val="21"/>
          <w:color w:val="auto"/>
        </w:rPr>
        <w:t>” means any entity controlled by, controlling or under common control with the Company.</w:t>
      </w:r>
    </w:p>
    <w:p>
      <w:pPr>
        <w:spacing w:after="0" w:line="179"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Annual Base Salary</w:t>
      </w:r>
      <w:r>
        <w:rPr>
          <w:rFonts w:ascii="Times New Roman" w:cs="Times New Roman" w:eastAsia="Times New Roman" w:hAnsi="Times New Roman"/>
          <w:sz w:val="22"/>
          <w:szCs w:val="22"/>
          <w:color w:val="000000"/>
        </w:rPr>
        <w:t>” means the annual base salary paid or payable, including any base salary that is subject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deferral and reduced to account for part-time status, to the Participant by the Company or any of the Affiliated Entities at the rate in effect immediately prior to the Termination Date.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Continuation Period</w:t>
      </w:r>
      <w:r>
        <w:rPr>
          <w:rFonts w:ascii="Times New Roman" w:cs="Times New Roman" w:eastAsia="Times New Roman" w:hAnsi="Times New Roman"/>
          <w:sz w:val="21"/>
          <w:szCs w:val="21"/>
          <w:color w:val="auto"/>
        </w:rPr>
        <w:t>” means the period of twelve (12) months from the Termination Date.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 “Cause” as defined in the Company’s 2018 Long-Term Incentive Plan, as amended and</w:t>
      </w:r>
    </w:p>
    <w:p>
      <w:pPr>
        <w:ind w:right="360"/>
        <w:spacing w:after="0" w:line="202" w:lineRule="auto"/>
        <w:rPr>
          <w:sz w:val="20"/>
          <w:szCs w:val="20"/>
          <w:color w:val="auto"/>
        </w:rPr>
      </w:pPr>
      <w:r>
        <w:rPr>
          <w:rFonts w:ascii="Times New Roman" w:cs="Times New Roman" w:eastAsia="Times New Roman" w:hAnsi="Times New Roman"/>
          <w:sz w:val="22"/>
          <w:szCs w:val="22"/>
          <w:color w:val="auto"/>
        </w:rPr>
        <w:t>restated, and as further amended from time to time; (b) violation of the Company’s Code of Conduct; (c) such other actions or omissions that constitute willful misconduct, willful failure to perform, or gross negligence in the performance of, reasonable duties of employment; (d) disruptive behavior, or other such actions on the part of the Participant that renders his or her employment untenable as determined by the Committee; or (e) Participant’s loss or failure to maintain any security clearance required for the Participant’s position.</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1.6 </w:t>
      </w:r>
      <w:r>
        <w:rPr>
          <w:rFonts w:ascii="Times New Roman" w:cs="Times New Roman" w:eastAsia="Times New Roman" w:hAnsi="Times New Roman"/>
          <w:sz w:val="22"/>
          <w:szCs w:val="22"/>
          <w:color w:val="000000"/>
        </w:rPr>
        <w:t>“Committee” means the Human Capital &amp; Compensation Committee of the Board of Directors of Raytheon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Technologies Corporation.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Raytheon Technologies Corporation.</w:t>
      </w:r>
    </w:p>
    <w:p>
      <w:pPr>
        <w:spacing w:after="0" w:line="175"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010000"/>
        </w:rPr>
        <w:t xml:space="preserve">1.8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Executive</w:t>
      </w:r>
      <w:r>
        <w:rPr>
          <w:rFonts w:ascii="Times New Roman" w:cs="Times New Roman" w:eastAsia="Times New Roman" w:hAnsi="Times New Roman"/>
          <w:sz w:val="22"/>
          <w:szCs w:val="22"/>
          <w:color w:val="000000"/>
        </w:rPr>
        <w:t>” means an executive level employee (</w:t>
      </w:r>
      <w:r>
        <w:rPr>
          <w:rFonts w:ascii="Times New Roman" w:cs="Times New Roman" w:eastAsia="Times New Roman" w:hAnsi="Times New Roman"/>
          <w:sz w:val="22"/>
          <w:szCs w:val="22"/>
          <w:i w:val="1"/>
          <w:iCs w:val="1"/>
          <w:color w:val="000000"/>
        </w:rPr>
        <w:t>i.e.</w:t>
      </w:r>
      <w:r>
        <w:rPr>
          <w:rFonts w:ascii="Times New Roman" w:cs="Times New Roman" w:eastAsia="Times New Roman" w:hAnsi="Times New Roman"/>
          <w:sz w:val="22"/>
          <w:szCs w:val="22"/>
          <w:color w:val="000000"/>
        </w:rPr>
        <w:t>, job grades E5 (excluding Executive Leadership Group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ELG</w:t>
      </w:r>
      <w:r>
        <w:rPr>
          <w:rFonts w:ascii="Times New Roman" w:cs="Times New Roman" w:eastAsia="Times New Roman" w:hAnsi="Times New Roman"/>
          <w:sz w:val="22"/>
          <w:szCs w:val="22"/>
          <w:color w:val="000000"/>
        </w:rPr>
        <w:t>”) members), E4, E3, E2 and E1) of the Company or an Affiliated Entity who is on U.S. payroll, subject to U.S. tax withholding, and whose primary work location is one of the fifty (50) states of the United States or the District of Columbia, as of immediately prior to the Termination Date. For the avoidance of doubt, a work location while on international assignment shall not be considered a primary work location.</w:t>
      </w:r>
    </w:p>
    <w:p>
      <w:pPr>
        <w:spacing w:after="0" w:line="151"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1.9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Disability</w:t>
      </w:r>
      <w:r>
        <w:rPr>
          <w:rFonts w:ascii="Times New Roman" w:cs="Times New Roman" w:eastAsia="Times New Roman" w:hAnsi="Times New Roman"/>
          <w:sz w:val="22"/>
          <w:szCs w:val="22"/>
          <w:color w:val="000000"/>
        </w:rPr>
        <w:t>” has the meaning given to such term in the Company’s 2018 Long-Term Incentive Plan, as amended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restated, and as further amended from time to time.</w:t>
      </w:r>
    </w:p>
    <w:p>
      <w:pPr>
        <w:spacing w:after="0" w:line="150"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1.10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Notice of Termination</w:t>
      </w:r>
      <w:r>
        <w:rPr>
          <w:rFonts w:ascii="Times New Roman" w:cs="Times New Roman" w:eastAsia="Times New Roman" w:hAnsi="Times New Roman"/>
          <w:sz w:val="22"/>
          <w:szCs w:val="22"/>
          <w:color w:val="000000"/>
        </w:rPr>
        <w:t>” means a notice in writing (including an email communication) delivered by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Executive to inform the Executive (a) of whether their termination shall be a Qualifying Termination under the terms of this Plan; and (b) if the Termination Date (as defined herein) is other than the date of receipt of such notice, specifies the Termination Date (which Termination Date shall be not more than one hundred and twenty (120) days after the date of the written notice). The failure by the Company to set forth in the Notice of Termination any fact or circumstance that contributes to a showing of Cause shall not waive any right of the Company or preclude the Company, from asserting such fact or circumstance in enforcing the Company’s respective rights hereunder.</w:t>
      </w:r>
    </w:p>
    <w:p>
      <w:pPr>
        <w:spacing w:after="0" w:line="156"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1"/>
          <w:szCs w:val="21"/>
          <w:color w:val="010000"/>
        </w:rPr>
        <w:t xml:space="preserve">1.11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u w:val="single" w:color="auto"/>
          <w:color w:val="000000"/>
        </w:rPr>
        <w:t>Participant</w:t>
      </w:r>
      <w:r>
        <w:rPr>
          <w:rFonts w:ascii="Times New Roman" w:cs="Times New Roman" w:eastAsia="Times New Roman" w:hAnsi="Times New Roman"/>
          <w:sz w:val="21"/>
          <w:szCs w:val="21"/>
          <w:color w:val="000000"/>
        </w:rPr>
        <w:t>” shall mean each Executive, excluding: (a) any individual who has received a formal communication,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consistent with the Company’s usual practice for employee transfers, of such individual’s transfer to a position in a jurisdiction outside of the United States; and (b) any Executive with an employment agreement that contains severance provisions.</w:t>
      </w:r>
    </w:p>
    <w:p>
      <w:pPr>
        <w:spacing w:after="0" w:line="152" w:lineRule="exact"/>
        <w:rPr>
          <w:sz w:val="20"/>
          <w:szCs w:val="20"/>
          <w:color w:val="auto"/>
        </w:rPr>
      </w:pPr>
    </w:p>
    <w:p>
      <w:pPr>
        <w:jc w:val="both"/>
        <w:ind w:right="64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1.12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Plan Administrator</w:t>
      </w:r>
      <w:r>
        <w:rPr>
          <w:rFonts w:ascii="Times New Roman" w:cs="Times New Roman" w:eastAsia="Times New Roman" w:hAnsi="Times New Roman"/>
          <w:sz w:val="22"/>
          <w:szCs w:val="22"/>
          <w:color w:val="000000"/>
        </w:rPr>
        <w:t>” means the Company’s Chief Human Resources Officer, or his or her duly authorized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designee or designees, which shall include the Corporate Vice President, Total Rewards;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with respect to each Participant who is a Section 16 Officer of the Company, the Plan Administrator shall be the Committee.</w:t>
      </w:r>
    </w:p>
    <w:p>
      <w:pPr>
        <w:spacing w:after="0" w:line="152"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1.13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Qualifying Termination</w:t>
      </w:r>
      <w:r>
        <w:rPr>
          <w:rFonts w:ascii="Times New Roman" w:cs="Times New Roman" w:eastAsia="Times New Roman" w:hAnsi="Times New Roman"/>
          <w:sz w:val="22"/>
          <w:szCs w:val="22"/>
          <w:color w:val="000000"/>
        </w:rPr>
        <w:t>” means an involuntary termination of a Participant’s employment by the Company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than for Cause, death, or Disability. For the avoidance of doubt, “Qualifying Termination” requires actual job loss and shall not include a change in employer relationship for reasons including, without limitation, a divestiture, outsourcing, spin-off, merger or other corporate transaction, including, but not limited to, the sale or transfer of a plant, division, department or other unit or assets of the Company or an Affiliated Entity where the Participant’s employment continues post-transaction or, in the case of an involuntary termination of employment as a direct result of such transaction, if the Participant is offered employment (whether or not compensation, benefits and the like are comparable) by the acquirer or successor employer or a subsidiary of the acquirer or successor employer upon the completion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1.14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Section 16 Officer</w:t>
      </w:r>
      <w:r>
        <w:rPr>
          <w:rFonts w:ascii="Times New Roman" w:cs="Times New Roman" w:eastAsia="Times New Roman" w:hAnsi="Times New Roman"/>
          <w:sz w:val="22"/>
          <w:szCs w:val="22"/>
          <w:color w:val="000000"/>
        </w:rPr>
        <w:t>” means an employee of the Company designated as an officer under Section 16(a)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Securities Exchange Act of 1934.</w:t>
      </w:r>
    </w:p>
    <w:p>
      <w:pPr>
        <w:spacing w:after="0" w:line="150" w:lineRule="exact"/>
        <w:rPr>
          <w:sz w:val="20"/>
          <w:szCs w:val="20"/>
          <w:color w:val="auto"/>
        </w:rPr>
      </w:pPr>
    </w:p>
    <w:p>
      <w:pPr>
        <w:ind w:right="46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1.15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Target Annual Incentive</w:t>
      </w:r>
      <w:r>
        <w:rPr>
          <w:rFonts w:ascii="Times New Roman" w:cs="Times New Roman" w:eastAsia="Times New Roman" w:hAnsi="Times New Roman"/>
          <w:sz w:val="22"/>
          <w:szCs w:val="22"/>
          <w:color w:val="000000"/>
        </w:rPr>
        <w:t>” means the Participant’s target annual incentive (bonus) opportunity pursuant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Company’s applicable annual incentive plan in effect immediately prior to the Termination Date.</w:t>
      </w:r>
    </w:p>
    <w:p>
      <w:pPr>
        <w:spacing w:after="0" w:line="15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1.16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Termination Date</w:t>
      </w:r>
      <w:r>
        <w:rPr>
          <w:rFonts w:ascii="Times New Roman" w:cs="Times New Roman" w:eastAsia="Times New Roman" w:hAnsi="Times New Roman"/>
          <w:sz w:val="22"/>
          <w:szCs w:val="22"/>
          <w:color w:val="000000"/>
        </w:rPr>
        <w:t>” means the date of receipt of a Notice of Termination from the Company, or any later date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specified in the Notice of Termination. Notwithstanding the foregoing, in no event shall the Termination Date occur until the Participant experiences a “separation from service” within the meaning of Section 409A of the Code, and the date on which such separation from service takes place shall be the “Termination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BENEFITS</w:t>
      </w:r>
    </w:p>
    <w:p>
      <w:pPr>
        <w:spacing w:after="0" w:line="15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Qualifying Termination</w:t>
      </w:r>
      <w:r>
        <w:rPr>
          <w:rFonts w:ascii="Times New Roman" w:cs="Times New Roman" w:eastAsia="Times New Roman" w:hAnsi="Times New Roman"/>
          <w:sz w:val="22"/>
          <w:szCs w:val="22"/>
          <w:color w:val="000000"/>
        </w:rPr>
        <w:t>. If a Participant experiences a Qualifying Termination, the Company shall pay or provide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Participant the following payments and benefits at the time or times set forth below, subject to Section 7:</w:t>
      </w:r>
    </w:p>
    <w:p>
      <w:pPr>
        <w:spacing w:after="0" w:line="150" w:lineRule="exact"/>
        <w:rPr>
          <w:sz w:val="20"/>
          <w:szCs w:val="20"/>
          <w:color w:val="auto"/>
        </w:rPr>
      </w:pPr>
    </w:p>
    <w:p>
      <w:pPr>
        <w:ind w:left="660" w:right="20" w:firstLine="644"/>
        <w:spacing w:after="0" w:line="213" w:lineRule="auto"/>
        <w:tabs>
          <w:tab w:leader="none" w:pos="195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lump sum payment in cash of items (i)(B), (ii) and (iii) below, subject to (other than in the case of the Accrued Obligations and Other Benefits) the Participant’s execution and non-revocation of a General Release of Claims and Restrictive Covenant Agreement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payable as soon as practicable following the date on which such agreement becomes effective and irrevocable and in any event no later than the seventieth (70th) calendar day following the Termination Date, provided that, when the payment period crosses two calendar years, the payment will be made as soon as practicable after all conditions have been satisfied, but in no event earlier than the first day of the second year, equal to the aggregate of the following amounts:</w:t>
      </w:r>
    </w:p>
    <w:p>
      <w:pPr>
        <w:spacing w:after="0" w:line="156" w:lineRule="exact"/>
        <w:rPr>
          <w:rFonts w:ascii="Times New Roman" w:cs="Times New Roman" w:eastAsia="Times New Roman" w:hAnsi="Times New Roman"/>
          <w:sz w:val="22"/>
          <w:szCs w:val="22"/>
          <w:color w:val="010000"/>
        </w:rPr>
      </w:pPr>
    </w:p>
    <w:p>
      <w:pPr>
        <w:ind w:left="1300" w:firstLine="652"/>
        <w:spacing w:after="0" w:line="209" w:lineRule="auto"/>
        <w:tabs>
          <w:tab w:leader="none" w:pos="2584" w:val="left"/>
        </w:tabs>
        <w:numPr>
          <w:ilvl w:val="1"/>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sum of (A) the Participant’s accrued Annual Base Salary through the Termination Date, (B) any annual incentive payment earned by the Participant for a performance period that was completed prior to the Termination Date, with the award paid at the Target Annual Incentive value, unless a Participant’s annual incentive award was approved by the Plan Administrator and communicated to the Participant prior to the date the Participant was notified by the Company of their Termination Date, and (C) any business expenses incurred by the Participant that are unreimbursed as of the Termination Date, in each case, to the extent not theretofore paid (the sum of the amounts described in clauses (A), (B), and (C) shall be hereinafter referred to as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in the case of clauses (A) and (B), if the Participant has made an irrevocable election under any deferred compensation arrangement subject to Section 409A of the Code to defer any portion of the Annual Base Salary or annual incentive payment described in clause (A) or (B) above, then for all purposes of this Section 2(i), such deferral election, and the terms of the applicable arrangement, shall apply to the same portion of the amount described in such clauses (A) or (B), and such portion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not be considered as part of the “Accrued Obligations” but shall instead be an “Other Benefit” (as defined below);</w:t>
      </w:r>
    </w:p>
    <w:p>
      <w:pPr>
        <w:spacing w:after="0" w:line="191" w:lineRule="exact"/>
        <w:rPr>
          <w:sz w:val="20"/>
          <w:szCs w:val="20"/>
          <w:color w:val="auto"/>
        </w:rPr>
      </w:pPr>
    </w:p>
    <w:p>
      <w:pPr>
        <w:ind w:left="180" w:right="20" w:firstLine="652"/>
        <w:spacing w:after="0" w:line="217" w:lineRule="auto"/>
        <w:tabs>
          <w:tab w:leader="none" w:pos="1470"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payment equal to the product of (A) the Target Annual Incentive and (B) a fraction, the numerator of which is the number of days in the fiscal year the Participant was employed by the Company (beginning on the later of the: (i) first (1st) day of such fiscal year; or (ii) the first (1st) day during the fiscal year in which the Participant began employment with the Company); and ending on and including the Termination Date, and the denominator of which is the total number of days in such fiscal year; and</w:t>
      </w:r>
    </w:p>
    <w:p>
      <w:pPr>
        <w:spacing w:after="0" w:line="152" w:lineRule="exact"/>
        <w:rPr>
          <w:rFonts w:ascii="Times New Roman" w:cs="Times New Roman" w:eastAsia="Times New Roman" w:hAnsi="Times New Roman"/>
          <w:sz w:val="22"/>
          <w:szCs w:val="22"/>
          <w:color w:val="010000"/>
        </w:rPr>
      </w:pPr>
    </w:p>
    <w:p>
      <w:pPr>
        <w:ind w:left="1480" w:hanging="648"/>
        <w:spacing w:after="0"/>
        <w:tabs>
          <w:tab w:leader="none" w:pos="1480"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payment equal to the Participant’s Annual Base Salary.</w:t>
      </w:r>
    </w:p>
    <w:p>
      <w:pPr>
        <w:spacing w:after="0" w:line="179" w:lineRule="exact"/>
        <w:rPr>
          <w:rFonts w:ascii="Times New Roman" w:cs="Times New Roman" w:eastAsia="Times New Roman" w:hAnsi="Times New Roman"/>
          <w:sz w:val="22"/>
          <w:szCs w:val="22"/>
          <w:color w:val="010000"/>
        </w:rPr>
      </w:pPr>
    </w:p>
    <w:p>
      <w:pPr>
        <w:ind w:left="-460" w:right="180" w:firstLine="644"/>
        <w:spacing w:after="0" w:line="217" w:lineRule="auto"/>
        <w:tabs>
          <w:tab w:leader="none" w:pos="831"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Annual Base Salary and Pro-Rata Target Annual Incentive</w:t>
      </w:r>
      <w:r>
        <w:rPr>
          <w:rFonts w:ascii="Times New Roman" w:cs="Times New Roman" w:eastAsia="Times New Roman" w:hAnsi="Times New Roman"/>
          <w:sz w:val="22"/>
          <w:szCs w:val="22"/>
          <w:color w:val="auto"/>
        </w:rPr>
        <w:t>. The value of the Participant’s Annual Base Salary and pro-rata Target Annual Incentive, as set forth in paragraphs (ii) and (iii) of Section 2(a) above will not be treated as compensation for purposes of any of the Company's retirement or benefit programs. These benefits are provided in consideration of the Participant’s execution and non-revocation of a General Release of Claims and Restrictive Covenant Agreement and fulfillment of the promises contained therein.</w:t>
      </w:r>
    </w:p>
    <w:p>
      <w:pPr>
        <w:spacing w:after="0" w:line="152" w:lineRule="exact"/>
        <w:rPr>
          <w:rFonts w:ascii="Times New Roman" w:cs="Times New Roman" w:eastAsia="Times New Roman" w:hAnsi="Times New Roman"/>
          <w:sz w:val="22"/>
          <w:szCs w:val="22"/>
          <w:color w:val="010000"/>
        </w:rPr>
      </w:pPr>
    </w:p>
    <w:p>
      <w:pPr>
        <w:ind w:left="-460" w:firstLine="644"/>
        <w:spacing w:after="0" w:line="209" w:lineRule="auto"/>
        <w:tabs>
          <w:tab w:leader="none" w:pos="833"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Healthcare Benefits</w:t>
      </w:r>
      <w:r>
        <w:rPr>
          <w:rFonts w:ascii="Times New Roman" w:cs="Times New Roman" w:eastAsia="Times New Roman" w:hAnsi="Times New Roman"/>
          <w:sz w:val="22"/>
          <w:szCs w:val="22"/>
          <w:color w:val="auto"/>
        </w:rPr>
        <w:t>. For the Benefit Continuation Period, the Company shall continue to provide to the Participant (and Participant’s dependents actively covered by healthcare benefit coverage pursuant to a plan sponsored by the Company or an Affiliated Entity as of immediately prior to the Termination Date, if any (the “</w:t>
      </w:r>
      <w:r>
        <w:rPr>
          <w:rFonts w:ascii="Times New Roman" w:cs="Times New Roman" w:eastAsia="Times New Roman" w:hAnsi="Times New Roman"/>
          <w:sz w:val="22"/>
          <w:szCs w:val="22"/>
          <w:u w:val="single" w:color="auto"/>
          <w:color w:val="auto"/>
        </w:rPr>
        <w:t>eligible dependents</w:t>
      </w:r>
      <w:r>
        <w:rPr>
          <w:rFonts w:ascii="Times New Roman" w:cs="Times New Roman" w:eastAsia="Times New Roman" w:hAnsi="Times New Roman"/>
          <w:sz w:val="22"/>
          <w:szCs w:val="22"/>
          <w:color w:val="auto"/>
        </w:rPr>
        <w:t>”)) healthcare benefit coverage (including medical, prescription, dental, vision, basic life, and employee assistance program coverage, but exclude annual executive physical benefits if applicable) equal to the coverage that would have been provided if the Participant had continued employment with the Company during the Benefit Continuation Period. The Participant will not be required to pay any portion of the premium for such coverage, though deductibles and co-pays (if any) will continue to apply. If the Participant becomes reemployed with another employer during the Benefit Continuation Period and is eligible to receive any of the types of healthcare benefits under another employer-provided plan, the healthcare benefit coverage that is duplicative of the type of coverage provided hereunder shall cease. The Participant shall promptly notify the Company that the Participant has become eligible to receive healthcare benefits under another employer-provided plan. The period for providing continuation coverage under the group health plans of the Company and the Affiliated Entities as described in Section 4980B of the Code (i.e., “COBRA” continuation benefits), if applicable, shall commence upon the expiration of the Benefits Continuation Period (or, if earlier, upon the cessation of the healthcare benefits coverage provided hereunder).</w:t>
      </w:r>
    </w:p>
    <w:p>
      <w:pPr>
        <w:spacing w:after="0" w:line="151" w:lineRule="exact"/>
        <w:rPr>
          <w:rFonts w:ascii="Times New Roman" w:cs="Times New Roman" w:eastAsia="Times New Roman" w:hAnsi="Times New Roman"/>
          <w:sz w:val="22"/>
          <w:szCs w:val="22"/>
          <w:color w:val="010000"/>
        </w:rPr>
      </w:pPr>
    </w:p>
    <w:p>
      <w:pPr>
        <w:jc w:val="both"/>
        <w:ind w:left="-460" w:right="40" w:firstLine="644"/>
        <w:spacing w:after="0" w:line="225" w:lineRule="auto"/>
        <w:tabs>
          <w:tab w:leader="none" w:pos="831"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To the extent not theretofore paid or provided, the Company shall timely pay or provide to the Participant any other amounts or benefits required to be paid or provided or which the Participant is eligible to receive under any plan, program, policy or practice, or contract or agreement of the Company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Affiliated Entities (such other amounts and benefits shall be hereinafter referred to as the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3</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NONDUPLICATION; NO OFFSET; REPAYMENT; ENTIRE UNDERSTANDING</w:t>
      </w:r>
    </w:p>
    <w:p>
      <w:pPr>
        <w:spacing w:after="0" w:line="155"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Nonduplication of Payments and Benefits</w:t>
      </w:r>
      <w:r>
        <w:rPr>
          <w:rFonts w:ascii="Times New Roman" w:cs="Times New Roman" w:eastAsia="Times New Roman" w:hAnsi="Times New Roman"/>
          <w:sz w:val="22"/>
          <w:szCs w:val="22"/>
          <w:color w:val="000000"/>
        </w:rPr>
        <w:t>. The amount of the payment under Section 2.1(a)(iii) of this Plan will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offset and reduced by the full amount and/or value, as determined by the Plan Administrator in its sole discretion, of any severance benefits, compensation and benefits provided during any notice period, pay in lieu of notice, mandated termination indemnities, or similar benefits that the Participant may separately be entitled to receive from the Company or any Affiliated Entity based on any employment agreement or other contractual obligation (whether individual or union/works council) or statutory scheme. If a Participant’s employment is terminated because of a plant shut-down or mass layoff or other event to which the Worker Adjustment and Retraining Notification Act of 1988 or similar state law (collectively, “</w:t>
      </w:r>
      <w:r>
        <w:rPr>
          <w:rFonts w:ascii="Times New Roman" w:cs="Times New Roman" w:eastAsia="Times New Roman" w:hAnsi="Times New Roman"/>
          <w:sz w:val="22"/>
          <w:szCs w:val="22"/>
          <w:u w:val="single" w:color="auto"/>
          <w:color w:val="000000"/>
        </w:rPr>
        <w:t>WARN</w:t>
      </w:r>
      <w:r>
        <w:rPr>
          <w:rFonts w:ascii="Times New Roman" w:cs="Times New Roman" w:eastAsia="Times New Roman" w:hAnsi="Times New Roman"/>
          <w:sz w:val="22"/>
          <w:szCs w:val="22"/>
          <w:color w:val="000000"/>
        </w:rPr>
        <w:t xml:space="preserve"> ”) applies, then the amount of the severance payment under Section 2.1(a)(iii)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157"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No Offset or Mitigation</w:t>
      </w:r>
      <w:r>
        <w:rPr>
          <w:rFonts w:ascii="Times New Roman" w:cs="Times New Roman" w:eastAsia="Times New Roman" w:hAnsi="Times New Roman"/>
          <w:sz w:val="22"/>
          <w:szCs w:val="22"/>
          <w:color w:val="000000"/>
        </w:rPr>
        <w:t>. Except as otherwise expressly provided in Section 3.1 or as specifically provided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General Release of Claims and Restrictive Covenant Agreement, the Company’s obligation to provide the payments and benefits under this Plan and otherwise to perform its obligations hereunder shall be absolute and unconditional and shall not be affected by any setoff, counterclaim, recoupment, defense or other claim, right or action that the Company may have against a Participant or others. In no event shall a Participant be obligated to seek other employment or take any other action by way of mitigation of the amounts payable to such Participant under any of the provisions of this Plan and, except as provided in Section 2.1(c) regarding healthcare benefits, no payments or benefits received from other employment shall serve to mitigate the payments and benefits hereunder.</w:t>
      </w:r>
    </w:p>
    <w:p>
      <w:pPr>
        <w:spacing w:after="0" w:line="156" w:lineRule="exact"/>
        <w:rPr>
          <w:sz w:val="20"/>
          <w:szCs w:val="20"/>
          <w:color w:val="auto"/>
        </w:rPr>
      </w:pPr>
    </w:p>
    <w:p>
      <w:pPr>
        <w:ind w:right="120"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Reemployment by the Company</w:t>
      </w:r>
      <w:r>
        <w:rPr>
          <w:rFonts w:ascii="Times New Roman" w:cs="Times New Roman" w:eastAsia="Times New Roman" w:hAnsi="Times New Roman"/>
          <w:sz w:val="22"/>
          <w:szCs w:val="22"/>
          <w:color w:val="000000"/>
        </w:rPr>
        <w:t>. If the Company or an Affiliated Entity offers the Participant employment (at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 or Affiliate’s sole discretion), and Participant accepts such employment within twelve (12) months after the Participant’s Termination Date, then as a condition of that reemployment, Participant will be required to repay to the Company a pro-rata portion of the severance payment under Section 2.1(a)(iii) of this Plan. The pro-rata portion the Participant will be required to repay will be determined by multiplying the payment by a fraction, where the denominator of the fraction will be twelve (12), and the numerator will be twelve (12) minus the number of full months between the Participant’s Termination Date and the Participant’s reemployment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140" w:firstLine="644"/>
        <w:spacing w:after="0" w:line="211" w:lineRule="auto"/>
        <w:tabs>
          <w:tab w:leader="none" w:pos="195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Plan constitutes the entire understanding between the Company and each Participant relating to the severance payments or benefits to be paid or provided to the Participant by the Company upon a termination of employment that occurs on or after the Effective Date and supersedes all prior agreements and understandings with respect to the subject matter of this Plan, but specifically excluding Executive Leadership Group (ELG) agreements. To the extent permitted by applicable law, Each Participant’s eligibility to receive severance payments or benefits under this Plan following the Effective Date shall preclude the Participant from claiming severance benefits under any other contractual arrangement with the Company or any Affiliated Entity during such period and, to the extent that such preclusion is not permitted by applicable law, then the severance payments under this Plan will be subject to offset and reduction in accordance with Section 3.1.</w:t>
      </w:r>
    </w:p>
    <w:p>
      <w:pPr>
        <w:spacing w:after="0" w:line="158" w:lineRule="exact"/>
        <w:rPr>
          <w:rFonts w:ascii="Times New Roman" w:cs="Times New Roman" w:eastAsia="Times New Roman" w:hAnsi="Times New Roman"/>
          <w:sz w:val="22"/>
          <w:szCs w:val="22"/>
          <w:color w:val="010000"/>
        </w:rPr>
      </w:pPr>
    </w:p>
    <w:p>
      <w:pPr>
        <w:ind w:left="660" w:right="80" w:firstLine="644"/>
        <w:spacing w:after="0" w:line="217" w:lineRule="auto"/>
        <w:tabs>
          <w:tab w:leader="none" w:pos="1951"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Severance payments and benefits provided under the Plan shall in no way affect the Participant’s ability to terminate employment by reason of the Participant’s “retirement” under, or to be eligible to receive benefits under, any compensation and benefits plans, programs or arrangements of the Company or the Affiliated Entities, including, without limitation, any retirement or pension plans or arrangements or substitute plans adopted by the Company, the Affiliated Entities or their respective successors.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151"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This Plan may be terminated or amended in any respect by resolution adopted by the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Participant who has experienced a Qualifying Termination, during the period after such Qualifying Termination and before the time at which such Participant has received all severance payments and benefits due under the Plan, the Plan may not be terminated, or amended in a manner that reduces the severance payments and benefits otherwise due to such Participant, in each case without such Participant’s consent;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 amendment that is strictly administrative or ministerial in nature shall not require resolution adoption by the Committee and may be approved by the Plan Administrator.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5</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PLAN ADMINISTRATION</w:t>
      </w:r>
    </w:p>
    <w:p>
      <w:pPr>
        <w:spacing w:after="0" w:line="155"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u w:val="single" w:color="auto"/>
          <w:color w:val="000000"/>
        </w:rPr>
        <w:t>General</w:t>
      </w:r>
      <w:r>
        <w:rPr>
          <w:rFonts w:ascii="Times New Roman" w:cs="Times New Roman" w:eastAsia="Times New Roman" w:hAnsi="Times New Roman"/>
          <w:sz w:val="22"/>
          <w:szCs w:val="22"/>
          <w:color w:val="000000"/>
        </w:rPr>
        <w:t>. The Plan Administrator is responsible for the general administration and management of this Plan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have all powers and duties necessary to fulfill its responsibilities, including, but not limited to, the discretion to interpret and apply the provisions of this Plan, to modify the provisions of this Plan, or the General Release of Claims and Restrictive Covenant Agreement, as applied to any Participant providing services outside of the United States to the extent necessary or appropriate in order to comply with any applicable legal or regulatory provisions and otherwise to carry out the intent and purpose of this Plan, and to determine all questions relating to eligibility for benefits under this Plan, to interpret or construe ambiguous, unclear, or implied (but omitted) terms in any fashion it deems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220" w:lineRule="auto"/>
        <w:rPr>
          <w:sz w:val="20"/>
          <w:szCs w:val="20"/>
          <w:color w:val="auto"/>
        </w:rPr>
      </w:pPr>
      <w:r>
        <w:rPr>
          <w:rFonts w:ascii="Times New Roman" w:cs="Times New Roman" w:eastAsia="Times New Roman" w:hAnsi="Times New Roman"/>
          <w:sz w:val="22"/>
          <w:szCs w:val="22"/>
          <w:color w:val="auto"/>
        </w:rPr>
        <w:t xml:space="preserve">and to make any findings of fact needed in the administration of this Plan. All decisions, interpretations and other actions of the Plan Administrator shall be final, conclusive and binding on all parties who have an interest in this Plan. In the event of a civil action challenging any Plan Administrator decision, the standard of review shall be deferential rather than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and the Plan Administrator’s decisions may be overturned only if deemed unreasonable, arbitrary or capricious.</w:t>
      </w:r>
    </w:p>
    <w:p>
      <w:pPr>
        <w:spacing w:after="0" w:line="152" w:lineRule="exact"/>
        <w:rPr>
          <w:sz w:val="20"/>
          <w:szCs w:val="20"/>
          <w:color w:val="auto"/>
        </w:rPr>
      </w:pPr>
    </w:p>
    <w:p>
      <w:pPr>
        <w:ind w:right="360"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u w:val="single" w:color="auto"/>
          <w:color w:val="000000"/>
        </w:rPr>
        <w:t>ERISA</w:t>
      </w:r>
      <w:r>
        <w:rPr>
          <w:rFonts w:ascii="Times New Roman" w:cs="Times New Roman" w:eastAsia="Times New Roman" w:hAnsi="Times New Roman"/>
          <w:sz w:val="22"/>
          <w:szCs w:val="22"/>
          <w:color w:val="000000"/>
        </w:rPr>
        <w:t>. This Plan shall be considered to be an unfunded plan maintained by the Company primarily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purpose of providing deferred compensation for a select group of management or highly compensated employees (a “</w:t>
      </w:r>
      <w:r>
        <w:rPr>
          <w:rFonts w:ascii="Times New Roman" w:cs="Times New Roman" w:eastAsia="Times New Roman" w:hAnsi="Times New Roman"/>
          <w:sz w:val="22"/>
          <w:szCs w:val="22"/>
          <w:u w:val="single" w:color="auto"/>
          <w:color w:val="000000"/>
        </w:rPr>
        <w:t>top-hat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plan</w:t>
      </w:r>
      <w:r>
        <w:rPr>
          <w:rFonts w:ascii="Times New Roman" w:cs="Times New Roman" w:eastAsia="Times New Roman" w:hAnsi="Times New Roman"/>
          <w:sz w:val="22"/>
          <w:szCs w:val="22"/>
          <w:color w:val="000000"/>
        </w:rPr>
        <w:t>”), and shall be administered in a manner that complies with the provisions of the Employee Retirement Income Security Act of 1974, as amended (“</w:t>
      </w:r>
      <w:r>
        <w:rPr>
          <w:rFonts w:ascii="Times New Roman" w:cs="Times New Roman" w:eastAsia="Times New Roman" w:hAnsi="Times New Roman"/>
          <w:sz w:val="22"/>
          <w:szCs w:val="22"/>
          <w:u w:val="single" w:color="auto"/>
          <w:color w:val="000000"/>
        </w:rPr>
        <w:t>ERISA</w:t>
      </w:r>
      <w:r>
        <w:rPr>
          <w:rFonts w:ascii="Times New Roman" w:cs="Times New Roman" w:eastAsia="Times New Roman" w:hAnsi="Times New Roman"/>
          <w:sz w:val="22"/>
          <w:szCs w:val="22"/>
          <w:color w:val="000000"/>
        </w:rPr>
        <w:t>”) that are applicable to top-hat plans.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5.3</w:t>
      </w:r>
      <w:r>
        <w:rPr>
          <w:sz w:val="20"/>
          <w:szCs w:val="20"/>
          <w:color w:val="auto"/>
        </w:rPr>
        <w:tab/>
      </w:r>
      <w:r>
        <w:rPr>
          <w:rFonts w:ascii="Times New Roman" w:cs="Times New Roman" w:eastAsia="Times New Roman" w:hAnsi="Times New Roman"/>
          <w:sz w:val="21"/>
          <w:szCs w:val="21"/>
          <w:u w:val="single" w:color="auto"/>
          <w:color w:val="auto"/>
        </w:rPr>
        <w:t>Claims Procedure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firstLine="644"/>
        <w:spacing w:after="0" w:line="211" w:lineRule="auto"/>
        <w:tabs>
          <w:tab w:leader="none" w:pos="1953"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Initial Claims</w:t>
      </w:r>
      <w:r>
        <w:rPr>
          <w:rFonts w:ascii="Times New Roman" w:cs="Times New Roman" w:eastAsia="Times New Roman" w:hAnsi="Times New Roman"/>
          <w:sz w:val="22"/>
          <w:szCs w:val="22"/>
          <w:color w:val="auto"/>
        </w:rPr>
        <w:t>. A Participant who believes that such Participant is entitled to a payment under this Plan that has not been received may submit a written claim for benefits under this Plan within sixty (60) days after the Participant’s Termination Date. If the Participant’s claim is denied, in whole or in part, such Participant will be furnished with written notice of the denial within ninety (90) days after the Plan Administrator’s receipt of the Participant’s written claim, unless special circumstances require an extension of time for processing the claim, in which case, the decision period may be extended by up to an additional ninety (90) days. If such an extension of time is necessary, written notice of the extension will be furnished to the Participant before the termination of the initial ninety (90)-day period and will describe the circumstances requiring the extension and the date by which a decision is expected to be rendered. Written notice of the denial of the Participant’s claim will contain the following information:</w:t>
      </w:r>
    </w:p>
    <w:p>
      <w:pPr>
        <w:spacing w:after="0" w:line="158"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reason or reasons for the denial of the Participant’s claim;</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the Plan provisions on which the denial of the Participant’s claim was based;</w:t>
      </w:r>
    </w:p>
    <w:p>
      <w:pPr>
        <w:spacing w:after="0" w:line="179" w:lineRule="exact"/>
        <w:rPr>
          <w:rFonts w:ascii="Times New Roman" w:cs="Times New Roman" w:eastAsia="Times New Roman" w:hAnsi="Times New Roman"/>
          <w:sz w:val="22"/>
          <w:szCs w:val="22"/>
          <w:color w:val="010000"/>
        </w:rPr>
      </w:pPr>
    </w:p>
    <w:p>
      <w:pPr>
        <w:ind w:left="1300" w:right="660" w:firstLine="652"/>
        <w:spacing w:after="0" w:line="225" w:lineRule="auto"/>
        <w:tabs>
          <w:tab w:leader="none" w:pos="2596"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any additional information or material required by the Plan Administrator to reconsider the Participant’s claim (to the extent applicable) and an explanation of why such material or information is necessary; and</w:t>
      </w:r>
    </w:p>
    <w:p>
      <w:pPr>
        <w:spacing w:after="0" w:line="152" w:lineRule="exact"/>
        <w:rPr>
          <w:rFonts w:ascii="Times New Roman" w:cs="Times New Roman" w:eastAsia="Times New Roman" w:hAnsi="Times New Roman"/>
          <w:sz w:val="22"/>
          <w:szCs w:val="22"/>
          <w:color w:val="010000"/>
        </w:rPr>
      </w:pPr>
    </w:p>
    <w:p>
      <w:pPr>
        <w:ind w:left="1300" w:right="220" w:firstLine="652"/>
        <w:spacing w:after="0" w:line="225" w:lineRule="auto"/>
        <w:tabs>
          <w:tab w:leader="none" w:pos="2584" w:val="left"/>
        </w:tabs>
        <w:numPr>
          <w:ilvl w:val="1"/>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this Plan’s review procedures and time limits applicable to such procedures, including a statement of the Participant’s right to bring a civil action under Section 502(a) of ERISA following a benefit claim denial on review.</w:t>
      </w:r>
    </w:p>
    <w:p>
      <w:pPr>
        <w:spacing w:after="0" w:line="152" w:lineRule="exact"/>
        <w:rPr>
          <w:rFonts w:ascii="Times New Roman" w:cs="Times New Roman" w:eastAsia="Times New Roman" w:hAnsi="Times New Roman"/>
          <w:sz w:val="22"/>
          <w:szCs w:val="22"/>
          <w:color w:val="010000"/>
        </w:rPr>
      </w:pPr>
    </w:p>
    <w:p>
      <w:pPr>
        <w:ind w:left="660" w:right="180" w:firstLine="644"/>
        <w:spacing w:after="0" w:line="225" w:lineRule="auto"/>
        <w:tabs>
          <w:tab w:leader="none" w:pos="1951"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Appeal of Denied Claims</w:t>
      </w:r>
      <w:r>
        <w:rPr>
          <w:rFonts w:ascii="Times New Roman" w:cs="Times New Roman" w:eastAsia="Times New Roman" w:hAnsi="Times New Roman"/>
          <w:sz w:val="22"/>
          <w:szCs w:val="22"/>
          <w:color w:val="auto"/>
        </w:rPr>
        <w:t>. If the Participant’s claim is denied, the Participant (or the Participant’s authorized representative) may file a request for review of the claim in writing with the Plan Administrator. This request for review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no later than sixty (60) days after the Participant has received written notification of the denial.</w:t>
      </w:r>
    </w:p>
    <w:p>
      <w:pPr>
        <w:spacing w:after="0" w:line="179" w:lineRule="exact"/>
        <w:rPr>
          <w:sz w:val="20"/>
          <w:szCs w:val="20"/>
          <w:color w:val="auto"/>
        </w:rPr>
      </w:pPr>
    </w:p>
    <w:p>
      <w:pPr>
        <w:ind w:left="640" w:right="340" w:firstLine="652"/>
        <w:spacing w:after="0" w:line="236" w:lineRule="auto"/>
        <w:tabs>
          <w:tab w:leader="none" w:pos="1924"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request for review may include any comments, documents, records and other information relating to the Participant’s claim for benefits.</w:t>
      </w:r>
    </w:p>
    <w:p>
      <w:pPr>
        <w:spacing w:after="0" w:line="150" w:lineRule="exact"/>
        <w:rPr>
          <w:rFonts w:ascii="Times New Roman" w:cs="Times New Roman" w:eastAsia="Times New Roman" w:hAnsi="Times New Roman"/>
          <w:sz w:val="22"/>
          <w:szCs w:val="22"/>
          <w:color w:val="010000"/>
        </w:rPr>
      </w:pPr>
    </w:p>
    <w:p>
      <w:pPr>
        <w:ind w:left="640" w:right="100" w:firstLine="652"/>
        <w:spacing w:after="0" w:line="225" w:lineRule="auto"/>
        <w:tabs>
          <w:tab w:leader="none" w:pos="1930"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has the right to be provided with, upon request and free of charge, reasonable access to and copies of all pertinent documents, records and other information that is relevant to the Participant’s claim for benefits.</w:t>
      </w:r>
    </w:p>
    <w:p>
      <w:pPr>
        <w:spacing w:after="0" w:line="152" w:lineRule="exact"/>
        <w:rPr>
          <w:rFonts w:ascii="Times New Roman" w:cs="Times New Roman" w:eastAsia="Times New Roman" w:hAnsi="Times New Roman"/>
          <w:sz w:val="22"/>
          <w:szCs w:val="22"/>
          <w:color w:val="010000"/>
        </w:rPr>
      </w:pPr>
    </w:p>
    <w:p>
      <w:pPr>
        <w:ind w:left="640" w:right="60" w:firstLine="652"/>
        <w:spacing w:after="0" w:line="225" w:lineRule="auto"/>
        <w:tabs>
          <w:tab w:leader="none" w:pos="1936"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review of the denied claim will take into account all comments, documents, records and other information that the Participant submitted relating to the Participant’s claim, without regard to whether such information was submitted or considered in the initial denial of the Participant’s claim.</w:t>
      </w:r>
    </w:p>
    <w:p>
      <w:pPr>
        <w:spacing w:after="0" w:line="152" w:lineRule="exact"/>
        <w:rPr>
          <w:rFonts w:ascii="Times New Roman" w:cs="Times New Roman" w:eastAsia="Times New Roman" w:hAnsi="Times New Roman"/>
          <w:sz w:val="22"/>
          <w:szCs w:val="22"/>
          <w:color w:val="010000"/>
        </w:rPr>
      </w:pPr>
    </w:p>
    <w:p>
      <w:pPr>
        <w:ind w:right="200" w:firstLine="644"/>
        <w:spacing w:after="0" w:line="215" w:lineRule="auto"/>
        <w:tabs>
          <w:tab w:leader="none" w:pos="1293"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Plan Administrator’s Response to Appeal</w:t>
      </w:r>
      <w:r>
        <w:rPr>
          <w:rFonts w:ascii="Times New Roman" w:cs="Times New Roman" w:eastAsia="Times New Roman" w:hAnsi="Times New Roman"/>
          <w:sz w:val="22"/>
          <w:szCs w:val="22"/>
          <w:color w:val="auto"/>
        </w:rPr>
        <w:t xml:space="preserve">. The Plan Administrator will notify the Participant of its decision within sixty (60) days after the Plan Administrator’s receipt of the Participant’s written claim for review;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Plan Administrator may extend the review period by up to sixty (60) additional days, if the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notifies the Participant in writing of the need for an extension (and the reason therefor) before the end of the initial sixty (60)-day period. If the Plan Administrator makes an adverse decision on appeal, the Plan Administrator shall communicate its decision in a writing that includes:</w:t>
      </w:r>
    </w:p>
    <w:p>
      <w:pPr>
        <w:spacing w:after="0" w:line="152" w:lineRule="exact"/>
        <w:rPr>
          <w:rFonts w:ascii="Times New Roman" w:cs="Times New Roman" w:eastAsia="Times New Roman" w:hAnsi="Times New Roman"/>
          <w:sz w:val="22"/>
          <w:szCs w:val="22"/>
          <w:color w:val="010000"/>
        </w:rPr>
      </w:pPr>
    </w:p>
    <w:p>
      <w:pPr>
        <w:ind w:left="1920" w:hanging="628"/>
        <w:spacing w:after="0"/>
        <w:tabs>
          <w:tab w:leader="none" w:pos="1920"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reason or reasons for the denial of the Participant’s appeal;</w:t>
      </w:r>
    </w:p>
    <w:p>
      <w:pPr>
        <w:spacing w:after="0" w:line="179" w:lineRule="exact"/>
        <w:rPr>
          <w:rFonts w:ascii="Times New Roman" w:cs="Times New Roman" w:eastAsia="Times New Roman" w:hAnsi="Times New Roman"/>
          <w:sz w:val="22"/>
          <w:szCs w:val="22"/>
          <w:color w:val="010000"/>
        </w:rPr>
      </w:pPr>
    </w:p>
    <w:p>
      <w:pPr>
        <w:ind w:left="1940" w:hanging="648"/>
        <w:spacing w:after="0"/>
        <w:tabs>
          <w:tab w:leader="none" w:pos="1940"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 to the Plan provisions on which the denial of the Participant’s appeal is based;</w:t>
      </w:r>
    </w:p>
    <w:p>
      <w:pPr>
        <w:spacing w:after="0" w:line="179" w:lineRule="exact"/>
        <w:rPr>
          <w:rFonts w:ascii="Times New Roman" w:cs="Times New Roman" w:eastAsia="Times New Roman" w:hAnsi="Times New Roman"/>
          <w:sz w:val="22"/>
          <w:szCs w:val="22"/>
          <w:color w:val="010000"/>
        </w:rPr>
      </w:pPr>
    </w:p>
    <w:p>
      <w:pPr>
        <w:jc w:val="both"/>
        <w:ind w:left="640" w:right="220" w:firstLine="652"/>
        <w:spacing w:after="0" w:line="225" w:lineRule="auto"/>
        <w:tabs>
          <w:tab w:leader="none" w:pos="1936"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the Participant is entitled to receive, upon request and free of charge, reasonable access to, and copies of, this Plan and all documents, records and other information relevant to the Participant’s claim for benefits; and</w:t>
      </w:r>
    </w:p>
    <w:p>
      <w:pPr>
        <w:spacing w:after="0" w:line="152" w:lineRule="exact"/>
        <w:rPr>
          <w:rFonts w:ascii="Times New Roman" w:cs="Times New Roman" w:eastAsia="Times New Roman" w:hAnsi="Times New Roman"/>
          <w:sz w:val="22"/>
          <w:szCs w:val="22"/>
          <w:color w:val="010000"/>
        </w:rPr>
      </w:pPr>
    </w:p>
    <w:p>
      <w:pPr>
        <w:ind w:left="1920" w:hanging="628"/>
        <w:spacing w:after="0"/>
        <w:tabs>
          <w:tab w:leader="none" w:pos="1920"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describing the Participant’s right to bring an action under Section 502(a) of ERISA.</w:t>
      </w:r>
    </w:p>
    <w:p>
      <w:pPr>
        <w:spacing w:after="0" w:line="179" w:lineRule="exact"/>
        <w:rPr>
          <w:rFonts w:ascii="Times New Roman" w:cs="Times New Roman" w:eastAsia="Times New Roman" w:hAnsi="Times New Roman"/>
          <w:sz w:val="22"/>
          <w:szCs w:val="22"/>
          <w:color w:val="010000"/>
        </w:rPr>
      </w:pPr>
    </w:p>
    <w:p>
      <w:pPr>
        <w:ind w:right="420" w:firstLine="644"/>
        <w:spacing w:after="0" w:line="236" w:lineRule="auto"/>
        <w:tabs>
          <w:tab w:leader="none" w:pos="1291"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Exhaustion of Administrative Remedies</w:t>
      </w:r>
      <w:r>
        <w:rPr>
          <w:rFonts w:ascii="Times New Roman" w:cs="Times New Roman" w:eastAsia="Times New Roman" w:hAnsi="Times New Roman"/>
          <w:sz w:val="22"/>
          <w:szCs w:val="22"/>
          <w:color w:val="auto"/>
        </w:rPr>
        <w:t>. The exhaustion of these claims procedures is mandatory for resolving every claim and dispute arising under this Plan. As to such claims and disputes:</w:t>
      </w:r>
    </w:p>
    <w:p>
      <w:pPr>
        <w:spacing w:after="0" w:line="150" w:lineRule="exact"/>
        <w:rPr>
          <w:rFonts w:ascii="Times New Roman" w:cs="Times New Roman" w:eastAsia="Times New Roman" w:hAnsi="Times New Roman"/>
          <w:sz w:val="22"/>
          <w:szCs w:val="22"/>
          <w:color w:val="010000"/>
        </w:rPr>
      </w:pPr>
    </w:p>
    <w:p>
      <w:pPr>
        <w:ind w:left="640" w:firstLine="652"/>
        <w:spacing w:after="0" w:line="225" w:lineRule="auto"/>
        <w:tabs>
          <w:tab w:leader="none" w:pos="1924"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claimant shall be permitted to commence any arbitration or legal action to recover benefits or to enforce or clarify rights under this Plan or under any provision of law until these claim procedures have been exhausted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480"/>
          </w:cols>
          <w:pgMar w:left="980" w:top="1440" w:right="4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firstLine="652"/>
        <w:spacing w:after="0" w:line="236" w:lineRule="auto"/>
        <w:tabs>
          <w:tab w:leader="none" w:pos="2590"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failure to submit a claim, appeal or any required information by the applicable deadline under these claims procedures shall result in forfeiture of the benefits being claimed;</w:t>
      </w:r>
    </w:p>
    <w:p>
      <w:pPr>
        <w:spacing w:after="0" w:line="150" w:lineRule="exact"/>
        <w:rPr>
          <w:rFonts w:ascii="Times New Roman" w:cs="Times New Roman" w:eastAsia="Times New Roman" w:hAnsi="Times New Roman"/>
          <w:sz w:val="22"/>
          <w:szCs w:val="22"/>
          <w:color w:val="010000"/>
        </w:rPr>
      </w:pPr>
    </w:p>
    <w:p>
      <w:pPr>
        <w:ind w:left="1300" w:right="260" w:firstLine="652"/>
        <w:spacing w:after="0" w:line="217" w:lineRule="auto"/>
        <w:tabs>
          <w:tab w:leader="none" w:pos="2596"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any civil action, arbitration or other agreed upon dispute resolution procedure, all explicit and implicit determinations by the Plan Administrator (including, but not limited to, interpretation of disputed plan terms, factual findings, and determinations as to whether the claim, or a request for a review of a denied claim, was timely filed) shall be afforded the maximum deference permitted by law and shall be overturned only if deemed unreasonable, arbitrary or capricious; and</w:t>
      </w:r>
    </w:p>
    <w:p>
      <w:pPr>
        <w:spacing w:after="0" w:line="13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legal action or arbitration may be commenced by the Participant later than one hundred eighty</w:t>
      </w:r>
    </w:p>
    <w:p>
      <w:pPr>
        <w:ind w:left="1300" w:right="220" w:firstLine="4"/>
        <w:spacing w:after="0" w:line="225" w:lineRule="auto"/>
        <w:tabs>
          <w:tab w:leader="none" w:pos="182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subsequent to the date of the written response of the Plan Administrator to a Participant’s request for review pursuant to Section 5.3(c).</w:t>
      </w:r>
    </w:p>
    <w:p>
      <w:pPr>
        <w:spacing w:after="0" w:line="150" w:lineRule="exact"/>
        <w:rPr>
          <w:sz w:val="20"/>
          <w:szCs w:val="20"/>
          <w:color w:val="auto"/>
        </w:rPr>
      </w:pPr>
    </w:p>
    <w:p>
      <w:pPr>
        <w:jc w:val="both"/>
        <w:ind w:right="80" w:firstLine="648"/>
        <w:spacing w:after="0" w:line="236" w:lineRule="auto"/>
        <w:rPr>
          <w:sz w:val="20"/>
          <w:szCs w:val="20"/>
          <w:color w:val="auto"/>
        </w:rPr>
      </w:pPr>
      <w:r>
        <w:rPr>
          <w:rFonts w:ascii="Times New Roman" w:cs="Times New Roman" w:eastAsia="Times New Roman" w:hAnsi="Times New Roman"/>
          <w:sz w:val="21"/>
          <w:szCs w:val="21"/>
          <w:color w:val="010000"/>
        </w:rPr>
        <w:t xml:space="preserve">5.4 </w:t>
      </w:r>
      <w:r>
        <w:rPr>
          <w:rFonts w:ascii="Times New Roman" w:cs="Times New Roman" w:eastAsia="Times New Roman" w:hAnsi="Times New Roman"/>
          <w:sz w:val="21"/>
          <w:szCs w:val="21"/>
          <w:u w:val="single" w:color="auto"/>
          <w:color w:val="000000"/>
        </w:rPr>
        <w:t>Indemnification</w:t>
      </w:r>
      <w:r>
        <w:rPr>
          <w:rFonts w:ascii="Times New Roman" w:cs="Times New Roman" w:eastAsia="Times New Roman" w:hAnsi="Times New Roman"/>
          <w:sz w:val="21"/>
          <w:szCs w:val="21"/>
          <w:color w:val="000000"/>
        </w:rPr>
        <w:t>. To the extent permitted by law, the Company shall indemnify the Plan Administrator and his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 delegates from all claims for liability, loss or damage (including the payment of expenses in connection with defense against such claims) arising from any good faith action, or failure to act, by the Plan Administrator in connection with this Plan.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6</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SUCCESSORS; ASSIGNMENT</w:t>
      </w:r>
    </w:p>
    <w:p>
      <w:pPr>
        <w:spacing w:after="0" w:line="155" w:lineRule="exact"/>
        <w:rPr>
          <w:sz w:val="20"/>
          <w:szCs w:val="20"/>
          <w:color w:val="auto"/>
        </w:rPr>
      </w:pPr>
    </w:p>
    <w:p>
      <w:pPr>
        <w:ind w:right="30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u w:val="single" w:color="auto"/>
          <w:color w:val="000000"/>
        </w:rPr>
        <w:t>Successors</w:t>
      </w:r>
      <w:r>
        <w:rPr>
          <w:rFonts w:ascii="Times New Roman" w:cs="Times New Roman" w:eastAsia="Times New Roman" w:hAnsi="Times New Roman"/>
          <w:sz w:val="22"/>
          <w:szCs w:val="22"/>
          <w:color w:val="000000"/>
        </w:rPr>
        <w:t>. The Company shall require any corporation, entity, individual or other person who is the successor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(whether direct or indirect, by purchase, merger, consolidation, reorganization or otherwise) to all or substantially all of the business and/or assets of the Company 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that assumes and agrees to perform this Plan by operation of law, written agreement or otherwise.</w:t>
      </w:r>
    </w:p>
    <w:p>
      <w:pPr>
        <w:spacing w:after="0" w:line="152" w:lineRule="exact"/>
        <w:rPr>
          <w:sz w:val="20"/>
          <w:szCs w:val="20"/>
          <w:color w:val="auto"/>
        </w:rPr>
      </w:pPr>
    </w:p>
    <w:p>
      <w:pPr>
        <w:jc w:val="both"/>
        <w:ind w:right="300" w:firstLine="648"/>
        <w:spacing w:after="0" w:line="231"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u w:val="single" w:color="auto"/>
          <w:color w:val="000000"/>
        </w:rPr>
        <w:t>Assignment of Rights</w:t>
      </w:r>
      <w:r>
        <w:rPr>
          <w:rFonts w:ascii="Times New Roman" w:cs="Times New Roman" w:eastAsia="Times New Roman" w:hAnsi="Times New Roman"/>
          <w:sz w:val="21"/>
          <w:szCs w:val="21"/>
          <w:color w:val="000000"/>
        </w:rPr>
        <w:t>. It is a condition of this Plan, and of all rights of each person eligible to receive benefits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under this Plan, that no right or interest of any such person in this Plan shall be assignable or transferable in whole or in part, except by will or the laws of descent and distribution or other operation of law, including, but not by way of limitation, lawful execution, levy, garnishment, attachment, pledge, bankruptcy, alimony, child support or qualified domestic relations order.</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7</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409A OF THE CODE</w:t>
      </w:r>
    </w:p>
    <w:p>
      <w:pPr>
        <w:spacing w:after="0" w:line="155"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General</w:t>
      </w:r>
      <w:r>
        <w:rPr>
          <w:rFonts w:ascii="Times New Roman" w:cs="Times New Roman" w:eastAsia="Times New Roman" w:hAnsi="Times New Roman"/>
          <w:sz w:val="22"/>
          <w:szCs w:val="22"/>
          <w:color w:val="000000"/>
        </w:rPr>
        <w:t>. The obligations under this Plan are intended to comply with the requirements of Section 409A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Code or an exemption or exclusion therefrom and shall in all respects be administered in accordance with Section 409A of the Code. Any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40" w:right="39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1"/>
          <w:szCs w:val="21"/>
          <w:color w:val="auto"/>
        </w:rPr>
        <w:t>qualify for the “short-term deferral” exception, the separation pay exception or another exception under Section 409A of the Code shall be paid under the applicable exception to the maximum extent possible. For purposes of the limitations on nonqualified deferred compensation under Section 409A of the Code and applying the exclusion under Section 409A for short-term deferral amounts, the separation pay exception, or any other exception or exclusion under Section 409A of the Code, each payment of compensation under this Plan shall be treated as a separate payment of compensation.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57" w:lineRule="exact"/>
        <w:rPr>
          <w:sz w:val="20"/>
          <w:szCs w:val="20"/>
          <w:color w:val="auto"/>
        </w:rPr>
      </w:pPr>
    </w:p>
    <w:p>
      <w:pPr>
        <w:ind w:right="60"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u w:val="single" w:color="auto"/>
          <w:color w:val="000000"/>
        </w:rPr>
        <w:t>Reimbursements and In-Kind Benefits</w:t>
      </w:r>
      <w:r>
        <w:rPr>
          <w:rFonts w:ascii="Times New Roman" w:cs="Times New Roman" w:eastAsia="Times New Roman" w:hAnsi="Times New Roman"/>
          <w:sz w:val="22"/>
          <w:szCs w:val="22"/>
          <w:color w:val="000000"/>
        </w:rPr>
        <w:t>. Notwithstanding anything to the contrary in this Plan, all reimbursements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in-kind benefits provided under this Plan that are subject to Section 409A of the Code shall be made in accordance with the requirements of Section 409A of the Code, including, without limitation, where applicable, the requirement that in no event shall the Company’s obligations to make such reimbursements or to provide such in-kind benefits apply later than the Participant’s remaining lifetime (or if longer, through the twentieth (20th) anniversary of the Effective Date); the amount of expenses eligible for reimbursement, or in-kind benefits provided, during a calendar year may not affect the expenses eligible for reimbursement, or in-kind benefits to be provided, in any other calendar year; the reimbursement of eligible fees and expenses shall be made no later than the last day of the calendar year following the year in which the applicable fees and expenses were incurred;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the Participant shall have submitted an invoice for such fees and expenses at least thirty (30) days before the end of the calendar year next following the calendar year in which such fees and expenses were incurred; and the right to reimbursement or in-kind benefits is not subject to liquidation or exchange for another benefit.</w:t>
      </w:r>
    </w:p>
    <w:p>
      <w:pPr>
        <w:spacing w:after="0" w:line="157"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7.3 </w:t>
      </w:r>
      <w:r>
        <w:rPr>
          <w:rFonts w:ascii="Times New Roman" w:cs="Times New Roman" w:eastAsia="Times New Roman" w:hAnsi="Times New Roman"/>
          <w:sz w:val="22"/>
          <w:szCs w:val="22"/>
          <w:u w:val="single" w:color="auto"/>
          <w:color w:val="000000"/>
        </w:rPr>
        <w:t>Delay of Payments</w:t>
      </w:r>
      <w:r>
        <w:rPr>
          <w:rFonts w:ascii="Times New Roman" w:cs="Times New Roman" w:eastAsia="Times New Roman" w:hAnsi="Times New Roman"/>
          <w:sz w:val="22"/>
          <w:szCs w:val="22"/>
          <w:color w:val="000000"/>
        </w:rPr>
        <w:t>. Notwithstanding any other provision of this Plan to the contrary, if a Participant is considered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“specified employee” for purposes of Section 409A of the Code (as determined in accordance with the methodology established by the Company as in effect on the Termination Date), any payment or benefit that constitutes nonqualified deferred compensation within the meaning of Section 409A of the Code that is otherwise due to be paid to such Participant under this Agreement during the six (6)-month period immediately following such Participant’s separation from service (as determined in accordance with Section 409A of the Code) because of such Participant’s separation from service shall be accumulated and paid to such Participant on the first (1st) business day of the seventh (7th) month following the Participant’s separation from service (the “</w:t>
      </w:r>
      <w:r>
        <w:rPr>
          <w:rFonts w:ascii="Times New Roman" w:cs="Times New Roman" w:eastAsia="Times New Roman" w:hAnsi="Times New Roman"/>
          <w:sz w:val="22"/>
          <w:szCs w:val="22"/>
          <w:u w:val="single" w:color="auto"/>
          <w:color w:val="000000"/>
        </w:rPr>
        <w:t>Delayed Payment Date</w:t>
      </w:r>
      <w:r>
        <w:rPr>
          <w:rFonts w:ascii="Times New Roman" w:cs="Times New Roman" w:eastAsia="Times New Roman" w:hAnsi="Times New Roman"/>
          <w:sz w:val="22"/>
          <w:szCs w:val="22"/>
          <w:color w:val="000000"/>
        </w:rPr>
        <w:t>”), or the next regularly scheduled payroll cycle thereafter,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or her estate on the Delayed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8</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To the extent not preempted by ERISA, this Plan shall be governed by and construed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Plan, even if under such jurisdiction’s choice of law or conflict of law analysis, the substantive law of some other jurisdiction would ordinarily apply.</w:t>
      </w:r>
    </w:p>
    <w:p>
      <w:pPr>
        <w:spacing w:after="0" w:line="152" w:lineRule="exact"/>
        <w:rPr>
          <w:sz w:val="20"/>
          <w:szCs w:val="20"/>
          <w:color w:val="auto"/>
        </w:rPr>
      </w:pPr>
    </w:p>
    <w:p>
      <w:pPr>
        <w:ind w:right="4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u w:val="single" w:color="auto"/>
          <w:color w:val="000000"/>
        </w:rPr>
        <w:t>Withholding</w:t>
      </w:r>
      <w:r>
        <w:rPr>
          <w:rFonts w:ascii="Times New Roman" w:cs="Times New Roman" w:eastAsia="Times New Roman" w:hAnsi="Times New Roman"/>
          <w:sz w:val="22"/>
          <w:szCs w:val="22"/>
          <w:color w:val="000000"/>
        </w:rPr>
        <w:t>. The Company may withhold from any amount payable or benefit provided under this Plan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federal, state, local, foreign and other taxes as are required to be withheld pursuant to any applicable law or regulation.</w:t>
      </w:r>
    </w:p>
    <w:p>
      <w:pPr>
        <w:spacing w:after="0" w:line="150"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u w:val="single" w:color="auto"/>
          <w:color w:val="000000"/>
        </w:rPr>
        <w:t>Gender and Plurals</w:t>
      </w:r>
      <w:r>
        <w:rPr>
          <w:rFonts w:ascii="Times New Roman" w:cs="Times New Roman" w:eastAsia="Times New Roman" w:hAnsi="Times New Roman"/>
          <w:sz w:val="22"/>
          <w:szCs w:val="22"/>
          <w:color w:val="000000"/>
        </w:rPr>
        <w:t>. Wherever used in this Plan document, words in the masculine gender shall include masculine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feminine gender, and, unless the context otherwise requires, words in the singular shall include the plural, and words in the plural shall include the singular.</w:t>
      </w:r>
    </w:p>
    <w:p>
      <w:pPr>
        <w:spacing w:after="0" w:line="153"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u w:val="single" w:color="auto"/>
          <w:color w:val="000000"/>
        </w:rPr>
        <w:t>Plan Controls</w:t>
      </w:r>
      <w:r>
        <w:rPr>
          <w:rFonts w:ascii="Times New Roman" w:cs="Times New Roman" w:eastAsia="Times New Roman" w:hAnsi="Times New Roman"/>
          <w:sz w:val="22"/>
          <w:szCs w:val="22"/>
          <w:color w:val="000000"/>
        </w:rPr>
        <w:t>. In the event of any inconsistency between this Plan document and any other communication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regarding this Plan, this Plan document controls. The captions in this Plan are not part of the provisions hereof and shall have no force or effect.</w:t>
      </w:r>
    </w:p>
    <w:p>
      <w:pPr>
        <w:spacing w:after="0" w:line="152" w:lineRule="exact"/>
        <w:rPr>
          <w:sz w:val="20"/>
          <w:szCs w:val="20"/>
          <w:color w:val="auto"/>
        </w:rPr>
      </w:pPr>
    </w:p>
    <w:p>
      <w:pPr>
        <w:ind w:right="56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8.5 </w:t>
      </w:r>
      <w:r>
        <w:rPr>
          <w:rFonts w:ascii="Times New Roman" w:cs="Times New Roman" w:eastAsia="Times New Roman" w:hAnsi="Times New Roman"/>
          <w:sz w:val="22"/>
          <w:szCs w:val="22"/>
          <w:u w:val="single" w:color="auto"/>
          <w:color w:val="000000"/>
        </w:rPr>
        <w:t>Not an Employment Contract</w:t>
      </w:r>
      <w:r>
        <w:rPr>
          <w:rFonts w:ascii="Times New Roman" w:cs="Times New Roman" w:eastAsia="Times New Roman" w:hAnsi="Times New Roman"/>
          <w:sz w:val="22"/>
          <w:szCs w:val="22"/>
          <w:color w:val="000000"/>
        </w:rPr>
        <w:t>. Neither this Plan nor any action taken with respect to it shall confer upon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person the right to continued employment with the Company.</w:t>
      </w:r>
    </w:p>
    <w:p>
      <w:pPr>
        <w:spacing w:after="0" w:line="150"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8.6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Any notice or other communication required to be delivered to the Company by a Participant hereunder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(including, without limitation, any claim submitted by a Participant pursuant to Section 5 and the Plan Administrator’s response thereto) shall be properly delivered to the Company when delivered by electronic mail to the Raytheon Technologies Corporation Total Rewards Department: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Attention: Corporate Vice President, Total Rewards</w:t>
      </w: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Email Address: </w:t>
      </w:r>
      <w:r>
        <w:rPr>
          <w:rFonts w:ascii="Times New Roman" w:cs="Times New Roman" w:eastAsia="Times New Roman" w:hAnsi="Times New Roman"/>
          <w:sz w:val="22"/>
          <w:szCs w:val="22"/>
          <w:u w:val="single" w:color="auto"/>
          <w:color w:val="auto"/>
        </w:rPr>
        <w:t>RTXTotalRewards@rtx.com</w:t>
      </w:r>
    </w:p>
    <w:p>
      <w:pPr>
        <w:spacing w:after="0" w:line="155"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22"/>
          <w:szCs w:val="22"/>
          <w:color w:val="auto"/>
        </w:rPr>
        <w:t>Any notice required to be delivered to the Participant by the Company hereunder shall be properly delivered to the Participant when the Company delivers such notice personally, by placing said notice in the U.S. mail, registered or certified mail, return receipt requested, postage prepaid to that person’s last known address as reflected on the books and records of the Company, or by sending said notice to the Participant’s Company email address prior to the Termination Date and thereafter to the email address provided by the Participant to the Company.</w:t>
      </w:r>
    </w:p>
    <w:p>
      <w:pPr>
        <w:spacing w:after="0" w:line="152"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of this Plan is held invalid or unenforceable, its invalidity or unenforceability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affect any other provisions of this Plan, and this Plan shall be construed and enforced as if such provision had not been included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40" w:right="379" w:bottom="1440" w:gutter="0" w:footer="0" w:header="0"/>
        </w:sectPr>
      </w:pPr>
    </w:p>
    <w:bookmarkStart w:id="100" w:name="page101"/>
    <w:bookmarkEnd w:id="100"/>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GENERAL RELEASE OF CLAIMS AND</w:t>
      </w: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155"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THIS GENERAL RELEASE OF CLAIMS AND RESTRICTIVE COVENANT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Raytheon Technologies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the Company and its Affiliated Entities, as of [●]. Capitalized terms used and not defined herein shall have the meanings provided in the Raytheon Technologies Corporation Executive Severance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entering into and non-revocation of this Agreement is a condition to Executive’s right to receive the severance payments and benefits under Section 2.1 of the Plan (other than the Accrued Obligations and Other Benefits).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Executive and the Company agree as follows:</w:t>
      </w:r>
    </w:p>
    <w:p>
      <w:pPr>
        <w:spacing w:after="0" w:line="17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b w:val="1"/>
          <w:bCs w:val="1"/>
          <w:color w:val="auto"/>
        </w:rPr>
        <w:t>.</w:t>
      </w:r>
    </w:p>
    <w:p>
      <w:pPr>
        <w:spacing w:after="0" w:line="192" w:lineRule="exact"/>
        <w:rPr>
          <w:rFonts w:ascii="Times New Roman" w:cs="Times New Roman" w:eastAsia="Times New Roman" w:hAnsi="Times New Roman"/>
          <w:sz w:val="22"/>
          <w:szCs w:val="22"/>
          <w:b w:val="1"/>
          <w:bCs w:val="1"/>
          <w:color w:val="auto"/>
        </w:rPr>
      </w:pPr>
    </w:p>
    <w:p>
      <w:pPr>
        <w:ind w:firstLine="1304"/>
        <w:spacing w:after="0" w:line="232" w:lineRule="auto"/>
        <w:tabs>
          <w:tab w:leader="none" w:pos="194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Executive Release of Claims</w:t>
      </w:r>
      <w:r>
        <w:rPr>
          <w:rFonts w:ascii="Times New Roman" w:cs="Times New Roman" w:eastAsia="Times New Roman" w:hAnsi="Times New Roman"/>
          <w:sz w:val="21"/>
          <w:szCs w:val="21"/>
          <w:color w:val="auto"/>
        </w:rPr>
        <w:t>. Executive, for Executive, Executive’s heirs, administrators, representatives,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executors, successors and assigns, hereby irrevocably and unconditionally releases, acquits and forever discharges and agrees not to sue the Company or any of its Affiliated Entities and their respective current and former directors, officers, shareholders, trustees, employees, consultants, independent contractors, successors and assigns, and all persons acting by, through or under or in concert with any of them, from all actions, damages, losses, costs and claims of any and every kind and nature whatsoever, at law or in equity, whether absolute or contingent, up to and including the date of this Agreement, arising from or relating to Executive’s employment with, or termination of employment from, the Company and its Affiliated Entities,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the Age Discrimination in Employment Act of 1967, as amended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Title VII of the Civil Rights Act of 1964, as amended; the Equal Pay Act of 1963, as amended; the Americans with Disabilities Act of 1990, as amended; the Employee Retirement Income Security Act of 1974, as amended; and any other federal, state or local laws or regulations prohibiting employment discrimination. This Agreement specifically excludes (i) Executive’s right to receive the amounts and benefits under the Plan and to enforce the terms of this Agreement, (ii) Executive’s rights to vested amounts and benefits under any employee benefit plan of the Company or its Affiliated Entities, (iii) any claims arising after the date hereof, and (iv) any claim or right Executive may have to indemnification or coverage under the Company’s or any of its Affiliated Entities’ respective bylaws or directors’ and officers’ insurance policies or any agreement to which Executive is a party or a third-party beneficiary. To the maximum extent permitted by law, Executive agrees that Executive has not filed, nor will Executive ever file, a lawsuit asserting any claims that are released by this Agreement, or to accept any benefit from any lawsuit that might be filed by another person or governmental entity based in whole or in part on any event, act, or omission that is the subject of the release contained in this Agreement. The Executive agrees to ratify and confirm the release and waiver effective as of the Termination Date as a pre-condition to receiving any of the benefits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91" w:right="339" w:bottom="1440" w:gutter="0" w:footer="0" w:header="0"/>
        </w:sectPr>
      </w:pPr>
    </w:p>
    <w:bookmarkStart w:id="101" w:name="page102"/>
    <w:bookmarkEnd w:id="101"/>
    <w:p>
      <w:pPr>
        <w:spacing w:after="0" w:line="167" w:lineRule="exact"/>
        <w:rPr>
          <w:sz w:val="20"/>
          <w:szCs w:val="20"/>
          <w:color w:val="auto"/>
        </w:rPr>
      </w:pPr>
    </w:p>
    <w:p>
      <w:pPr>
        <w:ind w:left="-60" w:right="140" w:firstLine="1304"/>
        <w:spacing w:after="0" w:line="221" w:lineRule="auto"/>
        <w:tabs>
          <w:tab w:leader="none" w:pos="18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EEOC</w:t>
      </w:r>
      <w:r>
        <w:rPr>
          <w:rFonts w:ascii="Times New Roman" w:cs="Times New Roman" w:eastAsia="Times New Roman" w:hAnsi="Times New Roman"/>
          <w:sz w:val="22"/>
          <w:szCs w:val="22"/>
          <w:color w:val="auto"/>
        </w:rPr>
        <w:t>. The parties agree that this Agreement shall not affect the rights and responsibilities of the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Employment Opportunity Commission (“EEOC”) to enforce ADEA and other laws. Executive agrees, however, to waive the right to recover monetary damages in any charge, complaint or lawsuit filed by Executive or on Executive’s behalf with respect to any claims released in this Agreement.</w:t>
      </w:r>
    </w:p>
    <w:p>
      <w:pPr>
        <w:spacing w:after="0" w:line="148" w:lineRule="exact"/>
        <w:rPr>
          <w:rFonts w:ascii="Times New Roman" w:cs="Times New Roman" w:eastAsia="Times New Roman" w:hAnsi="Times New Roman"/>
          <w:sz w:val="22"/>
          <w:szCs w:val="22"/>
          <w:color w:val="auto"/>
        </w:rPr>
      </w:pPr>
    </w:p>
    <w:p>
      <w:pPr>
        <w:ind w:left="-60" w:right="360" w:firstLine="1304"/>
        <w:spacing w:after="0" w:line="238" w:lineRule="auto"/>
        <w:tabs>
          <w:tab w:leader="none" w:pos="18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1542 of the California Civil Code</w:t>
      </w:r>
      <w:r>
        <w:rPr>
          <w:rFonts w:ascii="Times New Roman" w:cs="Times New Roman" w:eastAsia="Times New Roman" w:hAnsi="Times New Roman"/>
          <w:sz w:val="22"/>
          <w:szCs w:val="22"/>
          <w:color w:val="auto"/>
        </w:rPr>
        <w:t>. The parties hereto expressly acknowledge and agree that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under Section 1542 of the California Civil Code are expressly waived. That section provides:</w:t>
      </w:r>
    </w:p>
    <w:p>
      <w:pPr>
        <w:spacing w:after="0" w:line="150" w:lineRule="exact"/>
        <w:rPr>
          <w:sz w:val="20"/>
          <w:szCs w:val="20"/>
          <w:color w:val="auto"/>
        </w:rPr>
      </w:pPr>
    </w:p>
    <w:p>
      <w:pPr>
        <w:ind w:left="920" w:right="80"/>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8" w:lineRule="exact"/>
        <w:rPr>
          <w:sz w:val="20"/>
          <w:szCs w:val="20"/>
          <w:color w:val="auto"/>
        </w:rPr>
      </w:pPr>
    </w:p>
    <w:p>
      <w:pPr>
        <w:ind w:left="-60" w:right="140" w:firstLine="1304"/>
        <w:spacing w:after="0" w:line="227" w:lineRule="auto"/>
        <w:tabs>
          <w:tab w:leader="none" w:pos="187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 Acknowledgment. </w:t>
      </w:r>
      <w:r>
        <w:rPr>
          <w:rFonts w:ascii="Times New Roman" w:cs="Times New Roman" w:eastAsia="Times New Roman" w:hAnsi="Times New Roman"/>
          <w:sz w:val="22"/>
          <w:szCs w:val="22"/>
          <w:color w:val="auto"/>
        </w:rPr>
        <w:t>Executive shall take any action requested by the Company to ensure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removal and termination, with effect from the Termination Date, from all offices, directorships, board or committee memberships and fiduciary capacities in which Executive served at the Company and its Affiliated Entities.</w:t>
      </w:r>
    </w:p>
    <w:p>
      <w:pPr>
        <w:spacing w:after="0" w:line="146" w:lineRule="exact"/>
        <w:rPr>
          <w:rFonts w:ascii="Times New Roman" w:cs="Times New Roman" w:eastAsia="Times New Roman" w:hAnsi="Times New Roman"/>
          <w:sz w:val="22"/>
          <w:szCs w:val="22"/>
          <w:color w:val="auto"/>
        </w:rPr>
      </w:pPr>
    </w:p>
    <w:p>
      <w:pPr>
        <w:ind w:left="1240" w:hanging="644"/>
        <w:spacing w:after="0"/>
        <w:tabs>
          <w:tab w:leader="none" w:pos="12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w:t>
      </w:r>
    </w:p>
    <w:p>
      <w:pPr>
        <w:spacing w:after="0" w:line="192" w:lineRule="exact"/>
        <w:rPr>
          <w:rFonts w:ascii="Times New Roman" w:cs="Times New Roman" w:eastAsia="Times New Roman" w:hAnsi="Times New Roman"/>
          <w:sz w:val="22"/>
          <w:szCs w:val="22"/>
          <w:b w:val="1"/>
          <w:bCs w:val="1"/>
          <w:color w:val="auto"/>
        </w:rPr>
      </w:pPr>
    </w:p>
    <w:p>
      <w:pPr>
        <w:ind w:left="-60" w:firstLine="1304"/>
        <w:spacing w:after="0" w:line="227" w:lineRule="auto"/>
        <w:tabs>
          <w:tab w:leader="none" w:pos="188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Protection of Confidential Information. </w:t>
      </w:r>
      <w:r>
        <w:rPr>
          <w:rFonts w:ascii="Times New Roman" w:cs="Times New Roman" w:eastAsia="Times New Roman" w:hAnsi="Times New Roman"/>
          <w:sz w:val="22"/>
          <w:szCs w:val="22"/>
          <w:color w:val="auto"/>
        </w:rPr>
        <w:t>Executive shall hold in a fiduciary capacity for the benefit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Affiliated Entities all secret or confidential information, knowledge, or data relating to the Company and its Affiliated Entities and businesses, which information, knowledge or data shall have been obtained by Executive during Executive’s employment by the Company or its Affiliated Entities and which information, knowledge or data shall not be or become public knowledge (other than by acts by Executive or representatives of Executive in violation of this Agreement) (collectively,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and Executive agrees not to provide such Confidential Information, directly or indirectly, to any third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information that: (i) is lawfully received by Executive from any third party without restriction on disclosure or use, or (ii) is required to be disclosed by law, shall not be deemed to be Confidential Information for purposes of this Section 2(a). Executive shall not, without the prior written consent of the Company or as may otherwise be required by law, use, communicate or divulge any such Confidential Information. Notwithstanding any other provisions of this Section 2(a), pursuant to 18 USC Section 1833(b), Executive shall not be held criminally or civilly liable under any federal or state trade secret law for the disclosure of any Confidential Information that is a trade secret that is made: (A) confidentially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If Executive files a lawsuit for retaliation by the Company for reporting a suspected violation of law, Executive may disclose such trade secret to Executive’s attorney and use the trade secret information in related court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files any document containing the trade secret information under seal and does not disclose the trade secret, except pursuant to court order. Notwithstanding any provision of this Agreement to the contrary, the provisions of this Agreement are not intended to, and shall be interpreted in a manner that does not, limit or restrict Executive from exercising any legally protected whistleblower rights (including pursuant to Rule 21F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20"/>
          </w:cols>
          <w:pgMar w:left="380" w:top="1440" w:right="399" w:bottom="1440" w:gutter="0" w:footer="0" w:header="0"/>
        </w:sectPr>
      </w:pPr>
    </w:p>
    <w:bookmarkStart w:id="102" w:name="page103"/>
    <w:bookmarkEnd w:id="102"/>
    <w:p>
      <w:pPr>
        <w:spacing w:after="0" w:line="181" w:lineRule="exact"/>
        <w:rPr>
          <w:sz w:val="20"/>
          <w:szCs w:val="20"/>
          <w:color w:val="auto"/>
        </w:rPr>
      </w:pPr>
    </w:p>
    <w:p>
      <w:pPr>
        <w:ind w:right="20" w:firstLine="1142"/>
        <w:spacing w:after="0"/>
        <w:tabs>
          <w:tab w:leader="none" w:pos="193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Noncompetition. </w:t>
      </w:r>
      <w:r>
        <w:rPr>
          <w:rFonts w:ascii="Times New Roman" w:cs="Times New Roman" w:eastAsia="Times New Roman" w:hAnsi="Times New Roman"/>
          <w:sz w:val="21"/>
          <w:szCs w:val="21"/>
          <w:color w:val="auto"/>
        </w:rPr>
        <w:t>To further ensure the protection of the Confidential Information, Executive agrees that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period of one (1) year after Executive’s Termination Date, Executive will not accept employment with or provide services in any form to (including serving as a director, partner or founder, or entering into a consulting relationship or similar arrangements) a business that (i) competes, directly or indirectly, with the Company or any of the Company’s principal business units as of the Termination Date; or (ii) is a material customer of or a material supplier to any of the Company’s businesses as of the Termination Date (a “</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it shall not be considered a breach of this Agreement for Executive to be a passive owner of not more than 5% of the outstanding stock or other securities or interests of a corporation or other entity that is a Competitive Business, so long as Executive has no direct or indirect active participation in the business or management of such corporation or entity. Executive acknowledges that the Company is a global enterprise with competitors, customers and suppliers throughout the world and for that reason there are no geographic limitations on the covenants in this Section 2(b) or (c).</w:t>
      </w:r>
    </w:p>
    <w:p>
      <w:pPr>
        <w:spacing w:after="0" w:line="177" w:lineRule="exact"/>
        <w:rPr>
          <w:rFonts w:ascii="Times New Roman" w:cs="Times New Roman" w:eastAsia="Times New Roman" w:hAnsi="Times New Roman"/>
          <w:sz w:val="21"/>
          <w:szCs w:val="21"/>
          <w:color w:val="auto"/>
        </w:rPr>
      </w:pPr>
    </w:p>
    <w:p>
      <w:pPr>
        <w:ind w:right="880" w:firstLine="1142"/>
        <w:spacing w:after="0" w:line="262"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and Customer Nonsolicitation</w:t>
      </w:r>
      <w:r>
        <w:rPr>
          <w:rFonts w:ascii="Times New Roman" w:cs="Times New Roman" w:eastAsia="Times New Roman" w:hAnsi="Times New Roman"/>
          <w:sz w:val="22"/>
          <w:szCs w:val="22"/>
          <w:color w:val="auto"/>
        </w:rPr>
        <w:t>. Executive agrees that for a period of two (2) years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Termination Date, that Executive shall not, directly or indirectly:</w:t>
      </w:r>
    </w:p>
    <w:p>
      <w:pPr>
        <w:spacing w:after="0" w:line="140" w:lineRule="exact"/>
        <w:rPr>
          <w:rFonts w:ascii="Times New Roman" w:cs="Times New Roman" w:eastAsia="Times New Roman" w:hAnsi="Times New Roman"/>
          <w:sz w:val="22"/>
          <w:szCs w:val="22"/>
          <w:color w:val="auto"/>
        </w:rPr>
      </w:pPr>
    </w:p>
    <w:p>
      <w:pPr>
        <w:ind w:left="1620" w:hanging="316"/>
        <w:spacing w:after="0" w:line="232" w:lineRule="auto"/>
        <w:tabs>
          <w:tab w:leader="none" w:pos="171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any individual who is, at the time of such solicitation (or was during the three (3)-month period prior to the date of such solicitation), employed by the Company or one of its Affiliated Entities with whom Executive had direct contact (other than incidental) during the two (2)-year period prior to the Termination Date, to terminate or refrain from rendering services to the Company or its Affiliated Entities for the purpose of encouraging such individual to become employed by, or to become a consultant to, a non-RTX entity or any other unrelated individual, or</w:t>
      </w:r>
    </w:p>
    <w:p>
      <w:pPr>
        <w:spacing w:after="0" w:line="179" w:lineRule="exact"/>
        <w:rPr>
          <w:rFonts w:ascii="Times New Roman" w:cs="Times New Roman" w:eastAsia="Times New Roman" w:hAnsi="Times New Roman"/>
          <w:sz w:val="22"/>
          <w:szCs w:val="22"/>
          <w:color w:val="auto"/>
        </w:rPr>
      </w:pPr>
    </w:p>
    <w:p>
      <w:pPr>
        <w:ind w:left="1620" w:right="140" w:hanging="316"/>
        <w:spacing w:after="0" w:line="232" w:lineRule="auto"/>
        <w:tabs>
          <w:tab w:leader="none" w:pos="16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attempt to induce any current customer, investor, supplier, licensee or other business relation of the Company or any of its Affiliated Entities with whom or which Executive had direct contact (other than incidental) during the two (2)-year period prior to the Termination Date (“</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to cease doing business with the Company or its Affiliated Entities, or in any way interfere with the relationship between any such Customer, on the one hand, and the Company or any of its Affiliated Entities, on the other hand.</w:t>
      </w:r>
    </w:p>
    <w:p>
      <w:pPr>
        <w:spacing w:after="0" w:line="177" w:lineRule="exact"/>
        <w:rPr>
          <w:rFonts w:ascii="Times New Roman" w:cs="Times New Roman" w:eastAsia="Times New Roman" w:hAnsi="Times New Roman"/>
          <w:sz w:val="22"/>
          <w:szCs w:val="22"/>
          <w:color w:val="auto"/>
        </w:rPr>
      </w:pPr>
    </w:p>
    <w:p>
      <w:pPr>
        <w:ind w:right="40" w:firstLine="1142"/>
        <w:spacing w:after="0" w:line="233"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Executive agrees not to disparage or defame, through any public medium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social media) the business reputation, technology, products, practices or conduct of the Company or its Affiliated Entities or any member of the board of directors or any executive officer of the Company in their capacity as such. Nothing in this Agreement or elsewhere shall prevent Executive from making statements in confidence to an immediate family member or to an attorney for the purpose of seeking legal advice, or from making truthful statements when required by law, subpoena or the like, or in arbitration or other legal proceeding permitted under this Agreement and/or the Plan, as applicable.</w:t>
      </w:r>
    </w:p>
    <w:p>
      <w:pPr>
        <w:spacing w:after="0" w:line="159" w:lineRule="exact"/>
        <w:rPr>
          <w:rFonts w:ascii="Times New Roman" w:cs="Times New Roman" w:eastAsia="Times New Roman" w:hAnsi="Times New Roman"/>
          <w:sz w:val="22"/>
          <w:szCs w:val="22"/>
          <w:color w:val="auto"/>
        </w:rPr>
      </w:pPr>
    </w:p>
    <w:p>
      <w:pPr>
        <w:ind w:right="120" w:firstLine="1142"/>
        <w:spacing w:after="0" w:line="237"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Return of Property</w:t>
      </w:r>
      <w:r>
        <w:rPr>
          <w:rFonts w:ascii="Times New Roman" w:cs="Times New Roman" w:eastAsia="Times New Roman" w:hAnsi="Times New Roman"/>
          <w:sz w:val="22"/>
          <w:szCs w:val="22"/>
          <w:color w:val="auto"/>
        </w:rPr>
        <w:t>. On or before the Termination Date, the Executive will return all Company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Company issued laptop, cell phone, and other electronic devices (as applicable). The Executive acknowledges and agrees that all Confidential Information, documents and materials supplied to or developed by Executive in the course of, or as a result of his or her employment at the Company, shall be the sole property of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2"/>
          <w:szCs w:val="22"/>
          <w:color w:val="auto"/>
        </w:rPr>
        <w:t>Executive will immediately upon termination of employment, return all originals and copies (electronic and hard copy) of the Company property to the Company. The Executive also agrees that the Executive will not copy or remove from the Company’s place of business, or the place of business of a customer of the Company, property or information belonging to the Company or entrusted to the Company by a customer.</w:t>
      </w:r>
    </w:p>
    <w:p>
      <w:pPr>
        <w:spacing w:after="0" w:line="162" w:lineRule="exact"/>
        <w:rPr>
          <w:sz w:val="20"/>
          <w:szCs w:val="20"/>
          <w:color w:val="auto"/>
        </w:rPr>
      </w:pPr>
    </w:p>
    <w:p>
      <w:pPr>
        <w:ind w:firstLine="1142"/>
        <w:spacing w:after="0"/>
        <w:tabs>
          <w:tab w:leader="none" w:pos="19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Executive Acknowledgment. </w:t>
      </w:r>
      <w:r>
        <w:rPr>
          <w:rFonts w:ascii="Times New Roman" w:cs="Times New Roman" w:eastAsia="Times New Roman" w:hAnsi="Times New Roman"/>
          <w:sz w:val="21"/>
          <w:szCs w:val="21"/>
          <w:color w:val="auto"/>
        </w:rPr>
        <w:t>Executive acknowledges that Executive’s agreement to comply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covenants in this Section 2 is in consideration for the payments and benefits to be received by Executive under Section 2.1 of the Plan. Executive understands that the covenants in this Section 2 may limit Executive’s ability to work in a business similar to the business of the Company and its Affiliated Entities;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Executive agrees that, in light of Executive’s education, skills, abilities and financial resources, Executive shall not assert, and it shall not be relevant nor admissible as evidence in any dispute arising in respect of the covenants in this Section 2, that any provisions of such covenants prevent Executive from earning a living. Executive acknowledges that the Intellectual Property Agreement between Executive and the Company, and all restrictive covenants applicable to the Participant pursuant to the applicable Company Long-Term Incentive Plan, any schedule of terms thereunder, and the Company’s Clawback Policy, including all related forfeiture and recoupment provisions, will continue in full force and effect following the Termination Date and are in addition to Executive’s obligations hereunder. To the extent the Executive does not currently have an intellectual property (“IP”) Agreement on file with the Company, the Executive agrees to sign the IP Agreement, attached hereto as Exhibit A-1, as a condition precedent to receiving benefits under this Agreement.</w:t>
      </w:r>
    </w:p>
    <w:p>
      <w:pPr>
        <w:spacing w:after="0" w:line="180" w:lineRule="exact"/>
        <w:rPr>
          <w:rFonts w:ascii="Times New Roman" w:cs="Times New Roman" w:eastAsia="Times New Roman" w:hAnsi="Times New Roman"/>
          <w:sz w:val="21"/>
          <w:szCs w:val="21"/>
          <w:color w:val="auto"/>
        </w:rPr>
      </w:pPr>
    </w:p>
    <w:p>
      <w:pPr>
        <w:ind w:firstLine="1142"/>
        <w:spacing w:after="0" w:line="230"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Executive acknowledges that the Company and its Affiliated Entities would be irreparably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injured by a violation of Section 2(a), (b), (c) or (d), and Executive agrees that the Company and such Affiliated Entities, in addition to any other remedies available, shall be entitled to (i) a preliminary injunction, temporary restraining order or other equivalent relief, restraining Executive from any actual or threatened material breach of any of Sections 2(a), (b), (c) or (d), or (ii) to cause the Executive to forfeit any remaining vested or unvested Company equity awards or remaining unpaid severance payments or benefits upon any material breach of any of Sections 2(a), (b), (c) or (d). In the event of such a material breach, the Company’s remedies shall also include, but not be limited to, the right to recover the payments and value of payments and benefits provided under Section 2 of the Plan.</w:t>
      </w:r>
    </w:p>
    <w:p>
      <w:pPr>
        <w:spacing w:after="0" w:line="166" w:lineRule="exact"/>
        <w:rPr>
          <w:rFonts w:ascii="Times New Roman" w:cs="Times New Roman" w:eastAsia="Times New Roman" w:hAnsi="Times New Roman"/>
          <w:sz w:val="22"/>
          <w:szCs w:val="22"/>
          <w:color w:val="auto"/>
        </w:rPr>
      </w:pPr>
    </w:p>
    <w:p>
      <w:pPr>
        <w:ind w:right="100" w:firstLine="1142"/>
        <w:spacing w:after="0" w:line="230"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 Blue Pencil</w:t>
      </w:r>
      <w:r>
        <w:rPr>
          <w:rFonts w:ascii="Times New Roman" w:cs="Times New Roman" w:eastAsia="Times New Roman" w:hAnsi="Times New Roman"/>
          <w:sz w:val="22"/>
          <w:szCs w:val="22"/>
          <w:color w:val="auto"/>
        </w:rPr>
        <w:t>. Executive acknowledges and agrees that Executive has had the opportunity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seek advice of counsel in connection with this Agreement, and the restrictive covenants contained herein are reasonable in geographic scope, temporal duration, and in all other respects. If it is determined that any provision of this Section 2 is invalid or unenforceable, the remainder of the provisions of this Section 2 shall not thereby be affected and shall be given full effect, without regard to the invalid portions. If any court or other decision-maker of competent jurisdiction determines that any covenant in this Section 2 is unenforceable because of the duration or geographic scope of such covenant, then, after such determination becomes final and nonappealable, the duration or scope of such provision, as the case may be, shall be reduced so that such provision becomes enforceable, and that, in its reduced form, such covenant shall be enforced.</w:t>
      </w:r>
    </w:p>
    <w:p>
      <w:pPr>
        <w:spacing w:after="0" w:line="180" w:lineRule="exact"/>
        <w:rPr>
          <w:rFonts w:ascii="Times New Roman" w:cs="Times New Roman" w:eastAsia="Times New Roman" w:hAnsi="Times New Roman"/>
          <w:sz w:val="22"/>
          <w:szCs w:val="22"/>
          <w:color w:val="auto"/>
        </w:rPr>
      </w:pPr>
    </w:p>
    <w:p>
      <w:pPr>
        <w:jc w:val="both"/>
        <w:ind w:right="260" w:firstLine="1142"/>
        <w:spacing w:after="0"/>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Cooperation. </w:t>
      </w:r>
      <w:r>
        <w:rPr>
          <w:rFonts w:ascii="Times New Roman" w:cs="Times New Roman" w:eastAsia="Times New Roman" w:hAnsi="Times New Roman"/>
          <w:sz w:val="22"/>
          <w:szCs w:val="22"/>
          <w:color w:val="auto"/>
        </w:rPr>
        <w:t>The Executive agrees to cooperate with the Company following the Termination Date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any matter in which: (i) the Executive was involved during the course of his or her employment; and (ii) Executive’s subsequent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and cooperation is reasonably necessary or appropriate. Such cooperation will include utilizing Executive’s best efforts to protect and further the Company’s interests in litigation matters. The Company will reimburse the Executive for any reasonable expenses incurred in connection with providing any such assistance</w:t>
      </w:r>
    </w:p>
    <w:p>
      <w:pPr>
        <w:spacing w:after="0" w:line="175" w:lineRule="exact"/>
        <w:rPr>
          <w:sz w:val="20"/>
          <w:szCs w:val="20"/>
          <w:color w:val="auto"/>
        </w:rPr>
      </w:pPr>
    </w:p>
    <w:p>
      <w:pPr>
        <w:ind w:right="220" w:firstLine="1142"/>
        <w:spacing w:after="0" w:line="237" w:lineRule="auto"/>
        <w:tabs>
          <w:tab w:leader="none" w:pos="193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Rehire</w:t>
      </w:r>
      <w:r>
        <w:rPr>
          <w:rFonts w:ascii="Times New Roman" w:cs="Times New Roman" w:eastAsia="Times New Roman" w:hAnsi="Times New Roman"/>
          <w:sz w:val="22"/>
          <w:szCs w:val="22"/>
          <w:color w:val="auto"/>
        </w:rPr>
        <w:t>. The Executive understands and agrees that, as a condition of receiving the payments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benefits provided under Section 2.1 of the Plan, the Executive will not be entitled to any future employment with the Company. The Executive acknowledges that the Company has no obligation to rehire the Executive or consider him or her for any post-termination applications.</w:t>
      </w:r>
    </w:p>
    <w:p>
      <w:pPr>
        <w:spacing w:after="0" w:line="161" w:lineRule="exact"/>
        <w:rPr>
          <w:rFonts w:ascii="Times New Roman" w:cs="Times New Roman" w:eastAsia="Times New Roman" w:hAnsi="Times New Roman"/>
          <w:sz w:val="22"/>
          <w:szCs w:val="22"/>
          <w:color w:val="auto"/>
        </w:rPr>
      </w:pPr>
    </w:p>
    <w:p>
      <w:pPr>
        <w:ind w:right="80" w:firstLine="1142"/>
        <w:spacing w:after="0" w:line="232"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Reemployment by the Company</w:t>
      </w:r>
      <w:r>
        <w:rPr>
          <w:rFonts w:ascii="Times New Roman" w:cs="Times New Roman" w:eastAsia="Times New Roman" w:hAnsi="Times New Roman"/>
          <w:sz w:val="22"/>
          <w:szCs w:val="22"/>
          <w:color w:val="auto"/>
        </w:rPr>
        <w:t>. Notwithstanding paragraph (j) above, if the Company or an Affiliate were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offer the Executive employment, and if the Executive accepted such employment within twelve (12) months after the Executive’s Termination Date, then as a condition of that reemployment, Executive will be required to repay to the Company a pro-rata portion of the severance payment under Section 2.1(a)(iii) of the Plan. The pro-rata portion the Executive will be required to repay will be determined by multiplying the payment by a fraction, where the denominator of the fraction will be twelve (12), and the numerator will be twelve (12) minus the number of full months between the Executive’s Termination Date and the Executive’s reemployment date.</w:t>
      </w:r>
    </w:p>
    <w:p>
      <w:pPr>
        <w:spacing w:after="0" w:line="16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for Consideration; Revocation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21"/>
          <w:szCs w:val="21"/>
          <w:color w:val="auto"/>
        </w:rPr>
        <w:t xml:space="preserve">Executive acknowledges that the Company has specifically advised Executive of the right to seek the advice of an attorney concerning the terms and conditions of this Agreement. Executive further acknowledges that Executive has been furnished with a copy of this Agreement, and Executive has been afforded [twenty-one (21)][OR][forty-five (45)] calendar days in which to consider the terms and conditions of this Agreement. By executing this Agreement, Executive affirmatively states that Executive has had sufficient and reasonable time to review this Agreement and to consult with an attorney concerning his legal rights prior to the final execution of this Agreement. Executive further agrees that Executive has carefully read this Agreement and fully understands its terms. Executive acknowledges that Executive has entered into this Agreement, knowingly, freely and voluntarily. Executive understands that Executive may revoke this Agreement within seven (7) calendar days after signing this Agreement. Revocation of this Agreement must be made in writing and must be received by the Corporate Vice President, Total Rewards of the Company, at </w:t>
      </w:r>
      <w:r>
        <w:rPr>
          <w:rFonts w:ascii="Times New Roman" w:cs="Times New Roman" w:eastAsia="Times New Roman" w:hAnsi="Times New Roman"/>
          <w:sz w:val="21"/>
          <w:szCs w:val="21"/>
          <w:u w:val="single" w:color="auto"/>
          <w:color w:val="auto"/>
        </w:rPr>
        <w:t>RTXTotalRewards@rtx.com</w:t>
      </w:r>
      <w:r>
        <w:rPr>
          <w:rFonts w:ascii="Times New Roman" w:cs="Times New Roman" w:eastAsia="Times New Roman" w:hAnsi="Times New Roman"/>
          <w:sz w:val="21"/>
          <w:szCs w:val="21"/>
          <w:color w:val="auto"/>
        </w:rPr>
        <w:t>, within the time period set forth above.</w:t>
      </w:r>
    </w:p>
    <w:p>
      <w:pPr>
        <w:spacing w:after="0" w:line="173"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 of Agreement</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Agreement shall become effective and enforceable on the eighth (8th) calendar day following Executive’s delivery of a copy of this executed Agreement to the Company;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Executive does not timely exercise Executive’s right of revocation as described in Section 3 above. If Executive fails to timely sign and deliver this Agreement or timely revokes this Agreement, this Agreement will be without force or effect, and Executive shall not be entitled to the payments or benefits described in Section 2 of the Plan (other than the Accrued Obligations and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1" w:lineRule="exact"/>
        <w:rPr>
          <w:sz w:val="20"/>
          <w:szCs w:val="20"/>
          <w:color w:val="auto"/>
        </w:rPr>
      </w:pPr>
    </w:p>
    <w:p>
      <w:pPr>
        <w:ind w:left="1280" w:hanging="644"/>
        <w:spacing w:after="0"/>
        <w:tabs>
          <w:tab w:leader="none" w:pos="12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20" w:right="40" w:firstLine="1304"/>
        <w:spacing w:after="0" w:line="233" w:lineRule="auto"/>
        <w:tabs>
          <w:tab w:leader="none" w:pos="192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will be governed by and construed in accordance with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59" w:lineRule="exact"/>
        <w:rPr>
          <w:rFonts w:ascii="Times New Roman" w:cs="Times New Roman" w:eastAsia="Times New Roman" w:hAnsi="Times New Roman"/>
          <w:sz w:val="22"/>
          <w:szCs w:val="22"/>
          <w:color w:val="auto"/>
        </w:rPr>
      </w:pPr>
    </w:p>
    <w:p>
      <w:pPr>
        <w:ind w:left="-20" w:right="160" w:firstLine="1304"/>
        <w:spacing w:after="0" w:line="262" w:lineRule="auto"/>
        <w:tabs>
          <w:tab w:leader="none" w:pos="191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The provisions of this Agreement and obligations of the parties are severable, and if any part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portion of it is found to be unenforceable, the other paragraphs shall remain fully valid and enforceable.</w:t>
      </w:r>
    </w:p>
    <w:p>
      <w:pPr>
        <w:spacing w:after="0" w:line="136" w:lineRule="exact"/>
        <w:rPr>
          <w:rFonts w:ascii="Times New Roman" w:cs="Times New Roman" w:eastAsia="Times New Roman" w:hAnsi="Times New Roman"/>
          <w:sz w:val="22"/>
          <w:szCs w:val="22"/>
          <w:color w:val="auto"/>
        </w:rPr>
      </w:pPr>
    </w:p>
    <w:p>
      <w:pPr>
        <w:ind w:left="-20" w:right="160" w:firstLine="1304"/>
        <w:spacing w:after="0" w:line="262" w:lineRule="auto"/>
        <w:tabs>
          <w:tab w:leader="none" w:pos="192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Executive is responsible for any tax liability associated with payments and benefits provided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The Company shall withhold taxes from such payments to the extent required by law.</w:t>
      </w:r>
    </w:p>
    <w:p>
      <w:pPr>
        <w:spacing w:after="0" w:line="149" w:lineRule="exact"/>
        <w:rPr>
          <w:rFonts w:ascii="Times New Roman" w:cs="Times New Roman" w:eastAsia="Times New Roman" w:hAnsi="Times New Roman"/>
          <w:sz w:val="22"/>
          <w:szCs w:val="22"/>
          <w:color w:val="auto"/>
        </w:rPr>
      </w:pPr>
    </w:p>
    <w:p>
      <w:pPr>
        <w:ind w:left="-20" w:right="180" w:firstLine="1304"/>
        <w:spacing w:after="0"/>
        <w:tabs>
          <w:tab w:leader="none" w:pos="191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Amendment. </w:t>
      </w:r>
      <w:r>
        <w:rPr>
          <w:rFonts w:ascii="Times New Roman" w:cs="Times New Roman" w:eastAsia="Times New Roman" w:hAnsi="Times New Roman"/>
          <w:sz w:val="22"/>
          <w:szCs w:val="22"/>
          <w:color w:val="auto"/>
        </w:rPr>
        <w:t>This Agreement constitutes the entire agreement between the parties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the subject matter of this Agreement. No amendment to this Agreement shall be binding upon either party unless in writing and signed by or on behalf of such party.</w:t>
      </w:r>
    </w:p>
    <w:p>
      <w:pPr>
        <w:spacing w:after="0" w:line="159" w:lineRule="exact"/>
        <w:rPr>
          <w:rFonts w:ascii="Times New Roman" w:cs="Times New Roman" w:eastAsia="Times New Roman" w:hAnsi="Times New Roman"/>
          <w:sz w:val="22"/>
          <w:szCs w:val="22"/>
          <w:color w:val="auto"/>
        </w:rPr>
      </w:pPr>
    </w:p>
    <w:p>
      <w:pPr>
        <w:ind w:left="-20" w:firstLine="1304"/>
        <w:spacing w:after="0" w:line="230" w:lineRule="auto"/>
        <w:tabs>
          <w:tab w:leader="none" w:pos="192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Dispute Resolution</w:t>
      </w:r>
      <w:r>
        <w:rPr>
          <w:rFonts w:ascii="Times New Roman" w:cs="Times New Roman" w:eastAsia="Times New Roman" w:hAnsi="Times New Roman"/>
          <w:sz w:val="22"/>
          <w:szCs w:val="22"/>
          <w:color w:val="auto"/>
        </w:rPr>
        <w:t>. Except with respect to claims for breach of the obligations under Section 2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for which the Company may seek enforcement in any court having competent jurisdiction at its election, any dispute arising between the Company and Executive with respect to the validity, performance or interpretation of this Agreement shall be submitted to and determined in binding arbitration in Farmington, Connecticut, for resolution in accordance with the rules of the American Arbitration Association, modified to provide that the decision of the arbitrator shall be binding on the parties; shall be furnished in writing, separately and specifically stating the findings of fact and conclusions of law on which the decision is based; shall be kept confidential by the arbitrator and the parties; and shall be rendered within sixty (60) days following the arbitrator being impaneled. Costs of the arbitration shall be borne by the party that does not prevail. The arbitrator shall be selected in accordance with the rules of the American Arbitration Association. The forum for any civil action arising from or relating to this Agreement shall be the United States District Court for the District of Delaware.</w:t>
      </w:r>
    </w:p>
    <w:p>
      <w:pPr>
        <w:spacing w:after="0" w:line="167" w:lineRule="exact"/>
        <w:rPr>
          <w:rFonts w:ascii="Times New Roman" w:cs="Times New Roman" w:eastAsia="Times New Roman" w:hAnsi="Times New Roman"/>
          <w:sz w:val="22"/>
          <w:szCs w:val="22"/>
          <w:color w:val="auto"/>
        </w:rPr>
      </w:pPr>
    </w:p>
    <w:p>
      <w:pPr>
        <w:ind w:left="-20" w:right="440" w:firstLine="1304"/>
        <w:spacing w:after="0"/>
        <w:tabs>
          <w:tab w:leader="none" w:pos="192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Enforcement</w:t>
      </w:r>
      <w:r>
        <w:rPr>
          <w:rFonts w:ascii="Times New Roman" w:cs="Times New Roman" w:eastAsia="Times New Roman" w:hAnsi="Times New Roman"/>
          <w:sz w:val="22"/>
          <w:szCs w:val="22"/>
          <w:color w:val="auto"/>
        </w:rPr>
        <w:t>. This Agreement shall inure to the benefit of and be enforceable by Executive’s heirs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legal representatives. This Agreement shall inure to the benefit of and be binding upon the Company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20"/>
          </w:cols>
          <w:pgMar w:left="340" w:top="1440" w:right="339" w:bottom="1440" w:gutter="0" w:footer="0" w:header="0"/>
        </w:sectPr>
      </w:pPr>
    </w:p>
    <w:bookmarkStart w:id="106" w:name="page107"/>
    <w:bookmarkEnd w:id="106"/>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 hereby agree to the terms of the Release as described above.</w:t>
      </w:r>
    </w:p>
    <w:p>
      <w:pPr>
        <w:spacing w:after="0"/>
        <w:rPr>
          <w:sz w:val="20"/>
          <w:szCs w:val="20"/>
          <w:color w:val="auto"/>
        </w:rPr>
      </w:pPr>
      <w:r>
        <w:rPr>
          <w:rFonts w:ascii="Times New Roman" w:cs="Times New Roman" w:eastAsia="Times New Roman" w:hAnsi="Times New Roman"/>
          <w:sz w:val="22"/>
          <w:szCs w:val="22"/>
          <w:color w:val="auto"/>
        </w:rPr>
        <w:t>ACKNOWLEDGED AND AGREED BY:</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[Executive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-160020</wp:posOffset>
            </wp:positionV>
            <wp:extent cx="63950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auto"/>
        </w:rPr>
        <w:t>RAYTHEON TECHNOLOGIES</w:t>
      </w:r>
    </w:p>
    <w:p>
      <w:pPr>
        <w:spacing w:after="0" w:line="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CORPORATION</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-158750</wp:posOffset>
            </wp:positionV>
            <wp:extent cx="32658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139"/>
          </w:cols>
          <w:pgMar w:left="320" w:top="1440" w:right="1440" w:bottom="1440" w:gutter="0" w:footer="0" w:header="0"/>
        </w:sectPr>
      </w:pPr>
    </w:p>
    <w:bookmarkStart w:id="107" w:name="page108"/>
    <w:bookmarkEnd w:id="10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 AGREEMENT</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As a condition and in consideration of my employment by, as applicable, </w:t>
      </w:r>
      <w:r>
        <w:rPr>
          <w:rFonts w:ascii="Times New Roman" w:cs="Times New Roman" w:eastAsia="Times New Roman" w:hAnsi="Times New Roman"/>
          <w:sz w:val="20"/>
          <w:szCs w:val="20"/>
          <w:b w:val="1"/>
          <w:bCs w:val="1"/>
          <w:color w:val="auto"/>
        </w:rPr>
        <w:t>RAYTHEON TECHNOLOGIES CORPORATION</w:t>
      </w:r>
      <w:r>
        <w:rPr>
          <w:rFonts w:ascii="Times New Roman" w:cs="Times New Roman" w:eastAsia="Times New Roman" w:hAnsi="Times New Roman"/>
          <w:sz w:val="20"/>
          <w:szCs w:val="20"/>
          <w:color w:val="auto"/>
        </w:rPr>
        <w:t>, or any of its direct or indirect subsidiaries or affiliates, or their successors or assigns, including but not limited to the RTX Business identified in the signature block below (hereinafter collectively “RTX”) and the compensation I receive from RTX for such employment, I, the EMPLOYEE named below, willingly execute this Intellectual Property Agreement (“Agreement”) and agree to the following terms and conditions:</w:t>
      </w:r>
    </w:p>
    <w:p>
      <w:pPr>
        <w:spacing w:after="0" w:line="170" w:lineRule="exact"/>
        <w:rPr>
          <w:sz w:val="20"/>
          <w:szCs w:val="20"/>
          <w:color w:val="auto"/>
        </w:rPr>
      </w:pPr>
    </w:p>
    <w:p>
      <w:pPr>
        <w:jc w:val="both"/>
        <w:ind w:firstLine="656"/>
        <w:spacing w:after="0" w:line="233" w:lineRule="auto"/>
        <w:tabs>
          <w:tab w:leader="none" w:pos="846"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Former Employer Proprietary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will not bring with me, disclose, access, reference or use in any way in my 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RTX any confidential or otherwise proprietary information, files, documents, materials, equipment or property of others, including any trade secret information of my prior employers. I represent and acknowledge that no employee or representative of RTX has requested me to do so, and that no employee or representative will have the authority to instruct me to do so at any time. I further represent that my work for RTX and compliance with this Agreement will not breach any obligation I have to, or agreement that I previously entered into with, any prior employer, including any non-disclosure, non-compete or other restrictive covenant agreement.</w:t>
      </w:r>
    </w:p>
    <w:p>
      <w:pPr>
        <w:spacing w:after="0" w:line="185" w:lineRule="exact"/>
        <w:rPr>
          <w:rFonts w:ascii="Times New Roman" w:cs="Times New Roman" w:eastAsia="Times New Roman" w:hAnsi="Times New Roman"/>
          <w:sz w:val="20"/>
          <w:szCs w:val="20"/>
          <w:b w:val="1"/>
          <w:bCs w:val="1"/>
          <w:color w:val="auto"/>
        </w:rPr>
      </w:pPr>
    </w:p>
    <w:p>
      <w:pPr>
        <w:ind w:left="860" w:hanging="204"/>
        <w:spacing w:after="0"/>
        <w:tabs>
          <w:tab w:leader="none" w:pos="8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RTX Proprietary Information</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0"/>
          <w:szCs w:val="20"/>
          <w:b w:val="1"/>
          <w:bCs w:val="1"/>
          <w:color w:val="auto"/>
        </w:rPr>
      </w:pPr>
    </w:p>
    <w:p>
      <w:pPr>
        <w:jc w:val="both"/>
        <w:ind w:firstLine="899"/>
        <w:spacing w:after="0" w:line="251" w:lineRule="auto"/>
        <w:tabs>
          <w:tab w:leader="none" w:pos="1213"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acknowledge that during my employment I will obtain, receive and/or gain access to certain valuable trade secret, confidential or otherwise proprietary information not generally known to the public, developed by, for or at the expense of RTX, or assigned or entrusted to RTX by me or others (collectively, “Proprietary Information”). In addition, I acknowledge that I may receive and/or gain access to Proprietary Information in oral, written and/or electronic form. Proprietary Information includes, but is not limited to the following:</w:t>
      </w:r>
    </w:p>
    <w:p>
      <w:pPr>
        <w:spacing w:after="0" w:line="166" w:lineRule="exact"/>
        <w:rPr>
          <w:rFonts w:ascii="Times New Roman" w:cs="Times New Roman" w:eastAsia="Times New Roman" w:hAnsi="Times New Roman"/>
          <w:sz w:val="19"/>
          <w:szCs w:val="19"/>
          <w:color w:val="auto"/>
        </w:rPr>
      </w:pPr>
    </w:p>
    <w:p>
      <w:pPr>
        <w:jc w:val="both"/>
        <w:ind w:firstLine="1142"/>
        <w:spacing w:after="0"/>
        <w:tabs>
          <w:tab w:leader="none" w:pos="141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information, such as technical data, designs, drawings, documentation, models, schematics, specifications, methods, processes, procedures, techniques, databases, software and computer programs, formulas, compositions, plans, ideas, concepts, inventions, innovations, discoveries, improvements, and know-how;</w:t>
      </w:r>
    </w:p>
    <w:p>
      <w:pPr>
        <w:spacing w:after="0" w:line="187" w:lineRule="exact"/>
        <w:rPr>
          <w:rFonts w:ascii="Times New Roman" w:cs="Times New Roman" w:eastAsia="Times New Roman" w:hAnsi="Times New Roman"/>
          <w:sz w:val="20"/>
          <w:szCs w:val="20"/>
          <w:color w:val="auto"/>
        </w:rPr>
      </w:pPr>
    </w:p>
    <w:p>
      <w:pPr>
        <w:jc w:val="both"/>
        <w:ind w:firstLine="1142"/>
        <w:spacing w:after="0" w:line="236" w:lineRule="auto"/>
        <w:tabs>
          <w:tab w:leader="none" w:pos="145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information, such as business, marketing, sales, procurement and pricing plans and strategies, financial and budget data, asset allocations, customer lists, customer contact information, contractual business relationships, bid information, production plans, supply sources, business methods or tools, intellectual property plans and strategies, and acquisition and divestiture plans and details; and</w:t>
      </w:r>
    </w:p>
    <w:p>
      <w:pPr>
        <w:spacing w:after="0" w:line="175" w:lineRule="exact"/>
        <w:rPr>
          <w:rFonts w:ascii="Times New Roman" w:cs="Times New Roman" w:eastAsia="Times New Roman" w:hAnsi="Times New Roman"/>
          <w:sz w:val="20"/>
          <w:szCs w:val="20"/>
          <w:color w:val="auto"/>
        </w:rPr>
      </w:pPr>
    </w:p>
    <w:p>
      <w:pPr>
        <w:jc w:val="both"/>
        <w:ind w:firstLine="1142"/>
        <w:spacing w:after="0"/>
        <w:tabs>
          <w:tab w:leader="none" w:pos="1507"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entrusted to RTX by others, including but not limited to technical and business information provided directly or indirectly by customers, joint venture partners, collaborators, investors, bankers, insurers, vendors, suppliers, agents, or other similar persons.</w:t>
      </w:r>
    </w:p>
    <w:p>
      <w:pPr>
        <w:spacing w:after="0" w:line="174" w:lineRule="exact"/>
        <w:rPr>
          <w:rFonts w:ascii="Times New Roman" w:cs="Times New Roman" w:eastAsia="Times New Roman" w:hAnsi="Times New Roman"/>
          <w:sz w:val="20"/>
          <w:szCs w:val="20"/>
          <w:color w:val="auto"/>
        </w:rPr>
      </w:pPr>
    </w:p>
    <w:p>
      <w:pPr>
        <w:jc w:val="both"/>
        <w:ind w:firstLine="899"/>
        <w:spacing w:after="0" w:line="232" w:lineRule="auto"/>
        <w:tabs>
          <w:tab w:leader="none" w:pos="121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employment creates a relationship of confidence and trust between me and RTX with respect to Proprietary Information. In exchange for RTX granting me access to Proprietary Information, I will not at any time, either during or after my employment, use, publish or otherwise disclose through any means verbally or in writing (including through social media, the Internet or any other electronic communication) any Proprietary Information, except as my RTX duties may require, and in all such events solely for RTX’s benefit and in accordance with applicable RTX policies and procedures. However, I understand that this Agreement does not limit or prohibit me from disclosing information regarding the terms and conditions of employment. I understand that if I am unsure about whether information constitutes Proprietary Information, I will seek the guidance of RTX legal counsel. At RTX’s request or upon termination of my employment for any reason, I will immediately deliver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leave with RTX all files, documents, materials, equipment, property and other items and information that belong to RTX or that by their nature are for the use of RTX personnel only, including but not limited to items and information constituting or containing Proprietary Information.</w:t>
      </w:r>
    </w:p>
    <w:p>
      <w:pPr>
        <w:spacing w:after="0" w:line="170" w:lineRule="exact"/>
        <w:rPr>
          <w:sz w:val="20"/>
          <w:szCs w:val="20"/>
          <w:color w:val="auto"/>
        </w:rPr>
      </w:pPr>
    </w:p>
    <w:p>
      <w:pPr>
        <w:jc w:val="both"/>
        <w:ind w:firstLine="899"/>
        <w:spacing w:after="0" w:line="249" w:lineRule="auto"/>
        <w:tabs>
          <w:tab w:leader="none" w:pos="116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Regarding Trade Secrets. </w:t>
      </w:r>
      <w:r>
        <w:rPr>
          <w:rFonts w:ascii="Times New Roman" w:cs="Times New Roman" w:eastAsia="Times New Roman" w:hAnsi="Times New Roman"/>
          <w:sz w:val="20"/>
          <w:szCs w:val="20"/>
          <w:color w:val="auto"/>
        </w:rPr>
        <w:t>Under certain conditions, the Defend Trade Secrets Act of 2016 (Public Law No. 114-153,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7) provides immunity from liability for certain disclosures of trade secrets, in confidence or under seal, to the government or in connection with a court proceeding, when related to suspected violations of law raised in good faith. (18 U.S.C. § 1833).</w:t>
      </w:r>
    </w:p>
    <w:p>
      <w:pPr>
        <w:spacing w:after="0" w:line="161" w:lineRule="exact"/>
        <w:rPr>
          <w:rFonts w:ascii="Times New Roman" w:cs="Times New Roman" w:eastAsia="Times New Roman" w:hAnsi="Times New Roman"/>
          <w:sz w:val="20"/>
          <w:szCs w:val="20"/>
          <w:b w:val="1"/>
          <w:bCs w:val="1"/>
          <w:color w:val="auto"/>
        </w:rPr>
      </w:pPr>
    </w:p>
    <w:p>
      <w:pPr>
        <w:ind w:left="400" w:hanging="194"/>
        <w:spacing w:after="0"/>
        <w:tabs>
          <w:tab w:leader="none" w:pos="4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Work Product</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0"/>
          <w:szCs w:val="20"/>
          <w:b w:val="1"/>
          <w:bCs w:val="1"/>
          <w:color w:val="auto"/>
        </w:rPr>
      </w:pPr>
    </w:p>
    <w:p>
      <w:pPr>
        <w:jc w:val="both"/>
        <w:ind w:firstLine="899"/>
        <w:spacing w:after="0" w:line="231" w:lineRule="auto"/>
        <w:tabs>
          <w:tab w:leader="none" w:pos="1171"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promptly disclose in confidence to RTX all ideas, concepts, inventions, innovations, discoveries, improvements, works of authorship (including but not limited to illustrations, writings, designs, drawings, documentation, plans, models, schematics, specifications, mask works, software and computer programs), trade secrets, Proprietary Information and other technical and business information authored, conceived, developed, reduced to practice or otherwise created by me, either alone or with others (collectively, “Inventions and Developments”), during the period of my employment with RTX. Additionally, I will maintain for RTX adequate and current written records of all Inventions and Developments that (i) relate to the existing, contemplated, or reasonably foreseeable future business or research or development activities of RTX, or (ii) result from or are related to any work I perform for RTX, or (iii) are otherwise made through the use of RTX time, equipment, supplies, facilities, materials or other resources, or Proprietary Information (such Inventions and Developments being referred to collectively in this Agreement as “Employee Work Product”).</w:t>
      </w:r>
    </w:p>
    <w:p>
      <w:pPr>
        <w:spacing w:after="0" w:line="181" w:lineRule="exact"/>
        <w:rPr>
          <w:rFonts w:ascii="Times New Roman" w:cs="Times New Roman" w:eastAsia="Times New Roman" w:hAnsi="Times New Roman"/>
          <w:sz w:val="20"/>
          <w:szCs w:val="20"/>
          <w:color w:val="auto"/>
        </w:rPr>
      </w:pPr>
    </w:p>
    <w:p>
      <w:pPr>
        <w:jc w:val="both"/>
        <w:ind w:firstLine="899"/>
        <w:spacing w:after="0" w:line="231" w:lineRule="auto"/>
        <w:tabs>
          <w:tab w:leader="none" w:pos="146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RTX will be the sole owner of all rights, title and interest in and to Employee Work Product. I further acknowledge and agree that, to the maximum extent permissible by applicable law, all Employee Work Product that are protectable by copyright will be “works made for hire” as that term is defined in the United States Copyright Act. To the extent that any Employee Work Product is not a “work made for hire” or is not otherwise owned by RTX, I hereby irrevocably assign and promise to assign to RTX any interest I may have in such Employee Work Product. Both during and after my employment with RTX, I will promptly execute any papers and do any acts (at RTX’s expense) that RTX may consider necessary to secure to RTX or its nominees any and all rights relating to Employee Work Product, including but not limited to rights in patents (and renewals or extensions of such rights) in any country. For purposes of my obligations under this Agreement, Employee Work Product includes any Invention or Development made by me, either alone or jointly with others, after termination of my employment with RTX, if I utilized any of RTX’s Proprietary Information in creating such Invention or Development.</w:t>
      </w:r>
    </w:p>
    <w:p>
      <w:pPr>
        <w:spacing w:after="0" w:line="171" w:lineRule="exact"/>
        <w:rPr>
          <w:rFonts w:ascii="Times New Roman" w:cs="Times New Roman" w:eastAsia="Times New Roman" w:hAnsi="Times New Roman"/>
          <w:sz w:val="20"/>
          <w:szCs w:val="20"/>
          <w:color w:val="auto"/>
        </w:rPr>
      </w:pPr>
    </w:p>
    <w:p>
      <w:pPr>
        <w:jc w:val="both"/>
        <w:ind w:firstLine="899"/>
        <w:spacing w:after="0" w:line="246" w:lineRule="auto"/>
        <w:tabs>
          <w:tab w:leader="none" w:pos="1173" w:val="left"/>
        </w:tabs>
        <w:numPr>
          <w:ilvl w:val="1"/>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Notice Regarding Inventions. </w:t>
      </w:r>
      <w:r>
        <w:rPr>
          <w:rFonts w:ascii="Times New Roman" w:cs="Times New Roman" w:eastAsia="Times New Roman" w:hAnsi="Times New Roman"/>
          <w:sz w:val="19"/>
          <w:szCs w:val="19"/>
          <w:color w:val="auto"/>
        </w:rPr>
        <w:t>The provisions in this Agreement requiring me to assign rights in inventions do not and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apply to any Inventions and Developments that I developed entirely on my own time without using RTX’s equipment, supplies, facilities, or trade secret information, except for those inventions that either: (i) relate at the time of conception or reduction to practice of the invention to RTX’s business, or actual or demonstrably anticipated research or development of RTX; or (ii) result from any work performed by me for RTX. This NOTICE Regarding Inventions is provided in compliance with California Labor Code §§ 2870-2872; Revised Code of Washington §§ 49.44.140-150; Delaware Code Title 19, § 805; Illinois Statutes chapter 765, paragraph 1060/2; Kansas Statute § 44-130; Minnesota Statute § 181.78; North Carolina General Statute § 66-57.1-.2; Utah Code §§ 34-39-1 to 3; and any other similar state laws and should be interpreted in a manner consistent with any applicable state law concerning the assignment of employee rights to inventions.</w:t>
      </w:r>
    </w:p>
    <w:p>
      <w:pPr>
        <w:spacing w:after="0" w:line="169" w:lineRule="exact"/>
        <w:rPr>
          <w:rFonts w:ascii="Times New Roman" w:cs="Times New Roman" w:eastAsia="Times New Roman" w:hAnsi="Times New Roman"/>
          <w:sz w:val="19"/>
          <w:szCs w:val="19"/>
          <w:b w:val="1"/>
          <w:bCs w:val="1"/>
          <w:color w:val="auto"/>
        </w:rPr>
      </w:pPr>
    </w:p>
    <w:p>
      <w:pPr>
        <w:jc w:val="both"/>
        <w:ind w:firstLine="899"/>
        <w:spacing w:after="0" w:line="247" w:lineRule="auto"/>
        <w:tabs>
          <w:tab w:leader="none" w:pos="13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all rights I may have in any Employee Work Product are not fully and effectively transferred or assigned to RTX by this Agreement, or if any Employee Work Product (i) is based on or derived from rights owned, licensed or otherwise held by me and not assigned under this Agreement, including any such rights existing prior to my employment with RTX, or (ii)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exploited without using rights owned, licensed or otherwise held by me, I hereby irrevocably grant and promise to grant to RTX a perpetual, worldwide, paid-up and royalty-free, nonexclusive and sublicensable right and license to freely exploit and exercise all such rights and the Employee Work Product in any manner.</w:t>
      </w:r>
    </w:p>
    <w:p>
      <w:pPr>
        <w:spacing w:after="0" w:line="170" w:lineRule="exact"/>
        <w:rPr>
          <w:sz w:val="20"/>
          <w:szCs w:val="20"/>
          <w:color w:val="auto"/>
        </w:rPr>
      </w:pPr>
    </w:p>
    <w:p>
      <w:pPr>
        <w:jc w:val="both"/>
        <w:ind w:firstLine="656"/>
        <w:spacing w:after="0" w:line="249" w:lineRule="auto"/>
        <w:tabs>
          <w:tab w:leader="none" w:pos="859"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acknowledge that nothing in this Agreement is intended to limit any remedy of RTX under any applicable law.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 that my violation of any provision of this Agreement could cause RTX irreparable harm which cannot be fully compensated by money, and that RTX may be entitled to injunctive or other equitable relief to prevent or stop such breach.</w:t>
      </w:r>
    </w:p>
    <w:p>
      <w:pPr>
        <w:spacing w:after="0" w:line="148" w:lineRule="exact"/>
        <w:rPr>
          <w:rFonts w:ascii="Times New Roman" w:cs="Times New Roman" w:eastAsia="Times New Roman" w:hAnsi="Times New Roman"/>
          <w:sz w:val="20"/>
          <w:szCs w:val="20"/>
          <w:b w:val="1"/>
          <w:bCs w:val="1"/>
          <w:color w:val="auto"/>
        </w:rPr>
      </w:pPr>
    </w:p>
    <w:p>
      <w:pPr>
        <w:jc w:val="both"/>
        <w:ind w:firstLine="656"/>
        <w:spacing w:after="0" w:line="211" w:lineRule="auto"/>
        <w:tabs>
          <w:tab w:leader="none" w:pos="859"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supersedes all prior oral or written agreements between me and RTX relating generally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same subject matter. This Agreement is effective as of the first day that I performed any work for RTX, and my obligations under this Agreement will survive any termination of my employment with RTX. This Agreement is binding upon me, and my heirs, executors, administrators, legal representatives and assigns. This Agreement may be modified only by an express written document signed by me and an authorized representative of RTX. This Agreement will be governed by and construed in accordance with the laws of the State of Delaware, United States of America, without reference to conflicts of law principles. This Agreement does not alter my existing employment relationship with RTX, whether it is currently at-will or based on a written employment agreement. Additionally, this Agreement shall remain effective regardless of future changes in my duties, salary or compensation. If any provision of this Agreement (or any portion of this Agreement) is held to be invalid, illegal or otherwise unenforceable by a court of competent jurisdiction, I agree that the court should modify such provision to the extent necessary to render such provision enforceable, and the remaining provisions of this Agreement will remain in full force and effect. I agree that RTX may notify any of my prior or subsequent employers of this Agreement and my obligations under this Agreement.</w:t>
      </w:r>
    </w:p>
    <w:p>
      <w:pPr>
        <w:spacing w:after="0" w:line="16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I HAVE READ THIS AGREEMENT CAREFULLY AND I UNDERSTAND ITS TERMS. I ACCEPT THE OBLIGATIONS WHICH IT IMPOSES UPON ME VOLUNTARILY AND WITHOUT RESERVATION.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is executed this ______ day of ___________________, 20_____,</w:t>
      </w:r>
    </w:p>
    <w:p>
      <w:pPr>
        <w:ind w:left="3900"/>
        <w:spacing w:after="0"/>
        <w:rPr>
          <w:sz w:val="20"/>
          <w:szCs w:val="20"/>
          <w:color w:val="auto"/>
        </w:rPr>
      </w:pPr>
      <w:r>
        <w:rPr>
          <w:rFonts w:ascii="Times New Roman" w:cs="Times New Roman" w:eastAsia="Times New Roman" w:hAnsi="Times New Roman"/>
          <w:sz w:val="20"/>
          <w:szCs w:val="20"/>
          <w:color w:val="auto"/>
        </w:rPr>
        <w:t>(Month)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_________________________________, ____________________.</w:t>
      </w:r>
    </w:p>
    <w:p>
      <w:pPr>
        <w:ind w:left="400"/>
        <w:spacing w:after="0"/>
        <w:tabs>
          <w:tab w:leader="none" w:pos="1640" w:val="left"/>
        </w:tabs>
        <w:rPr>
          <w:sz w:val="20"/>
          <w:szCs w:val="20"/>
          <w:color w:val="auto"/>
        </w:rPr>
      </w:pPr>
      <w:r>
        <w:rPr>
          <w:rFonts w:ascii="Times New Roman" w:cs="Times New Roman" w:eastAsia="Times New Roman" w:hAnsi="Times New Roman"/>
          <w:sz w:val="20"/>
          <w:szCs w:val="20"/>
          <w:color w:val="auto"/>
        </w:rPr>
        <w:t>(City)</w:t>
      </w:r>
      <w:r>
        <w:rPr>
          <w:sz w:val="20"/>
          <w:szCs w:val="20"/>
          <w:color w:val="auto"/>
        </w:rPr>
        <w:tab/>
      </w:r>
      <w:r>
        <w:rPr>
          <w:rFonts w:ascii="Times New Roman" w:cs="Times New Roman" w:eastAsia="Times New Roman" w:hAnsi="Times New Roman"/>
          <w:sz w:val="20"/>
          <w:szCs w:val="20"/>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1500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1500505"/>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EMPLOYEE</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__________________________________ Residence _____________________________</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Print Name _________________________________ City __________________________________</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Employee Number ___________________________ State ____________________ Zip __________</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RTX Business 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240"/>
          </w:cols>
          <w:pgMar w:left="320" w:top="1440" w:right="339" w:bottom="1440" w:gutter="0" w:footer="0" w:header="0"/>
        </w:sectPr>
      </w:pPr>
    </w:p>
    <w:bookmarkStart w:id="110" w:name="page111"/>
    <w:bookmarkEnd w:id="110"/>
    <w:p>
      <w:pPr>
        <w:jc w:val="right"/>
        <w:spacing w:after="0"/>
        <w:rPr>
          <w:sz w:val="20"/>
          <w:szCs w:val="20"/>
          <w:color w:val="auto"/>
        </w:rPr>
      </w:pPr>
      <w:r>
        <w:rPr>
          <w:rFonts w:ascii="Courier New" w:cs="Courier New" w:eastAsia="Courier New" w:hAnsi="Courier New"/>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0" w:lineRule="exact"/>
        <w:rPr>
          <w:sz w:val="20"/>
          <w:szCs w:val="20"/>
          <w:color w:val="auto"/>
        </w:rPr>
      </w:pPr>
    </w:p>
    <w:p>
      <w:pPr>
        <w:spacing w:after="0" w:line="249"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is made as April 1, 2022, by and between</w:t>
      </w:r>
      <w:r>
        <w:rPr>
          <w:rFonts w:ascii="Times New Roman" w:cs="Times New Roman" w:eastAsia="Times New Roman" w:hAnsi="Times New Roman"/>
          <w:sz w:val="21"/>
          <w:szCs w:val="21"/>
          <w:b w:val="1"/>
          <w:bCs w:val="1"/>
          <w:color w:val="auto"/>
        </w:rPr>
        <w:t xml:space="preserve"> RAYTHEON TECHNOLOGIES CORPORATION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corporation, with an office and place of business at 870 Winter Street, Waltham, MA 02451 (hereinafter referred to as the “Company” or "RTX"), and </w:t>
      </w:r>
      <w:r>
        <w:rPr>
          <w:rFonts w:ascii="Times New Roman" w:cs="Times New Roman" w:eastAsia="Times New Roman" w:hAnsi="Times New Roman"/>
          <w:sz w:val="21"/>
          <w:szCs w:val="21"/>
          <w:b w:val="1"/>
          <w:bCs w:val="1"/>
          <w:color w:val="auto"/>
        </w:rPr>
        <w:t>MICHAEL R. DUMAIS</w:t>
      </w:r>
      <w:r>
        <w:rPr>
          <w:rFonts w:ascii="Times New Roman" w:cs="Times New Roman" w:eastAsia="Times New Roman" w:hAnsi="Times New Roman"/>
          <w:sz w:val="21"/>
          <w:szCs w:val="21"/>
          <w:color w:val="auto"/>
        </w:rPr>
        <w:t xml:space="preserve"> of [ ] (hereinafter referred to as "Consultant").</w:t>
      </w:r>
    </w:p>
    <w:p>
      <w:pPr>
        <w:spacing w:after="0" w:line="177" w:lineRule="exact"/>
        <w:rPr>
          <w:sz w:val="20"/>
          <w:szCs w:val="20"/>
          <w:color w:val="auto"/>
        </w:rPr>
      </w:pPr>
    </w:p>
    <w:p>
      <w:pPr>
        <w:ind w:right="600" w:firstLine="648"/>
        <w:spacing w:after="0" w:line="236" w:lineRule="auto"/>
        <w:rPr>
          <w:sz w:val="20"/>
          <w:szCs w:val="20"/>
          <w:color w:val="auto"/>
        </w:rPr>
      </w:pPr>
      <w:r>
        <w:rPr>
          <w:rFonts w:ascii="Times New Roman" w:cs="Times New Roman" w:eastAsia="Times New Roman" w:hAnsi="Times New Roman"/>
          <w:sz w:val="22"/>
          <w:szCs w:val="22"/>
          <w:color w:val="auto"/>
        </w:rPr>
        <w:t>In consideration of the mutual promises of each party to the other as set forth below, it is hereby mutually agreed as follows: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SERVICES</w:t>
      </w:r>
    </w:p>
    <w:p>
      <w:pPr>
        <w:spacing w:after="0" w:line="182" w:lineRule="exact"/>
        <w:rPr>
          <w:sz w:val="20"/>
          <w:szCs w:val="20"/>
          <w:color w:val="auto"/>
        </w:rPr>
      </w:pPr>
    </w:p>
    <w:p>
      <w:pPr>
        <w:ind w:right="100" w:firstLine="8"/>
        <w:spacing w:after="0" w:line="255" w:lineRule="auto"/>
        <w:tabs>
          <w:tab w:leader="none" w:pos="45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provide services for the Company as defined in the Statement of Work attached hereto as Exhibit A (the “Services”) during the period commencing on April 1, 2022 and ending on March 31, 2023 (the “Consulting Agreement Term”).</w:t>
      </w:r>
    </w:p>
    <w:p>
      <w:pPr>
        <w:spacing w:after="0" w:line="161" w:lineRule="exact"/>
        <w:rPr>
          <w:rFonts w:ascii="Times New Roman" w:cs="Times New Roman" w:eastAsia="Times New Roman" w:hAnsi="Times New Roman"/>
          <w:sz w:val="21"/>
          <w:szCs w:val="21"/>
          <w:color w:val="auto"/>
        </w:rPr>
      </w:pPr>
    </w:p>
    <w:p>
      <w:pPr>
        <w:ind w:right="760" w:firstLine="8"/>
        <w:spacing w:after="0" w:line="236" w:lineRule="auto"/>
        <w:tabs>
          <w:tab w:leader="none" w:pos="4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agrees to furnish the Company with written reports with respect to such Services if and when reports are requested by the Company.</w:t>
      </w:r>
    </w:p>
    <w:p>
      <w:pPr>
        <w:spacing w:after="0" w:line="177" w:lineRule="exact"/>
        <w:rPr>
          <w:rFonts w:ascii="Times New Roman" w:cs="Times New Roman" w:eastAsia="Times New Roman" w:hAnsi="Times New Roman"/>
          <w:sz w:val="22"/>
          <w:szCs w:val="22"/>
          <w:color w:val="auto"/>
        </w:rPr>
      </w:pPr>
    </w:p>
    <w:p>
      <w:pPr>
        <w:ind w:right="180" w:firstLine="8"/>
        <w:spacing w:after="0" w:line="236" w:lineRule="auto"/>
        <w:tabs>
          <w:tab w:leader="none" w:pos="4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agreed that the Company is not obligated to use the Supplier's services exclusively or for any stipulated period of time and, subject to Article VI, Section (b), Supplier's services are not exclusive to the Company.</w:t>
      </w:r>
    </w:p>
    <w:p>
      <w:pPr>
        <w:spacing w:after="0" w:line="177" w:lineRule="exact"/>
        <w:rPr>
          <w:rFonts w:ascii="Times New Roman" w:cs="Times New Roman" w:eastAsia="Times New Roman" w:hAnsi="Times New Roman"/>
          <w:sz w:val="22"/>
          <w:szCs w:val="22"/>
          <w:color w:val="auto"/>
        </w:rPr>
      </w:pPr>
    </w:p>
    <w:p>
      <w:pPr>
        <w:ind w:right="20" w:firstLine="8"/>
        <w:spacing w:after="0" w:line="225" w:lineRule="auto"/>
        <w:tabs>
          <w:tab w:leader="none" w:pos="4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facilitate Consultant’s delivery of Services to the Company, the Company agrees to provide the Consultant with access to Company provided administrative support services, to be provided by Dana Morse, an RTX employee. Such support services may vary substantially from week to week based on special projects.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82" w:lineRule="exact"/>
        <w:rPr>
          <w:sz w:val="20"/>
          <w:szCs w:val="20"/>
          <w:color w:val="auto"/>
        </w:rPr>
      </w:pPr>
    </w:p>
    <w:p>
      <w:pPr>
        <w:ind w:right="80" w:firstLine="8"/>
        <w:spacing w:after="0" w:line="217" w:lineRule="auto"/>
        <w:tabs>
          <w:tab w:leader="none" w:pos="4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contemplate that Consultant will provide approximately forty (40) hours of Services per month, and approximately four-hundred-eighty (480) hours of Services over the entire one-year Consulting Agreement Term. In consideration for such Services, Supplier will be paid a fixed monthly retainer fee of $41,667, payable in arrears, plus reasonable expenses. The parties acknowledge that the amount of Services provided in any given month are expected to vary and that any such variances will not impact the amount of monthly compensation payable to the Consultant.</w:t>
      </w:r>
    </w:p>
    <w:p>
      <w:pPr>
        <w:spacing w:after="0" w:line="179" w:lineRule="exact"/>
        <w:rPr>
          <w:rFonts w:ascii="Times New Roman" w:cs="Times New Roman" w:eastAsia="Times New Roman" w:hAnsi="Times New Roman"/>
          <w:sz w:val="22"/>
          <w:szCs w:val="22"/>
          <w:color w:val="auto"/>
        </w:rPr>
      </w:pPr>
    </w:p>
    <w:p>
      <w:pPr>
        <w:ind w:firstLine="8"/>
        <w:spacing w:after="0" w:line="220" w:lineRule="auto"/>
        <w:tabs>
          <w:tab w:leader="none" w:pos="4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agrees to provide a monthly summary of his Services (including total Service hours), together with any request for reimbursement of expenses incurred, to the Office of the CEO, via email (</w:t>
      </w:r>
      <w:r>
        <w:rPr>
          <w:rFonts w:ascii="Times New Roman" w:cs="Times New Roman" w:eastAsia="Times New Roman" w:hAnsi="Times New Roman"/>
          <w:sz w:val="22"/>
          <w:szCs w:val="22"/>
          <w:u w:val="single" w:color="auto"/>
          <w:color w:val="0000FF"/>
        </w:rPr>
        <w:t>drew.barber@rtx.com</w:t>
      </w:r>
      <w:r>
        <w:rPr>
          <w:rFonts w:ascii="Times New Roman" w:cs="Times New Roman" w:eastAsia="Times New Roman" w:hAnsi="Times New Roman"/>
          <w:sz w:val="22"/>
          <w:szCs w:val="22"/>
          <w:color w:val="auto"/>
        </w:rPr>
        <w:t>), or to the mailing address set forth in Article V, and agrees that he shall be obligated to submit any final invoice requesting expense reimbursement to the same, within thirty (30) days of the conclusion of the Consulting Agreement Term.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240"/>
          </w:cols>
          <w:pgMar w:left="320" w:top="55"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monthly summary shall fairly and accurately describe in sufficient detail the actual services performed and reasonable expenses incurred.</w:t>
      </w:r>
    </w:p>
    <w:p>
      <w:pPr>
        <w:spacing w:after="0" w:line="177" w:lineRule="exact"/>
        <w:rPr>
          <w:sz w:val="20"/>
          <w:szCs w:val="20"/>
          <w:color w:val="auto"/>
        </w:rPr>
      </w:pPr>
    </w:p>
    <w:p>
      <w:pPr>
        <w:ind w:right="100" w:firstLine="8"/>
        <w:spacing w:after="0" w:line="255" w:lineRule="auto"/>
        <w:tabs>
          <w:tab w:leader="none" w:pos="51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in the event of an early termination by either Party pursuant to Article III(b) below, Consultant will no longer be expected to provide Services and the Company will no longer be obligated to pay the fixed monthly retainer.</w:t>
      </w:r>
    </w:p>
    <w:p>
      <w:pPr>
        <w:spacing w:after="0" w:line="161" w:lineRule="exact"/>
        <w:rPr>
          <w:rFonts w:ascii="Times New Roman" w:cs="Times New Roman" w:eastAsia="Times New Roman" w:hAnsi="Times New Roman"/>
          <w:sz w:val="21"/>
          <w:szCs w:val="21"/>
          <w:color w:val="auto"/>
        </w:rPr>
      </w:pPr>
    </w:p>
    <w:p>
      <w:pPr>
        <w:ind w:right="180" w:firstLine="8"/>
        <w:spacing w:after="0" w:line="225" w:lineRule="auto"/>
        <w:tabs>
          <w:tab w:leader="none" w:pos="52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make payment electronically, Consultant shall submit electronic payment requests and the Company shall make payments by electronic wire transfer, in accordance with its procedures. Consultant shall advise in writing the bank and account information to which the Company is to make electronic payments.</w:t>
      </w:r>
    </w:p>
    <w:p>
      <w:pPr>
        <w:spacing w:after="0" w:line="179" w:lineRule="exact"/>
        <w:rPr>
          <w:rFonts w:ascii="Times New Roman" w:cs="Times New Roman" w:eastAsia="Times New Roman" w:hAnsi="Times New Roman"/>
          <w:sz w:val="22"/>
          <w:szCs w:val="22"/>
          <w:color w:val="auto"/>
        </w:rPr>
      </w:pPr>
    </w:p>
    <w:p>
      <w:pPr>
        <w:ind w:right="20" w:firstLine="8"/>
        <w:spacing w:after="0" w:line="217" w:lineRule="auto"/>
        <w:tabs>
          <w:tab w:leader="none" w:pos="4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acknowledged that this Agreement shall not prevent Consultant from becoming employed by any person or entity (subject to restrictions set forth in the Separation Agreement) and that the Services required by the Company will not unreasonably interfere with obligations the Supplier may have to any employer or with his activities in seeking employment, and any services to be provided pursuant to this Agreement shall be performed at such time or times and at such locations as mutually agreed between the parties.</w:t>
      </w:r>
    </w:p>
    <w:p>
      <w:pPr>
        <w:spacing w:after="0" w:line="16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is not expected to render services within any 12 month period that involve a time commitment in excess of</w:t>
      </w:r>
    </w:p>
    <w:p>
      <w:pPr>
        <w:spacing w:after="0" w:line="212" w:lineRule="auto"/>
        <w:rPr>
          <w:sz w:val="20"/>
          <w:szCs w:val="20"/>
          <w:color w:val="auto"/>
        </w:rPr>
      </w:pPr>
      <w:r>
        <w:rPr>
          <w:rFonts w:ascii="Times New Roman" w:cs="Times New Roman" w:eastAsia="Times New Roman" w:hAnsi="Times New Roman"/>
          <w:sz w:val="22"/>
          <w:szCs w:val="22"/>
          <w:color w:val="auto"/>
        </w:rPr>
        <w:t>37.5% of the average time expended as an employee of the Company during the 36 months prior to his retirement from the Company, which retirement therefore qualifies as a "separation from service” within the meaning of Section 409A of the Internal Revenue Code of actual services rendered exceed this limit, the parties agree to cooperate to avoid any violation of Section 409A. Such cooperation could include, for example, deferring the receipt of payments from the Company’s compensation programs that are considered deferred compensation arrangements for purposes of Section 409A.</w:t>
      </w:r>
    </w:p>
    <w:p>
      <w:pPr>
        <w:spacing w:after="0" w:line="182" w:lineRule="exact"/>
        <w:rPr>
          <w:sz w:val="20"/>
          <w:szCs w:val="20"/>
          <w:color w:val="auto"/>
        </w:rPr>
      </w:pPr>
    </w:p>
    <w:p>
      <w:pPr>
        <w:ind w:right="20" w:firstLine="8"/>
        <w:spacing w:after="0" w:line="225" w:lineRule="auto"/>
        <w:tabs>
          <w:tab w:leader="none" w:pos="46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this Agreement, the Company shall be under no obligation to make any payment to Consultant in excess of the total amount of $525,000 for any and all services performed, together with any and all expenses incurred under the terms of this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RENEWAL AND TERMINATION</w:t>
      </w:r>
    </w:p>
    <w:p>
      <w:pPr>
        <w:spacing w:after="0" w:line="182" w:lineRule="exact"/>
        <w:rPr>
          <w:sz w:val="20"/>
          <w:szCs w:val="20"/>
          <w:color w:val="auto"/>
        </w:rPr>
      </w:pPr>
    </w:p>
    <w:p>
      <w:pPr>
        <w:ind w:right="20" w:firstLine="8"/>
        <w:spacing w:after="0" w:line="220" w:lineRule="auto"/>
        <w:tabs>
          <w:tab w:leader="none" w:pos="5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extended only by mutual written agreement between the parties. The parties agree that any renewal of the Agreement, or extension of the Consulting Agreement Term, will take into consideration actual Services provided during the initial Consulting Agreement Term, in determining the compensation arrangement for the extension period or renewal of the Agreement.</w:t>
      </w:r>
    </w:p>
    <w:p>
      <w:pPr>
        <w:spacing w:after="0" w:line="15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terminate this Agreement by giving the other party fourteen (14) days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firstLine="8"/>
        <w:spacing w:after="0" w:line="236" w:lineRule="auto"/>
        <w:tabs>
          <w:tab w:leader="none" w:pos="51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the Company will pay Consultant for any services performed under the Agreement up to the effective termination date, and the Company will have no further obligations to Consultant.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jc w:val="center"/>
        <w:spacing w:after="0"/>
        <w:rPr>
          <w:sz w:val="20"/>
          <w:szCs w:val="20"/>
          <w:color w:val="auto"/>
        </w:rPr>
      </w:pPr>
      <w:r>
        <w:rPr>
          <w:rFonts w:ascii="Times New Roman" w:cs="Times New Roman" w:eastAsia="Times New Roman" w:hAnsi="Times New Roman"/>
          <w:sz w:val="22"/>
          <w:szCs w:val="22"/>
          <w:b w:val="1"/>
          <w:bCs w:val="1"/>
          <w:color w:val="auto"/>
        </w:rPr>
        <w:t>WARRANTIES</w:t>
      </w:r>
    </w:p>
    <w:p>
      <w:pPr>
        <w:spacing w:after="0" w:line="182" w:lineRule="exact"/>
        <w:rPr>
          <w:sz w:val="20"/>
          <w:szCs w:val="20"/>
          <w:color w:val="auto"/>
        </w:rPr>
      </w:pPr>
    </w:p>
    <w:p>
      <w:pPr>
        <w:ind w:firstLine="8"/>
        <w:spacing w:after="0" w:line="236" w:lineRule="auto"/>
        <w:tabs>
          <w:tab w:leader="none" w:pos="51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warrants to the Company that the Services will be provided free of any rightful claim of any third person by way of infringement and that the Services will conform to the descriptions and other requirements contained in this Agreement.</w:t>
      </w:r>
    </w:p>
    <w:p>
      <w:pPr>
        <w:spacing w:after="0" w:line="177" w:lineRule="exact"/>
        <w:rPr>
          <w:rFonts w:ascii="Times New Roman" w:cs="Times New Roman" w:eastAsia="Times New Roman" w:hAnsi="Times New Roman"/>
          <w:sz w:val="22"/>
          <w:szCs w:val="22"/>
          <w:color w:val="auto"/>
        </w:rPr>
      </w:pPr>
    </w:p>
    <w:p>
      <w:pPr>
        <w:ind w:right="60" w:firstLine="8"/>
        <w:spacing w:after="0" w:line="212" w:lineRule="auto"/>
        <w:tabs>
          <w:tab w:leader="none" w:pos="52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warrants that all services performed under this Agreement shall be performed in accordance with current, sound and generally accepted industry practices, provided, however, that the Company's sole and exclusive remedy for a breach of this warranty shall be to terminate this Agreement in accordance with Section 5 of the Addendum to this Agreement.</w:t>
      </w:r>
    </w:p>
    <w:p>
      <w:pPr>
        <w:jc w:val="center"/>
        <w:spacing w:after="0" w:line="206" w:lineRule="auto"/>
        <w:rPr>
          <w:sz w:val="20"/>
          <w:szCs w:val="20"/>
          <w:color w:val="auto"/>
        </w:rPr>
      </w:pPr>
      <w:r>
        <w:rPr>
          <w:rFonts w:ascii="Times New Roman" w:cs="Times New Roman" w:eastAsia="Times New Roman" w:hAnsi="Times New Roman"/>
          <w:sz w:val="22"/>
          <w:szCs w:val="22"/>
          <w:b w:val="1"/>
          <w:bCs w:val="1"/>
          <w:color w:val="auto"/>
        </w:rPr>
        <w:t>ARTICLE V</w:t>
      </w: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82"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Notices related to this Agreement shall be given in writing and sent by certified mail, return receipt requested. Any such notice, if sent by RTX to the Consultant, shall be addressed as follows: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Mr. Michael Dumais</w:t>
      </w:r>
    </w:p>
    <w:p>
      <w:pPr>
        <w:ind w:left="1300"/>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sent by the Consultant to RTX, shall be addressed as follows: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Raytheon Technologies Corporation</w:t>
      </w:r>
    </w:p>
    <w:p>
      <w:pPr>
        <w:ind w:left="1300"/>
        <w:spacing w:after="0" w:line="204" w:lineRule="auto"/>
        <w:rPr>
          <w:sz w:val="20"/>
          <w:szCs w:val="20"/>
          <w:color w:val="auto"/>
        </w:rPr>
      </w:pPr>
      <w:r>
        <w:rPr>
          <w:rFonts w:ascii="Times New Roman" w:cs="Times New Roman" w:eastAsia="Times New Roman" w:hAnsi="Times New Roman"/>
          <w:sz w:val="22"/>
          <w:szCs w:val="22"/>
          <w:color w:val="auto"/>
        </w:rPr>
        <w:t>4 Farm Springs Road</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Farmington, CT 06032</w:t>
      </w:r>
    </w:p>
    <w:p>
      <w:pPr>
        <w:spacing w:after="0" w:line="1"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auto"/>
        </w:rPr>
        <w:t>Attn:</w:t>
        <w:tab/>
        <w:t>Mr. Drew Barber, Office of the CEO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2" w:lineRule="exact"/>
        <w:rPr>
          <w:sz w:val="20"/>
          <w:szCs w:val="20"/>
          <w:color w:val="auto"/>
        </w:rPr>
      </w:pPr>
    </w:p>
    <w:p>
      <w:pPr>
        <w:ind w:right="480" w:firstLine="8"/>
        <w:spacing w:after="0" w:line="236" w:lineRule="auto"/>
        <w:tabs>
          <w:tab w:leader="none" w:pos="5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This Agreement is governed by the RTX Standard Terms and Conditions of Purchase for Small Purchases set forth in Addendum 1 to this Agreement.</w:t>
      </w:r>
    </w:p>
    <w:p>
      <w:pPr>
        <w:spacing w:after="0" w:line="177" w:lineRule="exact"/>
        <w:rPr>
          <w:rFonts w:ascii="Times New Roman" w:cs="Times New Roman" w:eastAsia="Times New Roman" w:hAnsi="Times New Roman"/>
          <w:sz w:val="22"/>
          <w:szCs w:val="22"/>
          <w:color w:val="auto"/>
        </w:rPr>
      </w:pPr>
    </w:p>
    <w:p>
      <w:pPr>
        <w:ind w:firstLine="8"/>
        <w:spacing w:after="0" w:line="217" w:lineRule="auto"/>
        <w:tabs>
          <w:tab w:leader="none" w:pos="5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Avoidance</w:t>
      </w:r>
      <w:r>
        <w:rPr>
          <w:rFonts w:ascii="Times New Roman" w:cs="Times New Roman" w:eastAsia="Times New Roman" w:hAnsi="Times New Roman"/>
          <w:sz w:val="22"/>
          <w:szCs w:val="22"/>
          <w:color w:val="auto"/>
        </w:rPr>
        <w:t>. Consultant acknowledges that in performing the Services, he will have access to extremely sensitive, privileged and proprietary information, and that this information could relate to RTX's technology, competitive position, business priorities and marketing strategies. To protect RTX's interests and to assure free access by Consultant to all company information necessary for performance of the Services, Consultant agrees that during the term of this Agreement, he shall not provide services in any way as a consultant,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22"/>
          <w:szCs w:val="22"/>
          <w:color w:val="auto"/>
        </w:rPr>
        <w:t>otherwise, to any entity that would violate the terms of this Agreement, or otherwise create a conflict of interest with the Company. Consultant agrees to notify Drew Barber of any such potential employment or consultant relationship prior to engagement to ensure that no conflict exists. This Agreement shall have no impact on the term of the noncompetition period specified in the Consultant’s Separation Agreement with the Company, and such noncompetition period will, as applicable, run concurrently with the conflict avoidance required under this Agreement.</w:t>
      </w:r>
    </w:p>
    <w:p>
      <w:pPr>
        <w:spacing w:after="0" w:line="179" w:lineRule="exact"/>
        <w:rPr>
          <w:sz w:val="20"/>
          <w:szCs w:val="20"/>
          <w:color w:val="auto"/>
        </w:rPr>
      </w:pPr>
    </w:p>
    <w:p>
      <w:pPr>
        <w:ind w:right="800" w:firstLine="8"/>
        <w:spacing w:after="0" w:line="236" w:lineRule="auto"/>
        <w:tabs>
          <w:tab w:leader="none" w:pos="51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used herein are for convenience of reference only and shall not control or affect in any way the meaning, construction, or interpretation of any of the provisions hereof.</w:t>
      </w:r>
    </w:p>
    <w:p>
      <w:pPr>
        <w:spacing w:after="0" w:line="177" w:lineRule="exact"/>
        <w:rPr>
          <w:rFonts w:ascii="Times New Roman" w:cs="Times New Roman" w:eastAsia="Times New Roman" w:hAnsi="Times New Roman"/>
          <w:sz w:val="22"/>
          <w:szCs w:val="22"/>
          <w:color w:val="auto"/>
        </w:rPr>
      </w:pPr>
    </w:p>
    <w:p>
      <w:pPr>
        <w:ind w:right="20" w:firstLine="8"/>
        <w:spacing w:after="0" w:line="220" w:lineRule="auto"/>
        <w:tabs>
          <w:tab w:leader="none" w:pos="5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w:t>
      </w:r>
      <w:r>
        <w:rPr>
          <w:rFonts w:ascii="Times New Roman" w:cs="Times New Roman" w:eastAsia="Times New Roman" w:hAnsi="Times New Roman"/>
          <w:sz w:val="22"/>
          <w:szCs w:val="22"/>
          <w:color w:val="auto"/>
        </w:rPr>
        <w:t>. This Agreement shall be governed by and construed under the laws of the State of Connecticut, excluding its conflict of law rules. In the event any dispute arises out of this Agreement, any action or claim shall be brought in a state or federal court in the State of Connecticut, and Consultant hereby irrevocably consents to personal jurisdiction and venue in said courts.</w:t>
      </w:r>
    </w:p>
    <w:p>
      <w:pPr>
        <w:spacing w:after="0" w:line="17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RTX Code of Conduct</w:t>
      </w:r>
      <w:r>
        <w:rPr>
          <w:rFonts w:ascii="Times New Roman" w:cs="Times New Roman" w:eastAsia="Times New Roman" w:hAnsi="Times New Roman"/>
          <w:sz w:val="22"/>
          <w:szCs w:val="22"/>
          <w:color w:val="auto"/>
        </w:rPr>
        <w:t>. The Consultant will comply with RTX’s “Code of Conduct.”</w:t>
      </w:r>
    </w:p>
    <w:p>
      <w:pPr>
        <w:spacing w:after="0" w:line="206" w:lineRule="exact"/>
        <w:rPr>
          <w:rFonts w:ascii="Times New Roman" w:cs="Times New Roman" w:eastAsia="Times New Roman" w:hAnsi="Times New Roman"/>
          <w:sz w:val="22"/>
          <w:szCs w:val="22"/>
          <w:color w:val="auto"/>
        </w:rPr>
      </w:pPr>
    </w:p>
    <w:p>
      <w:pPr>
        <w:ind w:right="80" w:firstLine="8"/>
        <w:spacing w:after="0" w:line="227" w:lineRule="auto"/>
        <w:tabs>
          <w:tab w:leader="none" w:pos="48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Consultant agrees not to disclose the compensation terms of this Agreement without RTX’s prior consent, provided however, that he may disclose such terms to his attorney and tax advisors. Consultant shall not make or authorize any news release or advertisement which confirms the existence of this Agreement, or which shall make use of RTX’s name, without the prior written consent of RTX. Consultant may represent that he is a consultant for the Company as may be reasonably required, including to perform this Agreement or as necessary to seek employment or other consulting arrangements.</w:t>
      </w:r>
    </w:p>
    <w:p>
      <w:pPr>
        <w:spacing w:after="0" w:line="153" w:lineRule="exact"/>
        <w:rPr>
          <w:rFonts w:ascii="Times New Roman" w:cs="Times New Roman" w:eastAsia="Times New Roman" w:hAnsi="Times New Roman"/>
          <w:sz w:val="21"/>
          <w:szCs w:val="21"/>
          <w:color w:val="auto"/>
        </w:rPr>
      </w:pPr>
    </w:p>
    <w:p>
      <w:pPr>
        <w:ind w:firstLine="8"/>
        <w:spacing w:after="0" w:line="236" w:lineRule="auto"/>
        <w:tabs>
          <w:tab w:leader="none" w:pos="46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Assignable</w:t>
      </w:r>
      <w:r>
        <w:rPr>
          <w:rFonts w:ascii="Times New Roman" w:cs="Times New Roman" w:eastAsia="Times New Roman" w:hAnsi="Times New Roman"/>
          <w:sz w:val="22"/>
          <w:szCs w:val="22"/>
          <w:color w:val="auto"/>
        </w:rPr>
        <w:t>. This Agreement is not assignable by either party unless such assignment is mutually agreed to in writing by the parties hereto.</w:t>
      </w:r>
    </w:p>
    <w:p>
      <w:pPr>
        <w:spacing w:after="0" w:line="177" w:lineRule="exact"/>
        <w:rPr>
          <w:rFonts w:ascii="Times New Roman" w:cs="Times New Roman" w:eastAsia="Times New Roman" w:hAnsi="Times New Roman"/>
          <w:sz w:val="22"/>
          <w:szCs w:val="22"/>
          <w:color w:val="auto"/>
        </w:rPr>
      </w:pPr>
    </w:p>
    <w:p>
      <w:pPr>
        <w:ind w:right="60" w:firstLine="8"/>
        <w:spacing w:after="0" w:line="217" w:lineRule="auto"/>
        <w:tabs>
          <w:tab w:leader="none" w:pos="46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and Entire Agreement</w:t>
      </w:r>
      <w:r>
        <w:rPr>
          <w:rFonts w:ascii="Times New Roman" w:cs="Times New Roman" w:eastAsia="Times New Roman" w:hAnsi="Times New Roman"/>
          <w:sz w:val="22"/>
          <w:szCs w:val="22"/>
          <w:color w:val="auto"/>
        </w:rPr>
        <w:t>. The terms and conditions of this Agreement (including all attachments and documents incorporated by reference) constitute the entire agreement between the parties with respect to the Services and shall supersede all previous communications, agreements, and representations, either oral or written, with respect to the subject matter hereof, and no agreement or understanding varying or extending this Agreement shall be binding upon either party hereto, unless in writing signed by duly authorized representatives of both parties.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by their duly authorized representatives executed this agreement on the date written below.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RAYTHEON TECHNOLOGIES CORPORATION</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Dantaya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2837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Executive Vice President &amp; CHRO</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2837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MICHAEL R. DUMAIS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2837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2837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STATEMENT OF WORK</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As directed by RTX, the Consultant shall provide independent consulting services in support of corporate strategy, mergers, divestitures and acquisitions, business transformation and other matters as requested by the Office the 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700"/>
          </w:cols>
          <w:pgMar w:left="320" w:top="1440" w:right="87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Addendum 1</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Standard Terms and Conditions of Purchase for Small Purchases</w:t>
      </w:r>
    </w:p>
    <w:p>
      <w:pPr>
        <w:spacing w:after="0" w:line="200" w:lineRule="exact"/>
        <w:rPr>
          <w:sz w:val="20"/>
          <w:szCs w:val="20"/>
          <w:color w:val="auto"/>
        </w:rPr>
      </w:pPr>
    </w:p>
    <w:p>
      <w:pPr>
        <w:spacing w:after="0" w:line="249"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definitions in the Agreement apply to this Addendum.</w:t>
      </w:r>
    </w:p>
    <w:p>
      <w:pPr>
        <w:spacing w:after="0" w:line="202"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CONSULTANT RELATIONSHIP</w:t>
      </w:r>
    </w:p>
    <w:p>
      <w:pPr>
        <w:spacing w:after="0" w:line="210" w:lineRule="exact"/>
        <w:rPr>
          <w:sz w:val="20"/>
          <w:szCs w:val="20"/>
          <w:color w:val="auto"/>
        </w:rPr>
      </w:pPr>
    </w:p>
    <w:p>
      <w:pPr>
        <w:ind w:right="860"/>
        <w:spacing w:after="0" w:line="236" w:lineRule="auto"/>
        <w:rPr>
          <w:sz w:val="20"/>
          <w:szCs w:val="20"/>
          <w:color w:val="auto"/>
        </w:rPr>
      </w:pPr>
      <w:r>
        <w:rPr>
          <w:rFonts w:ascii="Times New Roman" w:cs="Times New Roman" w:eastAsia="Times New Roman" w:hAnsi="Times New Roman"/>
          <w:sz w:val="22"/>
          <w:szCs w:val="22"/>
          <w:color w:val="auto"/>
        </w:rPr>
        <w:t>2.1 The relationship of the Consultant to the Company is that of an independent contractor and nothing herein shall be construed as creating any other relationship.</w:t>
      </w:r>
    </w:p>
    <w:p>
      <w:pPr>
        <w:spacing w:after="0" w:line="177"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22"/>
          <w:szCs w:val="22"/>
          <w:color w:val="auto"/>
        </w:rPr>
        <w:t>2.2 Consultant accepts exclusive liability for the payment of any taxes, Social Security contributions and unemployment insurance in respect of all compensation paid by the Company pursuant to this Agreement.</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2.3 Consultant acknowledges that RTX will provide an IRS Form 1099-MISC reflecting all payments made to Consultant under this Agreement.</w:t>
      </w:r>
    </w:p>
    <w:p>
      <w:pPr>
        <w:spacing w:after="0" w:line="177" w:lineRule="exact"/>
        <w:rPr>
          <w:sz w:val="20"/>
          <w:szCs w:val="20"/>
          <w:color w:val="auto"/>
        </w:rPr>
      </w:pPr>
    </w:p>
    <w:p>
      <w:pPr>
        <w:jc w:val="both"/>
        <w:ind w:right="260"/>
        <w:spacing w:after="0" w:line="225" w:lineRule="auto"/>
        <w:rPr>
          <w:sz w:val="20"/>
          <w:szCs w:val="20"/>
          <w:color w:val="auto"/>
        </w:rPr>
      </w:pPr>
      <w:r>
        <w:rPr>
          <w:rFonts w:ascii="Times New Roman" w:cs="Times New Roman" w:eastAsia="Times New Roman" w:hAnsi="Times New Roman"/>
          <w:sz w:val="22"/>
          <w:szCs w:val="22"/>
          <w:color w:val="auto"/>
        </w:rPr>
        <w:t>2.4 Consultant acknowledges that he is not a Company employee and is not entitled pursuant to this agreement, to the rights and benefits of a Company employee with respect to services provided hereunder, including, but not limited to, participation in pension, savings, health care and other Company employee benefit plans.</w:t>
      </w:r>
    </w:p>
    <w:p>
      <w:pPr>
        <w:spacing w:after="0" w:line="176"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INFORMATION</w:t>
      </w:r>
    </w:p>
    <w:p>
      <w:pPr>
        <w:spacing w:after="0" w:line="210"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1"/>
          <w:szCs w:val="21"/>
          <w:color w:val="auto"/>
        </w:rPr>
        <w:t>3.1 Consultant shall not use or disclose Company Information. The term "Company Information" as used in this Agreement means: (a) confidential information including, without limitation, information received from third parties under confidential conditions; (b) information subject to the Company's attorney-client or work-product privilege; and (c) other technical, scientific, business or financial information, the use or disclosure of which might reasonably be construed to be contrary to the Company's interest. Consultant shall use his reasonable best efforts to safeguard and maintain confidentiality of other information that constitutes “Material Nonpublic Information” (as defined below) that he obtains during the performance of the Services.</w:t>
      </w:r>
    </w:p>
    <w:p>
      <w:pPr>
        <w:spacing w:after="0" w:line="18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22"/>
          <w:szCs w:val="22"/>
          <w:color w:val="auto"/>
        </w:rPr>
        <w:t>3.2 “Material Nonpublic Information” includes any information that has not been disclosed publicly by the Company, or an affiliate and that a reasonable investor likely would consider to be important to a decision to buy, hold or sell RTX securities. It also includes nonpublic information disclosed to or possessed by the Company that is related to another corporation that a reasonable investor likely would consider important to a decision to buy, hold or sell the securities of the other corporation. Such information may include, by way of example: computer programs and documentation; technical design, manufacturing and application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customer information; training information; financial information; personnel information; new product developments; advertising and business and marketing plans.</w:t>
      </w:r>
    </w:p>
    <w:p>
      <w:pPr>
        <w:spacing w:after="0" w:line="173"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WARRANTIES, AGREEMENTS AND COVENANTS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Consultant represents, warrants, covenants and agrees that:</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The Consultant will comply with RTX's "Code of Conduct" as applicable.</w:t>
      </w:r>
    </w:p>
    <w:p>
      <w:pPr>
        <w:spacing w:after="0" w:line="206"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22"/>
          <w:szCs w:val="22"/>
          <w:color w:val="auto"/>
        </w:rPr>
        <w:t>4.2 The Consultant shall use his reasonable best efforts to avoid and refrain from all activities on behalf of the Company that could be interpreted as creating conflicts of interest or the appearance of a conflict for the Company or the Consultant. The Consultant agrees to promptly notify the Company if the Consultant at any time has information or reason to believe that the performance of Services requested hereunder or activities unelated to this Agreement would create such a conflict of interest, or the appearance of such a conflict.</w:t>
      </w:r>
    </w:p>
    <w:p>
      <w:pPr>
        <w:spacing w:after="0" w:line="175"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10" w:lineRule="exact"/>
        <w:rPr>
          <w:sz w:val="20"/>
          <w:szCs w:val="20"/>
          <w:color w:val="auto"/>
        </w:rPr>
      </w:pPr>
    </w:p>
    <w:p>
      <w:pPr>
        <w:ind w:right="600"/>
        <w:spacing w:after="0" w:line="225" w:lineRule="auto"/>
        <w:rPr>
          <w:sz w:val="20"/>
          <w:szCs w:val="20"/>
          <w:color w:val="auto"/>
        </w:rPr>
      </w:pPr>
      <w:r>
        <w:rPr>
          <w:rFonts w:ascii="Times New Roman" w:cs="Times New Roman" w:eastAsia="Times New Roman" w:hAnsi="Times New Roman"/>
          <w:sz w:val="22"/>
          <w:szCs w:val="22"/>
          <w:color w:val="auto"/>
        </w:rPr>
        <w:t>The Company or the Consultant may each terminate this Agreement for any reason with fourteen (14) days advance notice without either party having any liability to the other except for payments due to the Consultant for services rendered and unreimbursed business expenses.</w:t>
      </w:r>
    </w:p>
    <w:p>
      <w:pPr>
        <w:spacing w:after="0" w:line="175" w:lineRule="exact"/>
        <w:rPr>
          <w:sz w:val="20"/>
          <w:szCs w:val="20"/>
          <w:color w:val="auto"/>
        </w:rPr>
      </w:pPr>
    </w:p>
    <w:p>
      <w:pPr>
        <w:ind w:left="420" w:hanging="412"/>
        <w:spacing w:after="0"/>
        <w:tabs>
          <w:tab w:leader="none" w:pos="4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22"/>
          <w:szCs w:val="22"/>
          <w:color w:val="auto"/>
        </w:rPr>
        <w:t>Neither this Agreement nor any interest hereunder shall be assignable by either party unless such assignment is mutually agreed to in writing by the parties hereto; provided, however, that the Company may assign this Agreement to any corporation with which the Company may merge or consolidate or to which the Company may assign substantially all of its assets or that portion of its business to which this Agreement pertains.</w:t>
      </w:r>
    </w:p>
    <w:p>
      <w:pPr>
        <w:spacing w:after="0" w:line="175"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PARTIAL INVALIDITY</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If in any instance any provision of this Agreement shall be determined to be invalid or unenforceable under any applicable law, such provision shall not apply in such instance, but the remaining provisions shall be given effect in accordance with their terms.</w:t>
      </w:r>
    </w:p>
    <w:p>
      <w:pPr>
        <w:spacing w:after="0" w:line="158"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w:t>
      </w:r>
    </w:p>
    <w:p>
      <w:pPr>
        <w:spacing w:after="0" w:line="2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Neither RTX nor Consultant shall be liable for damages for any failure or delay in the performance of this Agreement resulting from causes beyond its and its subcontractors (if any) reasonable control including, but not limited to, unforeseeable events such as acts of God, acts of Government, war, court order, riots, natural disasters, labor strikes, and lockouts. The party incurring the delay shall give timely notice to the others of any such event and shall use all reasonable efforts to avoid or remove the cause and resume performance with minimum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hanging="412"/>
        <w:spacing w:after="0"/>
        <w:tabs>
          <w:tab w:leader="none" w:pos="4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ACCESS TO RTX COMPUTER SYSTEMS</w:t>
      </w:r>
    </w:p>
    <w:p>
      <w:pPr>
        <w:spacing w:after="0" w:line="21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9.1 Consultant agrees that RTX and its affiliates shall have sole discretion as to whether Consultant is granted access to RTX or its affiliates' computer-based information systems; and agrees that any access privileges granted to Consultant will be defined by RTX. To facilitate Consultant's ability to perform the Services, RTX has determined that Consultant shall have access to RTX's information networks subject to any modifications as may be necessary or appropriate. For this purpose, Consultant will retain his current computer, iPhone and other devices during the term of this Agreement.</w:t>
      </w:r>
    </w:p>
    <w:p>
      <w:pPr>
        <w:spacing w:after="0" w:line="179"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2"/>
          <w:szCs w:val="22"/>
          <w:color w:val="auto"/>
        </w:rPr>
        <w:t>9.2 Consultant shall ensure that access privileges identified by RTX are not assigned or provided by Consultant to any other employees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April 26, 2022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333-197704, 333-175781, 333-150643, 333-125293, 333-110020, and 333-100724)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J. HAYES</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J. Hayes</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2022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ind w:left="660" w:right="4240" w:hanging="5075"/>
        <w:spacing w:after="0" w:line="276" w:lineRule="auto"/>
        <w:tabs>
          <w:tab w:leader="none" w:pos="640" w:val="left"/>
        </w:tabs>
        <w:rPr>
          <w:sz w:val="20"/>
          <w:szCs w:val="20"/>
          <w:color w:val="auto"/>
        </w:rPr>
      </w:pPr>
      <w:r>
        <w:rPr>
          <w:rFonts w:ascii="Times New Roman" w:cs="Times New Roman" w:eastAsia="Times New Roman" w:hAnsi="Times New Roman"/>
          <w:sz w:val="18"/>
          <w:szCs w:val="18"/>
          <w:color w:val="auto"/>
        </w:rPr>
        <w:t>Date:</w:t>
        <w:tab/>
        <w:t>April 26, 2022 /s/ GREGORY J. HAYES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-1905</wp:posOffset>
            </wp:positionV>
            <wp:extent cx="38830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26, 2022</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26, 2022</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amp;"/>
      <w:numFmt w:val="bullet"/>
      <w:start w:val="1"/>
    </w:lvl>
  </w:abstractNum>
  <w:abstractNum w:abstractNumId="4">
    <w:nsid w:val="2463B9EA"/>
    <w:multiLevelType w:val="hybridMultilevel"/>
    <w:lvl w:ilvl="0">
      <w:lvlJc w:val="left"/>
      <w:lvlText w:val="&amp;"/>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lvl w:ilvl="1">
      <w:lvlJc w:val="left"/>
      <w:lvlText w:val="◦"/>
      <w:numFmt w:val="bullet"/>
      <w:start w:val="1"/>
    </w:lvl>
  </w:abstractNum>
  <w:abstractNum w:abstractNumId="11">
    <w:nsid w:val="70A64E2A"/>
    <w:multiLevelType w:val="hybridMultilevel"/>
    <w:lvl w:ilvl="0">
      <w:lvlJc w:val="left"/>
      <w:lvlText w:val="(%1)"/>
      <w:numFmt w:val="lowerRoman"/>
      <w:start w:val="1"/>
    </w:lvl>
    <w:lvl w:ilvl="1">
      <w:lvlJc w:val="left"/>
      <w:lvlText w:val="(%2)"/>
      <w:numFmt w:val="upperLetter"/>
      <w:start w:val="1"/>
    </w:lvl>
  </w:abstractNum>
  <w:abstractNum w:abstractNumId="12">
    <w:nsid w:val="6A2342EC"/>
    <w:multiLevelType w:val="hybridMultilevel"/>
    <w:lvl w:ilvl="0">
      <w:lvlJc w:val="left"/>
      <w:lvlText w:val="(%1)"/>
      <w:numFmt w:val="lowerRoman"/>
      <w:start w:val="6"/>
    </w:lvl>
  </w:abstractNum>
  <w:abstractNum w:abstractNumId="13">
    <w:nsid w:val="2A487CB0"/>
    <w:multiLevelType w:val="hybridMultilevel"/>
    <w:lvl w:ilvl="0">
      <w:lvlJc w:val="left"/>
      <w:lvlText w:val="•"/>
      <w:numFmt w:val="bullet"/>
      <w:start w:val="1"/>
    </w:lvl>
    <w:lvl w:ilvl="1">
      <w:lvlJc w:val="left"/>
      <w:lvlText w:val="◦"/>
      <w:numFmt w:val="bullet"/>
      <w:start w:val="1"/>
    </w:lvl>
  </w:abstractNum>
  <w:abstractNum w:abstractNumId="14">
    <w:nsid w:val="1D4ED43B"/>
    <w:multiLevelType w:val="hybridMultilevel"/>
    <w:lvl w:ilvl="0">
      <w:lvlJc w:val="left"/>
      <w:lvlText w:val="(%1)"/>
      <w:numFmt w:val="lowerRoman"/>
      <w:start w:val="1"/>
    </w:lvl>
    <w:lvl w:ilvl="1">
      <w:lvlJc w:val="left"/>
      <w:lvlText w:val="(%2)"/>
      <w:numFmt w:val="upperLetter"/>
      <w:start w:val="1"/>
    </w:lvl>
  </w:abstractNum>
  <w:abstractNum w:abstractNumId="15">
    <w:nsid w:val="725A06FB"/>
    <w:multiLevelType w:val="hybridMultilevel"/>
    <w:lvl w:ilvl="0">
      <w:lvlJc w:val="left"/>
      <w:lvlText w:val="%1"/>
      <w:numFmt w:val="lowerRoman"/>
      <w:start w:val="1"/>
    </w:lvl>
    <w:lvl w:ilvl="1">
      <w:lvlJc w:val="left"/>
      <w:lvlText w:val="(%2)"/>
      <w:numFmt w:val="upperLetter"/>
      <w:start w:val="2"/>
    </w:lvl>
  </w:abstractNum>
  <w:abstractNum w:abstractNumId="16">
    <w:nsid w:val="2CD89A32"/>
    <w:multiLevelType w:val="hybridMultilevel"/>
    <w:lvl w:ilvl="0">
      <w:lvlJc w:val="left"/>
      <w:lvlText w:val="(%1)"/>
      <w:numFmt w:val="lowerRoman"/>
      <w:start w:val="6"/>
    </w:lvl>
    <w:lvl w:ilvl="1">
      <w:lvlJc w:val="left"/>
      <w:lvlText w:val="%2"/>
      <w:numFmt w:val="upperLetter"/>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lowerRoman"/>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1)"/>
      <w:numFmt w:val="decimal"/>
      <w:start w:val="90"/>
    </w:lvl>
  </w:abstractNum>
  <w:abstractNum w:abstractNumId="21">
    <w:nsid w:val="6DE91B18"/>
    <w:multiLevelType w:val="hybridMultilevel"/>
    <w:lvl w:ilvl="0">
      <w:lvlJc w:val="left"/>
      <w:lvlText w:val="(%1)"/>
      <w:numFmt w:val="lowerRoman"/>
      <w:start w:val="1"/>
    </w:lvl>
    <w:lvl w:ilvl="1">
      <w:lvlJc w:val="left"/>
      <w:lvlText w:val="(%2)"/>
      <w:numFmt w:val="upperLetter"/>
      <w:start w:val="1"/>
    </w:lvl>
  </w:abstractNum>
  <w:abstractNum w:abstractNumId="22">
    <w:nsid w:val="38437FDB"/>
    <w:multiLevelType w:val="hybridMultilevel"/>
    <w:lvl w:ilvl="0">
      <w:lvlJc w:val="left"/>
      <w:lvlText w:val="(%1)"/>
      <w:numFmt w:val="lowerRoman"/>
      <w:start w:val="6"/>
    </w:lvl>
  </w:abstractNum>
  <w:abstractNum w:abstractNumId="23">
    <w:nsid w:val="7644A45C"/>
    <w:multiLevelType w:val="hybridMultilevel"/>
    <w:lvl w:ilvl="0">
      <w:lvlJc w:val="left"/>
      <w:lvlText w:val="(%1)"/>
      <w:numFmt w:val="lowerRoman"/>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1)"/>
      <w:numFmt w:val="lowerRoman"/>
      <w:start w:val="1"/>
    </w:lvl>
    <w:lvl w:ilvl="1">
      <w:lvlJc w:val="left"/>
      <w:lvlText w:val="(%2)"/>
      <w:numFmt w:val="upperLetter"/>
      <w:start w:val="1"/>
    </w:lvl>
  </w:abstractNum>
  <w:abstractNum w:abstractNumId="27">
    <w:nsid w:val="749ABB43"/>
    <w:multiLevelType w:val="hybridMultilevel"/>
    <w:lvl w:ilvl="0">
      <w:lvlJc w:val="left"/>
      <w:lvlText w:val="(%1)"/>
      <w:numFmt w:val="lowerRoman"/>
      <w:start w:val="6"/>
    </w:lvl>
  </w:abstractNum>
  <w:abstractNum w:abstractNumId="28">
    <w:nsid w:val="3DC240FB"/>
    <w:multiLevelType w:val="hybridMultilevel"/>
    <w:lvl w:ilvl="0">
      <w:lvlJc w:val="left"/>
      <w:lvlText w:val="(%1)"/>
      <w:numFmt w:val="lowerLetter"/>
      <w:start w:val="1"/>
    </w:lvl>
    <w:lvl w:ilvl="1">
      <w:lvlJc w:val="left"/>
      <w:lvlText w:val="(%2)"/>
      <w:numFmt w:val="lowerLetter"/>
      <w:start w:val="9"/>
    </w:lvl>
  </w:abstractNum>
  <w:abstractNum w:abstractNumId="29">
    <w:nsid w:val="1BA026FA"/>
    <w:multiLevelType w:val="hybridMultilevel"/>
    <w:lvl w:ilvl="0">
      <w:lvlJc w:val="left"/>
      <w:lvlText w:val="%1"/>
      <w:numFmt w:val="lowerLetter"/>
      <w:start w:val="1"/>
    </w:lvl>
    <w:lvl w:ilvl="1">
      <w:lvlJc w:val="left"/>
      <w:lvlText w:val="(%2)"/>
      <w:numFmt w:val="lowerRoman"/>
      <w:start w:val="2"/>
    </w:lvl>
  </w:abstractNum>
  <w:abstractNum w:abstractNumId="30">
    <w:nsid w:val="79A1DEAA"/>
    <w:multiLevelType w:val="hybridMultilevel"/>
    <w:lvl w:ilvl="0">
      <w:lvlJc w:val="left"/>
      <w:lvlText w:val="(%1)"/>
      <w:numFmt w:val="lowerLetter"/>
      <w:start w:val="2"/>
    </w:lvl>
    <w:lvl w:ilvl="1">
      <w:lvlJc w:val="left"/>
      <w:lvlText w:val="%2"/>
      <w:numFmt w:val="lowerRoman"/>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1"/>
    </w:lvl>
    <w:lvl w:ilvl="1">
      <w:lvlJc w:val="left"/>
      <w:lvlText w:val="(%2)"/>
      <w:numFmt w:val="lowerRoman"/>
      <w:start w:val="1"/>
    </w:lvl>
  </w:abstractNum>
  <w:abstractNum w:abstractNumId="33">
    <w:nsid w:val="70C6A529"/>
    <w:multiLevelType w:val="hybridMultilevel"/>
    <w:lvl w:ilvl="0">
      <w:lvlJc w:val="left"/>
      <w:lvlText w:val="%1"/>
      <w:numFmt w:val="lowerLetter"/>
      <w:start w:val="1"/>
    </w:lvl>
    <w:lvl w:ilvl="1">
      <w:lvlJc w:val="left"/>
      <w:lvlText w:val="(%2)"/>
      <w:numFmt w:val="lowerRoman"/>
      <w:start w:val="1"/>
    </w:lvl>
  </w:abstractNum>
  <w:abstractNum w:abstractNumId="34">
    <w:nsid w:val="520EEDD1"/>
    <w:multiLevelType w:val="hybridMultilevel"/>
    <w:lvl w:ilvl="0">
      <w:lvlJc w:val="left"/>
      <w:lvlText w:val="(%1)"/>
      <w:numFmt w:val="lowerLetter"/>
      <w:start w:val="3"/>
    </w:lvl>
    <w:lvl w:ilvl="1">
      <w:lvlJc w:val="left"/>
      <w:lvlText w:val="(%2)"/>
      <w:numFmt w:val="lowerRoman"/>
      <w:start w:val="1"/>
    </w:lvl>
  </w:abstractNum>
  <w:abstractNum w:abstractNumId="35">
    <w:nsid w:val="374A3FE6"/>
    <w:multiLevelType w:val="hybridMultilevel"/>
    <w:lvl w:ilvl="0">
      <w:lvlJc w:val="left"/>
      <w:lvlText w:val="%1"/>
      <w:numFmt w:val="decimal"/>
      <w:start w:val="1"/>
    </w:lvl>
    <w:lvl w:ilvl="1">
      <w:lvlJc w:val="left"/>
      <w:lvlText w:val="(%2)"/>
      <w:numFmt w:val="lowerRoman"/>
      <w:start w:val="2"/>
    </w:lvl>
  </w:abstractNum>
  <w:abstractNum w:abstractNumId="36">
    <w:nsid w:val="4F4EF005"/>
    <w:multiLevelType w:val="hybridMultilevel"/>
    <w:lvl w:ilvl="0">
      <w:lvlJc w:val="left"/>
      <w:lvlText w:val="(%1)"/>
      <w:numFmt w:val="decimal"/>
      <w:start w:val="180"/>
    </w:lvl>
    <w:lvl w:ilvl="1">
      <w:lvlJc w:val="left"/>
      <w:lvlText w:val="%2"/>
      <w:numFmt w:val="lowerRoman"/>
      <w:start w:val="1"/>
    </w:lvl>
  </w:abstractNum>
  <w:abstractNum w:abstractNumId="37">
    <w:nsid w:val="23F9C13C"/>
    <w:multiLevelType w:val="hybridMultilevel"/>
    <w:lvl w:ilvl="0">
      <w:lvlJc w:val="left"/>
      <w:lvlText w:val="%1."/>
      <w:numFmt w:val="decimal"/>
      <w:start w:val="1"/>
    </w:lvl>
    <w:lvl w:ilvl="1">
      <w:lvlJc w:val="left"/>
      <w:lvlText w:val="(%2)"/>
      <w:numFmt w:val="lowerLetter"/>
      <w:start w:val="1"/>
    </w:lvl>
  </w:abstractNum>
  <w:abstractNum w:abstractNumId="38">
    <w:nsid w:val="649BB77C"/>
    <w:multiLevelType w:val="hybridMultilevel"/>
    <w:lvl w:ilvl="0">
      <w:lvlJc w:val="left"/>
      <w:lvlText w:val="(%1)"/>
      <w:numFmt w:val="lowerLetter"/>
      <w:start w:val="2"/>
    </w:lvl>
  </w:abstractNum>
  <w:abstractNum w:abstractNumId="39">
    <w:nsid w:val="275AC794"/>
    <w:multiLevelType w:val="hybridMultilevel"/>
    <w:lvl w:ilvl="0">
      <w:lvlJc w:val="left"/>
      <w:lvlText w:val="%1"/>
      <w:numFmt w:val="decimal"/>
      <w:start w:val="1"/>
    </w:lvl>
    <w:lvl w:ilvl="1">
      <w:lvlJc w:val="left"/>
      <w:lvlText w:val="(%2)"/>
      <w:numFmt w:val="lowerLetter"/>
      <w:start w:val="4"/>
    </w:lvl>
  </w:abstractNum>
  <w:abstractNum w:abstractNumId="40">
    <w:nsid w:val="39386575"/>
    <w:multiLevelType w:val="hybridMultilevel"/>
    <w:lvl w:ilvl="0">
      <w:lvlJc w:val="left"/>
      <w:lvlText w:val="%1."/>
      <w:numFmt w:val="decimal"/>
      <w:start w:val="2"/>
    </w:lvl>
    <w:lvl w:ilvl="1">
      <w:lvlJc w:val="left"/>
      <w:lvlText w:val="(%2)"/>
      <w:numFmt w:val="lowerLetter"/>
      <w:start w:val="1"/>
    </w:lvl>
  </w:abstractNum>
  <w:abstractNum w:abstractNumId="41">
    <w:nsid w:val="1CF10FD8"/>
    <w:multiLevelType w:val="hybridMultilevel"/>
    <w:lvl w:ilvl="0">
      <w:lvlJc w:val="left"/>
      <w:lvlText w:val="(%1)"/>
      <w:numFmt w:val="lowerLetter"/>
      <w:start w:val="2"/>
    </w:lvl>
    <w:lvl w:ilvl="1">
      <w:lvlJc w:val="left"/>
      <w:lvlText w:val="(%2)"/>
      <w:numFmt w:val="lowerRoman"/>
      <w:start w:val="1"/>
    </w:lvl>
  </w:abstractNum>
  <w:abstractNum w:abstractNumId="42">
    <w:nsid w:val="180115BE"/>
    <w:multiLevelType w:val="hybridMultilevel"/>
    <w:lvl w:ilvl="0">
      <w:lvlJc w:val="left"/>
      <w:lvlText w:val="(%1)"/>
      <w:numFmt w:val="lowerLetter"/>
      <w:start w:val="6"/>
    </w:lvl>
  </w:abstractNum>
  <w:abstractNum w:abstractNumId="43">
    <w:nsid w:val="235BA861"/>
    <w:multiLevelType w:val="hybridMultilevel"/>
    <w:lvl w:ilvl="0">
      <w:lvlJc w:val="left"/>
      <w:lvlText w:val="%1"/>
      <w:numFmt w:val="decimal"/>
      <w:start w:val="1"/>
    </w:lvl>
    <w:lvl w:ilvl="1">
      <w:lvlJc w:val="left"/>
      <w:lvlText w:val="(%2)"/>
      <w:numFmt w:val="lowerLetter"/>
      <w:start w:val="10"/>
    </w:lvl>
  </w:abstractNum>
  <w:abstractNum w:abstractNumId="44">
    <w:nsid w:val="47398C89"/>
    <w:multiLevelType w:val="hybridMultilevel"/>
    <w:lvl w:ilvl="0">
      <w:lvlJc w:val="left"/>
      <w:lvlText w:val="%1."/>
      <w:numFmt w:val="decimal"/>
      <w:start w:val="3"/>
    </w:lvl>
    <w:lvl w:ilvl="1">
      <w:lvlJc w:val="left"/>
      <w:lvlText w:val="%2"/>
      <w:numFmt w:val="lowerLetter"/>
      <w:start w:val="1"/>
    </w:lvl>
  </w:abstractNum>
  <w:abstractNum w:abstractNumId="45">
    <w:nsid w:val="354FE9F9"/>
    <w:multiLevelType w:val="hybridMultilevel"/>
    <w:lvl w:ilvl="0">
      <w:lvlJc w:val="left"/>
      <w:lvlText w:val="%1."/>
      <w:numFmt w:val="decimal"/>
      <w:start w:val="4"/>
    </w:lvl>
  </w:abstractNum>
  <w:abstractNum w:abstractNumId="46">
    <w:nsid w:val="15B5AF5C"/>
    <w:multiLevelType w:val="hybridMultilevel"/>
    <w:lvl w:ilvl="0">
      <w:lvlJc w:val="left"/>
      <w:lvlText w:val="%1."/>
      <w:numFmt w:val="decimal"/>
      <w:start w:val="5"/>
    </w:lvl>
    <w:lvl w:ilvl="1">
      <w:lvlJc w:val="left"/>
      <w:lvlText w:val="(%2)"/>
      <w:numFmt w:val="lowerLetter"/>
      <w:start w:val="1"/>
    </w:lvl>
  </w:abstractNum>
  <w:abstractNum w:abstractNumId="47">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D34B6A8"/>
    <w:multiLevelType w:val="hybridMultilevel"/>
    <w:lvl w:ilvl="0">
      <w:lvlJc w:val="left"/>
      <w:lvlText w:val="%1"/>
      <w:numFmt w:val="decimal"/>
      <w:start w:val="1"/>
    </w:lvl>
    <w:lvl w:ilvl="1">
      <w:lvlJc w:val="left"/>
      <w:lvlText w:val="(%2)"/>
      <w:numFmt w:val="lowerLetter"/>
      <w:start w:val="3"/>
    </w:lvl>
  </w:abstractNum>
  <w:abstractNum w:abstractNumId="49">
    <w:nsid w:val="10233C99"/>
    <w:multiLevelType w:val="hybridMultilevel"/>
    <w:lvl w:ilvl="0">
      <w:lvlJc w:val="left"/>
      <w:lvlText w:val="%1."/>
      <w:numFmt w:val="decimal"/>
      <w:start w:val="3"/>
    </w:lvl>
    <w:lvl w:ilvl="1">
      <w:lvlJc w:val="left"/>
      <w:lvlText w:val="(%2)"/>
      <w:numFmt w:val="lowerLetter"/>
      <w:start w:val="1"/>
    </w:lvl>
  </w:abstractNum>
  <w:abstractNum w:abstractNumId="50">
    <w:nsid w:val="3F6AB60F"/>
    <w:multiLevelType w:val="hybridMultilevel"/>
    <w:lvl w:ilvl="0">
      <w:lvlJc w:val="left"/>
      <w:lvlText w:val="%1."/>
      <w:numFmt w:val="decimal"/>
      <w:start w:val="4"/>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3"/>
    </w:lvl>
  </w:abstractNum>
  <w:abstractNum w:abstractNumId="54">
    <w:nsid w:val="579BE4F1"/>
    <w:multiLevelType w:val="hybridMultilevel"/>
    <w:lvl w:ilvl="0">
      <w:lvlJc w:val="left"/>
      <w:lvlText w:val="(%1)"/>
      <w:numFmt w:val="lowerLetter"/>
      <w:start w:val="7"/>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3"/>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3"/>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2"/>
    </w:lvl>
  </w:abstractNum>
  <w:abstractNum w:abstractNumId="62">
    <w:nsid w:val="1381823A"/>
    <w:multiLevelType w:val="hybridMultilevel"/>
    <w:lvl w:ilvl="0">
      <w:lvlJc w:val="left"/>
      <w:lvlText w:val="%1."/>
      <w:numFmt w:val="decimal"/>
      <w:start w:val="3"/>
    </w:lvl>
  </w:abstractNum>
  <w:abstractNum w:abstractNumId="63">
    <w:nsid w:val="5DB70AE5"/>
    <w:multiLevelType w:val="hybridMultilevel"/>
    <w:lvl w:ilvl="0">
      <w:lvlJc w:val="left"/>
      <w:lvlText w:val="%1."/>
      <w:numFmt w:val="decimal"/>
      <w:start w:val="4"/>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decimal"/>
      <w:start w:val="6"/>
    </w:lvl>
  </w:abstractNum>
  <w:abstractNum w:abstractNumId="66">
    <w:nsid w:val="15014ACB"/>
    <w:multiLevelType w:val="hybridMultilevel"/>
    <w:lvl w:ilvl="0">
      <w:lvlJc w:val="left"/>
      <w:lvlText w:val="%1."/>
      <w:numFmt w:val="decimal"/>
      <w:start w:val="7"/>
    </w:lvl>
  </w:abstractNum>
  <w:abstractNum w:abstractNumId="67">
    <w:nsid w:val="5F5E7FD0"/>
    <w:multiLevelType w:val="hybridMultilevel"/>
    <w:lvl w:ilvl="0">
      <w:lvlJc w:val="left"/>
      <w:lvlText w:val="%1."/>
      <w:numFmt w:val="decimal"/>
      <w:start w:val="8"/>
    </w:lvl>
  </w:abstractNum>
  <w:abstractNum w:abstractNumId="68">
    <w:nsid w:val="98A3148"/>
    <w:multiLevelType w:val="hybridMultilevel"/>
    <w:lvl w:ilvl="0">
      <w:lvlJc w:val="left"/>
      <w:lvlText w:val="%1."/>
      <w:numFmt w:val="decimal"/>
      <w:start w:val="9"/>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2022-04-26T15:54:38Z</dcterms:created>
  <dcterms:modified xsi:type="dcterms:W3CDTF">2022-04-26T15:54:38Z</dcterms:modified>
</cp:coreProperties>
</file>