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214630</wp:posOffset>
            </wp:positionH>
            <wp:positionV relativeFrom="page">
              <wp:posOffset>673735</wp:posOffset>
            </wp:positionV>
            <wp:extent cx="711898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1651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3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Date of Report (Date of earliest event reported): </w:t>
      </w:r>
      <w:r>
        <w:rPr>
          <w:rFonts w:ascii="Times New Roman" w:cs="Times New Roman" w:eastAsia="Times New Roman" w:hAnsi="Times New Roman"/>
          <w:sz w:val="17"/>
          <w:szCs w:val="17"/>
          <w:b w:val="1"/>
          <w:bCs w:val="1"/>
          <w:color w:val="auto"/>
        </w:rPr>
        <w:t>September 19, 2025</w:t>
      </w:r>
    </w:p>
    <w:p>
      <w:pPr>
        <w:spacing w:after="0" w:line="6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RTX CORPORATION</w:t>
      </w:r>
    </w:p>
    <w:p>
      <w:pPr>
        <w:spacing w:after="0" w:line="68"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7020" w:type="dxa"/>
            <w:vAlign w:val="bottom"/>
            <w:gridSpan w:val="3"/>
          </w:tcPr>
          <w:p>
            <w:pPr>
              <w:jc w:val="center"/>
              <w:ind w:left="3016"/>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2800" w:type="dxa"/>
            <w:vAlign w:val="bottom"/>
          </w:tcPr>
          <w:p>
            <w:pPr>
              <w:spacing w:after="0"/>
              <w:rPr>
                <w:sz w:val="20"/>
                <w:szCs w:val="20"/>
                <w:color w:val="auto"/>
              </w:rPr>
            </w:pPr>
          </w:p>
        </w:tc>
      </w:tr>
      <w:tr>
        <w:trPr>
          <w:trHeight w:val="241"/>
        </w:trPr>
        <w:tc>
          <w:tcPr>
            <w:tcW w:w="7020" w:type="dxa"/>
            <w:vAlign w:val="bottom"/>
            <w:gridSpan w:val="3"/>
          </w:tcPr>
          <w:p>
            <w:pPr>
              <w:jc w:val="right"/>
              <w:ind w:right="312"/>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800" w:type="dxa"/>
            <w:vAlign w:val="bottom"/>
          </w:tcPr>
          <w:p>
            <w:pPr>
              <w:spacing w:after="0"/>
              <w:rPr>
                <w:sz w:val="20"/>
                <w:szCs w:val="20"/>
                <w:color w:val="auto"/>
              </w:rPr>
            </w:pPr>
          </w:p>
        </w:tc>
      </w:tr>
      <w:tr>
        <w:trPr>
          <w:trHeight w:val="239"/>
        </w:trPr>
        <w:tc>
          <w:tcPr>
            <w:tcW w:w="4060" w:type="dxa"/>
            <w:vAlign w:val="bottom"/>
          </w:tcPr>
          <w:p>
            <w:pPr>
              <w:jc w:val="center"/>
              <w:ind w:righ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001-00812</w:t>
            </w:r>
          </w:p>
        </w:tc>
        <w:tc>
          <w:tcPr>
            <w:tcW w:w="1020" w:type="dxa"/>
            <w:vAlign w:val="bottom"/>
          </w:tcPr>
          <w:p>
            <w:pPr>
              <w:spacing w:after="0"/>
              <w:rPr>
                <w:sz w:val="20"/>
                <w:szCs w:val="20"/>
                <w:color w:val="auto"/>
              </w:rPr>
            </w:pPr>
          </w:p>
        </w:tc>
        <w:tc>
          <w:tcPr>
            <w:tcW w:w="2800" w:type="dxa"/>
            <w:vAlign w:val="bottom"/>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06-0570975</w:t>
            </w:r>
          </w:p>
        </w:tc>
      </w:tr>
      <w:tr>
        <w:trPr>
          <w:trHeight w:val="185"/>
        </w:trPr>
        <w:tc>
          <w:tcPr>
            <w:tcW w:w="4060" w:type="dxa"/>
            <w:vAlign w:val="bottom"/>
          </w:tcPr>
          <w:p>
            <w:pPr>
              <w:jc w:val="center"/>
              <w:ind w:right="131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(Commission File Number)</w:t>
            </w:r>
          </w:p>
        </w:tc>
        <w:tc>
          <w:tcPr>
            <w:tcW w:w="1020" w:type="dxa"/>
            <w:vAlign w:val="bottom"/>
          </w:tcPr>
          <w:p>
            <w:pPr>
              <w:spacing w:after="0"/>
              <w:rPr>
                <w:sz w:val="16"/>
                <w:szCs w:val="16"/>
                <w:color w:val="auto"/>
              </w:rPr>
            </w:pPr>
          </w:p>
        </w:tc>
        <w:tc>
          <w:tcPr>
            <w:tcW w:w="2800" w:type="dxa"/>
            <w:vAlign w:val="bottom"/>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0"/>
        </w:trPr>
        <w:tc>
          <w:tcPr>
            <w:tcW w:w="406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1000 Wilson Blvd.,</w:t>
            </w:r>
          </w:p>
        </w:tc>
        <w:tc>
          <w:tcPr>
            <w:tcW w:w="19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Virginia</w:t>
            </w:r>
          </w:p>
        </w:tc>
        <w:tc>
          <w:tcPr>
            <w:tcW w:w="2800" w:type="dxa"/>
            <w:vAlign w:val="bottom"/>
          </w:tcPr>
          <w:p>
            <w:pPr>
              <w:jc w:val="right"/>
              <w:ind w:right="2278"/>
              <w:spacing w:after="0"/>
              <w:rPr>
                <w:sz w:val="20"/>
                <w:szCs w:val="20"/>
                <w:color w:val="auto"/>
              </w:rPr>
            </w:pPr>
            <w:r>
              <w:rPr>
                <w:rFonts w:ascii="Times New Roman" w:cs="Times New Roman" w:eastAsia="Times New Roman" w:hAnsi="Times New Roman"/>
                <w:sz w:val="18"/>
                <w:szCs w:val="18"/>
                <w:b w:val="1"/>
                <w:bCs w:val="1"/>
                <w:color w:val="auto"/>
                <w:w w:val="93"/>
              </w:rPr>
              <w:t>22209</w:t>
            </w:r>
          </w:p>
        </w:tc>
      </w:tr>
    </w:tbl>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4" w:lineRule="exact"/>
        <w:rPr>
          <w:sz w:val="24"/>
          <w:szCs w:val="24"/>
          <w:color w:val="auto"/>
        </w:rPr>
      </w:pPr>
    </w:p>
    <w:p>
      <w:pPr>
        <w:ind w:left="5620" w:hanging="699"/>
        <w:spacing w:after="0"/>
        <w:tabs>
          <w:tab w:leader="none" w:pos="56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522-3000</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4" w:lineRule="exact"/>
        <w:rPr>
          <w:sz w:val="24"/>
          <w:szCs w:val="24"/>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2" w:lineRule="exact"/>
        <w:rPr>
          <w:sz w:val="24"/>
          <w:szCs w:val="24"/>
          <w:color w:val="auto"/>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9" w:lineRule="exact"/>
        <w:rPr>
          <w:rFonts w:ascii="MS PGothic" w:cs="MS PGothic" w:eastAsia="MS PGothic" w:hAnsi="MS PGothic"/>
          <w:sz w:val="18"/>
          <w:szCs w:val="18"/>
          <w:color w:val="auto"/>
          <w:highlight w:val="black"/>
        </w:rPr>
      </w:pPr>
    </w:p>
    <w:p>
      <w:pPr>
        <w:ind w:left="440" w:hanging="417"/>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360" w:type="dxa"/>
            <w:vAlign w:val="bottom"/>
            <w:gridSpan w:val="4"/>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8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Common Stock ($1 par value)</w:t>
            </w:r>
          </w:p>
        </w:tc>
        <w:tc>
          <w:tcPr>
            <w:tcW w:w="20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4"/>
              </w:rPr>
              <w:t>RTX</w:t>
            </w:r>
          </w:p>
        </w:tc>
        <w:tc>
          <w:tcPr>
            <w:tcW w:w="600" w:type="dxa"/>
            <w:vAlign w:val="bottom"/>
          </w:tcPr>
          <w:p>
            <w:pPr>
              <w:spacing w:after="0"/>
              <w:rPr>
                <w:sz w:val="20"/>
                <w:szCs w:val="20"/>
                <w:color w:val="auto"/>
              </w:rPr>
            </w:pPr>
          </w:p>
        </w:tc>
        <w:tc>
          <w:tcPr>
            <w:tcW w:w="3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gridSpan w:val="2"/>
          </w:tcPr>
          <w:p>
            <w:pPr>
              <w:jc w:val="center"/>
              <w:ind w:right="1660"/>
              <w:spacing w:after="0"/>
              <w:rPr>
                <w:sz w:val="20"/>
                <w:szCs w:val="20"/>
                <w:color w:val="auto"/>
              </w:rPr>
            </w:pPr>
            <w:r>
              <w:rPr>
                <w:rFonts w:ascii="Times New Roman" w:cs="Times New Roman" w:eastAsia="Times New Roman" w:hAnsi="Times New Roman"/>
                <w:sz w:val="14"/>
                <w:szCs w:val="14"/>
                <w:b w:val="1"/>
                <w:bCs w:val="1"/>
                <w:color w:val="auto"/>
              </w:rPr>
              <w:t>(CUSIP 75513E 101)</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48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2.150% Notes due 2030</w:t>
            </w:r>
          </w:p>
        </w:tc>
        <w:tc>
          <w:tcPr>
            <w:tcW w:w="20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5"/>
              </w:rPr>
              <w:t>RTX 30</w:t>
            </w:r>
          </w:p>
        </w:tc>
        <w:tc>
          <w:tcPr>
            <w:tcW w:w="600" w:type="dxa"/>
            <w:vAlign w:val="bottom"/>
          </w:tcPr>
          <w:p>
            <w:pPr>
              <w:spacing w:after="0"/>
              <w:rPr>
                <w:sz w:val="20"/>
                <w:szCs w:val="20"/>
                <w:color w:val="auto"/>
              </w:rPr>
            </w:pPr>
          </w:p>
        </w:tc>
        <w:tc>
          <w:tcPr>
            <w:tcW w:w="37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New York Stock Exchange</w:t>
            </w:r>
          </w:p>
        </w:tc>
      </w:t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(CUSIP 75513E AB7)</w:t>
            </w: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6"/>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0"/>
        </w:trPr>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1" w:name="page2"/>
    <w:bookmarkEnd w:id="1"/>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0"/>
          <w:szCs w:val="20"/>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0"/>
          <w:szCs w:val="20"/>
          <w:color w:val="auto"/>
        </w:rPr>
      </w:pPr>
    </w:p>
    <w:p>
      <w:pPr>
        <w:ind w:right="40" w:firstLine="395"/>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4" w:lineRule="exact"/>
        <w:rPr>
          <w:sz w:val="20"/>
          <w:szCs w:val="20"/>
          <w:color w:val="auto"/>
        </w:rPr>
      </w:pPr>
    </w:p>
    <w:p>
      <w:pPr>
        <w:ind w:right="260" w:firstLine="434"/>
        <w:spacing w:after="0" w:line="249" w:lineRule="auto"/>
        <w:rPr>
          <w:sz w:val="20"/>
          <w:szCs w:val="20"/>
          <w:color w:val="auto"/>
        </w:rPr>
      </w:pPr>
      <w:r>
        <w:rPr>
          <w:rFonts w:ascii="Times New Roman" w:cs="Times New Roman" w:eastAsia="Times New Roman" w:hAnsi="Times New Roman"/>
          <w:sz w:val="18"/>
          <w:szCs w:val="18"/>
          <w:color w:val="auto"/>
        </w:rPr>
        <w:t>On September 19, 2025, RTX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became aware of a product cybersecurity incident involving ransomware on systems that support its Multi-User System Environment (“</w:t>
      </w:r>
      <w:r>
        <w:rPr>
          <w:rFonts w:ascii="Times New Roman" w:cs="Times New Roman" w:eastAsia="Times New Roman" w:hAnsi="Times New Roman"/>
          <w:sz w:val="18"/>
          <w:szCs w:val="18"/>
          <w:u w:val="single" w:color="auto"/>
          <w:color w:val="auto"/>
        </w:rPr>
        <w:t>MUSE</w:t>
      </w:r>
      <w:r>
        <w:rPr>
          <w:rFonts w:ascii="Times New Roman" w:cs="Times New Roman" w:eastAsia="Times New Roman" w:hAnsi="Times New Roman"/>
          <w:sz w:val="18"/>
          <w:szCs w:val="18"/>
          <w:color w:val="auto"/>
        </w:rPr>
        <w:t>”) passenger processing software. This software enables multiple airlines to share check-in and gate resources at airports, including baggage handling. The MUSE airport systems operate outside of the RTX enterprise network, residing on customer-specific networks.</w:t>
      </w:r>
    </w:p>
    <w:p>
      <w:pPr>
        <w:spacing w:after="0" w:line="1" w:lineRule="exact"/>
        <w:rPr>
          <w:sz w:val="20"/>
          <w:szCs w:val="20"/>
          <w:color w:val="auto"/>
        </w:rPr>
      </w:pPr>
    </w:p>
    <w:p>
      <w:pPr>
        <w:jc w:val="both"/>
        <w:ind w:right="160" w:firstLine="434"/>
        <w:spacing w:after="0" w:line="244" w:lineRule="auto"/>
        <w:rPr>
          <w:sz w:val="20"/>
          <w:szCs w:val="20"/>
          <w:color w:val="auto"/>
        </w:rPr>
      </w:pPr>
      <w:r>
        <w:rPr>
          <w:rFonts w:ascii="Times New Roman" w:cs="Times New Roman" w:eastAsia="Times New Roman" w:hAnsi="Times New Roman"/>
          <w:sz w:val="18"/>
          <w:szCs w:val="18"/>
          <w:color w:val="auto"/>
        </w:rPr>
        <w:t>Upon detecting the incident, the Company activated its incident response plan and promptly took steps to assess, contain, respond to and remediate the incident. The Company is diligently investigating the incident with the assistance of internal and external cybersecurity experts and has notified domestic and international law enforcement authorities and certain other government agencies.</w:t>
      </w:r>
    </w:p>
    <w:p>
      <w:pPr>
        <w:ind w:right="340" w:firstLine="434"/>
        <w:spacing w:after="0" w:line="244" w:lineRule="auto"/>
        <w:rPr>
          <w:sz w:val="20"/>
          <w:szCs w:val="20"/>
          <w:color w:val="auto"/>
        </w:rPr>
      </w:pPr>
      <w:r>
        <w:rPr>
          <w:rFonts w:ascii="Times New Roman" w:cs="Times New Roman" w:eastAsia="Times New Roman" w:hAnsi="Times New Roman"/>
          <w:sz w:val="18"/>
          <w:szCs w:val="18"/>
          <w:color w:val="auto"/>
        </w:rPr>
        <w:t>The Company is also communicating with its customers and other stakeholders and providing technical support and guidance to affected airlines and airports. Our customers have shifted to back-up or manual processes and have experienced certain flight delays and cancellations.</w:t>
      </w:r>
    </w:p>
    <w:p>
      <w:pPr>
        <w:ind w:right="80" w:firstLine="434"/>
        <w:spacing w:after="0" w:line="248" w:lineRule="auto"/>
        <w:rPr>
          <w:sz w:val="20"/>
          <w:szCs w:val="20"/>
          <w:color w:val="auto"/>
        </w:rPr>
      </w:pPr>
      <w:r>
        <w:rPr>
          <w:rFonts w:ascii="Times New Roman" w:cs="Times New Roman" w:eastAsia="Times New Roman" w:hAnsi="Times New Roman"/>
          <w:sz w:val="18"/>
          <w:szCs w:val="18"/>
          <w:color w:val="auto"/>
        </w:rPr>
        <w:t>While our investigation and assessment of this product cybersecurity incident is ongoing, it has not had a material impact and is not reasonably expected to have a material impact, on the Company’s financial condition, business operations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This Current Report on Form 8-K contains statements which, to the extent they are not statements of historical or present fact, constitute “forward-looking statements” under the securities laws. These forward-looking statements are intended to provide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 “commit,” “commitment” and other words of similar meaning. Forward-looking statements may include, among other things, statements relating to future supply management practices, policies and plans for procurement of materials, risk management practices, supply chain infrastructure and efforts to improve supply chain transparency.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Factors that might cause the Company’s actual results to differ materially from those anticipated in forward-looking statements include, but are not limited to the Company’s ongoing assessment of the impacts of the cybersecurity incident, including the Company’s potential discovery of additional information related to the incident in connection with its investigation or otherwise; the Company’s expectations regarding its ability to contain and remediate the cybersecurity incident; the impact of the cybersecurity incident on the Company’s relationships with customers, employees, and governmental regulators; the legal, reputational, and financial risks resulting from the cybersecurity incident, including as may arise from any potential regulatory inquiries and/or litigation to which the Company may become subject in connection with the incident; remediation and other additional costs that may be incurred by the Company in connection with the investigation and remediation of the incident. The forward-looking statements speak only as of the date of this Current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For additional information on identifying factors that may cause actual results to vary materially from those stated in forward-looking statements, see the reports of the Company, United Technologies Corporation and Raytheon Company on Forms S-4, 10-K, 10-Q and 8-K filed with or furnished to the Securities and Exchange Commission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983615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RTX CORPORATION</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75" w:lineRule="exact"/>
        <w:rPr>
          <w:sz w:val="20"/>
          <w:szCs w:val="20"/>
          <w:color w:val="auto"/>
        </w:rPr>
      </w:pPr>
    </w:p>
    <w:p>
      <w:pPr>
        <w:ind w:left="20"/>
        <w:spacing w:after="0"/>
        <w:tabs>
          <w:tab w:leader="none" w:pos="5100" w:val="left"/>
          <w:tab w:leader="none" w:pos="5680" w:val="left"/>
        </w:tabs>
        <w:rPr>
          <w:sz w:val="20"/>
          <w:szCs w:val="20"/>
          <w:color w:val="auto"/>
        </w:rPr>
      </w:pPr>
      <w:r>
        <w:rPr>
          <w:rFonts w:ascii="Times New Roman" w:cs="Times New Roman" w:eastAsia="Times New Roman" w:hAnsi="Times New Roman"/>
          <w:sz w:val="18"/>
          <w:szCs w:val="18"/>
          <w:color w:val="auto"/>
        </w:rPr>
        <w:t>Date: September 24,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RAMSARAN MAHARAJH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13970</wp:posOffset>
            </wp:positionV>
            <wp:extent cx="3576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76320" cy="8255"/>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Ramsaran Maharajh</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Executive Vice President &amp; General Counsel</w:t>
      </w:r>
    </w:p>
    <w:sectPr>
      <w:pgSz w:w="11900" w:h="16838" w:orient="portrait"/>
      <w:cols w:equalWidth="0" w:num="1">
        <w:col w:w="10980"/>
      </w:cols>
      <w:pgMar w:left="320" w:top="110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7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2025-09-24T08:15:46Z</dcterms:created>
  <dcterms:modified xsi:type="dcterms:W3CDTF">2025-09-24T08:15:46Z</dcterms:modified>
</cp:coreProperties>
</file>