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214630</wp:posOffset>
            </wp:positionH>
            <wp:positionV relativeFrom="page">
              <wp:posOffset>673735</wp:posOffset>
            </wp:positionV>
            <wp:extent cx="711898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1651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Date of Report (Date of earliest event reported): </w:t>
      </w:r>
      <w:r>
        <w:rPr>
          <w:rFonts w:ascii="Times New Roman" w:cs="Times New Roman" w:eastAsia="Times New Roman" w:hAnsi="Times New Roman"/>
          <w:sz w:val="17"/>
          <w:szCs w:val="17"/>
          <w:b w:val="1"/>
          <w:bCs w:val="1"/>
          <w:color w:val="auto"/>
        </w:rPr>
        <w:t>November 13, 2025</w:t>
      </w:r>
    </w:p>
    <w:p>
      <w:pPr>
        <w:spacing w:after="0" w:line="6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RTX CORPORATION</w:t>
      </w:r>
    </w:p>
    <w:p>
      <w:pPr>
        <w:spacing w:after="0" w:line="68" w:lineRule="exact"/>
        <w:rPr>
          <w:sz w:val="24"/>
          <w:szCs w:val="24"/>
          <w:color w:val="auto"/>
        </w:rPr>
      </w:pPr>
    </w:p>
    <w:tbl>
      <w:tblPr>
        <w:tblLayout w:type="fixed"/>
        <w:tblInd w:w="560" w:type="dxa"/>
        <w:tblCellMar>
          <w:top w:w="0" w:type="dxa"/>
          <w:left w:w="0" w:type="dxa"/>
          <w:bottom w:w="0" w:type="dxa"/>
          <w:right w:w="0" w:type="dxa"/>
        </w:tblCellMar>
      </w:tblPr>
      <w:tr>
        <w:trPr>
          <w:trHeight w:val="230"/>
        </w:trPr>
        <w:tc>
          <w:tcPr>
            <w:tcW w:w="7020" w:type="dxa"/>
            <w:vAlign w:val="bottom"/>
            <w:gridSpan w:val="3"/>
          </w:tcPr>
          <w:p>
            <w:pPr>
              <w:jc w:val="center"/>
              <w:ind w:left="3016"/>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c>
          <w:tcPr>
            <w:tcW w:w="2800" w:type="dxa"/>
            <w:vAlign w:val="bottom"/>
          </w:tcPr>
          <w:p>
            <w:pPr>
              <w:spacing w:after="0"/>
              <w:rPr>
                <w:sz w:val="20"/>
                <w:szCs w:val="20"/>
                <w:color w:val="auto"/>
              </w:rPr>
            </w:pPr>
          </w:p>
        </w:tc>
      </w:tr>
      <w:tr>
        <w:trPr>
          <w:trHeight w:val="241"/>
        </w:trPr>
        <w:tc>
          <w:tcPr>
            <w:tcW w:w="702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2800" w:type="dxa"/>
            <w:vAlign w:val="bottom"/>
          </w:tcPr>
          <w:p>
            <w:pPr>
              <w:spacing w:after="0"/>
              <w:rPr>
                <w:sz w:val="20"/>
                <w:szCs w:val="20"/>
                <w:color w:val="auto"/>
              </w:rPr>
            </w:pPr>
          </w:p>
        </w:tc>
      </w:tr>
      <w:tr>
        <w:trPr>
          <w:trHeight w:val="239"/>
        </w:trPr>
        <w:tc>
          <w:tcPr>
            <w:tcW w:w="4060" w:type="dxa"/>
            <w:vAlign w:val="bottom"/>
          </w:tcPr>
          <w:p>
            <w:pPr>
              <w:jc w:val="center"/>
              <w:ind w:right="13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001-00812</w:t>
            </w:r>
          </w:p>
        </w:tc>
        <w:tc>
          <w:tcPr>
            <w:tcW w:w="1020" w:type="dxa"/>
            <w:vAlign w:val="bottom"/>
          </w:tcPr>
          <w:p>
            <w:pPr>
              <w:spacing w:after="0"/>
              <w:rPr>
                <w:sz w:val="20"/>
                <w:szCs w:val="20"/>
                <w:color w:val="auto"/>
              </w:rPr>
            </w:pPr>
          </w:p>
        </w:tc>
        <w:tc>
          <w:tcPr>
            <w:tcW w:w="2800" w:type="dxa"/>
            <w:vAlign w:val="bottom"/>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185"/>
        </w:trPr>
        <w:tc>
          <w:tcPr>
            <w:tcW w:w="4060" w:type="dxa"/>
            <w:vAlign w:val="bottom"/>
          </w:tcPr>
          <w:p>
            <w:pPr>
              <w:jc w:val="center"/>
              <w:ind w:right="1316"/>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(Commission File Number)</w:t>
            </w:r>
          </w:p>
        </w:tc>
        <w:tc>
          <w:tcPr>
            <w:tcW w:w="1020" w:type="dxa"/>
            <w:vAlign w:val="bottom"/>
          </w:tcPr>
          <w:p>
            <w:pPr>
              <w:spacing w:after="0"/>
              <w:rPr>
                <w:sz w:val="16"/>
                <w:szCs w:val="16"/>
                <w:color w:val="auto"/>
              </w:rPr>
            </w:pPr>
          </w:p>
        </w:tc>
        <w:tc>
          <w:tcPr>
            <w:tcW w:w="2800" w:type="dxa"/>
            <w:vAlign w:val="bottom"/>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10"/>
        </w:trPr>
        <w:tc>
          <w:tcPr>
            <w:tcW w:w="406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1000 Wilson Blvd.,</w:t>
            </w:r>
          </w:p>
        </w:tc>
        <w:tc>
          <w:tcPr>
            <w:tcW w:w="19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800" w:type="dxa"/>
            <w:vAlign w:val="bottom"/>
          </w:tcPr>
          <w:p>
            <w:pPr>
              <w:jc w:val="right"/>
              <w:ind w:right="2278"/>
              <w:spacing w:after="0"/>
              <w:rPr>
                <w:sz w:val="20"/>
                <w:szCs w:val="20"/>
                <w:color w:val="auto"/>
              </w:rPr>
            </w:pPr>
            <w:r>
              <w:rPr>
                <w:rFonts w:ascii="Times New Roman" w:cs="Times New Roman" w:eastAsia="Times New Roman" w:hAnsi="Times New Roman"/>
                <w:sz w:val="18"/>
                <w:szCs w:val="18"/>
                <w:b w:val="1"/>
                <w:bCs w:val="1"/>
                <w:color w:val="auto"/>
                <w:w w:val="93"/>
              </w:rPr>
              <w:t>22209</w:t>
            </w:r>
          </w:p>
        </w:tc>
      </w:tr>
    </w:tbl>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4" w:lineRule="exact"/>
        <w:rPr>
          <w:sz w:val="24"/>
          <w:szCs w:val="24"/>
          <w:color w:val="auto"/>
        </w:rPr>
      </w:pPr>
    </w:p>
    <w:p>
      <w:pPr>
        <w:ind w:left="5620" w:hanging="699"/>
        <w:spacing w:after="0"/>
        <w:tabs>
          <w:tab w:leader="none" w:pos="56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522-3000</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74" w:lineRule="exact"/>
        <w:rPr>
          <w:sz w:val="24"/>
          <w:szCs w:val="24"/>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22" w:lineRule="exact"/>
        <w:rPr>
          <w:sz w:val="24"/>
          <w:szCs w:val="24"/>
          <w:color w:val="auto"/>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9" w:lineRule="exact"/>
        <w:rPr>
          <w:rFonts w:ascii="MS PGothic" w:cs="MS PGothic" w:eastAsia="MS PGothic" w:hAnsi="MS PGothic"/>
          <w:sz w:val="18"/>
          <w:szCs w:val="18"/>
          <w:color w:val="auto"/>
          <w:highlight w:val="black"/>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9" w:lineRule="exact"/>
        <w:rPr>
          <w:rFonts w:ascii="MS PGothic" w:cs="MS PGothic" w:eastAsia="MS PGothic" w:hAnsi="MS PGothic"/>
          <w:sz w:val="18"/>
          <w:szCs w:val="18"/>
          <w:color w:val="auto"/>
          <w:highlight w:val="black"/>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9" w:lineRule="exact"/>
        <w:rPr>
          <w:rFonts w:ascii="MS PGothic" w:cs="MS PGothic" w:eastAsia="MS PGothic" w:hAnsi="MS PGothic"/>
          <w:sz w:val="18"/>
          <w:szCs w:val="18"/>
          <w:color w:val="auto"/>
          <w:highlight w:val="black"/>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98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360" w:type="dxa"/>
            <w:vAlign w:val="bottom"/>
            <w:gridSpan w:val="4"/>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486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7"/>
              </w:rPr>
              <w:t>Common Stock ($1 par value)</w:t>
            </w: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600" w:type="dxa"/>
            <w:vAlign w:val="bottom"/>
          </w:tcPr>
          <w:p>
            <w:pPr>
              <w:spacing w:after="0"/>
              <w:rPr>
                <w:sz w:val="20"/>
                <w:szCs w:val="20"/>
                <w:color w:val="auto"/>
              </w:rPr>
            </w:pPr>
          </w:p>
        </w:tc>
        <w:tc>
          <w:tcPr>
            <w:tcW w:w="37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8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20" w:type="dxa"/>
            <w:vAlign w:val="bottom"/>
          </w:tcPr>
          <w:p>
            <w:pPr>
              <w:spacing w:after="0"/>
              <w:rPr>
                <w:sz w:val="20"/>
                <w:szCs w:val="20"/>
                <w:color w:val="auto"/>
              </w:rPr>
            </w:pPr>
          </w:p>
        </w:tc>
        <w:tc>
          <w:tcPr>
            <w:tcW w:w="48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2.150% Notes due 2030</w:t>
            </w: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5"/>
              </w:rPr>
              <w:t>RTX 30</w:t>
            </w:r>
          </w:p>
        </w:tc>
        <w:tc>
          <w:tcPr>
            <w:tcW w:w="600" w:type="dxa"/>
            <w:vAlign w:val="bottom"/>
          </w:tcPr>
          <w:p>
            <w:pPr>
              <w:spacing w:after="0"/>
              <w:rPr>
                <w:sz w:val="20"/>
                <w:szCs w:val="20"/>
                <w:color w:val="auto"/>
              </w:rPr>
            </w:pPr>
          </w:p>
        </w:tc>
        <w:tc>
          <w:tcPr>
            <w:tcW w:w="37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6"/>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0"/>
        </w:trPr>
        <w:tc>
          <w:tcPr>
            <w:tcW w:w="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1" w:name="page2"/>
    <w:bookmarkEnd w:id="1"/>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0"/>
          <w:szCs w:val="20"/>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7" w:lineRule="exact"/>
        <w:rPr>
          <w:sz w:val="20"/>
          <w:szCs w:val="20"/>
          <w:color w:val="auto"/>
        </w:rPr>
      </w:pPr>
    </w:p>
    <w:p>
      <w:pPr>
        <w:ind w:right="20"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4" w:lineRule="exact"/>
        <w:rPr>
          <w:sz w:val="20"/>
          <w:szCs w:val="20"/>
          <w:color w:val="auto"/>
        </w:rPr>
      </w:pPr>
    </w:p>
    <w:p>
      <w:pPr>
        <w:ind w:right="500" w:firstLine="434"/>
        <w:spacing w:after="0" w:line="256" w:lineRule="auto"/>
        <w:rPr>
          <w:sz w:val="20"/>
          <w:szCs w:val="20"/>
          <w:color w:val="auto"/>
        </w:rPr>
      </w:pPr>
      <w:r>
        <w:rPr>
          <w:rFonts w:ascii="Times New Roman" w:cs="Times New Roman" w:eastAsia="Times New Roman" w:hAnsi="Times New Roman"/>
          <w:sz w:val="18"/>
          <w:szCs w:val="18"/>
          <w:color w:val="auto"/>
        </w:rPr>
        <w:t>On November 7, 2025, RTX Corporation (the “Company”) initiated a buy-out conversion of a group annuity contract purchased by the RTX Consolidated Pension Plan (the “Plan”) from The Prudential Insurance Company of America (“Prudential”). The transaction will result in the transfer of approximately $2.5 billion of gross pension obligations from the Plan to Prudential.</w:t>
      </w:r>
    </w:p>
    <w:p>
      <w:pPr>
        <w:spacing w:after="0" w:line="75" w:lineRule="exact"/>
        <w:rPr>
          <w:sz w:val="20"/>
          <w:szCs w:val="20"/>
          <w:color w:val="auto"/>
        </w:rPr>
      </w:pPr>
    </w:p>
    <w:p>
      <w:pPr>
        <w:ind w:right="100" w:firstLine="434"/>
        <w:spacing w:after="0" w:line="293" w:lineRule="auto"/>
        <w:rPr>
          <w:sz w:val="20"/>
          <w:szCs w:val="20"/>
          <w:color w:val="auto"/>
        </w:rPr>
      </w:pPr>
      <w:r>
        <w:rPr>
          <w:rFonts w:ascii="Times New Roman" w:cs="Times New Roman" w:eastAsia="Times New Roman" w:hAnsi="Times New Roman"/>
          <w:sz w:val="16"/>
          <w:szCs w:val="16"/>
          <w:color w:val="auto"/>
        </w:rPr>
        <w:t>Assets from the Plan’s trust were previously used to purchase a group annuity contract with a buy-out conversion option with no additional funding contribution required by RTX. Upon completion of the buy-out, Prudential will assume the obligation and administrative responsibility for retirement benefits owed to approximately 60,000 Plan retirees and beneficiaries (the “Transferred Participants”) which represents approximately one-third of retirees and beneficiaries in the Plan. There will be no change to the amount of benefits payable to the Transferred Participants as a result of the transaction.</w:t>
      </w:r>
    </w:p>
    <w:p>
      <w:pPr>
        <w:spacing w:after="0" w:line="49"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transaction will not diminish the Plan’s funded status. In connection with the transaction, the Company expects to recognize a one-time, non-cash pretax pension settlement charge of approximately $300 million in the fourth quarter of 2025. The actual impact will depend on finalization of the actuarial and other assumptions. The transaction is subject to customary closing conditions and is expected to close by December 30,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This Current Report on Form 8-K contains statements which, to the extent they are not statements of historical or present fact, constitute “forward-looking statements” under the securities laws.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“anticipate,” “will,” “should,” “see,” “guidance,” “outlook,” “goals,” “objectives,” “confident,” “on track,” “designed to, ” “commit,” “commitment” and other words of similar meaning.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Factors that might cause the Company’s actual results to differ materially from those anticipated in forward-looking statements include, but are not limited to, the successful closing of the transaction within the estimated timeframe, the financial</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impact of the annuity contract, including without limitation, the funding status of the Plan, the settlement charge and future Plan contributions. The forward-looking statements speak only as of the date of this Current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For additional information on identifying factors that may cause actual results to differ materially from those stated in forward-looking statements, see the reports of the Company filed with or furnished to the Securities and Exchange Commission from time to time, including our most recent Annual Report on Form 10-K, Quarterly Reports on Form 10-Q and Current Reports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975995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75" w:lineRule="exact"/>
        <w:rPr>
          <w:sz w:val="20"/>
          <w:szCs w:val="20"/>
          <w:color w:val="auto"/>
        </w:rPr>
      </w:pPr>
    </w:p>
    <w:p>
      <w:pPr>
        <w:ind w:left="20"/>
        <w:spacing w:after="0"/>
        <w:tabs>
          <w:tab w:leader="none" w:pos="5100" w:val="left"/>
          <w:tab w:leader="none" w:pos="568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13970</wp:posOffset>
            </wp:positionV>
            <wp:extent cx="3576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76320" cy="8255"/>
                    </a:xfrm>
                    <a:prstGeom prst="rect">
                      <a:avLst/>
                    </a:prstGeom>
                    <a:noFill/>
                  </pic:spPr>
                </pic:pic>
              </a:graphicData>
            </a:graphic>
          </wp:anchor>
        </w:drawing>
      </w:r>
    </w:p>
    <w:p>
      <w:pPr>
        <w:spacing w:after="0" w:line="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Neil G. Mitchill Jr.</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sectPr>
      <w:pgSz w:w="11900" w:h="16838" w:orient="portrait"/>
      <w:cols w:equalWidth="0" w:num="1">
        <w:col w:w="10980"/>
      </w:cols>
      <w:pgMar w:left="320" w:top="110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2025-11-13T06:47:07Z</dcterms:created>
  <dcterms:modified xsi:type="dcterms:W3CDTF">2025-11-13T06:47:07Z</dcterms:modified>
</cp:coreProperties>
</file>