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tbl>
      <w:tblPr>
        <w:tblLayout w:type="fixed"/>
        <w:tblInd w:w="236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Plaza, Hartford, Connecticut 06103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ind w:left="460" w:right="164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March 31, 2011 there were 915,261,938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March 31, 2011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1040" w:type="dxa"/>
            <w:vAlign w:val="bottom"/>
            <w:gridSpan w:val="20"/>
          </w:tcPr>
          <w:p>
            <w:pPr>
              <w:spacing w:after="0"/>
              <w:rPr>
                <w:sz w:val="20"/>
                <w:szCs w:val="20"/>
                <w:color w:val="auto"/>
              </w:rPr>
            </w:pPr>
            <w:r>
              <w:rPr>
                <w:rFonts w:ascii="Arial" w:cs="Arial" w:eastAsia="Arial" w:hAnsi="Arial"/>
                <w:sz w:val="18"/>
                <w:szCs w:val="18"/>
                <w:color w:val="auto"/>
              </w:rPr>
              <w:t>PART I – FINANCIAL INFORMATION</w:t>
            </w:r>
          </w:p>
        </w:tc>
        <w:tc>
          <w:tcPr>
            <w:tcW w:w="28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2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 of Operations for the quarters ended March 31, 2011 and 2010</w:t>
              </w:r>
            </w:hyperlink>
          </w:p>
        </w:tc>
        <w:tc>
          <w:tcPr>
            <w:tcW w:w="32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 at March 31, 2011 and December 31, 2010</w:t>
              </w:r>
            </w:hyperlink>
          </w:p>
        </w:tc>
        <w:tc>
          <w:tcPr>
            <w:tcW w:w="43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32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 of Cash Flows for the three months ended March 31, 2011 and 2010</w:t>
              </w:r>
            </w:hyperlink>
          </w:p>
        </w:tc>
        <w:tc>
          <w:tcPr>
            <w:tcW w:w="2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6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7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10080" w:type="dxa"/>
            <w:vAlign w:val="bottom"/>
            <w:gridSpan w:val="16"/>
          </w:tcPr>
          <w:p>
            <w:pPr>
              <w:ind w:left="20"/>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46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58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3"/>
        </w:trPr>
        <w:tc>
          <w:tcPr>
            <w:tcW w:w="11040" w:type="dxa"/>
            <w:vAlign w:val="bottom"/>
            <w:gridSpan w:val="20"/>
          </w:tcPr>
          <w:p>
            <w:pPr>
              <w:spacing w:after="0"/>
              <w:rPr>
                <w:sz w:val="20"/>
                <w:szCs w:val="20"/>
                <w:color w:val="auto"/>
              </w:rPr>
            </w:pPr>
            <w:r>
              <w:rPr>
                <w:rFonts w:ascii="Arial" w:cs="Arial" w:eastAsia="Arial" w:hAnsi="Arial"/>
                <w:sz w:val="18"/>
                <w:szCs w:val="18"/>
                <w:color w:val="auto"/>
              </w:rPr>
              <w:t>PART II – OTHER INFORMATION</w:t>
            </w:r>
          </w:p>
        </w:tc>
        <w:tc>
          <w:tcPr>
            <w:tcW w:w="28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1.</w:t>
              </w:r>
            </w:hyperlink>
          </w:p>
        </w:tc>
        <w:tc>
          <w:tcPr>
            <w:tcW w:w="10080" w:type="dxa"/>
            <w:vAlign w:val="bottom"/>
            <w:gridSpan w:val="16"/>
          </w:tcPr>
          <w:p>
            <w:pPr>
              <w:ind w:left="20"/>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1A. Risk Factors</w:t>
              </w:r>
            </w:hyperlink>
          </w:p>
        </w:tc>
        <w:tc>
          <w:tcPr>
            <w:tcW w:w="280" w:type="dxa"/>
            <w:vAlign w:val="bottom"/>
            <w:tcBorders>
              <w:top w:val="single" w:sz="8" w:color="0000EE"/>
            </w:tcBorders>
          </w:tcPr>
          <w:p>
            <w:pPr>
              <w:spacing w:after="0"/>
              <w:rPr>
                <w:sz w:val="24"/>
                <w:szCs w:val="24"/>
                <w:color w:val="auto"/>
              </w:rPr>
            </w:pPr>
          </w:p>
        </w:tc>
        <w:tc>
          <w:tcPr>
            <w:tcW w:w="87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2.</w:t>
              </w:r>
            </w:hyperlink>
          </w:p>
        </w:tc>
        <w:tc>
          <w:tcPr>
            <w:tcW w:w="10080" w:type="dxa"/>
            <w:vAlign w:val="bottom"/>
            <w:gridSpan w:val="16"/>
          </w:tcPr>
          <w:p>
            <w:pPr>
              <w:ind w:left="20"/>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440" w:type="dxa"/>
            <w:vAlign w:val="bottom"/>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6.</w:t>
              </w:r>
            </w:hyperlink>
          </w:p>
        </w:tc>
        <w:tc>
          <w:tcPr>
            <w:tcW w:w="4260" w:type="dxa"/>
            <w:vAlign w:val="bottom"/>
            <w:tcBorders>
              <w:top w:val="single" w:sz="8" w:color="0000EE"/>
            </w:tcBorders>
            <w:gridSpan w:val="10"/>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58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44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8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10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74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EXHIBIT INDEX</w:t>
              </w:r>
            </w:hyperlink>
          </w:p>
        </w:tc>
        <w:tc>
          <w:tcPr>
            <w:tcW w:w="974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8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or “UTC,” unless the context otherwise requires, mean United Technologies Corporation and its subsidiaries.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UNITED TECHNOLOGIES CORPORATION</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80" w:type="dxa"/>
            <w:vAlign w:val="bottom"/>
          </w:tcPr>
          <w:p>
            <w:pPr>
              <w:jc w:val="center"/>
              <w:ind w:right="812"/>
              <w:spacing w:after="0"/>
              <w:rPr>
                <w:sz w:val="20"/>
                <w:szCs w:val="20"/>
                <w:color w:val="auto"/>
              </w:rPr>
            </w:pPr>
            <w:r>
              <w:rPr>
                <w:rFonts w:ascii="Arial" w:cs="Arial" w:eastAsia="Arial" w:hAnsi="Arial"/>
                <w:sz w:val="18"/>
                <w:szCs w:val="18"/>
                <w:b w:val="1"/>
                <w:bCs w:val="1"/>
                <w:color w:val="auto"/>
                <w:w w:val="96"/>
              </w:rPr>
              <w:t>AND SUBSIDIARIES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6"/>
              </w:rPr>
              <w:t>CONDENSED CONSOLIDATED STATEMENT OF OPERATIONS</w:t>
            </w: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80" w:type="dxa"/>
            <w:vAlign w:val="bottom"/>
          </w:tcPr>
          <w:p>
            <w:pPr>
              <w:jc w:val="center"/>
              <w:ind w:right="812"/>
              <w:spacing w:after="0"/>
              <w:rPr>
                <w:sz w:val="20"/>
                <w:szCs w:val="20"/>
                <w:color w:val="auto"/>
              </w:rPr>
            </w:pPr>
            <w:r>
              <w:rPr>
                <w:rFonts w:ascii="Arial" w:cs="Arial" w:eastAsia="Arial" w:hAnsi="Arial"/>
                <w:sz w:val="18"/>
                <w:szCs w:val="18"/>
                <w:b w:val="1"/>
                <w:bCs w:val="1"/>
                <w:color w:val="auto"/>
                <w:w w:val="89"/>
              </w:rPr>
              <w:t>(Unaudited)</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8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1"/>
              </w:rPr>
              <w:t>Quarter Ended March 31,</w:t>
            </w:r>
          </w:p>
        </w:tc>
        <w:tc>
          <w:tcPr>
            <w:tcW w:w="0" w:type="dxa"/>
            <w:vAlign w:val="bottom"/>
          </w:tcPr>
          <w:p>
            <w:pPr>
              <w:spacing w:after="0"/>
              <w:rPr>
                <w:sz w:val="1"/>
                <w:szCs w:val="1"/>
                <w:color w:val="auto"/>
              </w:rPr>
            </w:pPr>
          </w:p>
        </w:tc>
      </w:tr>
      <w:tr>
        <w:trPr>
          <w:trHeight w:val="142"/>
        </w:trPr>
        <w:tc>
          <w:tcPr>
            <w:tcW w:w="8300" w:type="dxa"/>
            <w:vAlign w:val="bottom"/>
            <w:gridSpan w:val="5"/>
            <w:vMerge w:val="continue"/>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Product sales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9,345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13,344</w:t>
            </w:r>
          </w:p>
        </w:tc>
        <w:tc>
          <w:tcPr>
            <w:tcW w:w="16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Costs, Expenses and Other:</w:t>
            </w:r>
          </w:p>
        </w:tc>
        <w:tc>
          <w:tcPr>
            <w:tcW w:w="1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Cost of products sold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6,952</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Cost of services sold</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2,689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Other income, net</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1,630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Income tax expense</w:t>
            </w: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
        </w:trPr>
        <w:tc>
          <w:tcPr>
            <w:tcW w:w="8300" w:type="dxa"/>
            <w:vAlign w:val="bottom"/>
            <w:gridSpan w:val="5"/>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gridSpan w:val="5"/>
            <w:vMerge w:val="continue"/>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6"/>
              </w:rPr>
              <w:t>Diluted</w:t>
            </w:r>
          </w:p>
        </w:tc>
        <w:tc>
          <w:tcPr>
            <w:tcW w:w="2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spacing w:after="0"/>
              <w:rPr>
                <w:sz w:val="20"/>
                <w:szCs w:val="20"/>
                <w:color w:val="auto"/>
              </w:rPr>
            </w:pPr>
            <w:r>
              <w:rPr>
                <w:rFonts w:ascii="Arial" w:cs="Arial" w:eastAsia="Arial" w:hAnsi="Arial"/>
                <w:sz w:val="18"/>
                <w:szCs w:val="18"/>
                <w:color w:val="auto"/>
              </w:rPr>
              <w:t>Weighted average number of shares outstanding:</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Basic shares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898.7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Diluted shares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914.9</w:t>
            </w: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7400" w:type="dxa"/>
            <w:vAlign w:val="bottom"/>
            <w:gridSpan w:val="7"/>
          </w:tcPr>
          <w:p>
            <w:pPr>
              <w:spacing w:after="0"/>
              <w:rPr>
                <w:sz w:val="20"/>
                <w:szCs w:val="20"/>
                <w:color w:val="auto"/>
              </w:rPr>
            </w:pPr>
            <w:r>
              <w:rPr>
                <w:rFonts w:ascii="Arial" w:cs="Arial" w:eastAsia="Arial" w:hAnsi="Arial"/>
                <w:sz w:val="14"/>
                <w:szCs w:val="14"/>
                <w:b w:val="1"/>
                <w:bCs w:val="1"/>
                <w:color w:val="auto"/>
              </w:rPr>
              <w:t>(Dollars in millions)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25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w w:val="81"/>
              </w:rPr>
              <w:t>Assets</w:t>
            </w:r>
          </w:p>
        </w:tc>
        <w:tc>
          <w:tcPr>
            <w:tcW w:w="2600" w:type="dxa"/>
            <w:vAlign w:val="bottom"/>
            <w:tcBorders>
              <w:bottom w:val="single" w:sz="8" w:color="CCEEFF"/>
            </w:tcBorders>
            <w:gridSpan w:val="2"/>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4,440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9,260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Inventories and contracts in progress,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8,827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 current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Other assets, current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900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25,005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23,510</w:t>
            </w:r>
          </w:p>
        </w:tc>
        <w:tc>
          <w:tcPr>
            <w:tcW w:w="0" w:type="dxa"/>
            <w:vAlign w:val="bottom"/>
          </w:tcPr>
          <w:p>
            <w:pPr>
              <w:spacing w:after="0"/>
              <w:rPr>
                <w:sz w:val="1"/>
                <w:szCs w:val="1"/>
                <w:color w:val="auto"/>
              </w:rPr>
            </w:pPr>
          </w:p>
        </w:tc>
      </w:tr>
      <w:tr>
        <w:trPr>
          <w:trHeight w:val="20"/>
        </w:trPr>
        <w:tc>
          <w:tcPr>
            <w:tcW w:w="7400" w:type="dxa"/>
            <w:vAlign w:val="bottom"/>
            <w:gridSpan w:val="7"/>
            <w:vMerge w:val="restart"/>
          </w:tcPr>
          <w:p>
            <w:pPr>
              <w:spacing w:after="0"/>
              <w:rPr>
                <w:sz w:val="20"/>
                <w:szCs w:val="20"/>
                <w:color w:val="auto"/>
              </w:rPr>
            </w:pPr>
            <w:r>
              <w:rPr>
                <w:rFonts w:ascii="Arial" w:cs="Arial" w:eastAsia="Arial" w:hAnsi="Arial"/>
                <w:sz w:val="18"/>
                <w:szCs w:val="18"/>
                <w:color w:val="auto"/>
              </w:rPr>
              <w:t>Customer financing assets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0" w:type="dxa"/>
            <w:vAlign w:val="bottom"/>
            <w:gridSpan w:val="7"/>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1,085</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1,861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Fixed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16,306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Less: Accumulated depreciation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6"/>
            <w:vMerge w:val="restart"/>
          </w:tcPr>
          <w:p>
            <w:pPr>
              <w:ind w:left="860"/>
              <w:spacing w:after="0"/>
              <w:rPr>
                <w:sz w:val="20"/>
                <w:szCs w:val="20"/>
                <w:color w:val="auto"/>
              </w:rPr>
            </w:pPr>
            <w:r>
              <w:rPr>
                <w:rFonts w:ascii="Arial" w:cs="Arial" w:eastAsia="Arial" w:hAnsi="Arial"/>
                <w:sz w:val="18"/>
                <w:szCs w:val="18"/>
                <w:color w:val="auto"/>
              </w:rPr>
              <w:t>Fixed assets, net</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6"/>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6,382</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18,193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Intangible assets,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4,177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3,961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6"/>
            <w:vMerge w:val="restart"/>
          </w:tcPr>
          <w:p>
            <w:pPr>
              <w:ind w:left="420"/>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6"/>
            <w:vMerge w:val="continue"/>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60,664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5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w w:val="91"/>
              </w:rPr>
              <w:t>Liabilities and Equity</w:t>
            </w:r>
          </w:p>
        </w:tc>
        <w:tc>
          <w:tcPr>
            <w:tcW w:w="202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Short-term borrowings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Accrued liabilities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12,780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6"/>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6"/>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18,916</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17,732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9,986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3,583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4,734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6"/>
            <w:vMerge w:val="restart"/>
          </w:tcPr>
          <w:p>
            <w:pPr>
              <w:ind w:left="860"/>
              <w:spacing w:after="0"/>
              <w:rPr>
                <w:sz w:val="20"/>
                <w:szCs w:val="20"/>
                <w:color w:val="auto"/>
              </w:rPr>
            </w:pPr>
            <w:r>
              <w:rPr>
                <w:rFonts w:ascii="Arial" w:cs="Arial" w:eastAsia="Arial" w:hAnsi="Arial"/>
                <w:sz w:val="18"/>
                <w:szCs w:val="18"/>
                <w:color w:val="auto"/>
              </w:rPr>
              <w:t>Total Liabilities</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6"/>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37,219</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35,844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spacing w:after="0"/>
              <w:rPr>
                <w:sz w:val="20"/>
                <w:szCs w:val="20"/>
                <w:color w:val="auto"/>
              </w:rPr>
            </w:pPr>
            <w:r>
              <w:rPr>
                <w:rFonts w:ascii="Arial" w:cs="Arial" w:eastAsia="Arial" w:hAnsi="Arial"/>
                <w:sz w:val="18"/>
                <w:szCs w:val="18"/>
                <w:color w:val="auto"/>
              </w:rPr>
              <w:t>Shareowners’ Equity:</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Common Stock</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12,789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ind w:left="860"/>
              <w:spacing w:after="0"/>
              <w:rPr>
                <w:sz w:val="20"/>
                <w:szCs w:val="20"/>
                <w:color w:val="auto"/>
              </w:rPr>
            </w:pPr>
            <w:r>
              <w:rPr>
                <w:rFonts w:ascii="Arial" w:cs="Arial" w:eastAsia="Arial" w:hAnsi="Arial"/>
                <w:sz w:val="18"/>
                <w:szCs w:val="18"/>
                <w:color w:val="auto"/>
              </w:rPr>
              <w:t>Treasury Stock</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(18,212)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30,812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tcPr>
          <w:p>
            <w:pPr>
              <w:ind w:left="860"/>
              <w:spacing w:after="0"/>
              <w:rPr>
                <w:sz w:val="20"/>
                <w:szCs w:val="20"/>
                <w:color w:val="auto"/>
              </w:rPr>
            </w:pPr>
            <w:r>
              <w:rPr>
                <w:rFonts w:ascii="Arial" w:cs="Arial" w:eastAsia="Arial" w:hAnsi="Arial"/>
                <w:sz w:val="18"/>
                <w:szCs w:val="18"/>
                <w:color w:val="auto"/>
              </w:rPr>
              <w:t>Unearned ESOP shares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Accumulated other comprehensive loss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180" w:type="dxa"/>
            <w:vAlign w:val="bottom"/>
            <w:gridSpan w:val="5"/>
            <w:vMerge w:val="restart"/>
          </w:tcPr>
          <w:p>
            <w:pPr>
              <w:ind w:left="80"/>
              <w:spacing w:after="0"/>
              <w:rPr>
                <w:sz w:val="20"/>
                <w:szCs w:val="20"/>
                <w:color w:val="auto"/>
              </w:rPr>
            </w:pPr>
            <w:r>
              <w:rPr>
                <w:rFonts w:ascii="Arial" w:cs="Arial" w:eastAsia="Arial" w:hAnsi="Arial"/>
                <w:sz w:val="18"/>
                <w:szCs w:val="18"/>
                <w:color w:val="auto"/>
              </w:rPr>
              <w:t>Total Shareowners’ Equity</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180" w:type="dxa"/>
            <w:vAlign w:val="bottom"/>
            <w:gridSpan w:val="5"/>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22,126</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21,385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gridSpan w:val="6"/>
            <w:vMerge w:val="restart"/>
          </w:tcPr>
          <w:p>
            <w:pPr>
              <w:ind w:left="860"/>
              <w:spacing w:after="0"/>
              <w:rPr>
                <w:sz w:val="20"/>
                <w:szCs w:val="20"/>
                <w:color w:val="auto"/>
              </w:rPr>
            </w:pPr>
            <w:r>
              <w:rPr>
                <w:rFonts w:ascii="Arial" w:cs="Arial" w:eastAsia="Arial" w:hAnsi="Arial"/>
                <w:sz w:val="18"/>
                <w:szCs w:val="18"/>
                <w:color w:val="auto"/>
              </w:rPr>
              <w:t>Total Equity</w:t>
            </w: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6"/>
            <w:vMerge w:val="continue"/>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23,126</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22,332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60,664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Three Months Ended March 31,</w:t>
            </w:r>
          </w:p>
        </w:tc>
        <w:tc>
          <w:tcPr>
            <w:tcW w:w="0" w:type="dxa"/>
            <w:vAlign w:val="bottom"/>
          </w:tcPr>
          <w:p>
            <w:pPr>
              <w:spacing w:after="0"/>
              <w:rPr>
                <w:sz w:val="1"/>
                <w:szCs w:val="1"/>
                <w:color w:val="auto"/>
              </w:rPr>
            </w:pPr>
          </w:p>
        </w:tc>
      </w:tr>
      <w:tr>
        <w:trPr>
          <w:trHeight w:val="142"/>
        </w:trPr>
        <w:tc>
          <w:tcPr>
            <w:tcW w:w="784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1,012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 in subsidiaries’ earnings</w:t>
            </w:r>
          </w:p>
        </w:tc>
        <w:tc>
          <w:tcPr>
            <w:tcW w:w="1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1,101</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 provision</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Arial" w:cs="Arial" w:eastAsia="Arial" w:hAnsi="Arial"/>
                <w:sz w:val="18"/>
                <w:szCs w:val="18"/>
                <w:color w:val="auto"/>
              </w:rPr>
              <w:t>Stock compensation cost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and contracts in progress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20" w:type="dxa"/>
            <w:vAlign w:val="bottom"/>
          </w:tcPr>
          <w:p>
            <w:pPr>
              <w:ind w:left="80"/>
              <w:spacing w:after="0"/>
              <w:rPr>
                <w:sz w:val="20"/>
                <w:szCs w:val="20"/>
                <w:color w:val="auto"/>
              </w:rPr>
            </w:pPr>
            <w:r>
              <w:rPr>
                <w:rFonts w:ascii="Arial" w:cs="Arial" w:eastAsia="Arial" w:hAnsi="Arial"/>
                <w:sz w:val="18"/>
                <w:szCs w:val="18"/>
                <w:color w:val="auto"/>
              </w:rPr>
              <w:t>Other current assets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Global pension contributions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operating activities, net</w:t>
            </w:r>
          </w:p>
        </w:tc>
        <w:tc>
          <w:tcPr>
            <w:tcW w:w="1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20" w:type="dxa"/>
            <w:vAlign w:val="bottom"/>
          </w:tcPr>
          <w:p>
            <w:pPr>
              <w:ind w:left="80"/>
              <w:spacing w:after="0"/>
              <w:rPr>
                <w:sz w:val="20"/>
                <w:szCs w:val="20"/>
                <w:color w:val="auto"/>
              </w:rPr>
            </w:pPr>
            <w:r>
              <w:rPr>
                <w:rFonts w:ascii="Arial" w:cs="Arial" w:eastAsia="Arial" w:hAnsi="Arial"/>
                <w:sz w:val="18"/>
                <w:szCs w:val="18"/>
                <w:color w:val="auto"/>
              </w:rPr>
              <w:t>Net cash flows provided by operating activities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1,361</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businesses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Dispositions of businesses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(increase) in customer financing assets, net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Other investing activities, net</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used in investing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330"/>
        </w:trPr>
        <w:tc>
          <w:tcPr>
            <w:tcW w:w="784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1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issuance of long-term debt, net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Increase (decrease) in short-term borrowings,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Other financing activities,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(used in) provided by financing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0"/>
        </w:trPr>
        <w:tc>
          <w:tcPr>
            <w:tcW w:w="78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840" w:type="dxa"/>
            <w:vAlign w:val="bottom"/>
            <w:gridSpan w:val="3"/>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increase in cash and cash equivalents</w:t>
            </w:r>
          </w:p>
        </w:tc>
        <w:tc>
          <w:tcPr>
            <w:tcW w:w="1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840" w:type="dxa"/>
            <w:vAlign w:val="bottom"/>
            <w:gridSpan w:val="3"/>
          </w:tcPr>
          <w:p>
            <w:pPr>
              <w:spacing w:after="0"/>
              <w:rPr>
                <w:sz w:val="20"/>
                <w:szCs w:val="20"/>
                <w:color w:val="auto"/>
              </w:rPr>
            </w:pPr>
            <w:r>
              <w:rPr>
                <w:rFonts w:ascii="Arial" w:cs="Arial" w:eastAsia="Arial" w:hAnsi="Arial"/>
                <w:sz w:val="18"/>
                <w:szCs w:val="18"/>
                <w:color w:val="auto"/>
              </w:rPr>
              <w:t>Cash and cash equivalents, beginning of year</w:t>
            </w: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w:t>
            </w:r>
          </w:p>
        </w:tc>
        <w:tc>
          <w:tcPr>
            <w:tcW w:w="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4,440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Condensed Consolidated Financial Statements at March 31, 2011 and for the quarters ended March 31, 2011 and 2010 are unaudited, but in the opinion of management include all adjustments (consisting only of normal recurring adjustments) necessary for a fair presentation of the results for the interim periods. Certain reclassifications have been made to the prior period amounts to conform to the current year presentation. We previously reported “Other income, net,” which included “Interest income,” as a component of “Revenues.” “Other income, net,” excluding “Interest income,” is now reflected as a component of “Costs, Expenses and Other,” while “Interest income” is now netted with “Interest expense” for financial statement presentation.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(2010 Annual Report) incorporated by reference to our Annual Report on Form 10-K for calendar year 2010 (2010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quarter ended March 31, 2011, our investment in business acquisitions was $106 million and consisted of a</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small acquisitions in both the aerospace and commercial businesses.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during the quarter ended March 31, 2011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as of</w:t>
            </w: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Goodwill resulting from</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b w:val="1"/>
                <w:bCs w:val="1"/>
                <w:color w:val="auto"/>
                <w:w w:val="85"/>
              </w:rPr>
              <w:t>Foreign currency</w:t>
            </w:r>
          </w:p>
        </w:tc>
        <w:tc>
          <w:tcPr>
            <w:tcW w:w="80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61"/>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January 1, 2011</w:t>
            </w:r>
          </w:p>
        </w:tc>
        <w:tc>
          <w:tcPr>
            <w:tcW w:w="1820" w:type="dxa"/>
            <w:vAlign w:val="bottom"/>
            <w:gridSpan w:val="3"/>
          </w:tcPr>
          <w:p>
            <w:pPr>
              <w:ind w:left="60"/>
              <w:spacing w:after="0"/>
              <w:rPr>
                <w:sz w:val="20"/>
                <w:szCs w:val="20"/>
                <w:color w:val="auto"/>
              </w:rPr>
            </w:pPr>
            <w:r>
              <w:rPr>
                <w:rFonts w:ascii="Arial" w:cs="Arial" w:eastAsia="Arial" w:hAnsi="Arial"/>
                <w:sz w:val="14"/>
                <w:szCs w:val="14"/>
                <w:b w:val="1"/>
                <w:bCs w:val="1"/>
                <w:color w:val="auto"/>
              </w:rPr>
              <w:t>business combinations</w:t>
            </w:r>
          </w:p>
        </w:tc>
        <w:tc>
          <w:tcPr>
            <w:tcW w:w="36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translation and other</w:t>
            </w:r>
          </w:p>
        </w:tc>
        <w:tc>
          <w:tcPr>
            <w:tcW w:w="8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2"/>
              </w:rPr>
              <w:t>March 31, 2011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1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3,171</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6,646</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1,224</w:t>
            </w:r>
          </w:p>
        </w:tc>
        <w:tc>
          <w:tcPr>
            <w:tcW w:w="6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4,491</w:t>
            </w: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17,721</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quarter ended March 31, 2011, we recorded an additional $204 million of goodwill, reflected within “Eliminations and other” in the above table, related to the finalization of purchase accounting associated with the December 2010 acquisition of Clipper Windpower Plc (Clipper).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8"/>
              </w:rPr>
              <w:t>March 31, 2011</w:t>
            </w: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0"/>
              </w:rPr>
              <w:t>December 31, 2010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r>
      <w:tr>
        <w:trPr>
          <w:trHeight w:val="16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Gross Amount</w:t>
            </w:r>
          </w:p>
        </w:tc>
        <w:tc>
          <w:tcPr>
            <w:tcW w:w="3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4"/>
              </w:rPr>
              <w:t>Gross Amount</w:t>
            </w:r>
          </w:p>
        </w:tc>
        <w:tc>
          <w:tcPr>
            <w:tcW w:w="6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210"/>
        </w:trPr>
        <w:tc>
          <w:tcPr>
            <w:tcW w:w="20" w:type="dxa"/>
            <w:vAlign w:val="bottom"/>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Amortized:</w:t>
            </w:r>
          </w:p>
        </w:tc>
        <w:tc>
          <w:tcPr>
            <w:tcW w:w="3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Service portfolios</w:t>
            </w:r>
          </w:p>
        </w:tc>
        <w:tc>
          <w:tcPr>
            <w:tcW w:w="122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2,041</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1,950</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Patents and trademarks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Other, principally customer relationships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(1,300)</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3,229</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(1,222)</w:t>
            </w: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(2,481)</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(2,317)</w:t>
            </w:r>
          </w:p>
        </w:tc>
      </w:tr>
      <w:tr>
        <w:trPr>
          <w:trHeight w:val="330"/>
        </w:trPr>
        <w:tc>
          <w:tcPr>
            <w:tcW w:w="4260" w:type="dxa"/>
            <w:vAlign w:val="bottom"/>
            <w:gridSpan w:val="3"/>
          </w:tcPr>
          <w:p>
            <w:pPr>
              <w:spacing w:after="0"/>
              <w:rPr>
                <w:sz w:val="20"/>
                <w:szCs w:val="20"/>
                <w:color w:val="auto"/>
              </w:rPr>
            </w:pPr>
            <w:r>
              <w:rPr>
                <w:rFonts w:ascii="Arial" w:cs="Arial" w:eastAsia="Arial" w:hAnsi="Arial"/>
                <w:sz w:val="18"/>
                <w:szCs w:val="18"/>
                <w:color w:val="auto"/>
              </w:rPr>
              <w:t>Unamortized:</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Trademarks and other</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30"/>
        </w:trPr>
        <w:tc>
          <w:tcPr>
            <w:tcW w:w="20" w:type="dxa"/>
            <w:vAlign w:val="bottom"/>
          </w:tcPr>
          <w:p>
            <w:pPr>
              <w:spacing w:after="0"/>
              <w:rPr>
                <w:sz w:val="24"/>
                <w:szCs w:val="24"/>
                <w:color w:val="auto"/>
              </w:rPr>
            </w:pPr>
          </w:p>
        </w:tc>
        <w:tc>
          <w:tcPr>
            <w:tcW w:w="4240" w:type="dxa"/>
            <w:vAlign w:val="bottom"/>
            <w:gridSpan w:val="2"/>
          </w:tcPr>
          <w:p>
            <w:pPr>
              <w:ind w:left="86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6,658</w:t>
            </w:r>
          </w:p>
        </w:tc>
        <w:tc>
          <w:tcPr>
            <w:tcW w:w="300" w:type="dxa"/>
            <w:vAlign w:val="bottom"/>
          </w:tcPr>
          <w:p>
            <w:pPr>
              <w:spacing w:after="0"/>
              <w:rPr>
                <w:sz w:val="24"/>
                <w:szCs w:val="24"/>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(2,481)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6,377</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(2,317)</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20" w:type="dxa"/>
            <w:vAlign w:val="bottom"/>
            <w:gridSpan w:val="3"/>
          </w:tcPr>
          <w:p>
            <w:pPr>
              <w:ind w:left="96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Amortization of intangible assets for the quarter ended March 31, 2011 was $100 million compared with $89 million for the same period of 2010. Average amortization of these intangible assets for 2011 through 2015 is expected to approximate $315 million per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(Dollars in millions, except per share amounts; shares in millions)</w:t>
            </w: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020" w:type="dxa"/>
            <w:vAlign w:val="bottom"/>
            <w:gridSpan w:val="2"/>
          </w:tcPr>
          <w:p>
            <w:pPr>
              <w:spacing w:after="0"/>
              <w:rPr>
                <w:sz w:val="20"/>
                <w:szCs w:val="20"/>
                <w:color w:val="auto"/>
              </w:rPr>
            </w:pPr>
            <w:r>
              <w:rPr>
                <w:rFonts w:ascii="Arial" w:cs="Arial" w:eastAsia="Arial" w:hAnsi="Arial"/>
                <w:sz w:val="18"/>
                <w:szCs w:val="18"/>
                <w:color w:val="auto"/>
                <w:w w:val="92"/>
              </w:rPr>
              <w:t>Basic weighted average number of shares outstanding</w:t>
            </w: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898.7</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awards</w:t>
            </w:r>
          </w:p>
        </w:tc>
        <w:tc>
          <w:tcPr>
            <w:tcW w:w="2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w w:val="89"/>
              </w:rPr>
              <w:t>Diluted weighted average number of shares outstanding</w:t>
            </w:r>
          </w:p>
        </w:tc>
        <w:tc>
          <w:tcPr>
            <w:tcW w:w="2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914.9</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Basic</w:t>
            </w:r>
          </w:p>
        </w:tc>
        <w:tc>
          <w:tcPr>
            <w:tcW w:w="2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For the quarter ended March 31, 2011, there were no antidilutive stock awards excluded from the computation. For the quarter ended March 31, 2010, the number of stock awards excluded from the computation was 12.9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 and Contracts in Progress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200" w:type="dxa"/>
            <w:vAlign w:val="bottom"/>
            <w:gridSpan w:val="4"/>
          </w:tcPr>
          <w:p>
            <w:pPr>
              <w:ind w:left="780"/>
              <w:spacing w:after="0"/>
              <w:rPr>
                <w:sz w:val="20"/>
                <w:szCs w:val="20"/>
                <w:color w:val="auto"/>
              </w:rPr>
            </w:pPr>
            <w:r>
              <w:rPr>
                <w:rFonts w:ascii="Arial" w:cs="Arial" w:eastAsia="Arial" w:hAnsi="Arial"/>
                <w:sz w:val="14"/>
                <w:szCs w:val="14"/>
                <w:b w:val="1"/>
                <w:bCs w:val="1"/>
                <w:color w:val="auto"/>
              </w:rPr>
              <w:t>March 31, 2011</w:t>
            </w:r>
          </w:p>
        </w:tc>
        <w:tc>
          <w:tcPr>
            <w:tcW w:w="1680" w:type="dxa"/>
            <w:vAlign w:val="bottom"/>
            <w:gridSpan w:val="4"/>
          </w:tcPr>
          <w:p>
            <w:pPr>
              <w:ind w:left="460"/>
              <w:spacing w:after="0"/>
              <w:rPr>
                <w:sz w:val="20"/>
                <w:szCs w:val="20"/>
                <w:color w:val="auto"/>
              </w:rPr>
            </w:pPr>
            <w:r>
              <w:rPr>
                <w:rFonts w:ascii="Arial" w:cs="Arial" w:eastAsia="Arial" w:hAnsi="Arial"/>
                <w:sz w:val="14"/>
                <w:szCs w:val="14"/>
                <w:b w:val="1"/>
                <w:bCs w:val="1"/>
                <w:color w:val="auto"/>
                <w:w w:val="95"/>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3,681</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Contracts in progress</w:t>
            </w: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6,695</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15,133</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00" w:type="dxa"/>
            <w:vAlign w:val="bottom"/>
            <w:gridSpan w:val="3"/>
          </w:tcPr>
          <w:p>
            <w:pPr>
              <w:spacing w:after="0"/>
              <w:rPr>
                <w:sz w:val="20"/>
                <w:szCs w:val="20"/>
                <w:color w:val="auto"/>
              </w:rPr>
            </w:pPr>
            <w:r>
              <w:rPr>
                <w:rFonts w:ascii="Arial" w:cs="Arial" w:eastAsia="Arial" w:hAnsi="Arial"/>
                <w:sz w:val="18"/>
                <w:szCs w:val="18"/>
                <w:color w:val="auto"/>
              </w:rPr>
              <w:t>Less: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Progress payments, secured by lien, on U.S. Government</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contracts</w:t>
            </w: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(286)</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Billings on contracts in progress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(6,020)</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March 31, 2011 and December 31, 2010, the above inventory balances include capitalized contract development costs of $854 million and $804 million, respectively, related to certain aerospace programs. These capitalized costs are liquidated as production units are delivered to the customer. The capitalized contract development costs within inventory principally relate to costs capitalized on Sikorsky’s CH-148 contract with the Canadian government. The CH-148 is a derivative of the H-92, a military variant of the S-92.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 and Lines of Credit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7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2011</w:t>
            </w:r>
          </w:p>
        </w:tc>
        <w:tc>
          <w:tcPr>
            <w:tcW w:w="2140" w:type="dxa"/>
            <w:vAlign w:val="bottom"/>
            <w:gridSpan w:val="4"/>
          </w:tcPr>
          <w:p>
            <w:pPr>
              <w:ind w:left="940"/>
              <w:spacing w:after="0"/>
              <w:rPr>
                <w:sz w:val="20"/>
                <w:szCs w:val="20"/>
                <w:color w:val="auto"/>
              </w:rPr>
            </w:pPr>
            <w:r>
              <w:rPr>
                <w:rFonts w:ascii="Arial" w:cs="Arial" w:eastAsia="Arial" w:hAnsi="Arial"/>
                <w:sz w:val="14"/>
                <w:szCs w:val="14"/>
                <w:b w:val="1"/>
                <w:bCs w:val="1"/>
                <w:color w:val="auto"/>
                <w:w w:val="93"/>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1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9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86"/>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borrowings</w:t>
            </w:r>
          </w:p>
        </w:tc>
        <w:tc>
          <w:tcPr>
            <w:tcW w:w="2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6"/>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March 31, 2011, we had committed credit agreements from banks permitting aggregate borrowings of up to $3.0 billion under a $1.6 billion revolving credit agreement and a $1.4 billion multicurrency revolving credit agreement, both of which are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available for general funding purposes, including acquisitions. As of March 31, 2011, there were no borrowings under either of these revolving credit agreements, which expire in November 2014 and December 2014, respectively. The undrawn portions under both of these agreements are also available to serve as backup facilities for the issuance of commercial paper. We generally use our commercial paper borrowings for general corporate purposes, including the funding of potential acquisitions and repurchases of our common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1660" w:type="dxa"/>
            <w:vAlign w:val="bottom"/>
            <w:gridSpan w:val="4"/>
          </w:tcPr>
          <w:p>
            <w:pPr>
              <w:ind w:left="440"/>
              <w:spacing w:after="0"/>
              <w:rPr>
                <w:sz w:val="20"/>
                <w:szCs w:val="20"/>
                <w:color w:val="auto"/>
              </w:rPr>
            </w:pPr>
            <w:r>
              <w:rPr>
                <w:rFonts w:ascii="Arial" w:cs="Arial" w:eastAsia="Arial" w:hAnsi="Arial"/>
                <w:sz w:val="14"/>
                <w:szCs w:val="14"/>
                <w:b w:val="1"/>
                <w:bCs w:val="1"/>
                <w:color w:val="auto"/>
                <w:w w:val="95"/>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6.100% notes due 2012*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4.875% notes due 2015*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5.375% notes due 2017*</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6.125% notes due 2019*</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8.875% notes due 2019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4.500% notes due 2020*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8.750% notes due 2021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6.700% notes due 2028</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7.500% notes due 2029*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5.400% notes due 2035*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6.050% notes due 2036*</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6.125% notes due 2038*</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5.700% notes due 2040*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Project financing obligations</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(including capitalized leases)</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40" w:type="dxa"/>
            <w:vAlign w:val="bottom"/>
            <w:gridSpan w:val="3"/>
          </w:tcPr>
          <w:p>
            <w:pPr>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10,141</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gridSpan w:val="3"/>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9,986</w:t>
            </w:r>
          </w:p>
        </w:tc>
        <w:tc>
          <w:tcPr>
            <w:tcW w:w="50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820" w:right="60" w:hanging="448"/>
        <w:spacing w:after="0" w:line="254"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redeem some or all of these series of notes at any time at a redemption price in U.S. dollars equal to the greater of 100% of the principal amount outstanding of the applicable series of notes to be redeemed, or the sum of the present values of the remaining scheduled payments of principal and interest on the applicable series of notes to be redeemed. The discounts applied on such redemptions are based on a semiannual calculation at an adjusted treasury rate plus 10-50 basis points, depending on the particular series. The redemption price will also include interest accrued to the date of redemption on the principal balance of the notes being redeemed.</w:t>
      </w:r>
    </w:p>
    <w:p>
      <w:pPr>
        <w:spacing w:after="0" w:line="14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9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South Korea, Singapore, Spain, the United Kingdom and the United States. With few exceptions, we are no longer subject to U.S. federal, state and local, or non-U.S. income tax examinations for years before 1998.</w:t>
      </w:r>
    </w:p>
    <w:p>
      <w:pPr>
        <w:spacing w:after="0" w:line="9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has also been recognized. Interest accrued in relation to unrecognized tax benefits is recorded in interest expense. Penalties, if incurred, would be recognized as a component of income tax expense.</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$30 million to a net decrease of $190 million resulting from additional worldwide uncertain tax positions, from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re-evaluation of current uncertain tax positions arising from developments in examinations, in appeals, or in the courts, or from the closure of tax statutes. Not included in the range is €197 million (approximately $278 million) of tax benefits that we have claimed related to a 1998 German reorganization. These tax benefits are currently being reviewed by the German Tax Office in the course of an audit of tax years 1999 to 2000. In 2008 the German Federal Tax Court denied benefits to another taxpayer in a case involving a German tax law relevant to our reorganization. The determination of the German Federal Tax Court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German Federal Tax Court for further consideration of certain related issues. In May 2010, the German Federal Tax Court released its decision, in which it resolved certain tax issues that may be relevant to our audit and remanded the case to a lower court for further development. After consideration of the ECJ decision and the latest German Federal Tax Court decision, we continue to believe that it is more likely than not that the relevant German tax law is violative of EU principles and we have not accrued tax expense for this matter. As we continue to monitor developments related to this matter, it may become necessary for us to accrue tax expense and related interest.</w:t>
      </w:r>
    </w:p>
    <w:p>
      <w:pPr>
        <w:spacing w:after="0" w:line="12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Tax years 2004 and 2005 are currently before the Appeals Division of the Internal Revenue Service (IRS) for resolution discussions regarding certain proposed tax adjustments with which the Company does not agree. The Company expects these resolution discussions to be ongoing into 2012. Tax years 2006, 2007 and 2008 are currently under review by the Examination Division of the IRS, which review is expected to continue into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these plans were as follows:</w:t>
      </w:r>
    </w:p>
    <w:p>
      <w:pPr>
        <w:spacing w:after="0" w:line="16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w w:val="97"/>
              </w:rPr>
              <w:t>Quarter Ended March 31,</w:t>
            </w: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w w:val="89"/>
              </w:rPr>
              <w:t>2011</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Plans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color w:val="auto"/>
              </w:rPr>
              <w:t>Defined Contribution Plans</w:t>
            </w: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gridSpan w:val="3"/>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126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were no contributions to our domestic defined benefit pension plans in the first quarter of 2011. In the first quarter of 2010, we made contributions of $1 million to our domestic defined benefit pension plans.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components of net periodic benefit cost for our defined pension and other postretirement benefit plans: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84"/>
              </w:rPr>
              <w:t>Pension Benefits</w:t>
            </w:r>
          </w:p>
        </w:tc>
        <w:tc>
          <w:tcPr>
            <w:tcW w:w="140" w:type="dxa"/>
            <w:vAlign w:val="bottom"/>
          </w:tcPr>
          <w:p>
            <w:pPr>
              <w:spacing w:after="0"/>
              <w:rPr>
                <w:sz w:val="14"/>
                <w:szCs w:val="14"/>
                <w:color w:val="auto"/>
              </w:rPr>
            </w:pPr>
          </w:p>
        </w:tc>
        <w:tc>
          <w:tcPr>
            <w:tcW w:w="21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9"/>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40" w:type="dxa"/>
            <w:vAlign w:val="bottom"/>
          </w:tcPr>
          <w:p>
            <w:pPr>
              <w:spacing w:after="0"/>
              <w:rPr>
                <w:sz w:val="12"/>
                <w:szCs w:val="12"/>
                <w:color w:val="auto"/>
              </w:rPr>
            </w:pPr>
          </w:p>
        </w:tc>
        <w:tc>
          <w:tcPr>
            <w:tcW w:w="144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Quarter 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6"/>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gridSpan w:val="3"/>
            <w:vMerge w:val="continue"/>
          </w:tcPr>
          <w:p>
            <w:pPr>
              <w:spacing w:after="0"/>
              <w:rPr>
                <w:sz w:val="12"/>
                <w:szCs w:val="12"/>
                <w:color w:val="auto"/>
              </w:rPr>
            </w:pPr>
          </w:p>
        </w:tc>
        <w:tc>
          <w:tcPr>
            <w:tcW w:w="234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99"/>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32"/>
              <w:spacing w:after="0"/>
              <w:rPr>
                <w:sz w:val="20"/>
                <w:szCs w:val="20"/>
                <w:color w:val="auto"/>
              </w:rPr>
            </w:pPr>
            <w:r>
              <w:rPr>
                <w:rFonts w:ascii="Arial" w:cs="Arial" w:eastAsia="Arial" w:hAnsi="Arial"/>
                <w:sz w:val="18"/>
                <w:szCs w:val="18"/>
                <w:color w:val="auto"/>
                <w:w w:val="99"/>
              </w:rPr>
              <w:t>324</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322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5"/>
              </w:rPr>
              <w:t>(456)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5"/>
              </w:rPr>
              <w:t>(431)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99"/>
              </w:rPr>
              <w:t>115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Net settlement and curtailment loss</w:t>
            </w:r>
          </w:p>
        </w:tc>
        <w:tc>
          <w:tcPr>
            <w:tcW w:w="2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340" w:type="dxa"/>
            <w:vAlign w:val="bottom"/>
            <w:vMerge w:val="restart"/>
          </w:tcPr>
          <w:p>
            <w:pPr>
              <w:jc w:val="right"/>
              <w:ind w:right="81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and Other Costs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the first three months of 2011, we recorded net pre-tax restructuring and other costs in our business segments totaling $31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32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costs included $18 million recorded in cost of sales and $13 million in selling, general and administrative expenses. As described below, these costs primarily relate to actions initiated during 2011 and 2010.</w:t>
      </w:r>
    </w:p>
    <w:p>
      <w:pPr>
        <w:spacing w:after="0" w:line="126"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 xml:space="preserve">2011 Actions. </w:t>
      </w:r>
      <w:r>
        <w:rPr>
          <w:rFonts w:ascii="Arial" w:cs="Arial" w:eastAsia="Arial" w:hAnsi="Arial"/>
          <w:sz w:val="18"/>
          <w:szCs w:val="18"/>
          <w:color w:val="auto"/>
        </w:rPr>
        <w:t>During the first three months of 2011, we initiated restructuring actions relating to ongoing cost reduction efforts, including workforce reductions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consolidation of field operations. We recorded net pre-tax restructuring and other costs totaling $11 million, including $6 million in cost of sales and $5 million in selling, general and administrative expenses.</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expect the actions initiated in the first three months of 2011 to result in net workforce reductions of approximately 300 hourly and salaried employees, the exiting of approximately 75,000 net square feet of facilities and the disposal of assets associated with exited facilities. We are targeting the majority of the workforce and all facility related cost reduction actions for completion during 2011 and 2012. No specific plans for significant other actions have been finalized at this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2011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Facility Exit,</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Lease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Asset</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and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Severance</w:t>
            </w:r>
          </w:p>
        </w:tc>
        <w:tc>
          <w:tcPr>
            <w:tcW w:w="3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Write-Downs</w:t>
            </w:r>
          </w:p>
        </w:tc>
        <w:tc>
          <w:tcPr>
            <w:tcW w:w="7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Other Costs</w:t>
            </w:r>
          </w:p>
        </w:tc>
        <w:tc>
          <w:tcPr>
            <w:tcW w:w="780" w:type="dxa"/>
            <w:vAlign w:val="bottom"/>
          </w:tcPr>
          <w:p>
            <w:pPr>
              <w:spacing w:after="0"/>
              <w:rPr>
                <w:sz w:val="14"/>
                <w:szCs w:val="14"/>
                <w:color w:val="auto"/>
              </w:rPr>
            </w:pPr>
          </w:p>
        </w:tc>
        <w:tc>
          <w:tcPr>
            <w:tcW w:w="40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pre-tax restructuring costs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2011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7"/>
              </w:rPr>
              <w:t>Facility Exit, Lease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Asset</w:t>
            </w:r>
          </w:p>
        </w:tc>
        <w:tc>
          <w:tcPr>
            <w:tcW w:w="72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Write-Downs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w w:val="89"/>
              </w:rPr>
              <w:t>Other Costs</w:t>
            </w:r>
          </w:p>
        </w:tc>
        <w:tc>
          <w:tcPr>
            <w:tcW w:w="700" w:type="dxa"/>
            <w:vAlign w:val="bottom"/>
          </w:tcPr>
          <w:p>
            <w:pPr>
              <w:spacing w:after="0"/>
              <w:rPr>
                <w:sz w:val="14"/>
                <w:szCs w:val="14"/>
                <w:color w:val="auto"/>
              </w:rPr>
            </w:pPr>
          </w:p>
        </w:tc>
        <w:tc>
          <w:tcPr>
            <w:tcW w:w="4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4"/>
              </w:rPr>
              <w:t>Expected costs</w:t>
            </w:r>
          </w:p>
        </w:tc>
        <w:tc>
          <w:tcPr>
            <w:tcW w:w="3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2011</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2011</w:t>
            </w:r>
          </w:p>
        </w:tc>
        <w:tc>
          <w:tcPr>
            <w:tcW w:w="14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2011 restructuring actions by segment:</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Costs at</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4"/>
                <w:szCs w:val="14"/>
                <w:b w:val="1"/>
                <w:bCs w:val="1"/>
                <w:color w:val="auto"/>
                <w:w w:val="90"/>
              </w:rPr>
              <w:t>(Dollars in millions)</w:t>
            </w:r>
          </w:p>
        </w:tc>
        <w:tc>
          <w:tcPr>
            <w:tcW w:w="38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3"/>
              </w:rPr>
              <w:t>Expected Costs</w:t>
            </w:r>
          </w:p>
        </w:tc>
        <w:tc>
          <w:tcPr>
            <w:tcW w:w="8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2011</w:t>
            </w:r>
          </w:p>
        </w:tc>
        <w:tc>
          <w:tcPr>
            <w:tcW w:w="90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March 31, 2011</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8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Hamilton Sundstrand</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8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Sikorsky</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2"/>
            <w:vMerge w:val="continue"/>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86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60"/>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2010 Actions. </w:t>
      </w:r>
      <w:r>
        <w:rPr>
          <w:rFonts w:ascii="Arial" w:cs="Arial" w:eastAsia="Arial" w:hAnsi="Arial"/>
          <w:sz w:val="18"/>
          <w:szCs w:val="18"/>
          <w:color w:val="auto"/>
        </w:rPr>
        <w:t>During the first three months of 2011, we recorded net pre-tax restructuring and other costs totaling $15 million for restructuring actions initiated</w:t>
      </w:r>
      <w:r>
        <w:rPr>
          <w:rFonts w:ascii="Arial" w:cs="Arial" w:eastAsia="Arial" w:hAnsi="Arial"/>
          <w:sz w:val="18"/>
          <w:szCs w:val="18"/>
          <w:b w:val="1"/>
          <w:bCs w:val="1"/>
          <w:color w:val="auto"/>
        </w:rPr>
        <w:t xml:space="preserve"> </w:t>
      </w:r>
      <w:r>
        <w:rPr>
          <w:rFonts w:ascii="Arial" w:cs="Arial" w:eastAsia="Arial" w:hAnsi="Arial"/>
          <w:sz w:val="18"/>
          <w:szCs w:val="18"/>
          <w:color w:val="auto"/>
        </w:rPr>
        <w:t>in 2010, including $11 million in cost of sales and $4 million in selling, general and administrative expenses. The 2010 actions relate to ongoing cost reduction efforts, including workforce reductions and the consolidation of field operations.</w:t>
      </w:r>
    </w:p>
    <w:p>
      <w:pPr>
        <w:spacing w:after="0" w:line="13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2011, we have completed net workforce reductions of approximately 3,000 employees of an expected 5,000 employees, and have exited approximately 660,000 net square feet of facilities of an expected 3.9 million net square feet. We are targeting the majority of the remaining workforce and all facility related cost reduction actions for completion during 2011 and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2010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w w:val="97"/>
              </w:rPr>
              <w:t>Facility Exit, Lease</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4"/>
          </w:tcPr>
          <w:p>
            <w:pPr>
              <w:jc w:val="right"/>
              <w:ind w:right="600"/>
              <w:spacing w:after="0" w:line="149" w:lineRule="exact"/>
              <w:rPr>
                <w:sz w:val="20"/>
                <w:szCs w:val="20"/>
                <w:color w:val="auto"/>
              </w:rPr>
            </w:pPr>
            <w:r>
              <w:rPr>
                <w:rFonts w:ascii="Arial" w:cs="Arial" w:eastAsia="Arial" w:hAnsi="Arial"/>
                <w:sz w:val="14"/>
                <w:szCs w:val="14"/>
                <w:b w:val="1"/>
                <w:bCs w:val="1"/>
                <w:color w:val="auto"/>
              </w:rPr>
              <w:t>Asset</w:t>
            </w:r>
          </w:p>
        </w:tc>
        <w:tc>
          <w:tcPr>
            <w:tcW w:w="340" w:type="dxa"/>
            <w:vAlign w:val="bottom"/>
          </w:tcPr>
          <w:p>
            <w:pPr>
              <w:spacing w:after="0"/>
              <w:rPr>
                <w:sz w:val="12"/>
                <w:szCs w:val="12"/>
                <w:color w:val="auto"/>
              </w:rPr>
            </w:pPr>
          </w:p>
        </w:tc>
        <w:tc>
          <w:tcPr>
            <w:tcW w:w="124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w w:val="94"/>
              </w:rPr>
              <w:t>Severance</w:t>
            </w:r>
          </w:p>
        </w:tc>
        <w:tc>
          <w:tcPr>
            <w:tcW w:w="60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Write-Downs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Other Costs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December 31, 2010</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Net pre-tax restructuring costs</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and foreign exchange</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820" w:type="dxa"/>
            <w:vAlign w:val="bottom"/>
            <w:gridSpan w:val="3"/>
            <w:vMerge w:val="restart"/>
          </w:tcPr>
          <w:p>
            <w:pPr>
              <w:spacing w:after="0"/>
              <w:rPr>
                <w:sz w:val="20"/>
                <w:szCs w:val="20"/>
                <w:color w:val="auto"/>
              </w:rPr>
            </w:pPr>
            <w:r>
              <w:rPr>
                <w:rFonts w:ascii="Arial" w:cs="Arial" w:eastAsia="Arial" w:hAnsi="Arial"/>
                <w:sz w:val="18"/>
                <w:szCs w:val="18"/>
                <w:color w:val="auto"/>
              </w:rPr>
              <w:t>Balance at March 31, 2011</w:t>
            </w: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gridSpan w:val="3"/>
            <w:vMerge w:val="continue"/>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5"/>
          </w:tcPr>
          <w:p>
            <w:pPr>
              <w:ind w:left="6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19</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360" w:type="dxa"/>
            <w:vAlign w:val="bottom"/>
            <w:gridSpan w:val="20"/>
          </w:tcPr>
          <w:p>
            <w:pPr>
              <w:spacing w:after="0"/>
              <w:rPr>
                <w:sz w:val="20"/>
                <w:szCs w:val="20"/>
                <w:color w:val="auto"/>
              </w:rPr>
            </w:pPr>
            <w:r>
              <w:rPr>
                <w:rFonts w:ascii="Arial" w:cs="Arial" w:eastAsia="Arial" w:hAnsi="Arial"/>
                <w:sz w:val="18"/>
                <w:szCs w:val="18"/>
                <w:color w:val="auto"/>
                <w:w w:val="91"/>
              </w:rPr>
              <w:t>The following table summarizes expected, incurred and remaining costs for the 2010 restructuring actions by type:</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2"/>
              </w:rPr>
              <w:t>Facility Exit, Lease</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rPr>
              <w:t>Asset</w:t>
            </w:r>
          </w:p>
        </w:tc>
        <w:tc>
          <w:tcPr>
            <w:tcW w:w="340" w:type="dxa"/>
            <w:vAlign w:val="bottom"/>
          </w:tcPr>
          <w:p>
            <w:pPr>
              <w:spacing w:after="0"/>
              <w:rPr>
                <w:sz w:val="12"/>
                <w:szCs w:val="12"/>
                <w:color w:val="auto"/>
              </w:rPr>
            </w:pPr>
          </w:p>
        </w:tc>
        <w:tc>
          <w:tcPr>
            <w:tcW w:w="12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Termination and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rPr>
              <w:t>Severance</w:t>
            </w:r>
          </w:p>
        </w:tc>
        <w:tc>
          <w:tcPr>
            <w:tcW w:w="6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Write-Downs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4"/>
              </w:rPr>
              <w:t>Other Costs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7"/>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4"/>
              </w:rPr>
              <w:t>Expected costs</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spacing w:after="0"/>
              <w:rPr>
                <w:sz w:val="18"/>
                <w:szCs w:val="18"/>
                <w:color w:val="auto"/>
              </w:rPr>
            </w:pPr>
          </w:p>
        </w:tc>
        <w:tc>
          <w:tcPr>
            <w:tcW w:w="2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2010</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32"/>
              <w:spacing w:after="0"/>
              <w:rPr>
                <w:sz w:val="20"/>
                <w:szCs w:val="20"/>
                <w:color w:val="auto"/>
              </w:rPr>
            </w:pPr>
            <w:r>
              <w:rPr>
                <w:rFonts w:ascii="Arial" w:cs="Arial" w:eastAsia="Arial" w:hAnsi="Arial"/>
                <w:sz w:val="18"/>
                <w:szCs w:val="18"/>
                <w:color w:val="auto"/>
              </w:rPr>
              <w:t>(301)</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2011</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6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820" w:type="dxa"/>
            <w:vAlign w:val="bottom"/>
            <w:gridSpan w:val="3"/>
            <w:vMerge w:val="restart"/>
          </w:tcPr>
          <w:p>
            <w:pPr>
              <w:spacing w:after="0"/>
              <w:rPr>
                <w:sz w:val="20"/>
                <w:szCs w:val="20"/>
                <w:color w:val="auto"/>
              </w:rPr>
            </w:pPr>
            <w:r>
              <w:rPr>
                <w:rFonts w:ascii="Arial" w:cs="Arial" w:eastAsia="Arial" w:hAnsi="Arial"/>
                <w:sz w:val="18"/>
                <w:szCs w:val="18"/>
                <w:color w:val="auto"/>
              </w:rPr>
              <w:t>Remaining costs at March 31, 2011</w:t>
            </w: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gridSpan w:val="3"/>
            <w:vMerge w:val="continue"/>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3"/>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360" w:type="dxa"/>
            <w:vAlign w:val="bottom"/>
            <w:gridSpan w:val="20"/>
          </w:tcPr>
          <w:p>
            <w:pPr>
              <w:spacing w:after="0"/>
              <w:rPr>
                <w:sz w:val="20"/>
                <w:szCs w:val="20"/>
                <w:color w:val="auto"/>
              </w:rPr>
            </w:pPr>
            <w:r>
              <w:rPr>
                <w:rFonts w:ascii="Arial" w:cs="Arial" w:eastAsia="Arial" w:hAnsi="Arial"/>
                <w:sz w:val="18"/>
                <w:szCs w:val="18"/>
                <w:color w:val="auto"/>
                <w:w w:val="88"/>
              </w:rPr>
              <w:t>The following table summarizes expected, incurred and remaining costs for the 2010 restructuring actions by segment:</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Costs Incurred</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gridSpan w:val="5"/>
          </w:tcPr>
          <w:p>
            <w:pPr>
              <w:spacing w:after="0"/>
              <w:rPr>
                <w:sz w:val="20"/>
                <w:szCs w:val="20"/>
                <w:color w:val="auto"/>
              </w:rPr>
            </w:pPr>
            <w:r>
              <w:rPr>
                <w:rFonts w:ascii="Arial" w:cs="Arial" w:eastAsia="Arial" w:hAnsi="Arial"/>
                <w:sz w:val="14"/>
                <w:szCs w:val="14"/>
                <w:b w:val="1"/>
                <w:bCs w:val="1"/>
                <w:color w:val="auto"/>
              </w:rPr>
              <w:t>Costs Incurred</w:t>
            </w:r>
          </w:p>
        </w:tc>
        <w:tc>
          <w:tcPr>
            <w:tcW w:w="80" w:type="dxa"/>
            <w:vAlign w:val="bottom"/>
          </w:tcPr>
          <w:p>
            <w:pPr>
              <w:spacing w:after="0"/>
              <w:rPr>
                <w:sz w:val="24"/>
                <w:szCs w:val="2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12"/>
                <w:szCs w:val="12"/>
                <w:color w:val="auto"/>
              </w:rPr>
            </w:pP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Costs at</w:t>
            </w:r>
          </w:p>
        </w:tc>
        <w:tc>
          <w:tcPr>
            <w:tcW w:w="0" w:type="dxa"/>
            <w:vAlign w:val="bottom"/>
          </w:tcPr>
          <w:p>
            <w:pPr>
              <w:spacing w:after="0"/>
              <w:rPr>
                <w:sz w:val="1"/>
                <w:szCs w:val="1"/>
                <w:color w:val="auto"/>
              </w:rPr>
            </w:pPr>
          </w:p>
        </w:tc>
      </w:tr>
      <w:tr>
        <w:trPr>
          <w:trHeight w:val="16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1180" w:type="dxa"/>
            <w:vAlign w:val="bottom"/>
            <w:gridSpan w:val="6"/>
          </w:tcPr>
          <w:p>
            <w:pPr>
              <w:ind w:left="20"/>
              <w:spacing w:after="0"/>
              <w:rPr>
                <w:sz w:val="20"/>
                <w:szCs w:val="20"/>
                <w:color w:val="auto"/>
              </w:rPr>
            </w:pPr>
            <w:r>
              <w:rPr>
                <w:rFonts w:ascii="Arial" w:cs="Arial" w:eastAsia="Arial" w:hAnsi="Arial"/>
                <w:sz w:val="14"/>
                <w:szCs w:val="14"/>
                <w:b w:val="1"/>
                <w:bCs w:val="1"/>
                <w:color w:val="auto"/>
              </w:rPr>
              <w:t>Expected Costs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December 31, 2010</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5"/>
          </w:tcPr>
          <w:p>
            <w:pPr>
              <w:spacing w:after="0"/>
              <w:rPr>
                <w:sz w:val="20"/>
                <w:szCs w:val="20"/>
                <w:color w:val="auto"/>
              </w:rPr>
            </w:pPr>
            <w:r>
              <w:rPr>
                <w:rFonts w:ascii="Arial" w:cs="Arial" w:eastAsia="Arial" w:hAnsi="Arial"/>
                <w:sz w:val="14"/>
                <w:szCs w:val="14"/>
                <w:b w:val="1"/>
                <w:bCs w:val="1"/>
                <w:color w:val="auto"/>
              </w:rPr>
              <w:t>March 31, 2011</w:t>
            </w:r>
          </w:p>
        </w:tc>
        <w:tc>
          <w:tcPr>
            <w:tcW w:w="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6"/>
              </w:rPr>
              <w:t>March 31, 2011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80" w:type="dxa"/>
            <w:vAlign w:val="bottom"/>
            <w:tcBorders>
              <w:lef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1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gridSpan w:val="3"/>
            <w:vMerge w:val="continue"/>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2009 Actions. </w:t>
      </w:r>
      <w:r>
        <w:rPr>
          <w:rFonts w:ascii="Arial" w:cs="Arial" w:eastAsia="Arial" w:hAnsi="Arial"/>
          <w:sz w:val="18"/>
          <w:szCs w:val="18"/>
          <w:color w:val="auto"/>
        </w:rPr>
        <w:t>As of March 31, 2011, we have approximately $107 million of accrual balances remaining related to 2009 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enter into derivative instruments for risk management purposes only, including derivatives designated as hedging instruments under the Derivatives and Hedging Topic of the Financial Accounting Standards Board (FASB) Accounting Standards Codification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By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0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Foreign Currency Forward Contracts. </w:t>
      </w:r>
      <w:r>
        <w:rPr>
          <w:rFonts w:ascii="Arial" w:cs="Arial" w:eastAsia="Arial" w:hAnsi="Arial"/>
          <w:sz w:val="16"/>
          <w:szCs w:val="16"/>
          <w:color w:val="auto"/>
        </w:rPr>
        <w:t>We manage our foreign currency transaction risks to acceptable limits through the use of derivatives that hedge</w:t>
      </w:r>
      <w:r>
        <w:rPr>
          <w:rFonts w:ascii="Arial" w:cs="Arial" w:eastAsia="Arial" w:hAnsi="Arial"/>
          <w:sz w:val="16"/>
          <w:szCs w:val="16"/>
          <w:b w:val="1"/>
          <w:bCs w:val="1"/>
          <w:color w:val="auto"/>
        </w:rPr>
        <w:t xml:space="preserve"> </w:t>
      </w:r>
      <w:r>
        <w:rPr>
          <w:rFonts w:ascii="Arial" w:cs="Arial" w:eastAsia="Arial" w:hAnsi="Arial"/>
          <w:sz w:val="16"/>
          <w:szCs w:val="16"/>
          <w:color w:val="auto"/>
        </w:rPr>
        <w:t>forecasted cash flows associated with foreign currency transaction exposures, which are accounted for as cash flow hedges, as we deem appropriate. To the extent these derivatives are effective in offsetting the variability of the hedged cash flows, and otherwise meet the hedge accounting criteria of the Derivatives and Hedging Topic of the FASB ASC, the changes in the derivatives’ fair values are not included in current earnings but are included in “Accumulated other comprehensive loss.”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in which it occurs.</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(e.g. payables, receivables) and other economic hedges where the hedge accounting criteria were not met.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$8.9 billion and $8.5 billion at March 31, 2011 and December 31, 2010, respectively.</w:t>
      </w:r>
    </w:p>
    <w:p>
      <w:pPr>
        <w:spacing w:after="0" w:line="12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Commodity Forward Contracts. </w:t>
      </w:r>
      <w:r>
        <w:rPr>
          <w:rFonts w:ascii="Arial" w:cs="Arial" w:eastAsia="Arial" w:hAnsi="Arial"/>
          <w:sz w:val="16"/>
          <w:szCs w:val="16"/>
          <w:color w:val="auto"/>
        </w:rPr>
        <w:t>We enter into commodity forward contracts to reduce the risk of fluctuations in the price we pay for certain commodities (e.g.,</w:t>
      </w:r>
      <w:r>
        <w:rPr>
          <w:rFonts w:ascii="Arial" w:cs="Arial" w:eastAsia="Arial" w:hAnsi="Arial"/>
          <w:sz w:val="16"/>
          <w:szCs w:val="16"/>
          <w:b w:val="1"/>
          <w:bCs w:val="1"/>
          <w:color w:val="auto"/>
        </w:rPr>
        <w:t xml:space="preserve"> </w:t>
      </w:r>
      <w:r>
        <w:rPr>
          <w:rFonts w:ascii="Arial" w:cs="Arial" w:eastAsia="Arial" w:hAnsi="Arial"/>
          <w:sz w:val="16"/>
          <w:szCs w:val="16"/>
          <w:color w:val="auto"/>
        </w:rPr>
        <w:t>nickel) which are used directly in the production of our products, or are components of the products we procure to use in the production of our products. These hedges are economic hedges and the changes in fair value of these contracts are recorded currently in earnings in the period in which they occur. The fair value and outstanding notional amount of contracts hedging commodity exposures were insignificant at March 31, 2011 and December 31, 2010, respectively.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of derivative instruments as of March 31, 2011 and December 31,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440" w:type="dxa"/>
            <w:vAlign w:val="bottom"/>
            <w:gridSpan w:val="3"/>
          </w:tcPr>
          <w:p>
            <w:pPr>
              <w:ind w:left="300"/>
              <w:spacing w:after="0"/>
              <w:rPr>
                <w:sz w:val="20"/>
                <w:szCs w:val="20"/>
                <w:color w:val="auto"/>
              </w:rPr>
            </w:pPr>
            <w:r>
              <w:rPr>
                <w:rFonts w:ascii="Arial" w:cs="Arial" w:eastAsia="Arial" w:hAnsi="Arial"/>
                <w:sz w:val="14"/>
                <w:szCs w:val="14"/>
                <w:b w:val="1"/>
                <w:bCs w:val="1"/>
                <w:color w:val="auto"/>
              </w:rPr>
              <w:t>Balance Sheet Asset Location</w:t>
            </w:r>
          </w:p>
        </w:tc>
        <w:tc>
          <w:tcPr>
            <w:tcW w:w="17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2010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Derivatives designated as hedging instruments: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Other assets, current</w:t>
            </w:r>
          </w:p>
        </w:tc>
        <w:tc>
          <w:tcPr>
            <w:tcW w:w="208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159</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Other assets</w:t>
            </w: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hedging</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Other assets, current</w:t>
            </w: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Other assets</w:t>
            </w: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 Derivative Contracts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254</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8"/>
              </w:rPr>
              <w:t>Balance Sheet Liability Location</w:t>
            </w:r>
          </w:p>
        </w:tc>
        <w:tc>
          <w:tcPr>
            <w:tcW w:w="1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40" w:type="dxa"/>
            <w:vAlign w:val="bottom"/>
            <w:gridSpan w:val="3"/>
            <w:vMerge w:val="continue"/>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Derivatives designated as hedging instruments:</w:t>
            </w:r>
          </w:p>
        </w:tc>
        <w:tc>
          <w:tcPr>
            <w:tcW w:w="300" w:type="dxa"/>
            <w:vAlign w:val="bottom"/>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Accrued liabilities</w:t>
            </w:r>
          </w:p>
        </w:tc>
        <w:tc>
          <w:tcPr>
            <w:tcW w:w="208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83</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Other long-term liabilities</w:t>
            </w: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hedging</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Accrued liabilities</w:t>
            </w: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Other long-term liabilities</w:t>
            </w:r>
          </w:p>
        </w:tc>
        <w:tc>
          <w:tcPr>
            <w:tcW w:w="1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Liability Derivative Contracts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impact from foreign exchange derivative instruments that qualified as cash flow hedges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7"/>
              </w:rPr>
              <w:t>Quarter Ended March 31,</w:t>
            </w: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2011</w:t>
            </w:r>
          </w:p>
        </w:tc>
        <w:tc>
          <w:tcPr>
            <w:tcW w:w="12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recorded in Accumulated other 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rPr>
                <w:sz w:val="20"/>
                <w:szCs w:val="20"/>
                <w:color w:val="auto"/>
              </w:rPr>
            </w:pPr>
            <w:r>
              <w:rPr>
                <w:rFonts w:ascii="Arial" w:cs="Arial" w:eastAsia="Arial" w:hAnsi="Arial"/>
                <w:sz w:val="18"/>
                <w:szCs w:val="18"/>
                <w:color w:val="auto"/>
              </w:rPr>
              <w:t>Gain reclassified from Accumulated other comprehensive loss into Product sales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(effective portion)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Assuming current market conditions continue, a $102 million pre-tax gain is expected to be reclassified from Accumulated other comprehensive loss into Product sales to reflect the fixed prices obtained from foreign exchange hedging within the next 12 months. At March 31, 2011, all derivative contracts accounted for as cash flow hedges mature by February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effect on the Condensed Consolidated Statement of Operations from foreign exchange contracts not designated as hedging instruments was as follows:</w:t>
      </w:r>
    </w:p>
    <w:p>
      <w:pPr>
        <w:spacing w:after="0" w:line="2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Quarter Ended March 31,</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gridSpan w:val="3"/>
            <w:vMerge w:val="continue"/>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06"/>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2"/>
                <w:szCs w:val="12"/>
                <w:color w:val="auto"/>
              </w:rPr>
            </w:pPr>
          </w:p>
        </w:tc>
        <w:tc>
          <w:tcPr>
            <w:tcW w:w="8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recognized in Other income, net</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Fair Value Disclosure. </w:t>
      </w:r>
      <w:r>
        <w:rPr>
          <w:rFonts w:ascii="Arial" w:cs="Arial" w:eastAsia="Arial" w:hAnsi="Arial"/>
          <w:sz w:val="18"/>
          <w:szCs w:val="18"/>
          <w:color w:val="auto"/>
        </w:rPr>
        <w:t>The Fair Value Measurements and Disclosures Topic of the FASB ASC defines fair value, establishes a framework for measuring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and expands the related disclosure requirements. The Topic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also defines fair value based upon an exit price model.</w:t>
      </w:r>
    </w:p>
    <w:p>
      <w:pPr>
        <w:spacing w:after="0" w:line="13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Valuation Hierarchy. </w:t>
      </w:r>
      <w:r>
        <w:rPr>
          <w:rFonts w:ascii="Arial" w:cs="Arial" w:eastAsia="Arial" w:hAnsi="Arial"/>
          <w:sz w:val="18"/>
          <w:szCs w:val="18"/>
          <w:color w:val="auto"/>
        </w:rPr>
        <w:t>The Fair Value Measurements and Disclosure Topic of the FASB ASC establishes a valuation hierarchy for disclosure of the inputs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valuations used to measure fair value. A financial asset or liability’s classification within the hierarchy is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determined based on the lowest level input that is significant to the fair value measurement. The following table provides the assets and liabilities carried at fair value measured on a recurring basis as of March 31, 2011 and December 31, 2010:</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0"/>
              </w:rPr>
              <w:t>Total Carrying</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Quoted price in</w:t>
            </w:r>
          </w:p>
        </w:tc>
        <w:tc>
          <w:tcPr>
            <w:tcW w:w="780" w:type="dxa"/>
            <w:vAlign w:val="bottom"/>
          </w:tcPr>
          <w:p>
            <w:pPr>
              <w:spacing w:after="0"/>
              <w:rPr>
                <w:sz w:val="14"/>
                <w:szCs w:val="14"/>
                <w:color w:val="auto"/>
              </w:rPr>
            </w:pPr>
          </w:p>
        </w:tc>
        <w:tc>
          <w:tcPr>
            <w:tcW w:w="14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Significant other</w:t>
            </w:r>
          </w:p>
        </w:tc>
        <w:tc>
          <w:tcPr>
            <w:tcW w:w="3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Value at</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780" w:type="dxa"/>
            <w:vAlign w:val="bottom"/>
          </w:tcPr>
          <w:p>
            <w:pPr>
              <w:spacing w:after="0"/>
              <w:rPr>
                <w:sz w:val="12"/>
                <w:szCs w:val="12"/>
                <w:color w:val="auto"/>
              </w:rPr>
            </w:pPr>
          </w:p>
        </w:tc>
        <w:tc>
          <w:tcPr>
            <w:tcW w:w="14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8"/>
              </w:rPr>
              <w:t>March 31, 2011</w:t>
            </w:r>
          </w:p>
        </w:tc>
        <w:tc>
          <w:tcPr>
            <w:tcW w:w="14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(Level 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(Level 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893</w:t>
            </w:r>
          </w:p>
        </w:tc>
        <w:tc>
          <w:tcPr>
            <w:tcW w:w="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254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0"/>
              </w:rPr>
              <w:t>Total Carrying</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Quoted price in</w:t>
            </w:r>
          </w:p>
        </w:tc>
        <w:tc>
          <w:tcPr>
            <w:tcW w:w="780" w:type="dxa"/>
            <w:vAlign w:val="bottom"/>
          </w:tcPr>
          <w:p>
            <w:pPr>
              <w:spacing w:after="0"/>
              <w:rPr>
                <w:sz w:val="24"/>
                <w:szCs w:val="24"/>
                <w:color w:val="auto"/>
              </w:rPr>
            </w:pPr>
          </w:p>
        </w:tc>
        <w:tc>
          <w:tcPr>
            <w:tcW w:w="14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Significant other</w:t>
            </w:r>
          </w:p>
        </w:tc>
        <w:tc>
          <w:tcPr>
            <w:tcW w:w="380" w:type="dxa"/>
            <w:vAlign w:val="bottom"/>
          </w:tcPr>
          <w:p>
            <w:pPr>
              <w:spacing w:after="0"/>
              <w:rPr>
                <w:sz w:val="24"/>
                <w:szCs w:val="2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Value at</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780" w:type="dxa"/>
            <w:vAlign w:val="bottom"/>
          </w:tcPr>
          <w:p>
            <w:pPr>
              <w:spacing w:after="0"/>
              <w:rPr>
                <w:sz w:val="12"/>
                <w:szCs w:val="12"/>
                <w:color w:val="auto"/>
              </w:rPr>
            </w:pPr>
          </w:p>
        </w:tc>
        <w:tc>
          <w:tcPr>
            <w:tcW w:w="14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tcPr>
          <w:p>
            <w:pPr>
              <w:spacing w:after="0"/>
              <w:rPr>
                <w:sz w:val="14"/>
                <w:szCs w:val="14"/>
                <w:color w:val="auto"/>
              </w:rPr>
            </w:pPr>
          </w:p>
        </w:tc>
        <w:tc>
          <w:tcPr>
            <w:tcW w:w="18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5"/>
              </w:rPr>
              <w:t>December 31, 2010</w:t>
            </w:r>
          </w:p>
        </w:tc>
        <w:tc>
          <w:tcPr>
            <w:tcW w:w="14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(Level 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(Level 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829</w:t>
            </w:r>
          </w:p>
        </w:tc>
        <w:tc>
          <w:tcPr>
            <w:tcW w:w="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 They</w:t>
      </w:r>
      <w:r>
        <w:rPr>
          <w:rFonts w:ascii="Arial" w:cs="Arial" w:eastAsia="Arial" w:hAnsi="Arial"/>
          <w:sz w:val="16"/>
          <w:szCs w:val="16"/>
          <w:b w:val="1"/>
          <w:bCs w:val="1"/>
          <w:color w:val="auto"/>
        </w:rPr>
        <w:t xml:space="preserve"> </w:t>
      </w:r>
      <w:r>
        <w:rPr>
          <w:rFonts w:ascii="Arial" w:cs="Arial" w:eastAsia="Arial" w:hAnsi="Arial"/>
          <w:sz w:val="16"/>
          <w:szCs w:val="16"/>
          <w:color w:val="auto"/>
        </w:rPr>
        <w:t>are measured at fair value using closing stock prices from active markets and are classified within Level 1 of the valuation hierarchy.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 As of March 31, 2011, there were no significant transfers in and out of Level 1 and Level 2.</w:t>
      </w:r>
    </w:p>
    <w:p>
      <w:pPr>
        <w:spacing w:after="0" w:line="11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March 31, 2011,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carrying amounts and fair values of financial instruments that are not carried at fair value at March 31,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March 31, 2011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300" w:type="dxa"/>
            <w:vAlign w:val="bottom"/>
            <w:tcBorders>
              <w:top w:val="single" w:sz="8" w:color="auto"/>
            </w:tcBorders>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Borders>
              <w:top w:val="single" w:sz="8" w:color="auto"/>
            </w:tcBorders>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4"/>
                <w:szCs w:val="14"/>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13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receivables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Customer financing notes receivable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(excluding capitalized leases)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(10,084)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(11,289)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(10,117)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(11,500)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above fair values were computed based on comparable transactions, quoted market prices, discounted future cash flows or an estimate of the amount to be received or paid to terminate or settle the agreement, as applicable. Differences from carrying amounts are attributable to interest and or credit rate changes subsequent to when the transaction occurred. The fair values of Cash and cash equivalents, Accounts receivable, net, Short-term borrowings, and Accounts payable approximate the carrying amounts due to the short-term maturities of these instruments.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had outstanding commercial aerospace financing and other contractual commitments totaling approximately $1.9 billion and $2.0 billion at March 31, 2011 and December 31, 2010, respectively.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 commitment itself is not readily determinable and is not considered significant.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Credit Quality of Long-Term Receivables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July 2010, the FASB issued Accounting Standards Update (ASU) No. 2010-20, “Disclosure about the Credit Quality of Financing Receivables and the Allowance for Credit Losses.” This ASU is intended to enhance a financial statement user’s ability to evaluate the entity’s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credit risk exposures and adequacy of its allowance for credit losses by requiring additional disclosure about the nature of credit risk inherent in the portfolio of receivables, factors and methodologies used in estimating the allowance for credit losses and activity that occurs during a period for both financing receivables and allowance for credit losses. The scope of this ASU is limited to financing receivables, as defined by the ASU, and excludes short-term trade accounts receivable and receivables measured at fair value or lower of cost or fair value. We adopted the disclosures under this ASU for the reporting period ended December 31, 2010, with the exception of disclosures about activity that occurs during a reporting period, which became effective for interim and annual periods beginning on or after December 15, 2010. We adopted the interim disclosures required under this ASU during the quarter ended March 31, 2011.</w:t>
      </w:r>
    </w:p>
    <w:p>
      <w:pPr>
        <w:spacing w:after="0" w:line="12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 long-term or financing receivable represents a contractual right to receive money on demand or on fixed and determinable dates, including trade receivable balances with maturity dates greater than one year. Our long-term and financing receivables primarily represent balances related to the aerospace businesses such as long-term trade accounts receivable, leases, and notes receivable. We also have other long-term receivables in our commercial businesses; however, both the individual and aggregate amounts are not significant.</w:t>
      </w:r>
    </w:p>
    <w:p>
      <w:pPr>
        <w:spacing w:after="0" w:line="143"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Our classes within aerospace long-term receivables are comprised of long-term trade accounts receivable and notes and leases receivable. Long-term trade accounts receivable represent amounts arising from the sale of goods and services with a contractual maturity date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long-term receivables as of March 31, 2011 and December 31, 2010:</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2011</w:t>
            </w:r>
          </w:p>
        </w:tc>
        <w:tc>
          <w:tcPr>
            <w:tcW w:w="21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trade accounts receivable</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Notes and leases receivable</w:t>
            </w:r>
          </w:p>
        </w:tc>
        <w:tc>
          <w:tcPr>
            <w:tcW w:w="1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receivables</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Economic conditions and air travel influence the operating environment for most airlines, and the financial performance of our aerospace businesses is directly tied to the economic conditions of the commercial aerospace and defense industries. Additionally, the value of the collateral is also closely tied to commercial airline performance and may be subject to exposure of reduced valuation as a result of market declines. We determine a receivable is impaired when, based on current information and events, it is probable that we will be unable to collect amounts due according to the original contractual terms of the receivable agreement. Factors considered in assessing collectability and risk include, but are not limited to, examination of credit quality indicators and other evaluation measures, underlying value of any collateral or security interests, significant past due balances, historical losses, and existing economic conditions.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Long-term receivables can be considered delinquent if payment has not been received in accordance with the underlying agreement. If determined delinquent, long-term trade accounts receivable and notes and leases receivable balances accruing interest may be placed on nonaccrual status. We record potential losses related to long-term receivables when identified. The reserve for credit losses on these receivables relates to specifically identified receivables that are evaluated individually for impairment. For notes and leases receivable, we determine a specific reserve for exposure based on the difference between the carrying value of the receivable and the estimated fair value of the related collateral in connection with the evaluation of credit risk and collectability. For long-term trade accounts receivable, we evaluate credit risk and collectability individually to determine if an allowance is necessary. Uncollectible long-term receivables are written-off when collection of the indebtedness has been pursued for a reasonable period of time without collection; the customer is no longer in operation; or judgment has been levied, but the underlying assets are not adequate to satisfy the indebtedness. At both March 31, 2011 and December 31, 2010, we do not have any significant balances that are considered to be delinquent, on non-accrual status, past due 90 days or more, or considered to be impaired.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provides the balance of aerospace long-term receivables at March 31, 2011, and summarizes the associated changes in the reserve for estimated credit losses and exposure for the quarter ended March 31, 2011:</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0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of the reserve for credit losses and exposure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Charge-offs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5"/>
        </w:trPr>
        <w:tc>
          <w:tcPr>
            <w:tcW w:w="6700" w:type="dxa"/>
            <w:vAlign w:val="bottom"/>
            <w:gridSpan w:val="3"/>
          </w:tcPr>
          <w:p>
            <w:pPr>
              <w:spacing w:after="0"/>
              <w:rPr>
                <w:sz w:val="20"/>
                <w:szCs w:val="20"/>
                <w:color w:val="auto"/>
              </w:rPr>
            </w:pPr>
            <w:r>
              <w:rPr>
                <w:rFonts w:ascii="Arial" w:cs="Arial" w:eastAsia="Arial" w:hAnsi="Arial"/>
                <w:sz w:val="18"/>
                <w:szCs w:val="18"/>
                <w:color w:val="auto"/>
                <w:w w:val="96"/>
              </w:rPr>
              <w:t>Ending balance of the reserve for credit losses and exposure: individually evaluated for</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ind w:left="200"/>
              <w:spacing w:after="0"/>
              <w:rPr>
                <w:sz w:val="20"/>
                <w:szCs w:val="20"/>
                <w:color w:val="auto"/>
              </w:rPr>
            </w:pPr>
            <w:r>
              <w:rPr>
                <w:rFonts w:ascii="Arial" w:cs="Arial" w:eastAsia="Arial" w:hAnsi="Arial"/>
                <w:sz w:val="18"/>
                <w:szCs w:val="18"/>
                <w:color w:val="auto"/>
              </w:rPr>
              <w:t>impairment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of long-term receivables: individually evaluated for impairment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determine credit ratings for each customer in the portfolio based upon public information and information obtained directly from our customers. We conduct a review of customer credit ratings, published historical credit default rates for different rating categories, and multiple third party aircraft value publications as a basis to validate the reasonableness of the allowance for losses on these balances quarterly or when events and circumstances warrant. The credit ratings listed below range from “A” which indicates an extremely strong capacity to meet financial obligations and the receivable is either collateralized or uncollateralized, to “D” which indicates that payment is in default and the receivable is uncollateralized. There can be no assurance that actual results will not differ from estimates or that consideration of these factors in the future will not result in an increase or decrease to the allowance for credit losses on long-term receivables.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credit risk profile by creditworthiness category for aerospace long-term receivable balances at March 31,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6"/>
              </w:rPr>
              <w:t>March 31, 2011</w:t>
            </w:r>
          </w:p>
        </w:tc>
        <w:tc>
          <w:tcPr>
            <w:tcW w:w="5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5"/>
              </w:rPr>
              <w:t>December 31, 2010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Long-term</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Notes and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Long-term</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Notes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trade accounts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leases</w:t>
            </w:r>
          </w:p>
        </w:tc>
        <w:tc>
          <w:tcPr>
            <w:tcW w:w="6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trade accounts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receivable</w:t>
            </w: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4"/>
              </w:rPr>
              <w:t>receivable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receivable</w:t>
            </w:r>
          </w:p>
        </w:tc>
        <w:tc>
          <w:tcPr>
            <w:tcW w:w="6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6"/>
              </w:rPr>
              <w:t>receivable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 (low risk, collateralized/uncollateralized)</w:t>
            </w:r>
          </w:p>
        </w:tc>
        <w:tc>
          <w:tcPr>
            <w:tcW w:w="13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122</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114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B - (moderate risk, collateralized/uncollateralized)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660"/>
              <w:spacing w:after="0"/>
              <w:rPr>
                <w:sz w:val="20"/>
                <w:szCs w:val="20"/>
                <w:color w:val="auto"/>
              </w:rPr>
            </w:pPr>
            <w:r>
              <w:rPr>
                <w:rFonts w:ascii="Arial" w:cs="Arial" w:eastAsia="Arial" w:hAnsi="Arial"/>
                <w:sz w:val="18"/>
                <w:szCs w:val="18"/>
                <w:color w:val="auto"/>
                <w:w w:val="79"/>
              </w:rPr>
              <w:t>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321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660"/>
              <w:spacing w:after="0"/>
              <w:rPr>
                <w:sz w:val="20"/>
                <w:szCs w:val="20"/>
                <w:color w:val="auto"/>
              </w:rPr>
            </w:pPr>
            <w:r>
              <w:rPr>
                <w:rFonts w:ascii="Arial" w:cs="Arial" w:eastAsia="Arial" w:hAnsi="Arial"/>
                <w:sz w:val="18"/>
                <w:szCs w:val="18"/>
                <w:color w:val="auto"/>
                <w:w w:val="79"/>
              </w:rPr>
              <w:t>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 (high risk, collateralized/uncollateralized)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75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78"/>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 - (in default, uncollateralized)</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128</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396</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119</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60" w:type="dxa"/>
            <w:vAlign w:val="bottom"/>
            <w:vMerge w:val="restart"/>
          </w:tcPr>
          <w:p>
            <w:pPr>
              <w:jc w:val="right"/>
              <w:ind w:right="192"/>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Shareowners’ Equity and Noncontrolling Interest</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summary of the changes in shareowners’ equity and noncontrolling interest (excluding redeemable noncontrolling interest) comprising total equity for the quarters ended March 31, 2011 and 2010 is provided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w w:val="90"/>
              </w:rPr>
              <w:t>Quarter Ended March 31,</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6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580" w:type="dxa"/>
            <w:vAlign w:val="bottom"/>
          </w:tcPr>
          <w:p>
            <w:pPr>
              <w:jc w:val="right"/>
              <w:ind w:right="61"/>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beginning of year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21,385</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$22,332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Comprehensive income (loss) for the period: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86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currency translation, net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rPr>
              <w:t>Increases in unrealized gains from available-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for-sale securities, net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 hedging gains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w w:val="98"/>
              </w:rPr>
              <w:t>Change in pension and post-retirement benefit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plans, net</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comprehensive income for the period</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on Common Stock</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Dividends on ESOP Common Stock</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w w:val="97"/>
              </w:rPr>
              <w:t>Purchase of subsidiary shares from noncontrolling interest</w:t>
            </w: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 of subsidiary shares in noncontrolling interest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Acquisition of noncontrolling interest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Redeemable noncontrolling interest in subsidiaries’ earnings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Redeemable noncontrolling interest in total other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ind w:left="64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980" w:type="dxa"/>
            <w:vAlign w:val="bottom"/>
            <w:gridSpan w:val="3"/>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22,126</w:t>
            </w:r>
          </w:p>
        </w:tc>
        <w:tc>
          <w:tcPr>
            <w:tcW w:w="200" w:type="dxa"/>
            <w:vAlign w:val="bottom"/>
          </w:tcPr>
          <w:p>
            <w:pPr>
              <w:spacing w:after="0"/>
              <w:rPr>
                <w:sz w:val="24"/>
                <w:szCs w:val="24"/>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23,126</w:t>
            </w:r>
          </w:p>
        </w:tc>
        <w:tc>
          <w:tcPr>
            <w:tcW w:w="220" w:type="dxa"/>
            <w:vAlign w:val="bottom"/>
          </w:tcPr>
          <w:p>
            <w:pPr>
              <w:spacing w:after="0"/>
              <w:rPr>
                <w:sz w:val="24"/>
                <w:szCs w:val="24"/>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19,964</w:t>
            </w:r>
          </w:p>
        </w:tc>
        <w:tc>
          <w:tcPr>
            <w:tcW w:w="3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960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Consistent with the requirements under the Business Combinations Topic of the FASB ASC and the accounting for redeemable equity instruments, 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summary of the changes in redeemable noncontrolling interest recorded in the mezzanine section of the Condensed Consolidated Balance Sheet for the quarters ended March 31, 2011 and 2010 is provided below:</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Quarter Ended March 31,</w:t>
            </w:r>
          </w:p>
        </w:tc>
        <w:tc>
          <w:tcPr>
            <w:tcW w:w="0" w:type="dxa"/>
            <w:vAlign w:val="bottom"/>
          </w:tcPr>
          <w:p>
            <w:pPr>
              <w:spacing w:after="0"/>
              <w:rPr>
                <w:sz w:val="1"/>
                <w:szCs w:val="1"/>
                <w:color w:val="auto"/>
              </w:rPr>
            </w:pPr>
          </w:p>
        </w:tc>
      </w:tr>
      <w:tr>
        <w:trPr>
          <w:trHeight w:val="142"/>
        </w:trPr>
        <w:tc>
          <w:tcPr>
            <w:tcW w:w="64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89"/>
              </w:rPr>
              <w:t>2011</w:t>
            </w: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 beginning of year</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gridSpan w:val="3"/>
          </w:tcPr>
          <w:p>
            <w:pPr>
              <w:spacing w:after="0"/>
              <w:rPr>
                <w:sz w:val="20"/>
                <w:szCs w:val="20"/>
                <w:color w:val="auto"/>
              </w:rPr>
            </w:pPr>
            <w:r>
              <w:rPr>
                <w:rFonts w:ascii="Arial" w:cs="Arial" w:eastAsia="Arial" w:hAnsi="Arial"/>
                <w:sz w:val="18"/>
                <w:szCs w:val="18"/>
                <w:color w:val="auto"/>
              </w:rPr>
              <w:t>Redeemable noncontrolling interest, end of period</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44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Consistent with the requirements under the Business Combinations Topic of the FASB ASC and the accounting for noncontrolling interests in consolidated financial statements, changes in noncontrolling interests that do not result in a change of control and where there is a difference between fair value and carrying value are accounted for as equity transactions. A summary of these changes in ownership interests in subsidiaries and the effect on shareowners’ equity for the quarters ended March 31, 2011 and 2010 is provided below:</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2"/>
              </w:rPr>
              <w:t>Quarter Ended March 31,</w:t>
            </w:r>
          </w:p>
        </w:tc>
        <w:tc>
          <w:tcPr>
            <w:tcW w:w="0" w:type="dxa"/>
            <w:vAlign w:val="bottom"/>
          </w:tcPr>
          <w:p>
            <w:pPr>
              <w:spacing w:after="0"/>
              <w:rPr>
                <w:sz w:val="1"/>
                <w:szCs w:val="1"/>
                <w:color w:val="auto"/>
              </w:rPr>
            </w:pPr>
          </w:p>
        </w:tc>
      </w:tr>
      <w:tr>
        <w:trPr>
          <w:trHeight w:val="142"/>
        </w:trPr>
        <w:tc>
          <w:tcPr>
            <w:tcW w:w="60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040" w:type="dxa"/>
            <w:vAlign w:val="bottom"/>
            <w:gridSpan w:val="3"/>
          </w:tcPr>
          <w:p>
            <w:pPr>
              <w:spacing w:after="0"/>
              <w:rPr>
                <w:sz w:val="20"/>
                <w:szCs w:val="20"/>
                <w:color w:val="auto"/>
              </w:rPr>
            </w:pPr>
            <w:r>
              <w:rPr>
                <w:rFonts w:ascii="Arial" w:cs="Arial" w:eastAsia="Arial" w:hAnsi="Arial"/>
                <w:sz w:val="18"/>
                <w:szCs w:val="18"/>
                <w:color w:val="auto"/>
              </w:rPr>
              <w:t>Transfers to noncontrolling interests:</w:t>
            </w:r>
          </w:p>
        </w:tc>
        <w:tc>
          <w:tcPr>
            <w:tcW w:w="5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common stock for sale of subsidiary shares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Decrease in common stock for purchase of subsidiary shares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Change from net income attributable to common shareowners and transfers to</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Guarantees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2010.</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quarters ended March 31, 2011 and 2010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4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Warranties and performance guarantees issued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2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March 31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increase reflected in “Other” in the above table primarily reflects the impact of finalizing purchase accounting on the recent acquisition of Clipper.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Collaborative Arrangements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view of the risks and costs associated with developing new engines, Pratt &amp; Whitney has entered into certain collaboration arrangements in which costs, sales and risks are shared. Sales generated from engine programs, spare parts, and aftermarket business under collaboration arrangements are recorded as earned in our financial statements. Amounts attributable to our collaborative partners for their share of sales are recorded as an expense in our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to Pratt &amp; Whitney for shared or joint program costs. The reimbursement of the collaborators’ share of program costs is recorded as a reduction of the related expense item at that time. As of March 31, 2011, the collaborators’ interests in all commercial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engine programs ranged from 12% to 48%. Pratt &amp; Whitney directs those programs and is the principal participant in all existing collaborative arrangements.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are no individually significant collaborative arrangements, and none of the partners’ shares exceed 31% of an individual program.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Contingent Liabilities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2010 Annual Report, incorporated by reference in our 2010 Form 10-K, updated as applicable.</w:t>
      </w:r>
    </w:p>
    <w:p>
      <w:pPr>
        <w:spacing w:after="0" w:line="12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regulatory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We accrue for the costs of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1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are now, and believe that in light of the current U.S. government contracting environment we will continue to be, the subject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1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As previously disclosed, the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the 1983 offer. In the absence of actual damages, the trial court judge awarded the DOJ the maximum civil penalty of $7.09 million, or $10,000 for each of the 709 invoices Pratt &amp; Whitney submitted in 1989 and</w:t>
      </w:r>
    </w:p>
    <w:p>
      <w:pPr>
        <w:spacing w:after="0" w:line="6"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later under the contracts. In September 2008, both the DOJ and UTC appealed the decision to the Sixth Circuit Court of Appeals. In November 2010, the Sixth Circuit affirmed Pratt &amp; Whitney’s liability under the False Claims Act and remanded the case to the U.S. District Court for further proceedings on the question of damages. Should the government ultimately prevail, the outcome of this matter could result in a material effect on our results of operations in the period in which a liability would be recognized or cash flows for the period in which damages would be paid.</w:t>
      </w:r>
    </w:p>
    <w:p>
      <w:pPr>
        <w:spacing w:after="0" w:line="11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previously disclosed, in December 2008, the Department of Defense (DOD) issued a contract claim against Sikorsky to recover overpayments the DOD alleges it has incurred since January 2003 in connection with cost accounting changes approved by the DOD and implemented by Sikorsky in 1999 and 2006. These changes relate to the calculation of material overhead rates in government contracts. The DOD claims that Sikorsky’s liability is approximately $89 million (including interest through March 2011). We believe this claim is without merit and Sikorsky filed an appeal in December 2009 with the U.S. Court of Federal Claims, which is pending.</w:t>
      </w:r>
    </w:p>
    <w:p>
      <w:pPr>
        <w:spacing w:after="0" w:line="13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As previously disclosed, on August 27, 2010, Rolls-Royce plc (Rolls-Royce) sued Pratt &amp; Whitney in the U.S. District Court for the Eastern District of</w:t>
      </w:r>
      <w:r>
        <w:rPr>
          <w:rFonts w:ascii="Arial" w:cs="Arial" w:eastAsia="Arial" w:hAnsi="Arial"/>
          <w:sz w:val="18"/>
          <w:szCs w:val="18"/>
          <w:b w:val="1"/>
          <w:bCs w:val="1"/>
          <w:color w:val="auto"/>
        </w:rPr>
        <w:t xml:space="preserve"> </w:t>
      </w:r>
      <w:r>
        <w:rPr>
          <w:rFonts w:ascii="Arial" w:cs="Arial" w:eastAsia="Arial" w:hAnsi="Arial"/>
          <w:sz w:val="18"/>
          <w:szCs w:val="18"/>
          <w:color w:val="auto"/>
        </w:rPr>
        <w:t>Virginia, alleging that fan blades on certain engines manufactured by Pratt &amp; Whitney infringe a U.S. patent held by Rolls-Royce. Trial in the matter is scheduled to commence on June 6, 2011. We are vigorously defending the case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believe that the Rolls-Royce patent is invalid and that Pratt &amp; Whitney’s products do not infringe it. Rolls-Royce seeks damages plus interest, an injunction, attorney’s fees, and a finding of willful infringement. On April 1, 2011, the court dismissed Rolls-Royce’s claim of willful infringement, thereby eliminating from the upcoming trial the potential of an award of treble damages even if any infringement of a valid patent were to be found. Important pre-trial motions that may significantly impact the scope of the issues in the case, including the extent of damages permitted to be claimed by Rolls-Royce, are expected to be resolved prior to trial. Should Rolls-Royce ultimately prevail, the outcome of this matter could result in a material adverse effect on our results of operations in the period in which a liability would be recognized or cash flows for the period in which damages would be paid. As previously disclosed, in November 2010, Pratt &amp; Whitney filed complaints against Rolls-Royce in the High Court of Justice, Chancery Division, Patent Court (HCJ) in the United Kingdom (UK) and with the U.S. International Trade Commission (ITC), and amended its previously-disclosed complaint against Roll-Royce and its parent, Rolls-Royce Group plc (Rolls-Royce Group) in the U.S. District Court for the District of Connecticut. The HCJ action alleges that certain turbomachinery blades, engines and components manufactured by Rolls-Royce infringe a UK patent held by Pratt &amp; Whitney and seeks damages plus interest and all other relief to which Pratt &amp; Whitney is entitled, including attorney’s fees, expenses, and a permanent order preventing further infringements. The ITC complaint seeks a permanent exclusion order barring the importation into the U.S. of infringing turbomachinery blades, engines and engine components manufactured by Rolls-Royce and Rolls-Royce Group, and requests a permanent cease-and-desist order against Rolls-Royce and Rolls-Royce Group preventing further importing, marketing, advertising, demonstrating, testing, distributing, licensing, offering for sale, or use of such infringing turbomachinery blades, engines and engine components. The ITC action and the HCJ action are both scheduled for trial in October 2011. In the Connecticut District Court action, Pratt &amp; Whitney alleges similar infringement claims based on a U.S. patent held by Pratt &amp; Whitney and seeks an injunction, damages, interest, attorney’s fees and other relief. The Connecticut District Court has stayed the suit pending the outcome of the ITC action.</w:t>
      </w:r>
    </w:p>
    <w:p>
      <w:pPr>
        <w:spacing w:after="0" w:line="12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85"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also subject to a number of routine lawsuits, investigations and claims (some of which involve substantial amounts) arising out of the ordinary course of our business. We do not believe that these matters will have a material adverse effect upon our competitive position, results of operations, cash flows or financial condition.</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otherwise noted above, we do not believe that resolution of any of these matters will have a material adverse effect upon our competitive position, results of operations, cash flows or financial condition. All forward-looking statements concerning the possible or anticipated outcome of environmental, investigatory and litigation matters involve risks and uncertainties that could cause actual results to differ materially from those expressed or implied in the forward-looking statements. For further information as to these risks and uncertainties, see “Cautionary Note Concerning Factors That May Affect Future Results” and Part III, Item 1A, “Risk Factors” in this Form 10-Q.</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operations are classified into six principal segments: Otis, Carrier, UTC Fire &amp; Security, Pratt &amp; Whitney, Hamilton Sundstrand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March 31, 2011 and 2010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4"/>
              </w:rPr>
              <w:t>Operating Profits</w:t>
            </w:r>
          </w:p>
        </w:tc>
        <w:tc>
          <w:tcPr>
            <w:tcW w:w="1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Operating Profit Margins</w:t>
            </w:r>
          </w:p>
        </w:tc>
        <w:tc>
          <w:tcPr>
            <w:tcW w:w="0" w:type="dxa"/>
            <w:vAlign w:val="bottom"/>
          </w:tcPr>
          <w:p>
            <w:pPr>
              <w:spacing w:after="0"/>
              <w:rPr>
                <w:sz w:val="1"/>
                <w:szCs w:val="1"/>
                <w:color w:val="auto"/>
              </w:rPr>
            </w:pPr>
          </w:p>
        </w:tc>
      </w:tr>
      <w:tr>
        <w:trPr>
          <w:trHeight w:val="142"/>
        </w:trPr>
        <w:tc>
          <w:tcPr>
            <w:tcW w:w="49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2"/>
                <w:szCs w:val="12"/>
                <w:color w:val="auto"/>
              </w:rPr>
            </w:pPr>
          </w:p>
        </w:tc>
        <w:tc>
          <w:tcPr>
            <w:tcW w:w="56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139</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11.2%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3,095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436</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145</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13,291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1,958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1,660</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9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13,344</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12,040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1,779</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1,523</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color w:val="auto"/>
        </w:rPr>
        <w:t>See Note 7 to the Condensed Consolidated Financial Statements for a discussion of restructuring and other costs included in segment operating results. 21</w:t>
      </w:r>
    </w:p>
    <w:p>
      <w:pPr>
        <w:sectPr>
          <w:pgSz w:w="11900" w:h="16838" w:orient="portrait"/>
          <w:cols w:equalWidth="0" w:num="1">
            <w:col w:w="11060"/>
          </w:cols>
          <w:pgMar w:left="240" w:top="459" w:right="5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March 31, 2011 and 2010, PricewaterhouseCoopers LLP (PricewaterhouseCoopers) reported that it has applied limited procedures in accordance with professional standards for a review of such information. However, its report dated April 25, 2011,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74"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(the “Corporation”) as of March 31, 2011, and the related condensed consolidated statement of operations for the three-month periods ended March 31, 2011 and 2010 and the condensed consolidated statement of cash flows for the three-month periods ended March 31, 2011 and 2010. This interim financial information is the responsibility of the Corporation’s management.</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2010, and the related consolidated statements of operations, of cash flows and of changes in equity for the year then ended (not presented herein), and in our report dated February 10, 2011 (which included an explanatory paragraph with respect to the Corporation’s change in the manner of accounting for business combinations and noncontrolling interests)</w:t>
      </w:r>
      <w:r>
        <w:rPr>
          <w:rFonts w:ascii="Arial" w:cs="Arial" w:eastAsia="Arial" w:hAnsi="Arial"/>
          <w:sz w:val="16"/>
          <w:szCs w:val="16"/>
          <w:i w:val="1"/>
          <w:iCs w:val="1"/>
          <w:color w:val="auto"/>
        </w:rPr>
        <w:t>,</w:t>
      </w:r>
      <w:r>
        <w:rPr>
          <w:rFonts w:ascii="Arial" w:cs="Arial" w:eastAsia="Arial" w:hAnsi="Arial"/>
          <w:sz w:val="16"/>
          <w:szCs w:val="16"/>
          <w:color w:val="auto"/>
        </w:rPr>
        <w:t xml:space="preserve"> we expressed an unqualified opinion on those consolidated financial statements. In our opinion, the information set forth in the accompanying condensed consolidated balance sheet as of December 31, 2010, is fairly stated in all material respects in relation to the consolidated balance sheet from which it has been derived.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25,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are a global provider of high technology products and services to the building systems and aerospace industries. Our operations are classified into six principal business segments: Otis, Carrier, UTC Fire &amp; Security, Pratt &amp; Whitney, Hamilton Sundstrand and Sikorsky. Otis, Carrier and UTC Fire &amp; Security are collectively referred to as the “commercial businesses,” while Pratt &amp; Whitney, Hamilton Sundstrand and Sikorsky are collectively referred to as the “aerospace businesses.” Certain reclassifications have been made to the prior year amounts to conform to the current year presentation. We previously reported “Other income, net,” which included “Interest income,” as a component of “Revenues.” “Other income, net,” excluding “Interest income,” is now reflected as a component of “Costs, Expenses and Other,” while “Interest income” is now netted with “Interest expense” for financial statement presentation. The current status of significant factors impacting our business environment in 2011 is discussed below. For additional discussion, refer to the “Business Overview” section in Management’s Discussion and Analysis of Financial Condition and Results of Operations in our 2010 Annual Report, which is incorporated by reference in our 2010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As worldwide businesses, our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businesses include both commercial and aerospace operations, original equipment manufacturing (OEM) and extensive related aftermarket parts and services businesses, as well as the combination of shorter cycles at Carrier and in our commercial aerospace aftermarket businesses, and longer cycles at Otis and at our aerospace OEM businesses. Our customers include companies in the private sector and governments, and our businesses reflect an extensive geographic diversification that has evolved with the continued globalization of world economies.</w:t>
      </w:r>
    </w:p>
    <w:p>
      <w:pPr>
        <w:spacing w:after="0" w:line="1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global economy, which showed signs of gradual improvement in 2010, continued to gain traction through the first three months of 2011, led by continued growth in emerging markets. While we expect there will be some impact from the turmoil in the Middle East and the recent earthquake and related events in Japan, end markets are generally improving as expected. In the United States, recent employment and consumer spending data are encouraging and indicate signs of further recovery, while Europe remains generally stable in spite of continuing sovereign debt concerns. As a result of the economic improvements, we are experiencing a strong rebound in our short cycle businesses such as Carrier’s Transicold and U.S. residential heating, ventilating, and air conditioning (HVAC), as well as within the commercial aerospace aftermarket businesses within both Pratt &amp; Whitney and Hamilton Sundstrand. These improvements contributed to organic sales growth in the first quarter of 2011. Our longer cycle businesses are gaining traction, with growth in commercial aerospace OEM, global commercial HVAC at Carrier, as well as at UTC Fire &amp; Security. Otis new equipment sales are lagging, but solid order trends provide confidence in sales recovery in the second half of 2011. Order rates in the first quarter of 2011 remain strong, with strength in commercial spares orders at Pratt &amp; Whitney and Hamilton Sundstrand, growth in new equipment orders at Otis and global commercial HVAC new equipment orders at Carrier.</w:t>
      </w:r>
    </w:p>
    <w:p>
      <w:pPr>
        <w:spacing w:after="0" w:line="123"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Consolidated net sales increased 11% in the first quarter of 2011, as compared to the same period of 2010. This reflects organic sales growth (9%), the benefit from foreign currency translation (1%) and the impact from net acquisitions (1%), as further discussed below within “Results of Continuing Operations.” Along with the consolidated net sales increase, consolidated operating profit increased 17% in the first quarter of 2011, as compared with the same period of</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2010. This year-over-year improvement primarily reflects an increase in operational profit (12%), driven by higher volumes partially offset by higher research and development and commodity costs, lower year-over-year restructuring costs (2%) and the year-over-year beneficial impact from net gains related to business divestiture activity (3%). For the full year of 2011, we now expect an adverse impact on operating profits from gross commodity cost increases of approximately $250 million and incremental research and development investment in the range of $200 million to $225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commercial businesses generally serve customers in the worldwide commercial and residential property industries, although Carrier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Carrier’s financial performance can also be influenced by production and utilization of transport equipment, and, in the case of its residential business, weather conditions. To ensure adequate supply of Carrier products in the distribution channel, Carrier customarily offers its customers incentives to purchase products. The principal incentive program provides reimbursements to distributors for offering promotional pricing on Carrier products. We account for incentive payments made as a reduction to sales.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Within the Otis segment, sales increased 2% in the first quarter of 2011, compared with the same period of 2010. The favorable impact of foreign currency translation (2%) and acquisitions (1%) was partially offset by lower organic sales (1%). Organic sales decreased due to a decline in new equipment sales mitigated by continued growth in the contractual maintenance business and improvements in repair volume. New equipment orders increased 17% in the first quarter of 2011, compared with the same period of 2010, with strong order growth in North America, Europe and China. Pricing remained under pressure in most markets.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Within Carrier, market improvements in the transport refrigeration and North American residential markets drove 18% organic sales growth during the first quarter of 2011. Carrier continued its transformation to a higher returns business, as evidenced by strong operating profit margin expansion in the first quarter of 2011, from strong profit conversion on its 18% organic sales growth. Commercial HVAC new equipment orders at Carrier grew 26% in the first quarter of 2011, compared with the same period of 2010, while U.S. residential gas furnace and splits unit shipments were also strong in the quarter despite continuing weakness in the U.S. housing market.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UTC Fire &amp; Security experienced a 15% increase in sales in the first three months of 2011, compared to the same period of 2010, led by the positive impact from the acquisition of the GE Security business in March 2010. Organic sales increased 3% reflecting growth in the products and service and install businesses, while total orders in the first quarter of 2011 also grew 3% organically. Within the service and install businesses, all regions, except for the U.K., experienced order growth.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aerospace businesses serve both commercial and government aerospace customers. In addition, elements of Pratt &amp; Whitney and Hamilton Sundstrand also serve customers in the industrial markets.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43"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The commercial airline industry rebounded in 2010 and continues to gain traction in 2011. While airlines have maintained pricing and capacity discipline, sustained high oil prices will challenge the airlines and are expected to adversely impact airline profitability, and as a result could lead to reduced capacity and lower commercial aerospace aftermarket demand. Some airlines have already announced slower capacity growth for later in 2011. Despite these potential future adverse impacts, commercial aerospace aftermarket demand was robust in the first quarter of 2011. Commercial aerospace spares orders at Pratt &amp; Whitney’s large commercial engine business and at Hamilton Sundstrand increased 33% and 23%, respectively, as compared with the same period of 2010. These increases in order rates have led to a corresponding increase in commercial aerospace aftermarket volume at both Pratt &amp; Whitney and Hamilton Sundstrand, and accordingly, consolidated commercial aerospace aftermarket sales increased 22% in the first quarter of 2011, as compared with the same period of 2010.</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Total sales at Sikorsky increased 16% in the first quarter of 2011, as compared to the same period of 2010, driven by increased international development aircraft and higher aftermarket volumes, partially offset by continued commercial market weakness. Sikorsky continued to benefit from U.S. government spending, although deficit reduction measures by the U.S. government are expected to pressure the U.S. Department of Defense budget in coming years, resulting in a decline in U.S. Department of Defense spending. Notwithstanding these expected pressures, Sikorsky’s military backlog remains very strong.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and Disposition Activity</w:t>
      </w:r>
    </w:p>
    <w:p>
      <w:pPr>
        <w:spacing w:after="0" w:line="9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w:t>
      </w:r>
    </w:p>
    <w:p>
      <w:pPr>
        <w:spacing w:after="0" w:line="8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first quarter of 2011, our investment in business acquisitions was $106 million, and consisted primarily of a number of small acquisitions in both our commercial and aerospace businesses. We recorded the excess of the purchase price over the estimated fair value of the assets acquired as an increase in goodwill. As a result of acquisition activity, goodwill increased approximately $215 million in the first three months of 2011. We expect to invest approximately $1.5 billion in acquisitions in 2011, including those investments made during the first three months of 2011, although this will depend upon the timing, availability and the appropriate value of potential acquisition opportunities.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result of the recent earthquake and related events in Japan, we continue to assess our operations and supply chain with the current expectation of some short-term disruptions in our businesses due largely to supply chain difficulties. Of principal focus are electronics, including microprocessors, capacitors, and other such components which are included in many of our products and across many of our businesses. We continue to work with suppliers in securing available inventory and alternate sources and we expect that the impact of disruptions, if any, will only occur in the second half of 2011. At this point we do not anticipate that any potential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impacts will have a significant effect on our cash flows, competitive position, financial condition or results of operations. In light of these circumstances, we have also evaluated our self-insurance reserves and believe we have adequately provided for the currently estimated potential exposure.</w:t>
      </w:r>
    </w:p>
    <w:p>
      <w:pPr>
        <w:spacing w:after="0" w:line="8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Commercial airline financial distress and consolidation, global economic conditions, changes in raw material and commodity prices, interest rates, foreign currency exchange rates, energy costs, and the impact from natural disasters and weather conditions create uncertainties that could impact our earnings outlook for the remainder of 2011. See Part II, Item 1A, “Risk Factors” in this Form 10-Q for further discussion.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2010 Annual Report, incorporated by reference in our 2010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first three months of 2011.</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CONTINUING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40" w:type="dxa"/>
            <w:vAlign w:val="bottom"/>
          </w:tcPr>
          <w:p>
            <w:pPr>
              <w:spacing w:after="0"/>
              <w:rPr>
                <w:sz w:val="14"/>
                <w:szCs w:val="14"/>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4400" w:type="dxa"/>
            <w:vAlign w:val="bottom"/>
            <w:gridSpan w:val="3"/>
            <w:vMerge w:val="continue"/>
          </w:tcPr>
          <w:p>
            <w:pPr>
              <w:spacing w:after="0"/>
              <w:rPr>
                <w:sz w:val="12"/>
                <w:szCs w:val="12"/>
                <w:color w:val="auto"/>
              </w:rPr>
            </w:pPr>
          </w:p>
        </w:tc>
        <w:tc>
          <w:tcPr>
            <w:tcW w:w="2040" w:type="dxa"/>
            <w:vAlign w:val="bottom"/>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$ 13,344</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$ 12,040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Percentage change year-over-year</w:t>
            </w:r>
          </w:p>
        </w:tc>
        <w:tc>
          <w:tcPr>
            <w:tcW w:w="3080" w:type="dxa"/>
            <w:vAlign w:val="bottom"/>
            <w:gridSpan w:val="3"/>
          </w:tcPr>
          <w:p>
            <w:pPr>
              <w:jc w:val="right"/>
              <w:ind w:right="300"/>
              <w:spacing w:after="0"/>
              <w:rPr>
                <w:sz w:val="20"/>
                <w:szCs w:val="20"/>
                <w:color w:val="auto"/>
              </w:rPr>
            </w:pPr>
            <w:r>
              <w:rPr>
                <w:rFonts w:ascii="Arial" w:cs="Arial" w:eastAsia="Arial" w:hAnsi="Arial"/>
                <w:sz w:val="18"/>
                <w:szCs w:val="18"/>
                <w:color w:val="auto"/>
              </w:rPr>
              <w:t>10.8%</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11% increase in the first quarter net sales in 2011, as compared with the same period of 2010, reflects organic sales growth (9%), the beneficial impact of foreign currency translation (1%) and the impact of net acquisitions (1%). As discussed above in the “Business Overview,” five of the six business segments experienced organic sales growth in the quarter, with Carrier reflecting 18% organic sales growth and Sikorsky reflecting 15% growth. While the strong organic growth partially reflects favorable comparisons to a weaker first quarter of 2010, it is also evidence of a broader recovery in our end markets. The organic growth at Carrier is driven primarily by the transport refrigeration and North America residential markets, while Sikorsky’s organic growth reflects higher sales driven by increased international development aircraft and higher aftermarket volumes. Higher commercial aerospace aftermarket sales volumes led the organic growth at both Pratt &amp; Whitney and Hamilton Sundstrand in the first quarter of 2011.</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6"/>
              </w:rPr>
              <w:t>Quarter Ended March 31,</w:t>
            </w:r>
          </w:p>
        </w:tc>
        <w:tc>
          <w:tcPr>
            <w:tcW w:w="0" w:type="dxa"/>
            <w:vAlign w:val="bottom"/>
          </w:tcPr>
          <w:p>
            <w:pPr>
              <w:spacing w:after="0"/>
              <w:rPr>
                <w:sz w:val="1"/>
                <w:szCs w:val="1"/>
                <w:color w:val="auto"/>
              </w:rPr>
            </w:pPr>
          </w:p>
        </w:tc>
      </w:tr>
      <w:tr>
        <w:trPr>
          <w:trHeight w:val="142"/>
        </w:trPr>
        <w:tc>
          <w:tcPr>
            <w:tcW w:w="3500" w:type="dxa"/>
            <w:vAlign w:val="bottom"/>
            <w:gridSpan w:val="3"/>
            <w:vMerge w:val="continue"/>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2011</w:t>
            </w: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3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Percentage of product sales</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74.4%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 sold</w:t>
            </w:r>
          </w:p>
        </w:tc>
        <w:tc>
          <w:tcPr>
            <w:tcW w:w="3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Percentage of service sales</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products and services sold</w:t>
            </w:r>
          </w:p>
        </w:tc>
        <w:tc>
          <w:tcPr>
            <w:tcW w:w="3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Percentage change year-over-year</w:t>
            </w: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940" w:type="dxa"/>
            <w:vAlign w:val="bottom"/>
          </w:tcPr>
          <w:p>
            <w:pPr>
              <w:jc w:val="right"/>
              <w:ind w:right="19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factors contributing to the total percentage change year-over-year for the quarter ended March 31, 2011 in total cost of products and services sold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Organic volume</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vMerge w:val="continue"/>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first quarter of 2011, both total cost of products and services sold and overall sales volumes increased, as compared with the same period of 2010. Total cost of products and services sold grew organically (8%) at a rate lower than organic sales growth of 9% reflecting the beneficial impact from improved volume of higher margin product and services including commercial aerospace aftermarket sales at both Pratt &amp; Whitney and Hamilton Sundstrand, transport refrigeration and U.S. residential HVAC sales at Carrier, and continued growth in the contractual maintenance business and increased repair volume at Otis. The year-over-year increase in cost of services sold as a percentage of service sales was primarily attributable to the timing of long-term aerospace service contracts. Cost of products and services sold also benefited from operational improvements across the businesses including cost savings and benefits of restructuring actions taken. These improvements were partially offset by the impact of higher commodity costs year-over-year.</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480" w:type="dxa"/>
            <w:vAlign w:val="bottom"/>
          </w:tcPr>
          <w:p>
            <w:pPr>
              <w:spacing w:after="0"/>
              <w:rPr>
                <w:sz w:val="14"/>
                <w:szCs w:val="14"/>
                <w:color w:val="auto"/>
              </w:rPr>
            </w:pPr>
          </w:p>
        </w:tc>
        <w:tc>
          <w:tcPr>
            <w:tcW w:w="21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4080" w:type="dxa"/>
            <w:vAlign w:val="bottom"/>
            <w:gridSpan w:val="3"/>
            <w:vMerge w:val="continue"/>
          </w:tcPr>
          <w:p>
            <w:pPr>
              <w:spacing w:after="0"/>
              <w:rPr>
                <w:sz w:val="12"/>
                <w:szCs w:val="12"/>
                <w:color w:val="auto"/>
              </w:rPr>
            </w:pPr>
          </w:p>
        </w:tc>
        <w:tc>
          <w:tcPr>
            <w:tcW w:w="248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88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$ 3,703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3,308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3480" w:type="dxa"/>
            <w:vAlign w:val="bottom"/>
            <w:gridSpan w:val="3"/>
          </w:tcPr>
          <w:p>
            <w:pPr>
              <w:jc w:val="right"/>
              <w:ind w:right="280"/>
              <w:spacing w:after="0"/>
              <w:rPr>
                <w:sz w:val="20"/>
                <w:szCs w:val="20"/>
                <w:color w:val="auto"/>
              </w:rPr>
            </w:pPr>
            <w:r>
              <w:rPr>
                <w:rFonts w:ascii="Arial" w:cs="Arial" w:eastAsia="Arial" w:hAnsi="Arial"/>
                <w:sz w:val="18"/>
                <w:szCs w:val="18"/>
                <w:color w:val="auto"/>
              </w:rPr>
              <w:t>27.8%</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increase in gross margin as a percentage of sales for the first quarter of 2011, as compared to the same period of 2010, reflects the benefit from increased sales volumes of higher margin product and services, continued focus on cost reduction, savings from previously initiated restructuring actions, net operational efficiencies and the beneficial impact of lower year-over-year restructuring costs (20 basis points). These improvements were partially offset by the adverse impact of losses associated with international development aircraft sales at Sikorsky and higher commodity costs year-over-year.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380" w:type="dxa"/>
            <w:vAlign w:val="bottom"/>
          </w:tcPr>
          <w:p>
            <w:pPr>
              <w:spacing w:after="0"/>
              <w:rPr>
                <w:sz w:val="14"/>
                <w:szCs w:val="14"/>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3980" w:type="dxa"/>
            <w:vAlign w:val="bottom"/>
            <w:gridSpan w:val="3"/>
            <w:vMerge w:val="continue"/>
          </w:tcPr>
          <w:p>
            <w:pPr>
              <w:spacing w:after="0"/>
              <w:rPr>
                <w:sz w:val="12"/>
                <w:szCs w:val="12"/>
                <w:color w:val="auto"/>
              </w:rPr>
            </w:pPr>
          </w:p>
        </w:tc>
        <w:tc>
          <w:tcPr>
            <w:tcW w:w="2380" w:type="dxa"/>
            <w:vAlign w:val="bottom"/>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Company-funded</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485</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3480" w:type="dxa"/>
            <w:vAlign w:val="bottom"/>
            <w:gridSpan w:val="3"/>
          </w:tcPr>
          <w:p>
            <w:pPr>
              <w:jc w:val="right"/>
              <w:ind w:right="400"/>
              <w:spacing w:after="0"/>
              <w:rPr>
                <w:sz w:val="20"/>
                <w:szCs w:val="20"/>
                <w:color w:val="auto"/>
              </w:rPr>
            </w:pPr>
            <w:r>
              <w:rPr>
                <w:rFonts w:ascii="Arial" w:cs="Arial" w:eastAsia="Arial" w:hAnsi="Arial"/>
                <w:sz w:val="18"/>
                <w:szCs w:val="18"/>
                <w:color w:val="auto"/>
              </w:rPr>
              <w:t>3.6%</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Customer-funded</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3480" w:type="dxa"/>
            <w:vAlign w:val="bottom"/>
            <w:gridSpan w:val="3"/>
          </w:tcPr>
          <w:p>
            <w:pPr>
              <w:jc w:val="right"/>
              <w:ind w:right="400"/>
              <w:spacing w:after="0"/>
              <w:rPr>
                <w:sz w:val="20"/>
                <w:szCs w:val="20"/>
                <w:color w:val="auto"/>
              </w:rPr>
            </w:pPr>
            <w:r>
              <w:rPr>
                <w:rFonts w:ascii="Arial" w:cs="Arial" w:eastAsia="Arial" w:hAnsi="Arial"/>
                <w:sz w:val="18"/>
                <w:szCs w:val="18"/>
                <w:color w:val="auto"/>
              </w:rPr>
              <w:t>3.2%</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and includes investments in the next generation product family at Pratt &amp; Whitney, the Boeing 787 program at Hamilton Sundstrand, and various engine programs at Pratt &amp; Whitney Canada (P&amp;WC). The increase in amount in year-over-year company-funded research and development for the quarter ended March 31, 2011, as compared to the same period of 2010, primarily reflects an increase at Pratt &amp; Whitney related to the next generation product family. The amount of company-funded research and development for the full year 2011 is expected to increase in the range of $200 million to $225 million from 2010 levels as a result of our continued focus on developing new technologies, led by Pratt &amp; Whitney.</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decrease in amount in customer-funded research and development in the first quarter of 2011, compared to the same period in 2010 was primarily driven by a decrease at Pratt &amp; Whitney related to a reduction in development spending on the Joint Strike Fighter program.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720" w:type="dxa"/>
            <w:vAlign w:val="bottom"/>
          </w:tcPr>
          <w:p>
            <w:pPr>
              <w:spacing w:after="0"/>
              <w:rPr>
                <w:sz w:val="14"/>
                <w:szCs w:val="14"/>
                <w:color w:val="auto"/>
              </w:rPr>
            </w:pPr>
          </w:p>
        </w:tc>
        <w:tc>
          <w:tcPr>
            <w:tcW w:w="21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4840" w:type="dxa"/>
            <w:vAlign w:val="bottom"/>
            <w:gridSpan w:val="3"/>
            <w:vMerge w:val="continue"/>
          </w:tcPr>
          <w:p>
            <w:pPr>
              <w:spacing w:after="0"/>
              <w:rPr>
                <w:sz w:val="12"/>
                <w:szCs w:val="12"/>
                <w:color w:val="auto"/>
              </w:rPr>
            </w:pPr>
          </w:p>
        </w:tc>
        <w:tc>
          <w:tcPr>
            <w:tcW w:w="172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1,424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2720" w:type="dxa"/>
            <w:vAlign w:val="bottom"/>
            <w:gridSpan w:val="3"/>
          </w:tcPr>
          <w:p>
            <w:pPr>
              <w:jc w:val="right"/>
              <w:ind w:right="280"/>
              <w:spacing w:after="0"/>
              <w:rPr>
                <w:sz w:val="20"/>
                <w:szCs w:val="20"/>
                <w:color w:val="auto"/>
              </w:rPr>
            </w:pPr>
            <w:r>
              <w:rPr>
                <w:rFonts w:ascii="Arial" w:cs="Arial" w:eastAsia="Arial" w:hAnsi="Arial"/>
                <w:sz w:val="18"/>
                <w:szCs w:val="18"/>
                <w:color w:val="auto"/>
              </w:rPr>
              <w:t>11.6%</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increase in selling, general and administrative expenses in the first quarter of 2011, as compared to the same period of 2010, is due primarily to the impact of acquisitions completed over the preceding twelve months, including the acquisition of the GE Security business in March 2010 and the acquisition of Clipper in December 2010. As a percentage of sales, the 20 basis point year-over-year decrease primarily reflects the beneficial impact from increased sales, Carrier’s ongoing portfolio transformation and the impact of lower year-over-year restructuring costs, partially offset by the impact from recent acquisitions.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ind w:left="14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3900" w:type="dxa"/>
            <w:vAlign w:val="bottom"/>
            <w:gridSpan w:val="3"/>
            <w:vMerge w:val="continue"/>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Other income, net includes the operational impact of equity earnings in unconsolidated entities, royalty income, foreign exchange gains and losses as well as other ongoing and non-recurring items. The year-over-year change in other income, net in the first quarter of 2011, as compared with the same period of 2010, largely reflects the year-over-year impact from divestiture related activity, including a gain at Pratt &amp; Whitney from the sale of an equity interest in a venture and a gain at UTC Fire &amp; Security related to the disposition of the U.K. guarding business, both recorded in the first quarter of 2011. The year-over-year increase also reflects earnings improvement in Carrier’s Japan joint venture of approximately $20 million and the absence of approximately $20 million of charges recorded in the first quarter of 2010 associated with Carrier’s portfolio transformation.</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4200" w:type="dxa"/>
            <w:vAlign w:val="bottom"/>
            <w:gridSpan w:val="3"/>
            <w:vMerge w:val="continue"/>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3"/>
              </w:rPr>
              <w:t>2011</w:t>
            </w: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87"/>
              </w:rPr>
              <w:t>Interest expense</w:t>
            </w:r>
          </w:p>
        </w:tc>
        <w:tc>
          <w:tcPr>
            <w:tcW w:w="30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Average interest expense rate</w:t>
            </w: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gridSpan w:val="3"/>
            <w:vMerge w:val="continue"/>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decrease in interest expense, net in the first quarter of 2011, as compared with the same period of 2010, was led by the impact from lower average long-term debt balances and lower average interest expense rates year-over-year. Interest expense also reflects the low cost associated with our commercial paper borrowings.</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07"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0</wp:posOffset>
            </wp:positionV>
            <wp:extent cx="13379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7880"/>
        <w:spacing w:after="0"/>
        <w:tabs>
          <w:tab w:leader="none" w:pos="940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p>
    <w:p>
      <w:pPr>
        <w:spacing w:after="0" w:line="20" w:lineRule="exact"/>
        <w:rPr>
          <w:sz w:val="20"/>
          <w:szCs w:val="20"/>
          <w:color w:val="auto"/>
        </w:rPr>
      </w:pPr>
    </w:p>
    <w:tbl>
      <w:tblPr>
        <w:tblLayout w:type="fixed"/>
        <w:tblInd w:w="1380" w:type="dxa"/>
        <w:tblCellMar>
          <w:top w:w="0" w:type="dxa"/>
          <w:left w:w="0" w:type="dxa"/>
          <w:bottom w:w="0" w:type="dxa"/>
          <w:right w:w="0" w:type="dxa"/>
        </w:tblCellMar>
      </w:tblPr>
      <w:tr>
        <w:trPr>
          <w:trHeight w:val="20"/>
        </w:trPr>
        <w:tc>
          <w:tcPr>
            <w:tcW w:w="6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0"/>
        </w:trPr>
        <w:tc>
          <w:tcPr>
            <w:tcW w:w="6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Effective tax rate</w:t>
            </w:r>
          </w:p>
        </w:tc>
        <w:tc>
          <w:tcPr>
            <w:tcW w:w="1520" w:type="dxa"/>
            <w:vAlign w:val="bottom"/>
            <w:gridSpan w:val="2"/>
            <w:shd w:val="clear" w:color="auto" w:fill="CCEEFF"/>
          </w:tcPr>
          <w:p>
            <w:pPr>
              <w:jc w:val="right"/>
              <w:ind w:right="820"/>
              <w:spacing w:after="0" w:line="189" w:lineRule="exact"/>
              <w:rPr>
                <w:sz w:val="20"/>
                <w:szCs w:val="20"/>
                <w:color w:val="auto"/>
              </w:rPr>
            </w:pPr>
            <w:r>
              <w:rPr>
                <w:rFonts w:ascii="Arial" w:cs="Arial" w:eastAsia="Arial" w:hAnsi="Arial"/>
                <w:sz w:val="18"/>
                <w:szCs w:val="18"/>
                <w:color w:val="auto"/>
              </w:rPr>
              <w:t>32.5%</w:t>
            </w:r>
          </w:p>
        </w:tc>
        <w:tc>
          <w:tcPr>
            <w:tcW w:w="8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30.0%</w:t>
            </w: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effective tax rate for the quarter ended March 31, 2011 has increased as compared to the same period of 2010 primarily reflecting an increase to the annual effective tax rate as a result of 2010 U.S. tax legislation. We expect our full year annual effective income tax rate in 2011 to be approximately 30.5%. As a result of 2010 U.S. tax legislation and the impact on our tax rate, we anticipate variability in the tax rate quarter to quarter. This is due to the tax impacts associated with planned internal legal entity reorganizations expected to occur during the remaining nine months of the year.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Income and Earnings Per Share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526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Less: Noncontrolling interest in subsidiaries’ earnings</w:t>
            </w:r>
          </w:p>
        </w:tc>
        <w:tc>
          <w:tcPr>
            <w:tcW w:w="1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60" w:type="dxa"/>
            <w:vAlign w:val="bottom"/>
            <w:gridSpan w:val="3"/>
            <w:vMerge w:val="continue"/>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Diluted earnings per share for the first quarter of 2011 includes a net charge of $.02 per share from restructuring, as compared to a $.05 per share charge in the same period of 2010. The impact of foreign currency generated a positive impact of $.01 per diluted share on our operational performance in the first quarter of 2011. This year-over-year impact also includes the beneficial impact of foreign currency hedging, which was offset by the net adverse foreign currency translation impact at P&amp;WC. At P&amp;WC, the weakness of the U.S. dollar in the first quarter of 2011 generated an adverse foreign currency translation impact as the majority of P&amp;WC’s sales are denominated in U.S. dollars, while a significant portion of its costs are incurred in local currencies. To help mitigate the volatility of foreign currency exchange rates on our operating results, we maintain foreign currency hedging programs, the majority of which are entered into by P&amp;WC. As a result of hedging programs currently in place, P&amp;WC’s 2011 full year operating results are expected to include a net adverse impact of hedging and foreign currency translation of approximately $75 million. For additional discussion of hedging, refer to Note 8 to the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Costs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the first three months of 2011, we recorded pre-tax restructuring and other costs totaling $31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32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costs included $18 million recorded in cost of sales and $13 million in selling, general and administrative expenses. As described below, these costs primarily relate to actions initiated during 2011 and 2010.</w:t>
      </w:r>
    </w:p>
    <w:p>
      <w:pPr>
        <w:spacing w:after="0" w:line="12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2011 Actions. </w:t>
      </w:r>
      <w:r>
        <w:rPr>
          <w:rFonts w:ascii="Arial" w:cs="Arial" w:eastAsia="Arial" w:hAnsi="Arial"/>
          <w:sz w:val="16"/>
          <w:szCs w:val="16"/>
          <w:color w:val="auto"/>
        </w:rPr>
        <w:t>During the first three months of 2011, we initiated restructuring actions relating to ongoing cost reduction efforts, including workforce reductions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consolidation of field operations. We recorded net pre-tax restructuring and other costs totaling $11 million as follows: Otis $3 million, Carrier $3 million, UTC Fire &amp; Security $2 million, Hamilton Sundstrand $2 million and Sikorsky $1 million. The charges included $6 million in cost of sales and $5 million in selling, general and administrative expenses, which were for severance and related employee termination costs.</w:t>
      </w:r>
    </w:p>
    <w:p>
      <w:pPr>
        <w:spacing w:after="0" w:line="109"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We expect the 2011 actions that were initiated in the first three months to result in net workforce reductions of approximately 300 hourly and salaried employees, the exiting of approximately 75,000 net square feet and the disposal of assets associated with exited facilities. We are targeting the majority of the workforce and all facility related cost reduction actions for completion during 2011 and 2012. Approximately 75% of the total pre-tax charge will require cash payments, which we will fund with cash generated from operations. During the first three months of 2011, we had cash outflows of approximately $1 million related to the 2011 actions. We expect to incur additional restructuring and other costs of $9 million to complete these actions. We expect recurring pre-tax savings to increase over the two-year period subsequent to initiating the actions to approximately $18 million annually.</w:t>
      </w:r>
    </w:p>
    <w:p>
      <w:pPr>
        <w:spacing w:after="0" w:line="11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 xml:space="preserve">2010 Actions. </w:t>
      </w:r>
      <w:r>
        <w:rPr>
          <w:rFonts w:ascii="Arial" w:cs="Arial" w:eastAsia="Arial" w:hAnsi="Arial"/>
          <w:sz w:val="16"/>
          <w:szCs w:val="16"/>
          <w:color w:val="auto"/>
        </w:rPr>
        <w:t>During the first three months of 2011, we recorded net pre-tax restructuring and other costs totaling $15 million for restructuring actions initiated</w:t>
      </w:r>
      <w:r>
        <w:rPr>
          <w:rFonts w:ascii="Arial" w:cs="Arial" w:eastAsia="Arial" w:hAnsi="Arial"/>
          <w:sz w:val="16"/>
          <w:szCs w:val="16"/>
          <w:b w:val="1"/>
          <w:bCs w:val="1"/>
          <w:color w:val="auto"/>
        </w:rPr>
        <w:t xml:space="preserve"> </w:t>
      </w:r>
      <w:r>
        <w:rPr>
          <w:rFonts w:ascii="Arial" w:cs="Arial" w:eastAsia="Arial" w:hAnsi="Arial"/>
          <w:sz w:val="16"/>
          <w:szCs w:val="16"/>
          <w:color w:val="auto"/>
        </w:rPr>
        <w:t>in 2010. The 2010 actions relate to ongoing cost reduction efforts, including workforce reductions and the consolidation of field operations. We recorded the charges for the first three months of 2011 as follows: Otis $1 million, Carrier $11 million, UTC Fire &amp; Security $2 million and Pratt &amp; Whitney $1 million. The charges included $11 million in cost of sales and $4 million in selling, general and administrative expenses. Those costs included $5 million for severance and related employee termination costs, $4 million for asset write-downs and $6 million for facility exit, lease termination costs and other related costs.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We expect the 2010 actions to result in net workforce reductions of approximately 5,000 hourly and salaried employees, the exiting of approximately 3.9 million net square feet of facilities and the disposal of assets associated with the exited facilities. As of March 31, 2011, we have completed net workforce reductions of approximately 3,000 employees and exited approximately 660,000 net square feet of facilities. We are targeting the majority of the remaining workforce and all facility related cost reduction actions for completion during 2011 and 2012. Approximately 80% of the total pre-tax charge will require cash payments, which we will fund with cash generated from operations. During the first three months of 2011, we had cash outflows of approximately $85 million related to the 2010 actions. We expect to incur additional restructuring and other costs of $68 million to complete these actions. We expect recurring pre-tax savings to increase over the two-year period subsequent to initiating the actions to approximately $350 million annually.</w:t>
      </w:r>
    </w:p>
    <w:p>
      <w:pPr>
        <w:spacing w:after="0" w:line="1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Additional 2011 Actions. </w:t>
      </w:r>
      <w:r>
        <w:rPr>
          <w:rFonts w:ascii="Arial" w:cs="Arial" w:eastAsia="Arial" w:hAnsi="Arial"/>
          <w:sz w:val="18"/>
          <w:szCs w:val="18"/>
          <w:color w:val="auto"/>
        </w:rPr>
        <w:t>We expect to initiate additional restructuring actions during the remainder of 2011. Including trailing costs related to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actions, we expect full year 2011 restructuring costs of approximately $150 million to $200 million, including the $31 million of charges incurred during the first three months of 2011. The expected adverse impact on full year earnings in 2011 from anticipated restructuring costs is expected to be offset by the beneficial impact from non-recurring items. Except for those actions described above, no specific plans for significant other actions have been finalized at this 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ended March 31, 2011 and 2010 are included in “Eliminations and other” below, which also includes certain smaller subsidiaries.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March 31, 2011 and 2010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4"/>
              </w:rPr>
              <w:t>Operating Profits</w:t>
            </w:r>
          </w:p>
        </w:tc>
        <w:tc>
          <w:tcPr>
            <w:tcW w:w="1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5"/>
              </w:rPr>
              <w:t>Operating Profit Margins</w:t>
            </w:r>
          </w:p>
        </w:tc>
        <w:tc>
          <w:tcPr>
            <w:tcW w:w="0" w:type="dxa"/>
            <w:vAlign w:val="bottom"/>
          </w:tcPr>
          <w:p>
            <w:pPr>
              <w:spacing w:after="0"/>
              <w:rPr>
                <w:sz w:val="1"/>
                <w:szCs w:val="1"/>
                <w:color w:val="auto"/>
              </w:rPr>
            </w:pPr>
          </w:p>
        </w:tc>
      </w:tr>
      <w:tr>
        <w:trPr>
          <w:trHeight w:val="142"/>
        </w:trPr>
        <w:tc>
          <w:tcPr>
            <w:tcW w:w="49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2"/>
                <w:szCs w:val="12"/>
                <w:color w:val="auto"/>
              </w:rPr>
            </w:pPr>
          </w:p>
        </w:tc>
        <w:tc>
          <w:tcPr>
            <w:tcW w:w="56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139</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11.2%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3,095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436</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145</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13,291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1,958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1,660</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9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13,344</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12,040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1,779</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1,523</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First quarter 2011 and 2010 restructuring and other costs included in consolidated operating profit totaled $31 million and $67 million, respectively,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ind w:left="16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2880" w:type="dxa"/>
            <w:vAlign w:val="bottom"/>
            <w:gridSpan w:val="3"/>
            <w:vMerge w:val="continue"/>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2011</w:t>
            </w: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16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40" w:type="dxa"/>
            <w:vAlign w:val="bottom"/>
            <w:vMerge w:val="restart"/>
          </w:tcPr>
          <w:p>
            <w:pPr>
              <w:jc w:val="right"/>
              <w:ind w:right="2012"/>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and segment discussions that follow address the factors that contributed to the year-over-year changes in net sales and operating profits: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40" w:type="dxa"/>
            <w:vAlign w:val="bottom"/>
            <w:gridSpan w:val="5"/>
          </w:tcPr>
          <w:p>
            <w:pPr>
              <w:ind w:left="420"/>
              <w:spacing w:after="0"/>
              <w:rPr>
                <w:sz w:val="20"/>
                <w:szCs w:val="20"/>
                <w:color w:val="auto"/>
              </w:rPr>
            </w:pPr>
            <w:r>
              <w:rPr>
                <w:rFonts w:ascii="Arial" w:cs="Arial" w:eastAsia="Arial" w:hAnsi="Arial"/>
                <w:sz w:val="14"/>
                <w:szCs w:val="14"/>
                <w:b w:val="1"/>
                <w:bCs w:val="1"/>
                <w:color w:val="auto"/>
              </w:rPr>
              <w:t>Quarter Ended March 31, 2011</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Net Sales</w:t>
            </w:r>
          </w:p>
        </w:tc>
        <w:tc>
          <w:tcPr>
            <w:tcW w:w="6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Operating Profit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Organic sales / Operational operating profit</w:t>
            </w:r>
          </w:p>
        </w:tc>
        <w:tc>
          <w:tcPr>
            <w:tcW w:w="1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600" w:type="dxa"/>
            <w:vAlign w:val="bottom"/>
            <w:gridSpan w:val="3"/>
          </w:tcPr>
          <w:p>
            <w:pPr>
              <w:ind w:left="1800"/>
              <w:spacing w:after="0"/>
              <w:rPr>
                <w:sz w:val="20"/>
                <w:szCs w:val="20"/>
                <w:color w:val="auto"/>
              </w:rPr>
            </w:pPr>
            <w:r>
              <w:rPr>
                <w:rFonts w:ascii="Arial" w:cs="Arial" w:eastAsia="Arial" w:hAnsi="Arial"/>
                <w:sz w:val="18"/>
                <w:szCs w:val="18"/>
                <w:color w:val="auto"/>
              </w:rPr>
              <w:t>2 %</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260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1 %</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14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1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2 %</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Sales increased $46 million (2%) in the first quarter of 2011, compared with the same period of 2010. The organic sales decline in the quarter was due to a decrease in overall new equipment sales (6%), driven by declines in Europe and North America, partially offset by continued growth in China. The decrease in new equipment sales was partially offset by continued growth in the contractual maintenance business and improvement in the repair volume.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profits increased $34 million (6%) in the first quarter of 2011, compared with the same period of 2010. Operational profit improvement in the quarter was principally due to higher service volume, which more than offset the decline in new equipment profit from lower new equipment sales as compared to the same period of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Carrier –</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Quarter Ended March 31, 2011</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9"/>
              </w:rPr>
              <w:t>Net Sales</w:t>
            </w: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Operating Profit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Organic sales / Operational operating profit</w:t>
            </w:r>
          </w:p>
        </w:tc>
        <w:tc>
          <w:tcPr>
            <w:tcW w:w="25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18 %</w:t>
            </w:r>
          </w:p>
        </w:tc>
        <w:tc>
          <w:tcPr>
            <w:tcW w:w="1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580" w:type="dxa"/>
            <w:vAlign w:val="bottom"/>
            <w:gridSpan w:val="3"/>
          </w:tcPr>
          <w:p>
            <w:pPr>
              <w:jc w:val="right"/>
              <w:ind w:right="520"/>
              <w:spacing w:after="0"/>
              <w:rPr>
                <w:sz w:val="20"/>
                <w:szCs w:val="20"/>
                <w:color w:val="auto"/>
              </w:rPr>
            </w:pPr>
            <w:r>
              <w:rPr>
                <w:rFonts w:ascii="Arial" w:cs="Arial" w:eastAsia="Arial" w:hAnsi="Arial"/>
                <w:sz w:val="18"/>
                <w:szCs w:val="18"/>
                <w:color w:val="auto"/>
              </w:rPr>
              <w:t>1 %</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2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1380" w:type="dxa"/>
            <w:vAlign w:val="bottom"/>
          </w:tcPr>
          <w:p>
            <w:pPr>
              <w:spacing w:after="0"/>
              <w:rPr>
                <w:sz w:val="18"/>
                <w:szCs w:val="18"/>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1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12 %</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Sales increased $299 million (12%) in the first quarter of 2011, compared with the same period of 2010. Organic sales growth was driven primarily by improvements in the transport refrigeration and North American residential markets. The 7% decrease in “Acquisitions and divestitures, net” reflects the net year-over-year impact from the disposition of businesses and the formation of noncontrolling ventures globally.</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Operating profits increased $171 million (123%) in the first quarter of 2011, compared with the same period of 2010. The operational operating profit improvement (110%) was largely driven by strong profit conversion on the organic sales growth, particularly in the higher margin transport refrigeration and U.S. residential HVAC businesses. The operational profit increase also benefited from earnings improvement in Carrier’s Japan joint venture (14%). These benefits were partially offset by higher net commodity costs (30%). The increase contributed by “Other” primarily reflects the absence of charges recorded in the first quarter of 2010 associated with Carrier’s ongoing portfolio transformation.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Fire &amp; Security –</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Quarter Ended March 31, 2011</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Net Sales</w:t>
            </w:r>
          </w:p>
        </w:tc>
        <w:tc>
          <w:tcPr>
            <w:tcW w:w="106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Operating Profit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Organic sales / Operational operating profit</w:t>
            </w:r>
          </w:p>
        </w:tc>
        <w:tc>
          <w:tcPr>
            <w:tcW w:w="38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3 %</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3820" w:type="dxa"/>
            <w:vAlign w:val="bottom"/>
            <w:gridSpan w:val="3"/>
          </w:tcPr>
          <w:p>
            <w:pPr>
              <w:jc w:val="right"/>
              <w:ind w:right="920"/>
              <w:spacing w:after="0"/>
              <w:rPr>
                <w:sz w:val="20"/>
                <w:szCs w:val="20"/>
                <w:color w:val="auto"/>
              </w:rPr>
            </w:pPr>
            <w:r>
              <w:rPr>
                <w:rFonts w:ascii="Arial" w:cs="Arial" w:eastAsia="Arial" w:hAnsi="Arial"/>
                <w:sz w:val="18"/>
                <w:szCs w:val="18"/>
                <w:color w:val="auto"/>
              </w:rPr>
              <w:t>2 %</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38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10 %</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2200" w:type="dxa"/>
            <w:vAlign w:val="bottom"/>
          </w:tcPr>
          <w:p>
            <w:pPr>
              <w:spacing w:after="0"/>
              <w:rPr>
                <w:sz w:val="18"/>
                <w:szCs w:val="18"/>
                <w:color w:val="auto"/>
              </w:rPr>
            </w:pPr>
          </w:p>
        </w:tc>
        <w:tc>
          <w:tcPr>
            <w:tcW w:w="162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2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40" w:type="dxa"/>
            <w:vAlign w:val="bottom"/>
            <w:vMerge w:val="continue"/>
          </w:tcPr>
          <w:p>
            <w:pPr>
              <w:spacing w:after="0"/>
              <w:rPr>
                <w:sz w:val="19"/>
                <w:szCs w:val="19"/>
                <w:color w:val="auto"/>
              </w:rPr>
            </w:pPr>
          </w:p>
        </w:tc>
        <w:tc>
          <w:tcPr>
            <w:tcW w:w="2200" w:type="dxa"/>
            <w:vAlign w:val="bottom"/>
          </w:tcPr>
          <w:p>
            <w:pPr>
              <w:spacing w:after="0"/>
              <w:rPr>
                <w:sz w:val="19"/>
                <w:szCs w:val="19"/>
                <w:color w:val="auto"/>
              </w:rPr>
            </w:pPr>
          </w:p>
        </w:tc>
        <w:tc>
          <w:tcPr>
            <w:tcW w:w="1620" w:type="dxa"/>
            <w:vAlign w:val="bottom"/>
            <w:gridSpan w:val="2"/>
          </w:tcPr>
          <w:p>
            <w:pPr>
              <w:jc w:val="right"/>
              <w:ind w:right="920"/>
              <w:spacing w:after="0"/>
              <w:rPr>
                <w:sz w:val="20"/>
                <w:szCs w:val="20"/>
                <w:color w:val="auto"/>
              </w:rPr>
            </w:pPr>
            <w:r>
              <w:rPr>
                <w:rFonts w:ascii="Arial" w:cs="Arial" w:eastAsia="Arial" w:hAnsi="Arial"/>
                <w:sz w:val="18"/>
                <w:szCs w:val="18"/>
                <w:color w:val="auto"/>
              </w:rPr>
              <w:t>15 %</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200" w:type="dxa"/>
            <w:vAlign w:val="bottom"/>
            <w:vMerge w:val="restart"/>
          </w:tcPr>
          <w:p>
            <w:pPr>
              <w:jc w:val="right"/>
              <w:ind w:right="1332"/>
              <w:spacing w:after="0"/>
              <w:rPr>
                <w:sz w:val="20"/>
                <w:szCs w:val="20"/>
                <w:color w:val="auto"/>
              </w:rPr>
            </w:pPr>
            <w:r>
              <w:rPr>
                <w:rFonts w:ascii="Arial" w:cs="Arial" w:eastAsia="Arial" w:hAnsi="Arial"/>
                <w:sz w:val="18"/>
                <w:szCs w:val="18"/>
                <w:color w:val="auto"/>
              </w:rPr>
              <w:t>30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Sales increased $213 million (15%) in the first quarter of 2011, compared with the same period of 2010. Organically, the increase reflects growth in the products as well as the service and install businesses. The growth in the service and install business was led by higher volume in Asia. The increase contributed by “Acquisitions and divestitures, net” reflects the year-over-year impact from the acquisition in March 2010 of the GE Security business.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Operating profits increased $39 million (32%) in the first quarter of 2011, compared with the same period of 2010. The operational profit improvement reflects the benefits of higher volumes and integrating operations. The increase contributed by “Acquisitions and divestitures, net” reflects the year-over-year impact from the acquisition in March 2010 of the GE Security business. The 11% contributed by “Other” reflects a gain from the disposition of the U.K. guarding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8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March 31,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9"/>
              </w:rPr>
              <w:t>Net Sales</w:t>
            </w: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Operating Profit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Organic sales */ Operational operating profit *</w:t>
            </w:r>
          </w:p>
        </w:tc>
        <w:tc>
          <w:tcPr>
            <w:tcW w:w="2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10 %</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Foreign currency (including P&amp;WC net hedging) *</w:t>
            </w:r>
          </w:p>
        </w:tc>
        <w:tc>
          <w:tcPr>
            <w:tcW w:w="2300" w:type="dxa"/>
            <w:vAlign w:val="bottom"/>
            <w:gridSpan w:val="3"/>
          </w:tcPr>
          <w:p>
            <w:pPr>
              <w:jc w:val="right"/>
              <w:ind w:right="460"/>
              <w:spacing w:after="0"/>
              <w:rPr>
                <w:sz w:val="20"/>
                <w:szCs w:val="20"/>
                <w:color w:val="auto"/>
              </w:rPr>
            </w:pPr>
            <w:r>
              <w:rPr>
                <w:rFonts w:ascii="Arial" w:cs="Arial" w:eastAsia="Arial" w:hAnsi="Arial"/>
                <w:sz w:val="18"/>
                <w:szCs w:val="18"/>
                <w:color w:val="auto"/>
              </w:rPr>
              <w:t>(1)%</w:t>
            </w:r>
          </w:p>
        </w:tc>
        <w:tc>
          <w:tcPr>
            <w:tcW w:w="1680" w:type="dxa"/>
            <w:vAlign w:val="bottom"/>
            <w:gridSpan w:val="3"/>
          </w:tcPr>
          <w:p>
            <w:pPr>
              <w:ind w:left="1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costs</w:t>
            </w:r>
          </w:p>
        </w:tc>
        <w:tc>
          <w:tcPr>
            <w:tcW w:w="1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5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1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9 %</w:t>
            </w:r>
          </w:p>
        </w:tc>
        <w:tc>
          <w:tcPr>
            <w:tcW w:w="168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right="80" w:hanging="212"/>
        <w:spacing w:after="0" w:line="294" w:lineRule="auto"/>
        <w:tabs>
          <w:tab w:leader="none" w:pos="2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As discussed further in the “Business Overview” and “Results of Operations” sections of Management’s Discussion and Analysis of Financial Condition and Results of Operations, for Pratt &amp; Whitney only, the transactional impact of foreign exchange hedging at P&amp;WC has been netted against the translational foreign exchange impact for presentation purposes in the above table. For all other segments, these foreign exchange transactional impacts are included within the organic sales/operational operating profit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Sales increased $254 million (9%) in the first quarter of 2011, compared with the same period of 2010. Organic sales growth is primarily attributable to growth in the large commercial engine business (11%), driven by higher commercial spares and aftermarket volumes and an increase at P&amp;WC (4%) on higher aftermarket volumes and engine sales. These increases were partially offset by a decline in the military engine business (5%) driven by lower military engine deliveries.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Operating profits increased $35 million (8%) in the first quarter of 2011, compared with the same period of 2010. Profit improvements within the large commercial engine business associated with the higher commercial spares and aftermarket volumes combined with higher profits at P&amp;WC as a result of higher sales volumes noted above were partially offset by lower profit contribution from the military engine business on lower military engine deliveries and development sales. This net benefit was offset by higher research and development costs (17%). The 4% contributed by “Other” reflects a gain on the sale of an equity interest in a venture in the first quarter of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40" w:type="dxa"/>
            <w:vAlign w:val="bottom"/>
            <w:gridSpan w:val="4"/>
          </w:tcPr>
          <w:p>
            <w:pPr>
              <w:ind w:left="420"/>
              <w:spacing w:after="0"/>
              <w:rPr>
                <w:sz w:val="20"/>
                <w:szCs w:val="20"/>
                <w:color w:val="auto"/>
              </w:rPr>
            </w:pPr>
            <w:r>
              <w:rPr>
                <w:rFonts w:ascii="Arial" w:cs="Arial" w:eastAsia="Arial" w:hAnsi="Arial"/>
                <w:sz w:val="14"/>
                <w:szCs w:val="14"/>
                <w:b w:val="1"/>
                <w:bCs w:val="1"/>
                <w:color w:val="auto"/>
              </w:rPr>
              <w:t>Quarter Ended March 31, 2011</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Net Sales</w:t>
            </w:r>
          </w:p>
        </w:tc>
        <w:tc>
          <w:tcPr>
            <w:tcW w:w="106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1"/>
              </w:rPr>
              <w:t>Operating Profit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Organic sales / Operational operating profit</w:t>
            </w:r>
          </w:p>
        </w:tc>
        <w:tc>
          <w:tcPr>
            <w:tcW w:w="14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9 %</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1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600" w:type="dxa"/>
            <w:vAlign w:val="bottom"/>
            <w:gridSpan w:val="2"/>
          </w:tcPr>
          <w:p>
            <w:pPr>
              <w:ind w:left="400"/>
              <w:spacing w:after="0"/>
              <w:rPr>
                <w:sz w:val="20"/>
                <w:szCs w:val="20"/>
                <w:color w:val="auto"/>
              </w:rPr>
            </w:pPr>
            <w:r>
              <w:rPr>
                <w:rFonts w:ascii="Arial" w:cs="Arial" w:eastAsia="Arial" w:hAnsi="Arial"/>
                <w:sz w:val="18"/>
                <w:szCs w:val="18"/>
                <w:color w:val="auto"/>
              </w:rPr>
              <w:t>9 %</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Sales increased $122 million (9%) in the first quarter of 2011, compared with the same period of 2010. The organic sales growth reflects higher volumes in both the aerospace (7%) and industrial (2%) businesses. The increase within aerospace was primarily attributable to higher commercial aftermarket spares and repair (5%) and OEM (2%) sales volumes. The industrial business increase was led by the compressor business attributable to general increases in infrastructure and industrial spending, particularly in the U.S. and Asia.</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Operating profits increased $23 million (10%) in the first quarter of 2011, compared with the same period of 2010. The increase in operational profit reflects an increase in both the aerospace (5%) and the industrial (5%) businesses. The increase within aerospace reflects the benefit from higher sales volume, primarily from higher margin commercial aftermarket sales, partially offset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by higher research and development costs (5%). The increase in the industrial business reflects the benefit from higher sales volume and cost reduction initiatives.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Quarter Ended March 31, 2011</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Net Sales</w:t>
            </w:r>
          </w:p>
        </w:tc>
        <w:tc>
          <w:tcPr>
            <w:tcW w:w="10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Operating Profit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Organic sales / Operational operating profit</w:t>
            </w:r>
          </w:p>
        </w:tc>
        <w:tc>
          <w:tcPr>
            <w:tcW w:w="16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15 %</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Acquisitions and divestitures, net</w:t>
            </w:r>
          </w:p>
        </w:tc>
        <w:tc>
          <w:tcPr>
            <w:tcW w:w="1600" w:type="dxa"/>
            <w:vAlign w:val="bottom"/>
            <w:gridSpan w:val="2"/>
          </w:tcPr>
          <w:p>
            <w:pPr>
              <w:jc w:val="right"/>
              <w:ind w:right="900"/>
              <w:spacing w:after="0"/>
              <w:rPr>
                <w:sz w:val="20"/>
                <w:szCs w:val="20"/>
                <w:color w:val="auto"/>
              </w:rPr>
            </w:pPr>
            <w:r>
              <w:rPr>
                <w:rFonts w:ascii="Arial" w:cs="Arial" w:eastAsia="Arial" w:hAnsi="Arial"/>
                <w:sz w:val="18"/>
                <w:szCs w:val="18"/>
                <w:color w:val="auto"/>
              </w:rPr>
              <w:t>1 %</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costs</w:t>
            </w:r>
          </w:p>
        </w:tc>
        <w:tc>
          <w:tcPr>
            <w:tcW w:w="5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vMerge w:val="continue"/>
          </w:tcPr>
          <w:p>
            <w:pPr>
              <w:spacing w:after="0"/>
              <w:rPr>
                <w:sz w:val="19"/>
                <w:szCs w:val="19"/>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8"/>
                <w:szCs w:val="18"/>
                <w:color w:val="auto"/>
              </w:rPr>
              <w:t>16 %</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Sales increased $224 million (16%) in the first quarter of 2011, compared with the same period of 2010. The organic sales growth was primarily driven by higher international development aircraft sales, including the first Canadian Maritime helicopter, and favorable configuration mix in military (15% combined). Net sales from commercial operations decreased (5%) due to continued commercial market weakness, while aftermarket support increased (5%) primarily driven by higher military volume.</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Operating profits decreased $4 million (3%) in the first quarter of 2011, compared with the same period of 2010. The decrease in operational profit includes the adverse impact of losses associated with international development aircraft sales (11%), offset by the beneficial impact from higher U.S. government volume. Operational profit within commercial operations decreased as a result of continued market weakness (2%) to account for the majority of the remaining year-over-year change.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Eliminations and other reflects the elimination of sales, other income and operating profit transacted between segments, as well as the operating results of certain smaller businesses such as UTC Power and Clipper. The year-over-year change in sales for the first quarter of 2011, as compared with the same period of 2010, primarily reflects the impact from the acquisition of Clipper. The year-over-year change in operating profit for the first quarter of 2011, as compared with the same period of 2010, primarily reflects the impact from higher self insurance and legal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9"/>
              </w:rPr>
              <w:t>March 31,</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March 31,</w:t>
            </w:r>
          </w:p>
        </w:tc>
      </w:tr>
      <w:tr>
        <w:trPr>
          <w:trHeight w:val="16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(Dollars in millions)</w:t>
            </w:r>
          </w:p>
        </w:tc>
        <w:tc>
          <w:tcPr>
            <w:tcW w:w="4600" w:type="dxa"/>
            <w:vAlign w:val="bottom"/>
          </w:tcPr>
          <w:p>
            <w:pPr>
              <w:spacing w:after="0"/>
              <w:rPr>
                <w:sz w:val="14"/>
                <w:szCs w:val="14"/>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r>
      <w:tr>
        <w:trPr>
          <w:trHeight w:val="21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6"/>
              </w:rPr>
              <w:t>$ 4,440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4,083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$ 4,788</w:t>
            </w:r>
          </w:p>
        </w:tc>
        <w:tc>
          <w:tcPr>
            <w:tcW w:w="20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10,487</w:t>
            </w:r>
          </w:p>
        </w:tc>
        <w:tc>
          <w:tcPr>
            <w:tcW w:w="1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10,289</w:t>
            </w:r>
          </w:p>
        </w:tc>
        <w:tc>
          <w:tcPr>
            <w:tcW w:w="600" w:type="dxa"/>
            <w:vAlign w:val="bottom"/>
          </w:tcPr>
          <w:p>
            <w:pPr>
              <w:jc w:val="right"/>
              <w:spacing w:after="0"/>
              <w:rPr>
                <w:sz w:val="20"/>
                <w:szCs w:val="20"/>
                <w:color w:val="auto"/>
              </w:rPr>
            </w:pPr>
            <w:r>
              <w:rPr>
                <w:rFonts w:ascii="Arial" w:cs="Arial" w:eastAsia="Arial" w:hAnsi="Arial"/>
                <w:sz w:val="18"/>
                <w:szCs w:val="18"/>
                <w:color w:val="auto"/>
              </w:rPr>
              <w:t>11,952</w:t>
            </w:r>
          </w:p>
        </w:tc>
        <w:tc>
          <w:tcPr>
            <w:tcW w:w="20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 and cash equivalents)</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6,047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6,206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20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23,126</w:t>
            </w:r>
          </w:p>
        </w:tc>
        <w:tc>
          <w:tcPr>
            <w:tcW w:w="1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22,332</w:t>
            </w:r>
          </w:p>
        </w:tc>
        <w:tc>
          <w:tcPr>
            <w:tcW w:w="600" w:type="dxa"/>
            <w:vAlign w:val="bottom"/>
          </w:tcPr>
          <w:p>
            <w:pPr>
              <w:jc w:val="right"/>
              <w:spacing w:after="0"/>
              <w:rPr>
                <w:sz w:val="20"/>
                <w:szCs w:val="20"/>
                <w:color w:val="auto"/>
              </w:rPr>
            </w:pPr>
            <w:r>
              <w:rPr>
                <w:rFonts w:ascii="Arial" w:cs="Arial" w:eastAsia="Arial" w:hAnsi="Arial"/>
                <w:sz w:val="18"/>
                <w:szCs w:val="18"/>
                <w:color w:val="auto"/>
              </w:rPr>
              <w:t>20,924</w:t>
            </w:r>
          </w:p>
        </w:tc>
        <w:tc>
          <w:tcPr>
            <w:tcW w:w="20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 (debt plus equity)</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33,613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32,621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32,876</w:t>
            </w:r>
          </w:p>
        </w:tc>
        <w:tc>
          <w:tcPr>
            <w:tcW w:w="20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29,173</w:t>
            </w:r>
          </w:p>
        </w:tc>
        <w:tc>
          <w:tcPr>
            <w:tcW w:w="1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28,538</w:t>
            </w:r>
          </w:p>
        </w:tc>
        <w:tc>
          <w:tcPr>
            <w:tcW w:w="600" w:type="dxa"/>
            <w:vAlign w:val="bottom"/>
          </w:tcPr>
          <w:p>
            <w:pPr>
              <w:jc w:val="right"/>
              <w:spacing w:after="0"/>
              <w:rPr>
                <w:sz w:val="20"/>
                <w:szCs w:val="20"/>
                <w:color w:val="auto"/>
              </w:rPr>
            </w:pPr>
            <w:r>
              <w:rPr>
                <w:rFonts w:ascii="Arial" w:cs="Arial" w:eastAsia="Arial" w:hAnsi="Arial"/>
                <w:sz w:val="18"/>
                <w:szCs w:val="18"/>
                <w:color w:val="auto"/>
              </w:rPr>
              <w:t>28,088</w:t>
            </w:r>
          </w:p>
        </w:tc>
        <w:tc>
          <w:tcPr>
            <w:tcW w:w="20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to total capitalization</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22"/>
        </w:trPr>
        <w:tc>
          <w:tcPr>
            <w:tcW w:w="5800" w:type="dxa"/>
            <w:vAlign w:val="bottom"/>
            <w:gridSpan w:val="2"/>
          </w:tcPr>
          <w:p>
            <w:pPr>
              <w:spacing w:after="0"/>
              <w:rPr>
                <w:sz w:val="20"/>
                <w:szCs w:val="20"/>
                <w:color w:val="auto"/>
              </w:rPr>
            </w:pPr>
            <w:r>
              <w:rPr>
                <w:rFonts w:ascii="Arial" w:cs="Arial" w:eastAsia="Arial" w:hAnsi="Arial"/>
                <w:sz w:val="18"/>
                <w:szCs w:val="18"/>
                <w:color w:val="auto"/>
              </w:rPr>
              <w:t>Net debt to net capitalization</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22%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bl>
    <w:p>
      <w:pPr>
        <w:spacing w:after="0" w:line="14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which, after netting out capital expenditures, we target to equal or exceed net income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Although the global financial crisis experienced over the last several years has subsided, uncertainties still exist, including the impact from the turmoil in the Middle East and earthquake in Japan. In the US, the recent employment and consumer spending data are encouraging signs of further recovery, while Europe generally remains stable in spite of continuing sovereign debt concerns.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3" w:lineRule="auto"/>
        <w:rPr>
          <w:sz w:val="20"/>
          <w:szCs w:val="20"/>
          <w:color w:val="auto"/>
        </w:rPr>
      </w:pPr>
      <w:r>
        <w:rPr>
          <w:rFonts w:ascii="Arial" w:cs="Arial" w:eastAsia="Arial" w:hAnsi="Arial"/>
          <w:sz w:val="15"/>
          <w:szCs w:val="15"/>
          <w:color w:val="auto"/>
        </w:rPr>
        <w:t>light of these circumstances, we continue to assess our current business, are closely monitoring the impact on our customers and suppliers, and have determined that overall there has not been a significant effect on our financial position, results of operations or liquidity during the first quarter of 2011. Due to the continued improvement in equity markets during the course of 2010, our domestic pension funds experienced a positive return on assets of approximately 15% in 2010.</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first quarter of 2011, our domestic funds have experienced modest, but positive, returns reflecting cautious market conditions. The continued recognition of prior pension losses and the impact of a lower discount rate, partially offset by additional funding and the positive returns experienced during 2010, are expected to increase pension expense in 2011 by approximately $150 million as compared to 2010.</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Approximately 89% of our domestic pension plans are invested in readily-liquid investments, including equity, fixed income, asset-backed receivables and structured products. The balance of our domestic pension plans (11%) is invested in less-liquid but market-valued investments, including real estate and private equity.</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strong debt ratings and financial position have historically enabled us to issue long-term debt at favorable market rates, including our issuance of $2.25 billion of long-term debt in February 2010. Our ability to obtain debt financing at comparable risk-based interest rates is partly a function of our existing debt-to-total-capitalization level as well as our current credit standing.</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March 31, 2011, we had committed revolving credit agreements from banks permitting aggregate borrowings of up to $3.0 billion under a $1.6 billion revolving credit agreement and a $1.4 billion multicurrency revolving credit agreement, which expire in November 2014 and December 2014, respectively. As of March 31, 2011, there were no borrowings under these revolving credit agreements. The undrawn portions of our revolving credit agreements are also available to serve as backup facilities for the issuance of commercial paper. As of March 31, 2011, our maximum commercial paper borrowing authority was $3 billion.</w:t>
      </w:r>
    </w:p>
    <w:p>
      <w:pPr>
        <w:spacing w:after="0" w:line="11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continue to have access to the commercial paper markets and our existing credit facilities, and expect to continue to generate strong operating cash flows. While the impact of market volatility cannot be predicted, we believe we have sufficient operating flexibility, cash reserves and funding sources to maintain adequate amounts of liquidity and to meet our future operating cash needs.</w:t>
      </w:r>
    </w:p>
    <w:p>
      <w:pPr>
        <w:spacing w:after="0" w:line="14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Given our extensive international operations, most of our cash is denominated in foreign currencies.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March 31, 2011, $52 million of restricted cash was reported in current assets in the Condensed Consolidated Balance Sheet. Restricted cash as of March 31, 2010 was not significant.</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780" w:type="dxa"/>
            <w:vAlign w:val="bottom"/>
          </w:tcPr>
          <w:p>
            <w:pPr>
              <w:spacing w:after="0"/>
              <w:rPr>
                <w:sz w:val="14"/>
                <w:szCs w:val="14"/>
                <w:color w:val="auto"/>
              </w:rPr>
            </w:pPr>
          </w:p>
        </w:tc>
        <w:tc>
          <w:tcPr>
            <w:tcW w:w="1820" w:type="dxa"/>
            <w:vAlign w:val="bottom"/>
            <w:gridSpan w:val="4"/>
          </w:tcPr>
          <w:p>
            <w:pPr>
              <w:ind w:left="1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5080" w:type="dxa"/>
            <w:vAlign w:val="bottom"/>
            <w:gridSpan w:val="3"/>
            <w:vMerge w:val="continue"/>
          </w:tcPr>
          <w:p>
            <w:pPr>
              <w:spacing w:after="0"/>
              <w:rPr>
                <w:sz w:val="12"/>
                <w:szCs w:val="12"/>
                <w:color w:val="auto"/>
              </w:rPr>
            </w:pPr>
          </w:p>
        </w:tc>
        <w:tc>
          <w:tcPr>
            <w:tcW w:w="1780" w:type="dxa"/>
            <w:vAlign w:val="bottom"/>
          </w:tcPr>
          <w:p>
            <w:pPr>
              <w:spacing w:after="0"/>
              <w:rPr>
                <w:sz w:val="12"/>
                <w:szCs w:val="12"/>
                <w:color w:val="auto"/>
              </w:rPr>
            </w:pPr>
          </w:p>
        </w:tc>
        <w:tc>
          <w:tcPr>
            <w:tcW w:w="6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1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1,361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increase in cash generated from operating activities in the first quarter of 2011 as compared with the same period in 2010 is due largely to the increase in net income attributable to common shareowners. Higher working capital cash requirements during the first quarter of 2011 were partially offset by the net combined improvements in other operational accounts, which reflected normal operational activity. During the first quarter of 2011, the net increase in working capital resulted in a cash outflow of $301 million compared to a cash outflow of $194 million during the first three months of 2010. This increase of $107 million was primarily driven by the higher working capital requirements associated with the increase in sales volumes. Increased inventory levels were partially offset by growth in accounts payable and accrued liabilities, while strong collections performance led to a minimal increase in accounts receivable levels. The net increase in accrued liabilities includes higher tax accruals resulting principally from higher earnings.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funded status of our pension plans is dependent upon many factors, including returns on invested assets and the level of market interest rates. We can contribute cash or company stock to our plans at our discretion, subject to applicable regulations. Total cash contributions to our global defined benefit pension plans during the first quarter of 2011 and 2010 were $29 million and $42 million, respectively. Improved investment returns and additional voluntary pension contributions during 2010 improved the funded status of all plans, helping to minimize future funding requirements. Contributions to our defined pension plans in 2011 are expected to meet or exceed the current funding requirements.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60" w:type="dxa"/>
            <w:vAlign w:val="bottom"/>
          </w:tcPr>
          <w:p>
            <w:pPr>
              <w:spacing w:after="0"/>
              <w:rPr>
                <w:sz w:val="14"/>
                <w:szCs w:val="14"/>
                <w:color w:val="auto"/>
              </w:rPr>
            </w:pPr>
          </w:p>
        </w:tc>
        <w:tc>
          <w:tcPr>
            <w:tcW w:w="20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4800" w:type="dxa"/>
            <w:vAlign w:val="bottom"/>
            <w:gridSpan w:val="3"/>
            <w:vMerge w:val="continue"/>
          </w:tcPr>
          <w:p>
            <w:pPr>
              <w:spacing w:after="0"/>
              <w:rPr>
                <w:sz w:val="12"/>
                <w:szCs w:val="12"/>
                <w:color w:val="auto"/>
              </w:rPr>
            </w:pPr>
          </w:p>
        </w:tc>
        <w:tc>
          <w:tcPr>
            <w:tcW w:w="1860" w:type="dxa"/>
            <w:vAlign w:val="bottom"/>
          </w:tcPr>
          <w:p>
            <w:pPr>
              <w:spacing w:after="0"/>
              <w:rPr>
                <w:sz w:val="12"/>
                <w:szCs w:val="12"/>
                <w:color w:val="auto"/>
              </w:rPr>
            </w:pPr>
          </w:p>
        </w:tc>
        <w:tc>
          <w:tcPr>
            <w:tcW w:w="5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2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(201)</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decrease in cash used in investing activities is largely a result of a decrease in acquisition activity in the first quarter of 2011, as compared with the same period of 2010. Investments in businesses in the first quarter of 2011 consisted of a number of small acquisitions in both our commercial and aerospace businesses. Investments in businesses in the first quarter of 2010 primarily reflected the acquisition of the GE Security business for approximately $1.8 billion and the acquisition of a 49.5% equity stake in Clipper for approximately $270 million. We expect total investments in businesses in 2011 to be approximately $1.5 billion, including acquisitions completed during the first quarter of 2011; however, actual acquisition spending may vary depending upon the timing, availability and appropriate value of acquisition opportunities. Capital expenditures increased $33 million primarily at Carrier and Hamilton Sundstrand, which included expenditures related to new product launches and capacity increases.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Customer financing activities were a net source of cash of $18 million for the first quarter of 2011, compared to a net use of cash of $50 million for the same period in 2010. While we expect that 2011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$1.9 billion and $2.0 billion related to commercial aircraft and certain contractual rights to provide product on new aircraft platforms at March 31, 2011 and December 31, 2010, respectively, of which as much as $157 million may be required to be disbursed during 2011.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360" w:type="dxa"/>
            <w:vAlign w:val="bottom"/>
          </w:tcPr>
          <w:p>
            <w:pPr>
              <w:spacing w:after="0"/>
              <w:rPr>
                <w:sz w:val="14"/>
                <w:szCs w:val="14"/>
                <w:color w:val="auto"/>
              </w:rPr>
            </w:pPr>
          </w:p>
        </w:tc>
        <w:tc>
          <w:tcPr>
            <w:tcW w:w="1980" w:type="dxa"/>
            <w:vAlign w:val="bottom"/>
            <w:gridSpan w:val="6"/>
          </w:tcPr>
          <w:p>
            <w:pPr>
              <w:ind w:left="20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534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provided by financing activities</w:t>
            </w:r>
          </w:p>
        </w:tc>
        <w:tc>
          <w:tcPr>
            <w:tcW w:w="2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(879)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timing and levels of certain cash flow activities, such as acquisitions and repurchases of our stock, have resulted in the issuance of both long-term and short-term debt. Commercial paper borrowings and revolving credit facilities provide short-term liquidity to supplement operating cash flows and are used for general corporate purposes, including the funding of potential acquisitions and repurchases of our stock. We had $209 million of commercial paper outstanding at March 31, 2011.</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repurchased $750 million of our common stock of which $727 million was paid for in the first quarter of 2011, under an existing 60 million share repurchase program. Share repurchases in the first quarter of 2011 represent approximately 9.1 million shares. In addition to management’s view that the repurchase of our common stock is a beneficial investment, we also repurchase to offset the dilutive effect of the issuance of stock and options under the stock-based employee benefit programs. At March 31, 2011, approximately 24.8 million shares remain available for repurchase under the share repurchase program. We expect total share repurchases in 2011 to approximate $2.5 billion; however, total repurchases may vary depending upon various factors including the level of other investing activities.</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paid dividends on Common Stock of $0.425 per share in the first quarter of 2011 totaling $368 million in the aggregate. On April 13, 2011, the Board of Directors declared a dividend of $0.48 per share payable June 10, 2011.</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2010 Annual Report, incorporated by reference in our 2010 Form 10-K, we disclosed our off-balance sheet arrangements and contractual obligations. At March 31, 2011, there have been no material changes to these off-balance sheet arrangements and contractual obligations outside the ordinary course of business except as otherwise disclosed.</w:t>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240" w:top="459" w:right="5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There has been no significant change in our exposure to market risk during the first three months of 2011. For discussion of our exposure to market risk, refer to Part II, Item 7A, “Quantitative and Qualitative Disclosures About Market Risk,” contained in our 2010 Form 10-K.</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As required by Rule 13a-15 under the Securities Exchange Act of 1934, as amended (Exchange Act), we carried out an evaluation under the supervision and with the participation of our management, including the Chairman &amp; Chief Executive Officer (CEO), the Senior Vice President and Chief Financial Officer (CFO) and the Vice President, Controller (Controller), of the effectiveness of the design and operation of our disclosure controls and procedures as of March 31, 2011.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March 31, 2011,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0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2011 that has materially affected, or is reasonably likely to materially affect, our internal control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“plans,” “strategy,” “prospects,” “estimate,” “project,” “target,” “anticipate,” “will,” “should,” “see,” “guidance,” “confident” and other words of similar meaning in connection with a discussion of future operating or financial performance. These include, among others, statements relating to:</w:t>
      </w:r>
    </w:p>
    <w:p>
      <w:pPr>
        <w:spacing w:after="0" w:line="3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sales, earnings, cash flow, results of operations, uses of cash and other measures of financial performance;</w:t>
      </w:r>
    </w:p>
    <w:p>
      <w:pPr>
        <w:spacing w:after="0" w:line="90" w:lineRule="exact"/>
        <w:rPr>
          <w:rFonts w:ascii="Arial" w:cs="Arial" w:eastAsia="Arial" w:hAnsi="Arial"/>
          <w:sz w:val="18"/>
          <w:szCs w:val="18"/>
          <w:color w:val="auto"/>
        </w:rPr>
      </w:pPr>
    </w:p>
    <w:p>
      <w:pPr>
        <w:ind w:left="900" w:right="60" w:hanging="325"/>
        <w:spacing w:after="0" w:line="323"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effect of economic conditions in the markets in which we operate in the United States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difficulties (including bankruptcy) of commercial airlines, the impact of weather conditions and natural disasters and the financial condition of our customers and suppliers;</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reduction efforts and restructuring costs and savings and other consequences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scope, nature or impact of acquisition and divestiture activity, including integration of acquired businesses into our existing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development, production, delivery, support, performance and anticipated benefits of advanced technologies and new products and services;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legal proceedings and other 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repurchases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levels of indebtedness and capital research and development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availability of credit;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changes in tax, environmental and other laws and regulations or political conditions in the United States and other countries in which we operate.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All forward-looking statements involve risks and uncertainties that may cause actual results to differ materially from those expressed or implied in the forward-looking statements. This Form 10-Q includes important information as to factors that may cause actual results to vary materially from those stated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 Accounting Estimates,” “Results of Continuing Operations,” and “Liquidity and Financial Condition” and the section titled “Risk Factors” in our 2010 Form 10-K. Our 2010 Form 10-K also includes important information as to these risk factors in the “Business” section under the headings “General,” “Description of Business by Segment” and “Other Matters Relating to Our Business as a Whole,” and in the “Legal Proceedings” section. Additional important information as to these factors is included in our 2010 Annual Report in the section titled “Management’s Discussion and Analysis of Financial Condition and Results of Operations” under the headings “Environmental Matters” and “Restructuring and Other Costs.” For additional information identifying factors that may cause actual results to vary materially from those stated in the forward-looking statements, see our reports on Forms 10-K, 10-Q and 8-K filed with the SEC from time to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As previously disclosed, on August 27, 2010, Rolls-Royce plc (Rolls-Royce) sued Pratt &amp; Whitney in the U.S. District Court for the Eastern District of Virginia, alleging that fan blades on certain engines manufactured by Pratt &amp; Whitney infringe a U.S. patent held by Rolls-Royce. Trial in the matter is scheduled to commence on June 6, 2011. We are vigorously defending the case and believe that the Rolls-Royce patent is invalid and that Pratt &amp; Whitney’s products do not infringe it. Rolls-Royce seeks damages plus interest, an injunction, attorney’s fees, and a finding of willful infringement. On April 1, 2011, the court dismissed Rolls-Royce’s claim of willful infringement, thereby eliminating from the upcoming trial the potential of an award of treble damages even if any infringement of a valid patent were to be found. Important pre-trial motions that may significantly impact the scope of the issues in the case, including the extent of damages permitted to be claimed by Rolls-Royce, are expected to be resolved prior to trial. Should Rolls-Royce ultimately prevail, the outcome of this matter could result in a material adverse effect on our results of operations in the period in which a liability would be recognized or cash flows for the period in which damages would be paid. As previously disclosed, in November 2010, Pratt &amp; Whitney filed complaints against Rolls-Royce in the High Court of Justice, Chancery Division, Patent Court (HCJ) in the United Kingdom (UK) and with the U.S. International Trade Commission (ITC), and amended its previously-disclosed complaint against Roll-Royce and its parent, Rolls-Royce Group plc (Rolls-Royce Group) in the U.S. District Court for the District of Connecticut. The HCJ action alleges that certain turbomachinery blades, engines and components manufactured by Rolls-Royce infringe a UK patent held by Pratt &amp; Whitney and seeks damages plus interest and all other relief to which Pratt &amp; Whitney is entitled, including attorney’s fees, expenses, and a permanent order preventing further infringements. The ITC complaint seeks a permanent exclusion order barring the importation into the U.S. of infringing turbomachinery blades, engines and engine components manufactured by Rolls-Royce and Rolls-Royce Group, and requests a permanent cease-and-desist order against Rolls-Royce and Rolls-Royce Group preventing further importing, marketing, advertising, demonstrating, testing, distributing, licensing, offering for sale, or use of such infringing turbomachinery blades, engines and engine components. The ITC action and the HCJ action are both scheduled for trial in October 2011. In the Connecticut District Court action, Pratt &amp; Whitney alleges similar infringement claims based on a U.S. patent held by Pratt &amp; Whitney and seeks an injunction, damages, interest, attorney’s fees and other relief. The Connecticut District Court has stayed the suit pending the outcome of the ITC action.</w:t>
      </w:r>
    </w:p>
    <w:p>
      <w:pPr>
        <w:spacing w:after="0" w:line="13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Except as noted above, there have been no material developments in legal proceedings. For a description of previously reported legal proceedings refer to Part I, Item 3, “Legal Proceedings,” of our 2010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business, financial condition, operating results and cash flows can be impacted by a number of factors, any one of which could cause our actual results to vary materially from recent results or from our anticipated future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global economy, which experienced a significant downturn throughout 2008 and 2009, including widespread recessionary conditions, record levels of unemployment, significant distress of financial institutions, extreme volatility in security prices, severely diminished liquidity and credit availability, rating downgrades of certain investments and declining valuations of others, began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showing signs of gradual improvement in 2010. However, while some economic indicators have continued to trend positively over the first three months of 2011, uncertainty continues to exist as to the overall rate and stability of the recovery. Global gross domestic product growth continues to be led by emerging markets. In the developed economies, particularly in Europe, where the recovery is sluggish, the unwinding of fiscal stimuli and lingering high unemployment have encouraged the use of expansionary monetary policies to sustain economic recoveries. Although the recent financial turmoil related to European sovereign debt issues has not had a significant impact on our operations to date, further disruptions in Europe or in other economies could affect our revenues or liquidity. Further, while we expect some short term impact on a discrete number of our suppliers from the recent earthquake and related events in Japan, at this time we do not anticipate a significant impact on our cash flows, competitive position, financial condition or results of operations.</w:t>
      </w:r>
    </w:p>
    <w:p>
      <w:pPr>
        <w:spacing w:after="0" w:line="118"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Although consumer confidence in the U.S. has improved since the economic downturn, it still remains low, while unemployment remains high and the housing market remains depressed. There can be no assurance that any of the recent economic improvements will be broad-based and sustainable, or that they will enhance conditions in markets relevant to us. Further, there can be no assurance that we will not experience further adverse effects that may be material to our cash flows, competitive position, financial condition, results of operations, or our ability to access capital. While these economic developments have not impaired our ability to access credit markets and finance our operations to date, there can be no assurance that there will not be a further deterioration in financial markets and confidence in major economies. These economic developments affect businesses such as ours in a number of ways. The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 spending, air travel, construction activity, the financial strength of airline customers and business jet operators, and government procurement. Strengthening of the rate of exchange for the</w:t>
      </w:r>
    </w:p>
    <w:p>
      <w:pPr>
        <w:spacing w:after="0" w:line="4" w:lineRule="exact"/>
        <w:rPr>
          <w:sz w:val="20"/>
          <w:szCs w:val="20"/>
          <w:color w:val="auto"/>
        </w:rPr>
      </w:pPr>
    </w:p>
    <w:p>
      <w:pPr>
        <w:ind w:right="1780"/>
        <w:spacing w:after="0" w:line="489" w:lineRule="auto"/>
        <w:rPr>
          <w:sz w:val="20"/>
          <w:szCs w:val="20"/>
          <w:color w:val="auto"/>
        </w:rPr>
      </w:pPr>
      <w:r>
        <w:rPr>
          <w:rFonts w:ascii="Arial" w:cs="Arial" w:eastAsia="Arial" w:hAnsi="Arial"/>
          <w:sz w:val="16"/>
          <w:szCs w:val="16"/>
          <w:color w:val="auto"/>
        </w:rPr>
        <w:t xml:space="preserve">U.S. Dollar against certain major currencies such as the Euro, the Canadian Dollar and other currencies also adversely affects our results. </w:t>
      </w:r>
      <w:r>
        <w:rPr>
          <w:rFonts w:ascii="Arial" w:cs="Arial" w:eastAsia="Arial" w:hAnsi="Arial"/>
          <w:sz w:val="16"/>
          <w:szCs w:val="16"/>
          <w:b w:val="1"/>
          <w:bCs w:val="1"/>
          <w:i w:val="1"/>
          <w:iCs w:val="1"/>
          <w:color w:val="auto"/>
        </w:rPr>
        <w:t>Our Financial Performance Is Dependent on the Conditions of the Construction and Aerospace Industries</w:t>
      </w:r>
    </w:p>
    <w:p>
      <w:pPr>
        <w:ind w:right="80" w:firstLine="456"/>
        <w:spacing w:after="0" w:line="294" w:lineRule="auto"/>
        <w:rPr>
          <w:sz w:val="20"/>
          <w:szCs w:val="20"/>
          <w:color w:val="auto"/>
        </w:rPr>
      </w:pPr>
      <w:r>
        <w:rPr>
          <w:rFonts w:ascii="Arial" w:cs="Arial" w:eastAsia="Arial" w:hAnsi="Arial"/>
          <w:sz w:val="16"/>
          <w:szCs w:val="16"/>
          <w:color w:val="auto"/>
        </w:rPr>
        <w:t>The results of our commercial and industrial businesses, which generated approximately 57% of our consolidated net sales in 2010, are influenced by a number of external factors including fluctuations in residential and commercial construction activity, regulatory changes, interest rates, labor costs, foreign currency exchange rates, customer attrition, raw material and energy costs, the tightening of the U.S. credit markets and other global and political factors. For example, a slowdown in building and remodeling activity can adversely affect Carrier’s business. In addition to these factors, Carrier’s financial performance can also be influenced by production and utilization of transport equipment and, particularly in its residential business, weather conditions.</w:t>
      </w:r>
    </w:p>
    <w:p>
      <w:pPr>
        <w:spacing w:after="0" w:line="11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results of our commercial and military aerospace businesses, which generated approximately 43% of our consolidated net sales in 2010, are directly tied to the economic conditions in the commercial aviation and defense industries, which are cyclical in nature. Although the operating environment currently faced by commercial airlines has shown signs of gradual improvement in 2010 and over the first three months of 2011, uncertainty continues to exist. As a result, financial difficulties, including bankruptcy, of one or more of the major commercial airlines could result in significant cancellations of orders, reductions in our aerospace sales and losses under existing contracts. In addition, capital spending and demand for aircraft engine and component aftermarket parts and service by commercial airlines, aircraft operators and aircraft manufacturers are influenced by a wide variety of factors, including current and predicted traffic levels, load factors, aircraft fuel pricing, labor issues, worldwide airline profits, airline consolidation, competition, the retirement of older aircraft, regulatory changes, terrorism and related safety concerns, general economic conditions, corporate profitability, and backlog levels, all of which could reduce both the demand for air travel and the aftermarket sales and margins of our aerospace businesses. Future terrorist actions, pandemic health issues or major natural disasters could dramatically reduce both the demand for air travel and our aerospace businesses aftermarket sales and margins. Also, since a substantial portion of the backlog for commercial aerospace customers is scheduled for delivery beyond 2011,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 material adverse effect on our cash flows, competitive position, financial condition or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relating to certain of our U.S. government contracts. If we or one of our business units were charged with wrongdoing as a result of any U.S. government investigation (including violation of 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 In addition, we are also sensitive to U.S. military budgets, which may fluctuate based on the policies of a new administration or Congress.</w:t>
      </w:r>
    </w:p>
    <w:p>
      <w:pPr>
        <w:spacing w:after="0" w:line="12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Foreign Currency Fluctuations, Economic Conditions and Changes in Local Government Regulation</w:t>
      </w:r>
    </w:p>
    <w:p>
      <w:pPr>
        <w:spacing w:after="0" w:line="13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conduct our business on a global basis, with approximately 60% of our total 2010 segment sales derived from international operations, including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 we pay suppliers for materials used in our products. As a result, our operating margins may also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sales are non-U.S. based, a strengthening of the U.S. dollar against other major foreign currencies could adversely affect our results of operations.</w:t>
      </w:r>
    </w:p>
    <w:p>
      <w:pPr>
        <w:spacing w:after="0" w:line="118"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majority of sales in the aerospace businesses are transacted in U.S. dollars, consistent with established industry practice, while the majority of costs at locations outside the United States are incurred in the applicable local currency (principally the Euro and the Canadian Dollar). For operating units with</w:t>
      </w:r>
    </w:p>
    <w:p>
      <w:pPr>
        <w:ind w:right="100"/>
        <w:spacing w:after="0" w:line="254" w:lineRule="auto"/>
        <w:rPr>
          <w:sz w:val="20"/>
          <w:szCs w:val="20"/>
          <w:color w:val="auto"/>
        </w:rPr>
      </w:pPr>
      <w:r>
        <w:rPr>
          <w:rFonts w:ascii="Arial" w:cs="Arial" w:eastAsia="Arial" w:hAnsi="Arial"/>
          <w:sz w:val="18"/>
          <w:szCs w:val="18"/>
          <w:color w:val="auto"/>
        </w:rPr>
        <w:t>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sales. See Note 1 and Note 13 to the Consolidated Financial Statements in our 2010 Annual Report and Note 8 to the Condensed Consolidated Financial Statements in this Form 10-Q for a discussion of our hedging strategies.</w:t>
      </w:r>
    </w:p>
    <w:p>
      <w:pPr>
        <w:spacing w:after="0" w:line="14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international sales and operations are subject to risks associated with changes in local government laws, regulations and policies, including those related to tariffs and trade barriers, investments, taxation, exchange controls, capital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w:t>
      </w:r>
    </w:p>
    <w:p>
      <w:pPr>
        <w:spacing w:after="0" w:line="14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addition, as part of our globalization strategy, we have invested in certain countries, including Argentina, Brazil, China, India, Mexico, Russia, South Africa and countries in the Middle East, that carry high levels of currency, political and economic risk. We expect that sales to emerging markets will continue to account for a significant portion of our sales as our business evolves and as these and other developing nations and regions around the world increase their demand for our products. Emerging market operations can present many risks, including civil disturbances, health concerns, cultural differences (such as employment and business practices), volatility in gross domestic product, economic and government instability, and the imposition of exchange controls and capital controls. While these factors and their impact are difficult to predict, any one or more of them could have a material adverse effect on our cash flows, competitive position, financial condition or results of operations.</w:t>
      </w:r>
    </w:p>
    <w:p>
      <w:pPr>
        <w:spacing w:after="0" w:line="11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reliance on suppliers, third party contract manufacturing and commodity markets to secure raw materials, parts, components and sub-systems used in our products exposes us to volatility in the prices and availability of these materials. In many instances, we depend upon a single source of supply, manufacturing or assembly or participate in commodity markets that may be subject to allocations of limited supplies by suppliers. A disruption in deliveries from our suppliers or third party contract manufacturers, supplier capacity constraints, supplier and third party contract manufacturer production disruptions, closing or bankruptcy of our suppliers, price increases, or decreased availability of raw materials or commodities, could have a material adverse effect on our ability to meet our commitments to customers or increase our operating costs. We believe that our supply management and production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practices are based on an appropriate balancing of the foreseeable risks and the costs of alternative practices. Nonetheless, price increases, supplier capacity constraints, supplier production disruptions or the unavailability of some raw materials may have a material adverse effect on our cash flows, competitive position, financial condition or results of operations.</w:t>
      </w:r>
    </w:p>
    <w:p>
      <w:pPr>
        <w:spacing w:after="0" w:line="14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b w:val="1"/>
          <w:bCs w:val="1"/>
          <w:i w:val="1"/>
          <w:iCs w:val="1"/>
          <w:color w:val="auto"/>
        </w:rPr>
        <w:t>We Engage in Acquisitions and Divestitures, and May Encounter Difficulties Integrating Acquired Businesses with, or Disposing of Divested Businesses from, Our Current Operations; Therefore, We May Not Realize the Anticipated Benefits of these Acquisitions and Divestitures</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We seek to grow through strategic acquisitions in addition to internal growth. In the past several years, we have made various acquisitions and have entered into joint venture arrangements intended to complement and expand our businesses, and expect to do so in the future. The success of these transactions will depend on our ability to integrate assets and personnel acquired in connection with these transactions, apply our internal controls processes to these acquired businesses, and cooperate with our strategic partners. However, our due diligence reviews may not identify all of the material issues necessary to accurately estimate the cost and potential loss contingencies of a particular transaction, including potential exposure to regulatory sanctions resulting from an acquisition target’s previous activities. We may incur unanticipated costs or expenses, including post-closing asset impairment charges, expenses associated with eliminating duplicate facilities, litigation, and other liabilities. We also may encounter difficulties in integrating acquisitions with our operations, applying our internal controls processes to these acquisitions, or in managing strategic investments. Additionally, we may not realize the degree or timing of benefits we anticipate when we first enter into a transaction. Any of the foregoing could adversely affect our business and results of operations. In addition, accounting requirements relating to business combinations, including the requirement to expense certain acquisition costs as incurred, may cause us to incur greater earnings volatility and generally lower earnings during periods in which we acquire new businesses. Furthermore, we make strategic divestitures from time to time. These divestitures may result in continued financial involvement in the divested businesses, such as through guarantees or other financial arrangements, following the transaction. Under these arrangements, nonperformance by those divested businesses could result in obligations imposed on us and could affect our future financial results.</w:t>
      </w:r>
    </w:p>
    <w:p>
      <w:pPr>
        <w:spacing w:after="0" w:line="11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The product, program and service needs of our customers change and evolve regularly, and we invest substantial amounts in research and development efforts to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supplier- and internally-produced parts and materials; performance of suppliers and subcontractors; hiring and training of qualified personnel; achieving cost and production efficiencies; identification of emerging technological trends in our target end-markets; validation of innovative technologies; the level of customer interest in new technologies and products; and customer acceptance of our products and products that incorporate technologies we develop. These factors involve significant risks and uncertainties. Any development efforts divert resources from other potential investments in our businesses, and these efforts may not lead to the development of new technologies or products on a timely basis or meet the needs of our customers as fully as competitive offerings. In addition, the markets for our products or products that incorporate our technologies may not develop or grow as we anticipate. We or our suppliers and subcontractors may encounter difficulties in developing and producing these new products and services, and may not realize the degree or timing of benefits initially anticipated. Due to the design complexity of our products, we may in the future experience delays in completing the development and introduction of new products. Any delays could result in increased development costs or deflect resources from other projects. In particular, we cannot predict with certainty whether, when and in what quantities our aerospace businesses will produce and sell aircraft engines, helicopters, aircraft systems and components and other products currently in development or pending required certifications. Our contracts are typically awarded on a competitive basis. Our bids are based upon, among other items, the cost to provide the services. To generate an acceptable return on our investment in these contracts we must be able to accurately estimate our costs to provide the services required by the contract and to be able to complete the contracts in a timely manner. If we fail to accurately estimate our costs or the time required to complete a contract, the profitability of our contracts may be materially and adversely affected. Some of our contracts provide for liquidated damages in the event that we are unable to perform and deliver in accordance with the contractual specifications and schedule. Furthermore, we cannot be sure that our competitors will not develop competing technologies which gain market acceptance in advance of or instead of our products. The possibility exists that our competitors might develop new technology or offerings that might cause our existing technology and offerings to become obsolete. Any of the foregoing could have a material adverse effect on our cash flows, competitive position, financial condition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Tax, Environmental and Other Legal Compliance Risks</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are subject to a variety of litigation, tax and legal compliance risks. These risks include, among other things, possible liability relating to product liability matters, personal injuries, intellectual property rights, government contracts, taxes, environmental matters and compliance with U.S. and foreign export laws, competition laws and laws governing improper business practices. We or one of our business units could be charged with wrongdoing as a result of such matters. If convicted or found liable, we could be subject to significant fines, penalties, repayments, other damages (in certain cases, treble damages), or suspension or debarment from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government contracts. Independently, failure of us or one of our business units to comply with applicable export and trade practice laws could result in civil or criminal penalties and suspension or termination of export privileges. As a global business, we are subject to complex laws and regulations in the U.S. and other countries in which we operate. Those laws and regulations may be interpreted in different ways. They may also change from time to time, as may related interpretations and other guidance. Changes in laws or regulations could result in higher expenses and payments, and uncertainty relating to laws or regulations may also affect how we conduct our operations and structure our investments and could limit our ability to enforce our rights. Changes in environmental and climate change laws or regulations, including laws relating to greenhouse gas emissions, could lead to new or additional investment in product designs and could increase environmental compliance expenditures. Changes in climate change concerns, or in the regulation of such concerns, including greenhouse gas emissions, could subject us to additional costs and restrictions, including increased energy and raw materials costs.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area of taxes, changes in tax laws and regulations, as well as changes in related interpretations and other tax guidance could materially impact our tax receivables and liabilities and our deferred tax assets and deferred tax liabilities. Additionally, in the ordinary course of business we are subject to examinations by various authorities, including tax authorities. In addition to ongoing investigations, there could be additional investigations launched in the future by governmental authorities in various jurisdictions and existing investigations could be expanded.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an adverse effect on our results of operations in the period in which a liability would be recognized or cash flows for the period in which damages would be paid. For a description of current legal proceedings, see Part I, Item 3 “Legal Proceedings,” in our 2010 Form 10-K, as updated from time to time in subsequent filings, including this Form 10-Q. For income tax risks, we recognize tax benefits based on our assessment that a tax benefit has a greater than 50% likelihood of being sustained upon ultimate settlement with the applicable taxing authority that has full knowledge of all relevant facts. For those income tax positions where we assess that there is not a greater than 50% likelihood that such tax benefits will be sustained, we do not recognize a tax benefit in our financial statements. Subsequent events may cause us to change our assessment of the likelihood of sustaining a previously-recognized benefit which could result in a material adverse effect on our financial condition or results of operations in the period in which such event occurs or on our cash flows in the period in which the ultimate settlement with the applicable taxing authority occurs.</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Be Unable to Realize Expected Benefits From Our Cost Reduction and Restructuring Efforts and Our Profitability May Be Hurt or Our Business Otherwise Might Be Adversely Affected</w:t>
      </w:r>
    </w:p>
    <w:p>
      <w:pPr>
        <w:spacing w:after="0" w:line="132"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In order to operate more efficiently and control costs, we announce from time to time restructuring plans, which include workforce reductions as well as global facility consolidations and other cost reduction initiatives. These plans are intended to generate operating expense savings through direct and indirect overhead expense reductions as well as other savings. We may undertake further workforce reductions or restructuring actions in the future. These types of cost reduction and restructuring activities are complex. If we do not successfully manage our current restructuring activities, or any other restructuring activities that we may undertake in the future, expected efficiencies and benefits might be delayed or not realized, and our operations and business could be disrupted. Risks associated with these actions and other workforce management issues include delays in implementation of anticipated workforce reductions, additional unexpected costs, changes in restructuring plans that increase or decrease the number of employees affected, adverse effects on employee morale and the failure to meet operational targets due to the loss of employees, any of which may impair our ability to achieve anticipated cost reductions or may otherwise harm our business, which could have a material adverse effect on our cash flows, competitive position, financial condition or results of operations.</w:t>
      </w:r>
    </w:p>
    <w:p>
      <w:pPr>
        <w:spacing w:after="0" w:line="12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Depend On Our Intellectual Property, and Infringement or Failure to Protect Intellectual Property Could Adversely Affect Our Future Growth and Success</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be found to be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United States, which could make it easier for competitors to capture market position in such countries by utilizing technologies that are similar to those developed or licensed by us.</w:t>
      </w:r>
    </w:p>
    <w:p>
      <w:pPr>
        <w:spacing w:after="0" w:line="147"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Any of these events or factors could diminish or cause us to lose the competitive advantages associated with our intellectual property, subject us to judgments, penalties and significant litigation costs, and/or temporarily or permanently disrupt our sales and marketing of the affected products or services.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provides information about our purchases during the quarter ended March 31, 2011 of equity securities that are registered by us pursuant to Section 12 of the Exchange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82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Maximum Number of</w:t>
            </w:r>
          </w:p>
        </w:tc>
      </w:tr>
      <w:tr>
        <w:trPr>
          <w:trHeight w:val="149"/>
        </w:trPr>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49"/>
        </w:trPr>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 a</w:t>
            </w:r>
          </w:p>
        </w:tc>
        <w:tc>
          <w:tcPr>
            <w:tcW w:w="820" w:type="dxa"/>
            <w:vAlign w:val="bottom"/>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that may yet be</w:t>
            </w:r>
          </w:p>
        </w:tc>
      </w:tr>
      <w:tr>
        <w:trPr>
          <w:trHeight w:val="149"/>
        </w:trPr>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820" w:type="dxa"/>
            <w:vAlign w:val="bottom"/>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Purchased Under the</w:t>
            </w:r>
          </w:p>
        </w:tc>
      </w:tr>
      <w:tr>
        <w:trPr>
          <w:trHeight w:val="149"/>
        </w:trPr>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820" w:type="dxa"/>
            <w:vAlign w:val="bottom"/>
          </w:tcPr>
          <w:p>
            <w:pPr>
              <w:spacing w:after="0"/>
              <w:rPr>
                <w:sz w:val="12"/>
                <w:szCs w:val="12"/>
                <w:color w:val="auto"/>
              </w:rPr>
            </w:pPr>
          </w:p>
        </w:tc>
        <w:tc>
          <w:tcPr>
            <w:tcW w:w="1940" w:type="dxa"/>
            <w:vAlign w:val="bottom"/>
            <w:gridSpan w:val="3"/>
          </w:tcPr>
          <w:p>
            <w:pPr>
              <w:jc w:val="right"/>
              <w:ind w:right="840"/>
              <w:spacing w:after="0" w:line="149" w:lineRule="exact"/>
              <w:rPr>
                <w:sz w:val="20"/>
                <w:szCs w:val="20"/>
                <w:color w:val="auto"/>
              </w:rPr>
            </w:pPr>
            <w:r>
              <w:rPr>
                <w:rFonts w:ascii="Arial" w:cs="Arial" w:eastAsia="Arial" w:hAnsi="Arial"/>
                <w:sz w:val="14"/>
                <w:szCs w:val="14"/>
                <w:b w:val="1"/>
                <w:bCs w:val="1"/>
                <w:color w:val="auto"/>
                <w:w w:val="85"/>
              </w:rPr>
              <w:t>Average Price Paid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Program</w:t>
            </w:r>
          </w:p>
        </w:tc>
        <w:tc>
          <w:tcPr>
            <w:tcW w:w="820" w:type="dxa"/>
            <w:vAlign w:val="bottom"/>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Program</w:t>
            </w:r>
          </w:p>
        </w:tc>
      </w:tr>
      <w:tr>
        <w:trPr>
          <w:trHeight w:val="161"/>
        </w:trPr>
        <w:tc>
          <w:tcPr>
            <w:tcW w:w="46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2011</w:t>
            </w:r>
          </w:p>
        </w:tc>
        <w:tc>
          <w:tcPr>
            <w:tcW w:w="4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(000’s)</w:t>
            </w: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per Share</w:t>
            </w:r>
          </w:p>
        </w:tc>
        <w:tc>
          <w:tcPr>
            <w:tcW w:w="82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(000’s)</w:t>
            </w:r>
          </w:p>
        </w:tc>
        <w:tc>
          <w:tcPr>
            <w:tcW w:w="8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(000’s)</w:t>
            </w:r>
          </w:p>
        </w:tc>
        <w:tc>
          <w:tcPr>
            <w:tcW w:w="6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1 - January 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80.31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2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31,900</w:t>
            </w:r>
          </w:p>
        </w:tc>
      </w:tr>
      <w:tr>
        <w:trPr>
          <w:trHeight w:val="216"/>
        </w:trPr>
        <w:tc>
          <w:tcPr>
            <w:tcW w:w="46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February 1 - February 28</w:t>
            </w:r>
          </w:p>
        </w:tc>
        <w:tc>
          <w:tcPr>
            <w:tcW w:w="1000" w:type="dxa"/>
            <w:vAlign w:val="bottom"/>
          </w:tcPr>
          <w:p>
            <w:pPr>
              <w:jc w:val="right"/>
              <w:spacing w:after="0"/>
              <w:rPr>
                <w:sz w:val="20"/>
                <w:szCs w:val="20"/>
                <w:color w:val="auto"/>
              </w:rPr>
            </w:pPr>
            <w:r>
              <w:rPr>
                <w:rFonts w:ascii="Arial" w:cs="Arial" w:eastAsia="Arial" w:hAnsi="Arial"/>
                <w:sz w:val="18"/>
                <w:szCs w:val="18"/>
                <w:color w:val="auto"/>
              </w:rPr>
              <w:t>3,461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83.92</w:t>
            </w:r>
          </w:p>
        </w:tc>
        <w:tc>
          <w:tcPr>
            <w:tcW w:w="1300" w:type="dxa"/>
            <w:vAlign w:val="bottom"/>
          </w:tcPr>
          <w:p>
            <w:pPr>
              <w:jc w:val="right"/>
              <w:spacing w:after="0"/>
              <w:rPr>
                <w:sz w:val="20"/>
                <w:szCs w:val="20"/>
                <w:color w:val="auto"/>
              </w:rPr>
            </w:pPr>
            <w:r>
              <w:rPr>
                <w:rFonts w:ascii="Arial" w:cs="Arial" w:eastAsia="Arial" w:hAnsi="Arial"/>
                <w:sz w:val="18"/>
                <w:szCs w:val="18"/>
                <w:color w:val="auto"/>
              </w:rPr>
              <w:t>3,460</w:t>
            </w:r>
          </w:p>
        </w:tc>
        <w:tc>
          <w:tcPr>
            <w:tcW w:w="2140" w:type="dxa"/>
            <w:vAlign w:val="bottom"/>
            <w:gridSpan w:val="3"/>
          </w:tcPr>
          <w:p>
            <w:pPr>
              <w:jc w:val="right"/>
              <w:ind w:right="60"/>
              <w:spacing w:after="0"/>
              <w:rPr>
                <w:sz w:val="20"/>
                <w:szCs w:val="20"/>
                <w:color w:val="auto"/>
              </w:rPr>
            </w:pPr>
            <w:r>
              <w:rPr>
                <w:rFonts w:ascii="Arial" w:cs="Arial" w:eastAsia="Arial" w:hAnsi="Arial"/>
                <w:sz w:val="18"/>
                <w:szCs w:val="18"/>
                <w:color w:val="auto"/>
              </w:rPr>
              <w:t>28,440</w:t>
            </w:r>
          </w:p>
        </w:tc>
      </w:tr>
      <w:tr>
        <w:trPr>
          <w:trHeight w:val="216"/>
        </w:trPr>
        <w:tc>
          <w:tcPr>
            <w:tcW w:w="46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 March 31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8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2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24,752</w:t>
            </w:r>
          </w:p>
        </w:tc>
      </w:tr>
      <w:tr>
        <w:trPr>
          <w:trHeight w:val="222"/>
        </w:trPr>
        <w:tc>
          <w:tcPr>
            <w:tcW w:w="376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spacing w:after="0"/>
              <w:rPr>
                <w:sz w:val="20"/>
                <w:szCs w:val="20"/>
                <w:color w:val="auto"/>
              </w:rPr>
            </w:pPr>
            <w:r>
              <w:rPr>
                <w:rFonts w:ascii="Arial" w:cs="Arial" w:eastAsia="Arial" w:hAnsi="Arial"/>
                <w:sz w:val="18"/>
                <w:szCs w:val="18"/>
                <w:color w:val="auto"/>
              </w:rPr>
              <w:t>9,118</w:t>
            </w: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82.24</w:t>
            </w:r>
          </w:p>
        </w:tc>
        <w:tc>
          <w:tcPr>
            <w:tcW w:w="1300" w:type="dxa"/>
            <w:vAlign w:val="bottom"/>
          </w:tcPr>
          <w:p>
            <w:pPr>
              <w:jc w:val="right"/>
              <w:spacing w:after="0"/>
              <w:rPr>
                <w:sz w:val="20"/>
                <w:szCs w:val="20"/>
                <w:color w:val="auto"/>
              </w:rPr>
            </w:pPr>
            <w:r>
              <w:rPr>
                <w:rFonts w:ascii="Arial" w:cs="Arial" w:eastAsia="Arial" w:hAnsi="Arial"/>
                <w:sz w:val="18"/>
                <w:szCs w:val="18"/>
                <w:color w:val="auto"/>
              </w:rPr>
              <w:t>9,116</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repurchase shares under a program announced on March 10, 2010, which authorized the repurchase of up to 60 million shares of our common stock. Under the current program, shares may be purchased on the open market, in privately negotiated transactions and under plans complying with Rules 10b5-1 and 10b-18 under the Exchange Act. These repurchases are included within the scope of the overall repurchase program authorized in March 2010. We may also reacquire shares outside of the program from time to time in connection with the surrender of shares to cover taxes on vesting of restricted stock. Approximately 2,000 shares were reacquired in transactions outside the program during the quarter ended March 31, 2011.</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1"/>
              </w:rPr>
              <w:t>Item 6.</w:t>
            </w:r>
          </w:p>
        </w:tc>
        <w:tc>
          <w:tcPr>
            <w:tcW w:w="5060" w:type="dxa"/>
            <w:vAlign w:val="bottom"/>
            <w:gridSpan w:val="3"/>
          </w:tcPr>
          <w:p>
            <w:pPr>
              <w:ind w:left="42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3340" w:type="dxa"/>
            <w:vAlign w:val="bottom"/>
          </w:tcPr>
          <w:p>
            <w:pPr>
              <w:spacing w:after="0"/>
              <w:rPr>
                <w:sz w:val="14"/>
                <w:szCs w:val="14"/>
                <w:color w:val="auto"/>
              </w:rPr>
            </w:pPr>
          </w:p>
        </w:tc>
      </w:tr>
      <w:tr>
        <w:trPr>
          <w:trHeight w:val="322"/>
        </w:trPr>
        <w:tc>
          <w:tcPr>
            <w:tcW w:w="620" w:type="dxa"/>
            <w:vAlign w:val="bottom"/>
            <w:gridSpan w:val="2"/>
          </w:tcPr>
          <w:p>
            <w:pPr>
              <w:jc w:val="right"/>
              <w:ind w:right="272"/>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w w:val="88"/>
              </w:rPr>
              <w:t>Statement re: computation of ratio of earnings to fixed charges.*</w:t>
            </w:r>
          </w:p>
        </w:tc>
      </w:tr>
      <w:tr>
        <w:trPr>
          <w:trHeight w:val="324"/>
        </w:trPr>
        <w:tc>
          <w:tcPr>
            <w:tcW w:w="620" w:type="dxa"/>
            <w:vAlign w:val="bottom"/>
            <w:gridSpan w:val="2"/>
          </w:tcPr>
          <w:p>
            <w:pPr>
              <w:jc w:val="right"/>
              <w:ind w:right="272"/>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utx-20110331.xml)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utx-20110331.xsd)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utx-20110331_cal.xml)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utx-20110331_def.xml)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utx-20110331_lab.xml)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utx-20110331_pre.xml)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ended March 31, 2011 and 2010, (ii) Condensed Consolidated Balance Sheet at March 31, 2011 and 2010, (iii) Condensed Consolidated Statement of Cash Flows for the three months ended March 31, 2011 and 2010 and (iv) Notes to Condensed Consolidated Financial Statements. 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(Registrant)</w:t>
      </w:r>
    </w:p>
    <w:p>
      <w:pPr>
        <w:spacing w:after="0" w:line="219" w:lineRule="exact"/>
        <w:rPr>
          <w:sz w:val="20"/>
          <w:szCs w:val="20"/>
          <w:color w:val="auto"/>
        </w:rPr>
      </w:pPr>
    </w:p>
    <w:p>
      <w:pPr>
        <w:spacing w:after="0"/>
        <w:tabs>
          <w:tab w:leader="none" w:pos="5600" w:val="left"/>
          <w:tab w:leader="none" w:pos="7640" w:val="left"/>
          <w:tab w:leader="none" w:pos="7980" w:val="left"/>
        </w:tabs>
        <w:rPr>
          <w:sz w:val="20"/>
          <w:szCs w:val="20"/>
          <w:color w:val="auto"/>
        </w:rPr>
      </w:pPr>
      <w:r>
        <w:rPr>
          <w:rFonts w:ascii="Arial" w:cs="Arial" w:eastAsia="Arial" w:hAnsi="Arial"/>
          <w:sz w:val="18"/>
          <w:szCs w:val="18"/>
          <w:color w:val="auto"/>
        </w:rPr>
        <w:t>Dated: April 25,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Gregory J. Hayes</w:t>
      </w:r>
    </w:p>
    <w:p>
      <w:pPr>
        <w:jc w:val="center"/>
        <w:ind w:left="596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8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(on behalf of the Registrant and as the Registrant’s Principal Financial</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spacing w:after="0"/>
        <w:tabs>
          <w:tab w:leader="none" w:pos="5600" w:val="left"/>
          <w:tab w:leader="none" w:pos="7740" w:val="left"/>
          <w:tab w:leader="none" w:pos="8100" w:val="left"/>
        </w:tabs>
        <w:rPr>
          <w:sz w:val="20"/>
          <w:szCs w:val="20"/>
          <w:color w:val="auto"/>
        </w:rPr>
      </w:pPr>
      <w:r>
        <w:rPr>
          <w:rFonts w:ascii="Arial" w:cs="Arial" w:eastAsia="Arial" w:hAnsi="Arial"/>
          <w:sz w:val="18"/>
          <w:szCs w:val="18"/>
          <w:color w:val="auto"/>
        </w:rPr>
        <w:t>Dated: April 25,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F. L</w:t>
      </w:r>
      <w:r>
        <w:rPr>
          <w:rFonts w:ascii="Arial" w:cs="Arial" w:eastAsia="Arial" w:hAnsi="Arial"/>
          <w:sz w:val="13"/>
          <w:szCs w:val="13"/>
          <w:color w:val="auto"/>
        </w:rPr>
        <w:t>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Peter F. Longo</w:t>
      </w:r>
    </w:p>
    <w:p>
      <w:pPr>
        <w:jc w:val="center"/>
        <w:ind w:left="5960"/>
        <w:spacing w:after="0"/>
        <w:rPr>
          <w:sz w:val="20"/>
          <w:szCs w:val="20"/>
          <w:color w:val="auto"/>
        </w:rPr>
      </w:pPr>
      <w:r>
        <w:rPr>
          <w:rFonts w:ascii="Arial" w:cs="Arial" w:eastAsia="Arial" w:hAnsi="Arial"/>
          <w:sz w:val="14"/>
          <w:szCs w:val="14"/>
          <w:b w:val="1"/>
          <w:bCs w:val="1"/>
          <w:color w:val="auto"/>
        </w:rPr>
        <w:t>Vice President, Controller</w:t>
      </w:r>
    </w:p>
    <w:p>
      <w:pPr>
        <w:spacing w:after="0" w:line="86"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(on behalf of the Registrant and as the Registrant’s Principal Accounting</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60"/>
          </w:cols>
          <w:pgMar w:left="240" w:top="459" w:right="5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60" w:type="dxa"/>
            <w:vAlign w:val="bottom"/>
            <w:gridSpan w:val="2"/>
          </w:tcPr>
          <w:p>
            <w:pPr>
              <w:ind w:left="2700"/>
              <w:spacing w:after="0"/>
              <w:rPr>
                <w:sz w:val="20"/>
                <w:szCs w:val="20"/>
                <w:color w:val="auto"/>
              </w:rPr>
            </w:pPr>
            <w:r>
              <w:rPr>
                <w:rFonts w:ascii="Arial" w:cs="Arial" w:eastAsia="Arial" w:hAnsi="Arial"/>
                <w:sz w:val="18"/>
                <w:szCs w:val="18"/>
                <w:b w:val="1"/>
                <w:bCs w:val="1"/>
                <w:color w:val="auto"/>
              </w:rPr>
              <w:t>EXHIBIT INDEX</w:t>
            </w:r>
          </w:p>
        </w:tc>
      </w:tr>
      <w:tr>
        <w:trPr>
          <w:trHeight w:val="35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4060" w:type="dxa"/>
            <w:vAlign w:val="bottom"/>
            <w:gridSpan w:val="2"/>
          </w:tcPr>
          <w:p>
            <w:pPr>
              <w:spacing w:after="0"/>
              <w:rPr>
                <w:sz w:val="14"/>
                <w:szCs w:val="14"/>
                <w:color w:val="auto"/>
              </w:rPr>
            </w:pPr>
          </w:p>
        </w:tc>
      </w:tr>
      <w:tr>
        <w:trPr>
          <w:trHeight w:val="322"/>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utx-20110331.xml)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utx-20110331.xsd)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utx-20110331_cal.xml)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utx-20110331_def.xml)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utx-20110331_lab.xml)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utx-20110331_pre.xml)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ended March 31, 2011 and 2010, (ii) Condensed Consolidated Balance Sheet at March 31, 2011 and December 31, 2010,</w:t>
      </w:r>
    </w:p>
    <w:p>
      <w:pPr>
        <w:ind w:right="20" w:firstLine="8"/>
        <w:spacing w:after="0" w:line="320" w:lineRule="auto"/>
        <w:tabs>
          <w:tab w:leader="none" w:pos="307"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Condensed Consolidated Statement of Cash Flows for the three months ended March 31, 2011 and 2010, and (iv) Notes to Condensed Consolidated Financial Statements. 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1"/>
              </w:rPr>
              <w:t>Quarter Ended March 31,</w:t>
            </w:r>
          </w:p>
        </w:tc>
        <w:tc>
          <w:tcPr>
            <w:tcW w:w="0" w:type="dxa"/>
            <w:vAlign w:val="bottom"/>
          </w:tcPr>
          <w:p>
            <w:pPr>
              <w:spacing w:after="0"/>
              <w:rPr>
                <w:sz w:val="1"/>
                <w:szCs w:val="1"/>
                <w:color w:val="auto"/>
              </w:rPr>
            </w:pPr>
          </w:p>
        </w:tc>
      </w:tr>
      <w:tr>
        <w:trPr>
          <w:trHeight w:val="142"/>
        </w:trPr>
        <w:tc>
          <w:tcPr>
            <w:tcW w:w="4560" w:type="dxa"/>
            <w:vAlign w:val="bottom"/>
            <w:gridSpan w:val="3"/>
            <w:vMerge w:val="continue"/>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Fixed Charges:</w:t>
            </w:r>
          </w:p>
        </w:tc>
        <w:tc>
          <w:tcPr>
            <w:tcW w:w="3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One-third of rents</w:t>
            </w:r>
            <w:r>
              <w:rPr>
                <w:rFonts w:ascii="Arial" w:cs="Arial" w:eastAsia="Arial" w:hAnsi="Arial"/>
                <w:sz w:val="11"/>
                <w:szCs w:val="11"/>
                <w:color w:val="auto"/>
              </w:rPr>
              <w:t>2</w:t>
            </w:r>
          </w:p>
        </w:tc>
        <w:tc>
          <w:tcPr>
            <w:tcW w:w="2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Earnings:</w:t>
            </w: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gridSpan w:val="3"/>
            <w:vMerge w:val="continue"/>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Fixed charges per above</w:t>
            </w:r>
          </w:p>
        </w:tc>
        <w:tc>
          <w:tcPr>
            <w:tcW w:w="2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capitalized interest</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2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5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interest capitalized</w:t>
            </w:r>
          </w:p>
        </w:tc>
        <w:tc>
          <w:tcPr>
            <w:tcW w:w="19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r>
      <w:tr>
        <w:trPr>
          <w:trHeight w:val="222"/>
        </w:trPr>
        <w:tc>
          <w:tcPr>
            <w:tcW w:w="4820" w:type="dxa"/>
            <w:vAlign w:val="bottom"/>
          </w:tcPr>
          <w:p>
            <w:pPr>
              <w:ind w:left="440"/>
              <w:spacing w:after="0"/>
              <w:rPr>
                <w:sz w:val="20"/>
                <w:szCs w:val="20"/>
                <w:color w:val="auto"/>
              </w:rPr>
            </w:pPr>
            <w:r>
              <w:rPr>
                <w:rFonts w:ascii="Arial" w:cs="Arial" w:eastAsia="Arial" w:hAnsi="Arial"/>
                <w:sz w:val="18"/>
                <w:szCs w:val="18"/>
                <w:color w:val="auto"/>
              </w:rPr>
              <w:t>Total earnings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  1,839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1,579</w:t>
            </w:r>
          </w:p>
        </w:tc>
        <w:tc>
          <w:tcPr>
            <w:tcW w:w="12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77470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Pursuant to the guidance in the Income Taxes Topic of the FASB ASC, interest related to unrecognized tax benefits recorded was approximately $4 million and $10 million for the quarters ended March 31, 2011 and 2010, respectively. The ratio of earnings to fixed charges would have been 8.93 and 7.28 for the quarters ended March 31, 2011 and 2010, respectively, if such interest were excluded from the calculation. Reasonable approximation of the interest factor.</w:t>
      </w:r>
    </w:p>
    <w:p>
      <w:pPr>
        <w:sectPr>
          <w:pgSz w:w="11900" w:h="16838" w:orient="portrait"/>
          <w:cols w:equalWidth="0" w:num="2">
            <w:col w:w="60" w:space="400"/>
            <w:col w:w="10960"/>
          </w:cols>
          <w:pgMar w:left="240" w:top="125" w:right="23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25,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We are aware that our report dated April 25, 2011 on our review of interim financial information of United Technologies Corporation (the “Corporation”) for the three-month periods ended March 31, 2011 and 2010 and included in the Corporation’s quarterly report on Form 10-Q for the quarter ended March 31, 2011 is incorporated by reference in its Registration Statement on Form S-3 (No. 333-167771), in the Registration Statement on Form S-4 (No. 333-77991) as amended by Post-Effective Amendment No. 1 on Form S-8 (No. 333-77991) and in the Registration Statements on Form S-8 (Nos. 333-163822, 333-156390, 333-156385, 333-150643, 333-125293, 333-110020, 333-100724, 333-100723, 333-100718, 333-82911, 333-77817, 333-21853, 333-21851, 033-57769 and 033-51385).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 R. Chênevert</w:t>
            </w:r>
          </w:p>
        </w:tc>
      </w:tr>
      <w:tr>
        <w:trPr>
          <w:trHeight w:val="236"/>
        </w:trPr>
        <w:tc>
          <w:tcPr>
            <w:tcW w:w="5820" w:type="dxa"/>
            <w:vAlign w:val="bottom"/>
          </w:tcPr>
          <w:p>
            <w:pPr>
              <w:spacing w:after="0"/>
              <w:rPr>
                <w:sz w:val="20"/>
                <w:szCs w:val="20"/>
                <w:color w:val="auto"/>
              </w:rPr>
            </w:pPr>
            <w:r>
              <w:rPr>
                <w:rFonts w:ascii="Arial" w:cs="Arial" w:eastAsia="Arial" w:hAnsi="Arial"/>
                <w:sz w:val="18"/>
                <w:szCs w:val="18"/>
                <w:color w:val="auto"/>
              </w:rPr>
              <w:t>Date: April 25, 2011</w:t>
            </w:r>
          </w:p>
        </w:tc>
        <w:tc>
          <w:tcPr>
            <w:tcW w:w="5600" w:type="dxa"/>
            <w:vAlign w:val="bottom"/>
          </w:tcPr>
          <w:p>
            <w:pPr>
              <w:spacing w:after="0"/>
              <w:rPr>
                <w:sz w:val="20"/>
                <w:szCs w:val="20"/>
                <w:color w:val="auto"/>
              </w:rPr>
            </w:pPr>
            <w:r>
              <w:rPr>
                <w:rFonts w:ascii="Arial" w:cs="Arial" w:eastAsia="Arial" w:hAnsi="Arial"/>
                <w:sz w:val="18"/>
                <w:szCs w:val="18"/>
                <w:color w:val="auto"/>
              </w:rPr>
              <w:t>Chairman &amp; Chief Executive Officer</w:t>
            </w:r>
          </w:p>
        </w:tc>
      </w:tr>
    </w:tbl>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Gregory J. Hayes</w:t>
            </w:r>
          </w:p>
        </w:tc>
      </w:tr>
      <w:tr>
        <w:trPr>
          <w:trHeight w:val="236"/>
        </w:trPr>
        <w:tc>
          <w:tcPr>
            <w:tcW w:w="5820" w:type="dxa"/>
            <w:vAlign w:val="bottom"/>
          </w:tcPr>
          <w:p>
            <w:pPr>
              <w:spacing w:after="0"/>
              <w:rPr>
                <w:sz w:val="20"/>
                <w:szCs w:val="20"/>
                <w:color w:val="auto"/>
              </w:rPr>
            </w:pPr>
            <w:r>
              <w:rPr>
                <w:rFonts w:ascii="Arial" w:cs="Arial" w:eastAsia="Arial" w:hAnsi="Arial"/>
                <w:sz w:val="18"/>
                <w:szCs w:val="18"/>
                <w:color w:val="auto"/>
              </w:rPr>
              <w:t>Date: April 25, 2011</w:t>
            </w:r>
          </w:p>
        </w:tc>
        <w:tc>
          <w:tcPr>
            <w:tcW w:w="56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27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Peter F. Longo,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ETER</w:t>
            </w:r>
            <w:r>
              <w:rPr>
                <w:rFonts w:ascii="Arial" w:cs="Arial" w:eastAsia="Arial" w:hAnsi="Arial"/>
                <w:sz w:val="18"/>
                <w:szCs w:val="18"/>
                <w:color w:val="auto"/>
              </w:rPr>
              <w:t xml:space="preserve"> F. L</w:t>
            </w:r>
            <w:r>
              <w:rPr>
                <w:rFonts w:ascii="Arial" w:cs="Arial" w:eastAsia="Arial" w:hAnsi="Arial"/>
                <w:sz w:val="14"/>
                <w:szCs w:val="14"/>
                <w:color w:val="auto"/>
              </w:rPr>
              <w:t>ONGO</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Peter F. Longo</w:t>
            </w:r>
          </w:p>
        </w:tc>
      </w:tr>
      <w:tr>
        <w:trPr>
          <w:trHeight w:val="236"/>
        </w:trPr>
        <w:tc>
          <w:tcPr>
            <w:tcW w:w="5820" w:type="dxa"/>
            <w:vAlign w:val="bottom"/>
          </w:tcPr>
          <w:p>
            <w:pPr>
              <w:spacing w:after="0"/>
              <w:rPr>
                <w:sz w:val="20"/>
                <w:szCs w:val="20"/>
                <w:color w:val="auto"/>
              </w:rPr>
            </w:pPr>
            <w:r>
              <w:rPr>
                <w:rFonts w:ascii="Arial" w:cs="Arial" w:eastAsia="Arial" w:hAnsi="Arial"/>
                <w:sz w:val="18"/>
                <w:szCs w:val="18"/>
                <w:color w:val="auto"/>
              </w:rPr>
              <w:t>Date: April 25, 2011</w:t>
            </w:r>
          </w:p>
        </w:tc>
        <w:tc>
          <w:tcPr>
            <w:tcW w:w="5600" w:type="dxa"/>
            <w:vAlign w:val="bottom"/>
          </w:tcPr>
          <w:p>
            <w:pPr>
              <w:spacing w:after="0"/>
              <w:rPr>
                <w:sz w:val="20"/>
                <w:szCs w:val="20"/>
                <w:color w:val="auto"/>
              </w:rPr>
            </w:pPr>
            <w:r>
              <w:rPr>
                <w:rFonts w:ascii="Arial" w:cs="Arial" w:eastAsia="Arial" w:hAnsi="Arial"/>
                <w:sz w:val="18"/>
                <w:szCs w:val="18"/>
                <w:color w:val="auto"/>
              </w:rPr>
              <w:t>Vice President, Controller</w:t>
            </w:r>
          </w:p>
        </w:tc>
      </w:tr>
    </w:tbl>
    <w:p>
      <w:pPr>
        <w:sectPr>
          <w:pgSz w:w="11900" w:h="16838" w:orient="portrait"/>
          <w:cols w:equalWidth="0" w:num="1">
            <w:col w:w="11420"/>
          </w:cols>
          <w:pgMar w:left="240" w:top="27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8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Quarterly Report on Form 10-Q for the quarter ended March 31, 2011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94"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25, 2011</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L</w:t>
      </w:r>
      <w:r>
        <w:rPr>
          <w:rFonts w:ascii="Arial" w:cs="Arial" w:eastAsia="Arial" w:hAnsi="Arial"/>
          <w:sz w:val="13"/>
          <w:szCs w:val="13"/>
          <w:color w:val="auto"/>
        </w:rPr>
        <w:t>OUIS</w:t>
      </w:r>
      <w:r>
        <w:rPr>
          <w:rFonts w:ascii="Arial" w:cs="Arial" w:eastAsia="Arial" w:hAnsi="Arial"/>
          <w:sz w:val="16"/>
          <w:szCs w:val="16"/>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Louis R. Chênevert</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&amp; Chief Executive Officer</w:t>
      </w:r>
    </w:p>
    <w:p>
      <w:pPr>
        <w:spacing w:after="0" w:line="23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25, 2011</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Gregory J. Hayes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23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25, 2011</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P</w:t>
      </w:r>
      <w:r>
        <w:rPr>
          <w:rFonts w:ascii="Arial" w:cs="Arial" w:eastAsia="Arial" w:hAnsi="Arial"/>
          <w:sz w:val="13"/>
          <w:szCs w:val="13"/>
          <w:color w:val="auto"/>
        </w:rPr>
        <w:t>ETER</w:t>
      </w:r>
      <w:r>
        <w:rPr>
          <w:rFonts w:ascii="Arial" w:cs="Arial" w:eastAsia="Arial" w:hAnsi="Arial"/>
          <w:sz w:val="16"/>
          <w:szCs w:val="16"/>
          <w:color w:val="auto"/>
        </w:rPr>
        <w:t xml:space="preserve"> F. L</w:t>
      </w:r>
      <w:r>
        <w:rPr>
          <w:rFonts w:ascii="Arial" w:cs="Arial" w:eastAsia="Arial" w:hAnsi="Arial"/>
          <w:sz w:val="13"/>
          <w:szCs w:val="13"/>
          <w:color w:val="auto"/>
        </w:rPr>
        <w:t>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Peter F. Longo</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 and Controller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31"/>
    </w:lvl>
  </w:abstractNum>
  <w:abstractNum w:abstractNumId="6">
    <w:nsid w:val="5BD062C2"/>
    <w:multiLevelType w:val="hybridMultilevel"/>
    <w:lvl w:ilvl="0">
      <w:lvlJc w:val="left"/>
      <w:lvlText w:val="%1"/>
      <w:numFmt w:val="decimal"/>
      <w:start w:val="31"/>
    </w:lvl>
  </w:abstractNum>
  <w:abstractNum w:abstractNumId="7">
    <w:nsid w:val="12200854"/>
    <w:multiLevelType w:val="hybridMultilevel"/>
    <w:lvl w:ilvl="0">
      <w:lvlJc w:val="left"/>
      <w:lvlText w:val="(%1)"/>
      <w:numFmt w:val="lowerRoman"/>
      <w:start w:val="3"/>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2019-12-10T04:25:06Z</dcterms:created>
  <dcterms:modified xsi:type="dcterms:W3CDTF">2019-12-10T04:25:06Z</dcterms:modified>
</cp:coreProperties>
</file>