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3927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3927475"/>
                    </a:xfrm>
                    <a:prstGeom prst="rect">
                      <a:avLst/>
                    </a:prstGeom>
                    <a:noFill/>
                  </pic:spPr>
                </pic:pic>
              </a:graphicData>
            </a:graphic>
          </wp:anchor>
        </w:drawing>
      </w:r>
    </w:p>
    <w:p>
      <w:pPr>
        <w:spacing w:after="0" w:line="1072" w:lineRule="exact"/>
        <w:rPr>
          <w:sz w:val="24"/>
          <w:szCs w:val="24"/>
          <w:color w:val="auto"/>
        </w:rPr>
      </w:pPr>
    </w:p>
    <w:p>
      <w:pPr>
        <w:sectPr>
          <w:pgSz w:w="11900" w:h="16838" w:orient="portrait"/>
          <w:cols w:equalWidth="0" w:num="2">
            <w:col w:w="2280" w:space="42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Pawlikowski Ellen M</w:t>
        </w:r>
      </w:hyperlink>
    </w:p>
    <w:p>
      <w:pPr>
        <w:spacing w:after="0" w:line="279"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WILSON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RTX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04/30/2026</w:t>
      </w:r>
    </w:p>
    <w:p>
      <w:pPr>
        <w:spacing w:after="0" w:line="20" w:lineRule="exact"/>
        <w:rPr>
          <w:sz w:val="24"/>
          <w:szCs w:val="24"/>
          <w:color w:val="auto"/>
        </w:rPr>
      </w:pPr>
      <w:r>
        <w:rPr>
          <w:sz w:val="24"/>
          <w:szCs w:val="24"/>
          <w:color w:val="auto"/>
        </w:rPr>
        <w:br w:type="column"/>
      </w:r>
    </w:p>
    <w:p>
      <w:pPr>
        <w:ind w:left="-4" w:right="760" w:firstLine="4"/>
        <w:spacing w:after="0" w:line="277"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5"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2" w:lineRule="exact"/>
        <w:rPr>
          <w:sz w:val="24"/>
          <w:szCs w:val="24"/>
          <w:color w:val="auto"/>
        </w:rPr>
      </w:pPr>
    </w:p>
    <w:p>
      <w:pPr>
        <w:sectPr>
          <w:pgSz w:w="11900" w:h="16838" w:orient="portrait"/>
          <w:cols w:equalWidth="0" w:num="3">
            <w:col w:w="3180" w:space="720"/>
            <w:col w:w="3104" w:space="720"/>
            <w:col w:w="3356"/>
          </w:cols>
          <w:pgMar w:left="460" w:top="213" w:right="359" w:bottom="1440" w:gutter="0" w:footer="0" w:header="0"/>
          <w:type w:val="continuous"/>
        </w:sectPr>
      </w:pP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6"/>
                <w:szCs w:val="16"/>
                <w:color w:val="auto"/>
              </w:rPr>
            </w:pPr>
          </w:p>
        </w:tc>
        <w:tc>
          <w:tcPr>
            <w:tcW w:w="3560" w:type="dxa"/>
            <w:vAlign w:val="bottom"/>
            <w:gridSpan w:val="9"/>
          </w:tcPr>
          <w:p>
            <w:pPr>
              <w:ind w:left="2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ARLINGTON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VA</w:t>
            </w:r>
          </w:p>
        </w:tc>
        <w:tc>
          <w:tcPr>
            <w:tcW w:w="10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22209</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80" w:type="dxa"/>
            <w:vAlign w:val="bottom"/>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3"/>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2"/>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62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2"/>
                <w:szCs w:val="12"/>
                <w:color w:val="0000FF"/>
              </w:rPr>
              <w:t>04/30/2026</w:t>
            </w:r>
          </w:p>
        </w:tc>
        <w:tc>
          <w:tcPr>
            <w:tcW w:w="108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8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1,260.8622</w:t>
            </w:r>
          </w:p>
        </w:tc>
        <w:tc>
          <w:tcPr>
            <w:tcW w:w="28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1,260.8622</w:t>
            </w:r>
          </w:p>
        </w:tc>
        <w:tc>
          <w:tcPr>
            <w:tcW w:w="2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176.07</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0000FF"/>
              </w:rPr>
              <w:t>16,792.0021</w:t>
            </w:r>
          </w:p>
        </w:tc>
        <w:tc>
          <w:tcPr>
            <w:tcW w:w="6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 Unit</w:t>
            </w: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ind w:left="14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-1524635</wp:posOffset>
            </wp:positionV>
            <wp:extent cx="28575" cy="1529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52971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jc w:val="both"/>
        <w:ind w:left="40" w:right="180" w:hanging="4"/>
        <w:spacing w:after="0" w:line="255"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acquired these stock units under the RTX Corporation Board of Directors Deferred Stock Unit Plan (the "Plan") in connection with the reporting person's annual compensation for service as a non-employee director. The Plan provides for payment of a portion or all of the annual compensation in deferred stock units. Upon retirement or termination, the deferred stock units in the director's account under the Plan are converted into an equal number of shares of common stock that, at the director's previous election, are distributed either in a lump-sum or in installments.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pawlikowski-poa_09122025.txt</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Jennifer Yahl, as Attorney-in- </w:t>
      </w:r>
      <w:r>
        <w:rPr>
          <w:rFonts w:ascii="Times New Roman" w:cs="Times New Roman" w:eastAsia="Times New Roman" w:hAnsi="Times New Roman"/>
          <w:sz w:val="32"/>
          <w:szCs w:val="32"/>
          <w:color w:val="0000FF"/>
          <w:vertAlign w:val="subscript"/>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-26035</wp:posOffset>
            </wp:positionV>
            <wp:extent cx="13335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152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2400"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1"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3" w:right="359" w:bottom="1440" w:gutter="0" w:footer="0" w:header="0"/>
          <w:type w:val="continuous"/>
        </w:sectPr>
      </w:pPr>
    </w:p>
    <w:bookmarkStart w:id="1" w:name="page2"/>
    <w:bookmarkEnd w:id="1"/>
    <w:p>
      <w:pPr>
        <w:ind w:left="1"/>
        <w:spacing w:after="0"/>
        <w:rPr>
          <w:sz w:val="20"/>
          <w:szCs w:val="20"/>
          <w:color w:val="auto"/>
        </w:rPr>
      </w:pPr>
      <w:r>
        <w:rPr>
          <w:rFonts w:ascii="Courier New" w:cs="Courier New" w:eastAsia="Courier New" w:hAnsi="Courier New"/>
          <w:sz w:val="16"/>
          <w:szCs w:val="16"/>
          <w:color w:val="auto"/>
        </w:rPr>
        <w:t>POWER OF ATTORNEY</w:t>
      </w:r>
    </w:p>
    <w:p>
      <w:pPr>
        <w:spacing w:after="0" w:line="189" w:lineRule="exact"/>
        <w:rPr>
          <w:sz w:val="20"/>
          <w:szCs w:val="20"/>
          <w:color w:val="auto"/>
        </w:rPr>
      </w:pPr>
    </w:p>
    <w:p>
      <w:pPr>
        <w:ind w:left="1" w:right="1719" w:firstLine="770"/>
        <w:spacing w:after="0" w:line="264"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Ramsaran Maharajh, Jr., Edward G. Perrault, Jennifer Yahl,</w:t>
      </w:r>
    </w:p>
    <w:p>
      <w:pPr>
        <w:spacing w:after="0" w:line="1" w:lineRule="exact"/>
        <w:rPr>
          <w:sz w:val="20"/>
          <w:szCs w:val="20"/>
          <w:color w:val="auto"/>
        </w:rPr>
      </w:pPr>
    </w:p>
    <w:p>
      <w:pPr>
        <w:ind w:left="1" w:right="2579"/>
        <w:spacing w:after="0" w:line="245" w:lineRule="auto"/>
        <w:rPr>
          <w:sz w:val="20"/>
          <w:szCs w:val="20"/>
          <w:color w:val="auto"/>
        </w:rPr>
      </w:pPr>
      <w:r>
        <w:rPr>
          <w:rFonts w:ascii="Courier New" w:cs="Courier New" w:eastAsia="Courier New" w:hAnsi="Courier New"/>
          <w:sz w:val="16"/>
          <w:szCs w:val="16"/>
          <w:color w:val="auto"/>
        </w:rPr>
        <w:t>Adam P. Samarillo and Ilia O'Hearn to be his or her true and lawful attorney-in-fact and agent to execute and file for and on behalf of the undersigned</w:t>
      </w:r>
    </w:p>
    <w:p>
      <w:pPr>
        <w:ind w:left="1" w:right="2399" w:hanging="1"/>
        <w:spacing w:after="0" w:line="256" w:lineRule="auto"/>
        <w:tabs>
          <w:tab w:leader="none" w:pos="38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reports on Forms 3, 4, 5 and, if applicable, 144 (including any amendments thereto and any successors to such Forms) with respect to ownership of securities of RTX Corporation (the "Company") that the undersigned may be required to file with the Securities and Exchange Commission in accordance with Section 16(a) of the Securities Exchange Act of 1934 and the rules thereunder and/or Rule 144 under the Securities Act of 1933, and (ii) as necessary, any other documents necessary or appropriate to obtain codes and passwords enabling the undersigned to file such reports electronically.</w:t>
      </w:r>
    </w:p>
    <w:p>
      <w:pPr>
        <w:spacing w:after="0" w:line="89" w:lineRule="exact"/>
        <w:rPr>
          <w:sz w:val="20"/>
          <w:szCs w:val="20"/>
          <w:color w:val="auto"/>
        </w:rPr>
      </w:pPr>
    </w:p>
    <w:p>
      <w:pPr>
        <w:ind w:left="1" w:right="1919" w:firstLine="770"/>
        <w:spacing w:after="0" w:line="258" w:lineRule="auto"/>
        <w:rPr>
          <w:sz w:val="20"/>
          <w:szCs w:val="20"/>
          <w:color w:val="auto"/>
        </w:rPr>
      </w:pPr>
      <w:r>
        <w:rPr>
          <w:rFonts w:ascii="Courier New" w:cs="Courier New" w:eastAsia="Courier New" w:hAnsi="Courier New"/>
          <w:sz w:val="16"/>
          <w:szCs w:val="16"/>
          <w:color w:val="auto"/>
        </w:rPr>
        <w:t>The undersigned acknowledges that the foregoing attorney-in-fact, in serving in such capacity at the request of the undersigned, is not assuming, nor is the Company assuming, any of the undersigned's responsibilities to comply with</w:t>
      </w:r>
    </w:p>
    <w:p>
      <w:pPr>
        <w:spacing w:after="0" w:line="1" w:lineRule="exact"/>
        <w:rPr>
          <w:sz w:val="20"/>
          <w:szCs w:val="20"/>
          <w:color w:val="auto"/>
        </w:rPr>
      </w:pPr>
    </w:p>
    <w:p>
      <w:pPr>
        <w:ind w:left="1" w:right="2779"/>
        <w:spacing w:after="0" w:line="325" w:lineRule="auto"/>
        <w:rPr>
          <w:sz w:val="20"/>
          <w:szCs w:val="20"/>
          <w:color w:val="auto"/>
        </w:rPr>
      </w:pPr>
      <w:r>
        <w:rPr>
          <w:rFonts w:ascii="Courier New" w:cs="Courier New" w:eastAsia="Courier New" w:hAnsi="Courier New"/>
          <w:sz w:val="16"/>
          <w:szCs w:val="16"/>
          <w:color w:val="auto"/>
        </w:rPr>
        <w:t>Section 16 of the Securities Exchange Act of 1934 and/or Rule 144 under the Securities Act of 1933.</w:t>
      </w:r>
    </w:p>
    <w:p>
      <w:pPr>
        <w:spacing w:after="0" w:line="34" w:lineRule="exact"/>
        <w:rPr>
          <w:sz w:val="20"/>
          <w:szCs w:val="20"/>
          <w:color w:val="auto"/>
        </w:rPr>
      </w:pPr>
    </w:p>
    <w:p>
      <w:pPr>
        <w:ind w:left="1" w:right="2399" w:firstLine="770"/>
        <w:spacing w:after="0" w:line="26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5 and, if applicable, 144 with respect to the undersigned's holdings and transactions in securities issued by the Company, unless earlier revoked by the undersigned in a signed writing delivered to the foregoing attorney-in-fact. This Power of Attorney also serves to revoke and replace as of the date hereof, any prior Power of Attorney executed by the undersigned with respect to the ownership of securities of the Company.</w:t>
      </w:r>
    </w:p>
    <w:p>
      <w:pPr>
        <w:spacing w:after="0" w:line="83" w:lineRule="exact"/>
        <w:rPr>
          <w:sz w:val="20"/>
          <w:szCs w:val="20"/>
          <w:color w:val="auto"/>
        </w:rPr>
      </w:pPr>
    </w:p>
    <w:p>
      <w:pPr>
        <w:ind w:left="1" w:right="2579" w:firstLine="770"/>
        <w:spacing w:after="0" w:line="364"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12th day of September, 2025.</w:t>
      </w:r>
    </w:p>
    <w:p>
      <w:pPr>
        <w:spacing w:after="0" w:line="37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Ellen M. Pawlikowski</w:t>
      </w:r>
    </w:p>
    <w:p>
      <w:pPr>
        <w:spacing w:after="0" w:line="34" w:lineRule="exact"/>
        <w:rPr>
          <w:sz w:val="20"/>
          <w:szCs w:val="20"/>
          <w:color w:val="auto"/>
        </w:rPr>
      </w:pPr>
    </w:p>
    <w:p>
      <w:pPr>
        <w:ind w:left="1"/>
        <w:spacing w:after="0"/>
        <w:tabs>
          <w:tab w:leader="none" w:pos="741" w:val="left"/>
        </w:tabs>
        <w:rPr>
          <w:sz w:val="20"/>
          <w:szCs w:val="20"/>
          <w:color w:val="auto"/>
        </w:rPr>
      </w:pPr>
      <w:r>
        <w:rPr>
          <w:rFonts w:ascii="Courier New" w:cs="Courier New" w:eastAsia="Courier New" w:hAnsi="Courier New"/>
          <w:sz w:val="16"/>
          <w:szCs w:val="16"/>
          <w:color w:val="auto"/>
        </w:rPr>
        <w:t>Name:</w:t>
        <w:tab/>
        <w:t>Ellen M. Pawlikowski</w:t>
      </w:r>
    </w:p>
    <w:sectPr>
      <w:pgSz w:w="11900" w:h="16838" w:orient="portrait"/>
      <w:cols w:equalWidth="0" w:num="1">
        <w:col w:w="10000"/>
      </w:cols>
      <w:pgMar w:left="459"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1642" TargetMode="External"/><Relationship Id="rId14" Type="http://schemas.openxmlformats.org/officeDocument/2006/relationships/hyperlink" Target="http://www.sec.gov/cgi-bin/browse-edgar?action=getcompany&amp;CIK=0000101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2026-05-04T16:16:27Z</dcterms:created>
  <dcterms:modified xsi:type="dcterms:W3CDTF">2026-05-04T16:16:27Z</dcterms:modified>
</cp:coreProperties>
</file>