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3920" w:right="1800" w:hanging="3912"/>
        <w:spacing w:after="0" w:line="441" w:lineRule="auto"/>
        <w:tabs>
          <w:tab w:leader="none" w:pos="45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2008</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400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3898900</wp:posOffset>
            </wp:positionH>
            <wp:positionV relativeFrom="paragraph">
              <wp:posOffset>-13970</wp:posOffset>
            </wp:positionV>
            <wp:extent cx="811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1530" cy="8890"/>
                    </a:xfrm>
                    <a:prstGeom prst="rect">
                      <a:avLst/>
                    </a:prstGeom>
                    <a:noFill/>
                  </pic:spPr>
                </pic:pic>
              </a:graphicData>
            </a:graphic>
          </wp:anchor>
        </w:drawing>
      </w:r>
    </w:p>
    <w:p>
      <w:pPr>
        <w:spacing w:after="0" w:line="15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1380"/>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tbl>
      <w:tblPr>
        <w:tblLayout w:type="fixed"/>
        <w:tblInd w:w="236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6"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One Financial Plaza, Hartford, Connecticut 06103</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3" w:lineRule="exact"/>
        <w:rPr>
          <w:sz w:val="24"/>
          <w:szCs w:val="24"/>
          <w:color w:val="auto"/>
        </w:rPr>
      </w:pPr>
    </w:p>
    <w:p>
      <w:pPr>
        <w:ind w:left="1880"/>
        <w:spacing w:after="0" w:line="207" w:lineRule="exact"/>
        <w:tabs>
          <w:tab w:leader="none" w:pos="3840" w:val="left"/>
          <w:tab w:leader="none" w:pos="5440" w:val="left"/>
          <w:tab w:leader="none" w:pos="7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tabs>
          <w:tab w:leader="none" w:pos="8140" w:val="left"/>
          <w:tab w:leader="none" w:pos="88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At September 30, 2008, there were 950,616,049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20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Part I - Financial Information</w:t>
              </w:r>
            </w:hyperlink>
          </w:p>
        </w:tc>
        <w:tc>
          <w:tcPr>
            <w:tcW w:w="90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 of Operations for the quarters ended September 30, 2008 and 2007</w:t>
              </w:r>
            </w:hyperlink>
          </w:p>
        </w:tc>
        <w:tc>
          <w:tcPr>
            <w:tcW w:w="26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Operations for the nine months ended September 30, 2008 and 2007</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Borders>
              <w:top w:val="single" w:sz="8" w:color="0000EE"/>
            </w:tcBorders>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 at September 30, 2008 and December 31, 2007</w:t>
              </w:r>
            </w:hyperlink>
          </w:p>
        </w:tc>
        <w:tc>
          <w:tcPr>
            <w:tcW w:w="23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4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Cash Flows for the nine months ended September 30, 2008 and 2007</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4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Item 2. Management’s Discussion and Analysis of Financial Condition and Results of Operations</w:t>
              </w:r>
            </w:hyperlink>
          </w:p>
        </w:tc>
        <w:tc>
          <w:tcPr>
            <w:tcW w:w="34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3. Quantitative and Qualitative Disclosures About Market Risk</w:t>
              </w:r>
            </w:hyperlink>
          </w:p>
        </w:tc>
        <w:tc>
          <w:tcPr>
            <w:tcW w:w="54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Item 4. Controls and Procedures</w:t>
              </w:r>
            </w:hyperlink>
          </w:p>
        </w:tc>
        <w:tc>
          <w:tcPr>
            <w:tcW w:w="80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114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Part II -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1. Legal Proceedings</w:t>
              </w:r>
            </w:hyperlink>
          </w:p>
        </w:tc>
        <w:tc>
          <w:tcPr>
            <w:tcW w:w="84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Item 2. Unregistered Sales of Equity Securities and Use of Proceeds</w:t>
              </w:r>
            </w:hyperlink>
          </w:p>
        </w:tc>
        <w:tc>
          <w:tcPr>
            <w:tcW w:w="548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6. Exhibits</w:t>
              </w:r>
            </w:hyperlink>
          </w:p>
        </w:tc>
        <w:tc>
          <w:tcPr>
            <w:tcW w:w="914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44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4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74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 Index</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trademarks or tradenames of United Technologies Corporation and its subsidiaries. As used herein, the terms “we,” “us,” “our” and “UTC,” unless the context otherwise requires, means United Technologies Corporation and its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9"/>
              </w:rPr>
              <w:t>UNITED TECHNOLOGIES CORPORATION</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6"/>
              </w:rPr>
              <w:t>AND SUBSIDIARIES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CONDENSED CONSOLIDATED STATEMENT OF OPERATIONS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8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300" w:type="dxa"/>
            <w:vAlign w:val="bottom"/>
            <w:gridSpan w:val="5"/>
            <w:vMerge w:val="continue"/>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Product sales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10,735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Other income, net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14,814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00" w:type="dxa"/>
            <w:vAlign w:val="bottom"/>
            <w:gridSpan w:val="5"/>
          </w:tcPr>
          <w:p>
            <w:pPr>
              <w:spacing w:after="0"/>
              <w:rPr>
                <w:sz w:val="20"/>
                <w:szCs w:val="20"/>
                <w:color w:val="auto"/>
              </w:rPr>
            </w:pPr>
            <w:r>
              <w:rPr>
                <w:rFonts w:ascii="Arial" w:cs="Arial" w:eastAsia="Arial" w:hAnsi="Arial"/>
                <w:sz w:val="18"/>
                <w:szCs w:val="18"/>
                <w:color w:val="auto"/>
              </w:rPr>
              <w:t>Costs and expenses:</w:t>
            </w:r>
          </w:p>
        </w:tc>
        <w:tc>
          <w:tcPr>
            <w:tcW w:w="1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Cost of services sold</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Operating profit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Interest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Income before income taxes and minority interests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89"/>
              </w:rPr>
              <w:t>Income taxes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Minority interests in subsidiaries’ earnings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gridSpan w:val="4"/>
            <w:vMerge w:val="restart"/>
          </w:tcPr>
          <w:p>
            <w:pPr>
              <w:ind w:left="420"/>
              <w:spacing w:after="0"/>
              <w:rPr>
                <w:sz w:val="20"/>
                <w:szCs w:val="20"/>
                <w:color w:val="auto"/>
              </w:rPr>
            </w:pPr>
            <w:r>
              <w:rPr>
                <w:rFonts w:ascii="Arial" w:cs="Arial" w:eastAsia="Arial" w:hAnsi="Arial"/>
                <w:sz w:val="18"/>
                <w:szCs w:val="18"/>
                <w:color w:val="auto"/>
              </w:rPr>
              <w:t>Net income</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4"/>
            <w:vMerge w:val="continue"/>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1,269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Diluted</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Dividends per share of Common Stock</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Average number of shares outstanding:</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Diluted</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10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00" w:type="dxa"/>
            <w:vAlign w:val="bottom"/>
          </w:tcPr>
          <w:p>
            <w:pPr>
              <w:spacing w:after="0"/>
              <w:rPr>
                <w:sz w:val="14"/>
                <w:szCs w:val="14"/>
                <w:color w:val="auto"/>
              </w:rPr>
            </w:pPr>
          </w:p>
        </w:tc>
        <w:tc>
          <w:tcPr>
            <w:tcW w:w="13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002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31,810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44,182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02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23,882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Cost of services sold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 and minority interests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interests in subsidiaries’ earnings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Dividends per share of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number of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91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7780" w:type="dxa"/>
            <w:vAlign w:val="bottom"/>
            <w:shd w:val="clear" w:color="auto" w:fill="CCEEFF"/>
          </w:tcPr>
          <w:p>
            <w:pPr>
              <w:jc w:val="center"/>
              <w:ind w:right="1812"/>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3,615</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9,346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Inventories and contracts in progress, net</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9,011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898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24,181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3"/>
            <w:vMerge w:val="restart"/>
          </w:tcPr>
          <w:p>
            <w:pPr>
              <w:spacing w:after="0"/>
              <w:rPr>
                <w:sz w:val="20"/>
                <w:szCs w:val="20"/>
                <w:color w:val="auto"/>
              </w:rPr>
            </w:pPr>
            <w:r>
              <w:rPr>
                <w:rFonts w:ascii="Arial" w:cs="Arial" w:eastAsia="Arial" w:hAnsi="Arial"/>
                <w:sz w:val="18"/>
                <w:szCs w:val="18"/>
                <w:color w:val="auto"/>
              </w:rPr>
              <w:t>Customer financing assets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4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1,009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15,417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(8,976)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Fixed Assets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6,441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16,074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3,484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56,810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54,575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780" w:type="dxa"/>
            <w:vAlign w:val="bottom"/>
            <w:shd w:val="clear" w:color="auto" w:fill="CCEEFF"/>
          </w:tcPr>
          <w:p>
            <w:pPr>
              <w:jc w:val="center"/>
              <w:ind w:right="1792"/>
              <w:spacing w:after="0"/>
              <w:rPr>
                <w:sz w:val="20"/>
                <w:szCs w:val="20"/>
                <w:color w:val="auto"/>
              </w:rPr>
            </w:pPr>
            <w:r>
              <w:rPr>
                <w:rFonts w:ascii="Arial" w:cs="Arial" w:eastAsia="Arial" w:hAnsi="Arial"/>
                <w:sz w:val="18"/>
                <w:szCs w:val="18"/>
                <w:b w:val="1"/>
                <w:bCs w:val="1"/>
                <w:color w:val="auto"/>
                <w:w w:val="89"/>
              </w:rPr>
              <w:t>Liabilities and Shareowners’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1,308</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5,104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12,494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19,857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8,113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2,392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34,765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interests in subsidiary companies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Shareowners’ Equity:</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10,973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860"/>
              <w:spacing w:after="0"/>
              <w:rPr>
                <w:sz w:val="20"/>
                <w:szCs w:val="20"/>
                <w:color w:val="auto"/>
              </w:rPr>
            </w:pPr>
            <w:r>
              <w:rPr>
                <w:rFonts w:ascii="Arial" w:cs="Arial" w:eastAsia="Arial" w:hAnsi="Arial"/>
                <w:sz w:val="18"/>
                <w:szCs w:val="18"/>
                <w:color w:val="auto"/>
              </w:rPr>
              <w:t>Treasury Stock</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(13,824)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24,380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860"/>
              <w:spacing w:after="0"/>
              <w:rPr>
                <w:sz w:val="20"/>
                <w:szCs w:val="20"/>
                <w:color w:val="auto"/>
              </w:rPr>
            </w:pPr>
            <w:r>
              <w:rPr>
                <w:rFonts w:ascii="Arial" w:cs="Arial" w:eastAsia="Arial" w:hAnsi="Arial"/>
                <w:sz w:val="18"/>
                <w:szCs w:val="18"/>
                <w:color w:val="auto"/>
              </w:rPr>
              <w:t>Unearned ESOP shares</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Accumulated other non-shareowners’ changes in equity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gridSpan w:val="2"/>
            <w:vMerge w:val="restart"/>
          </w:tcPr>
          <w:p>
            <w:pPr>
              <w:ind w:left="1280"/>
              <w:spacing w:after="0"/>
              <w:rPr>
                <w:sz w:val="20"/>
                <w:szCs w:val="20"/>
                <w:color w:val="auto"/>
              </w:rPr>
            </w:pPr>
            <w:r>
              <w:rPr>
                <w:rFonts w:ascii="Arial" w:cs="Arial" w:eastAsia="Arial" w:hAnsi="Arial"/>
                <w:sz w:val="18"/>
                <w:szCs w:val="18"/>
                <w:color w:val="auto"/>
              </w:rPr>
              <w:t>Total Shareowners’ Equity</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21,083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Shareowners’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56,810</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8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40" w:type="dxa"/>
            <w:vAlign w:val="bottom"/>
          </w:tcPr>
          <w:p>
            <w:pPr>
              <w:spacing w:after="0"/>
              <w:rPr>
                <w:sz w:val="14"/>
                <w:szCs w:val="14"/>
                <w:color w:val="auto"/>
              </w:rPr>
            </w:pPr>
          </w:p>
        </w:tc>
        <w:tc>
          <w:tcPr>
            <w:tcW w:w="15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2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$ 3,544</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80"/>
              <w:spacing w:after="0"/>
              <w:rPr>
                <w:sz w:val="20"/>
                <w:szCs w:val="20"/>
                <w:color w:val="auto"/>
              </w:rPr>
            </w:pPr>
            <w:r>
              <w:rPr>
                <w:rFonts w:ascii="Arial" w:cs="Arial" w:eastAsia="Arial" w:hAnsi="Arial"/>
                <w:sz w:val="18"/>
                <w:szCs w:val="18"/>
                <w:color w:val="auto"/>
              </w:rPr>
              <w:t>Depreciation and amortization</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971</w:t>
            </w:r>
          </w:p>
        </w:tc>
        <w:tc>
          <w:tcPr>
            <w:tcW w:w="560" w:type="dxa"/>
            <w:vAlign w:val="bottom"/>
          </w:tcPr>
          <w:p>
            <w:pPr>
              <w:jc w:val="right"/>
              <w:spacing w:after="0"/>
              <w:rPr>
                <w:sz w:val="20"/>
                <w:szCs w:val="20"/>
                <w:color w:val="auto"/>
              </w:rPr>
            </w:pPr>
            <w:r>
              <w:rPr>
                <w:rFonts w:ascii="Arial" w:cs="Arial" w:eastAsia="Arial" w:hAnsi="Arial"/>
                <w:sz w:val="18"/>
                <w:szCs w:val="18"/>
                <w:color w:val="auto"/>
              </w:rPr>
              <w:t>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Deferred income tax benefit</w:t>
            </w:r>
          </w:p>
        </w:tc>
        <w:tc>
          <w:tcPr>
            <w:tcW w:w="2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80"/>
              <w:spacing w:after="0"/>
              <w:rPr>
                <w:sz w:val="20"/>
                <w:szCs w:val="20"/>
                <w:color w:val="auto"/>
              </w:rPr>
            </w:pPr>
            <w:r>
              <w:rPr>
                <w:rFonts w:ascii="Arial" w:cs="Arial" w:eastAsia="Arial" w:hAnsi="Arial"/>
                <w:sz w:val="18"/>
                <w:szCs w:val="18"/>
                <w:color w:val="auto"/>
              </w:rPr>
              <w:t>Minority interests in subsidiaries’ earnings</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280</w:t>
            </w:r>
          </w:p>
        </w:tc>
        <w:tc>
          <w:tcPr>
            <w:tcW w:w="560" w:type="dxa"/>
            <w:vAlign w:val="bottom"/>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Stock compensation cost</w:t>
            </w:r>
          </w:p>
        </w:tc>
        <w:tc>
          <w:tcPr>
            <w:tcW w:w="2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860"/>
              <w:spacing w:after="0"/>
              <w:rPr>
                <w:sz w:val="20"/>
                <w:szCs w:val="20"/>
                <w:color w:val="auto"/>
              </w:rPr>
            </w:pPr>
            <w:r>
              <w:rPr>
                <w:rFonts w:ascii="Arial" w:cs="Arial" w:eastAsia="Arial" w:hAnsi="Arial"/>
                <w:sz w:val="18"/>
                <w:szCs w:val="18"/>
                <w:color w:val="auto"/>
              </w:rPr>
              <w:t>Change in:</w:t>
            </w:r>
          </w:p>
        </w:tc>
        <w:tc>
          <w:tcPr>
            <w:tcW w:w="1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2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80"/>
              <w:spacing w:after="0"/>
              <w:rPr>
                <w:sz w:val="20"/>
                <w:szCs w:val="20"/>
                <w:color w:val="auto"/>
              </w:rPr>
            </w:pPr>
            <w:r>
              <w:rPr>
                <w:rFonts w:ascii="Arial" w:cs="Arial" w:eastAsia="Arial" w:hAnsi="Arial"/>
                <w:sz w:val="18"/>
                <w:szCs w:val="18"/>
                <w:color w:val="auto"/>
              </w:rPr>
              <w:t>Inventories and contracts in progress</w:t>
            </w:r>
          </w:p>
        </w:tc>
        <w:tc>
          <w:tcPr>
            <w:tcW w:w="2600" w:type="dxa"/>
            <w:vAlign w:val="bottom"/>
            <w:gridSpan w:val="3"/>
          </w:tcPr>
          <w:p>
            <w:pPr>
              <w:jc w:val="right"/>
              <w:ind w:right="340"/>
              <w:spacing w:after="0"/>
              <w:rPr>
                <w:sz w:val="20"/>
                <w:szCs w:val="20"/>
                <w:color w:val="auto"/>
              </w:rPr>
            </w:pPr>
            <w:r>
              <w:rPr>
                <w:rFonts w:ascii="Arial" w:cs="Arial" w:eastAsia="Arial" w:hAnsi="Arial"/>
                <w:sz w:val="18"/>
                <w:szCs w:val="18"/>
                <w:color w:val="auto"/>
              </w:rPr>
              <w:t>(1,072)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Other current assets</w:t>
            </w:r>
          </w:p>
        </w:tc>
        <w:tc>
          <w:tcPr>
            <w:tcW w:w="2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80"/>
              <w:spacing w:after="0"/>
              <w:rPr>
                <w:sz w:val="20"/>
                <w:szCs w:val="20"/>
                <w:color w:val="auto"/>
              </w:rPr>
            </w:pPr>
            <w:r>
              <w:rPr>
                <w:rFonts w:ascii="Arial" w:cs="Arial" w:eastAsia="Arial" w:hAnsi="Arial"/>
                <w:sz w:val="18"/>
                <w:szCs w:val="18"/>
                <w:color w:val="auto"/>
              </w:rPr>
              <w:t>Accounts payable and accrued liabilities</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1,141</w:t>
            </w:r>
          </w:p>
        </w:tc>
        <w:tc>
          <w:tcPr>
            <w:tcW w:w="560" w:type="dxa"/>
            <w:vAlign w:val="bottom"/>
          </w:tcPr>
          <w:p>
            <w:pPr>
              <w:jc w:val="right"/>
              <w:spacing w:after="0"/>
              <w:rPr>
                <w:sz w:val="20"/>
                <w:szCs w:val="20"/>
                <w:color w:val="auto"/>
              </w:rPr>
            </w:pPr>
            <w:r>
              <w:rPr>
                <w:rFonts w:ascii="Arial" w:cs="Arial" w:eastAsia="Arial" w:hAnsi="Arial"/>
                <w:sz w:val="18"/>
                <w:szCs w:val="18"/>
                <w:color w:val="auto"/>
              </w:rPr>
              <w:t>1,849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gridSpan w:val="2"/>
          </w:tcPr>
          <w:p>
            <w:pPr>
              <w:ind w:left="1280"/>
              <w:spacing w:after="0"/>
              <w:rPr>
                <w:sz w:val="20"/>
                <w:szCs w:val="20"/>
                <w:color w:val="auto"/>
              </w:rPr>
            </w:pPr>
            <w:r>
              <w:rPr>
                <w:rFonts w:ascii="Arial" w:cs="Arial" w:eastAsia="Arial" w:hAnsi="Arial"/>
                <w:sz w:val="18"/>
                <w:szCs w:val="18"/>
                <w:color w:val="auto"/>
              </w:rPr>
              <w:t>Net cash flows provided by operating activities</w:t>
            </w:r>
          </w:p>
        </w:tc>
        <w:tc>
          <w:tcPr>
            <w:tcW w:w="16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4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2600" w:type="dxa"/>
            <w:vAlign w:val="bottom"/>
            <w:gridSpan w:val="3"/>
          </w:tcPr>
          <w:p>
            <w:pPr>
              <w:jc w:val="right"/>
              <w:ind w:right="340"/>
              <w:spacing w:after="0"/>
              <w:rPr>
                <w:sz w:val="20"/>
                <w:szCs w:val="20"/>
                <w:color w:val="auto"/>
              </w:rPr>
            </w:pPr>
            <w:r>
              <w:rPr>
                <w:rFonts w:ascii="Arial" w:cs="Arial" w:eastAsia="Arial" w:hAnsi="Arial"/>
                <w:sz w:val="18"/>
                <w:szCs w:val="18"/>
                <w:color w:val="auto"/>
              </w:rPr>
              <w:t>(810)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2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270</w:t>
            </w: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customer financing assets, net</w:t>
            </w:r>
          </w:p>
        </w:tc>
        <w:tc>
          <w:tcPr>
            <w:tcW w:w="2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6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flows used in investing activities</w:t>
            </w:r>
          </w:p>
        </w:tc>
        <w:tc>
          <w:tcPr>
            <w:tcW w:w="2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(1,190)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22"/>
        </w:trPr>
        <w:tc>
          <w:tcPr>
            <w:tcW w:w="820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16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Issuance (repayment) of long-term debt, net</w:t>
            </w:r>
          </w:p>
        </w:tc>
        <w:tc>
          <w:tcPr>
            <w:tcW w:w="2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991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Increase in short-term borrowings, net</w:t>
            </w:r>
          </w:p>
        </w:tc>
        <w:tc>
          <w:tcPr>
            <w:tcW w:w="2600" w:type="dxa"/>
            <w:vAlign w:val="bottom"/>
            <w:gridSpan w:val="3"/>
          </w:tcPr>
          <w:p>
            <w:pPr>
              <w:jc w:val="right"/>
              <w:ind w:right="400"/>
              <w:spacing w:after="0"/>
              <w:rPr>
                <w:sz w:val="20"/>
                <w:szCs w:val="20"/>
                <w:color w:val="auto"/>
              </w:rPr>
            </w:pPr>
            <w:r>
              <w:rPr>
                <w:rFonts w:ascii="Arial" w:cs="Arial" w:eastAsia="Arial" w:hAnsi="Arial"/>
                <w:sz w:val="18"/>
                <w:szCs w:val="18"/>
                <w:color w:val="auto"/>
              </w:rPr>
              <w:t>261</w:t>
            </w:r>
          </w:p>
        </w:tc>
        <w:tc>
          <w:tcPr>
            <w:tcW w:w="560" w:type="dxa"/>
            <w:vAlign w:val="bottom"/>
          </w:tcPr>
          <w:p>
            <w:pPr>
              <w:jc w:val="right"/>
              <w:spacing w:after="0"/>
              <w:rPr>
                <w:sz w:val="20"/>
                <w:szCs w:val="20"/>
                <w:color w:val="auto"/>
              </w:rPr>
            </w:pPr>
            <w:r>
              <w:rPr>
                <w:rFonts w:ascii="Arial" w:cs="Arial" w:eastAsia="Arial" w:hAnsi="Arial"/>
                <w:sz w:val="18"/>
                <w:szCs w:val="18"/>
                <w:color w:val="auto"/>
              </w:rPr>
              <w:t>1,330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2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2600" w:type="dxa"/>
            <w:vAlign w:val="bottom"/>
            <w:gridSpan w:val="3"/>
          </w:tcPr>
          <w:p>
            <w:pPr>
              <w:jc w:val="right"/>
              <w:ind w:right="340"/>
              <w:spacing w:after="0"/>
              <w:rPr>
                <w:sz w:val="20"/>
                <w:szCs w:val="20"/>
                <w:color w:val="auto"/>
              </w:rPr>
            </w:pPr>
            <w:r>
              <w:rPr>
                <w:rFonts w:ascii="Arial" w:cs="Arial" w:eastAsia="Arial" w:hAnsi="Arial"/>
                <w:sz w:val="18"/>
                <w:szCs w:val="18"/>
                <w:color w:val="auto"/>
              </w:rPr>
              <w:t>(869)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2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(2,470)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6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(280)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flows used in financing activities</w:t>
            </w:r>
          </w:p>
        </w:tc>
        <w:tc>
          <w:tcPr>
            <w:tcW w:w="1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0" w:type="dxa"/>
            <w:vAlign w:val="bottom"/>
            <w:gridSpan w:val="3"/>
            <w:vMerge w:val="continue"/>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increase in Cash and cash equivalents</w:t>
            </w:r>
          </w:p>
        </w:tc>
        <w:tc>
          <w:tcPr>
            <w:tcW w:w="16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4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6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4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$ 3,615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nine months of 2007, non-cash activities include contributions of UTC common stock of $150 million to domestic defined benefit pension plans.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contributions of UTC common stock to domestic defined benefit plans in the first nine months of 2008.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Condensed Consolidated Financial Statements at September 30, 2008 and for the quarters and nine months ended September 30, 2008 and 2007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2007 Annual Report to Shareowners incorporated by reference to our Annual Report on Form 10-K for 2007 (2007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Business Acquisitions. </w:t>
      </w:r>
      <w:r>
        <w:rPr>
          <w:rFonts w:ascii="Arial" w:cs="Arial" w:eastAsia="Arial" w:hAnsi="Arial"/>
          <w:sz w:val="16"/>
          <w:szCs w:val="16"/>
          <w:color w:val="auto"/>
        </w:rPr>
        <w:t>During the first nine months of 2008, our investment in businesses was $721 million, including debt assumed of $13 million,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consisted of a number of small acquisitions in both the aerospace and commercial businesses. The assets and liabilities of acquired businesses are recorded at fair value at the date of acquisition under the purchase method. The final purchase price allocation of all acquired businesses is subject to the completion of the valuation of certain assets and liabilities, as well as plans for consolidation of facilities, relocation or reduction of employees and other restructuring activities.</w:t>
      </w:r>
    </w:p>
    <w:p>
      <w:pPr>
        <w:spacing w:after="0" w:line="103"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Business Dispositions. </w:t>
      </w:r>
      <w:r>
        <w:rPr>
          <w:rFonts w:ascii="Arial" w:cs="Arial" w:eastAsia="Arial" w:hAnsi="Arial"/>
          <w:sz w:val="18"/>
          <w:szCs w:val="18"/>
          <w:color w:val="auto"/>
        </w:rPr>
        <w:t>During the first nine months of 2008, we divested a number of businesses in both the aerospace and commercial businesses, with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totaling $270 million. These dispositions generated no significant gain or loss in the current quarter. Also, during the third quarter, we recognized an approximately $37 million non-cash gain on the sale of a partial investment at Pratt &amp; Whitney.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first nine months of 2008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00" w:type="dxa"/>
            <w:vAlign w:val="bottom"/>
            <w:gridSpan w:val="6"/>
          </w:tcPr>
          <w:p>
            <w:pPr>
              <w:ind w:left="720"/>
              <w:spacing w:after="0"/>
              <w:rPr>
                <w:sz w:val="20"/>
                <w:szCs w:val="20"/>
                <w:color w:val="auto"/>
              </w:rPr>
            </w:pPr>
            <w:r>
              <w:rPr>
                <w:rFonts w:ascii="Arial" w:cs="Arial" w:eastAsia="Arial" w:hAnsi="Arial"/>
                <w:sz w:val="14"/>
                <w:szCs w:val="14"/>
                <w:b w:val="1"/>
                <w:bCs w:val="1"/>
                <w:color w:val="auto"/>
              </w:rPr>
              <w:t>Goodwill resulting</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Balance as of</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from business</w:t>
            </w:r>
          </w:p>
        </w:tc>
        <w:tc>
          <w:tcPr>
            <w:tcW w:w="12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Foreign currency</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7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6"/>
              </w:rPr>
              <w:t>January 1, 2008</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rPr>
              <w:t>combinations</w:t>
            </w:r>
          </w:p>
        </w:tc>
        <w:tc>
          <w:tcPr>
            <w:tcW w:w="1380" w:type="dxa"/>
            <w:vAlign w:val="bottom"/>
            <w:gridSpan w:val="5"/>
          </w:tcPr>
          <w:p>
            <w:pPr>
              <w:spacing w:after="0"/>
              <w:rPr>
                <w:sz w:val="20"/>
                <w:szCs w:val="20"/>
                <w:color w:val="auto"/>
              </w:rPr>
            </w:pPr>
            <w:r>
              <w:rPr>
                <w:rFonts w:ascii="Arial" w:cs="Arial" w:eastAsia="Arial" w:hAnsi="Arial"/>
                <w:sz w:val="14"/>
                <w:szCs w:val="14"/>
                <w:b w:val="1"/>
                <w:bCs w:val="1"/>
                <w:color w:val="auto"/>
                <w:w w:val="97"/>
              </w:rPr>
              <w:t>translation and other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6"/>
          </w:tcPr>
          <w:p>
            <w:pPr>
              <w:spacing w:after="0"/>
              <w:rPr>
                <w:sz w:val="20"/>
                <w:szCs w:val="20"/>
                <w:color w:val="auto"/>
              </w:rPr>
            </w:pPr>
            <w:r>
              <w:rPr>
                <w:rFonts w:ascii="Arial" w:cs="Arial" w:eastAsia="Arial" w:hAnsi="Arial"/>
                <w:sz w:val="14"/>
                <w:szCs w:val="14"/>
                <w:b w:val="1"/>
                <w:bCs w:val="1"/>
                <w:color w:val="auto"/>
                <w:w w:val="87"/>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7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2,916</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332"/>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1,027</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332"/>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544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Eliminations &amp; Other</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545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(591)</w:t>
            </w:r>
          </w:p>
        </w:tc>
        <w:tc>
          <w:tcPr>
            <w:tcW w:w="7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4"/>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780" w:type="dxa"/>
            <w:vAlign w:val="bottom"/>
            <w:gridSpan w:val="6"/>
          </w:tcPr>
          <w:p>
            <w:pPr>
              <w:spacing w:after="0"/>
              <w:rPr>
                <w:sz w:val="20"/>
                <w:szCs w:val="20"/>
                <w:color w:val="auto"/>
              </w:rPr>
            </w:pPr>
            <w:r>
              <w:rPr>
                <w:rFonts w:ascii="Arial" w:cs="Arial" w:eastAsia="Arial" w:hAnsi="Arial"/>
                <w:sz w:val="18"/>
                <w:szCs w:val="18"/>
                <w:b w:val="1"/>
                <w:bCs w:val="1"/>
                <w:color w:val="auto"/>
                <w:w w:val="90"/>
              </w:rPr>
              <w:t xml:space="preserve">Intangible Assets. </w:t>
            </w:r>
            <w:r>
              <w:rPr>
                <w:rFonts w:ascii="Arial" w:cs="Arial" w:eastAsia="Arial" w:hAnsi="Arial"/>
                <w:sz w:val="18"/>
                <w:szCs w:val="18"/>
                <w:color w:val="auto"/>
                <w:w w:val="90"/>
              </w:rPr>
              <w:t>Identifiable intangible assets are comprised of the following:</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w w:val="99"/>
              </w:rPr>
              <w:t>September 30, 2008</w:t>
            </w:r>
          </w:p>
        </w:tc>
        <w:tc>
          <w:tcPr>
            <w:tcW w:w="1780" w:type="dxa"/>
            <w:vAlign w:val="bottom"/>
            <w:gridSpan w:val="8"/>
          </w:tcPr>
          <w:p>
            <w:pPr>
              <w:ind w:left="3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78"/>
              </w:rPr>
              <w:t>Gross</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480" w:type="dxa"/>
            <w:vAlign w:val="bottom"/>
            <w:gridSpan w:val="2"/>
          </w:tcPr>
          <w:p>
            <w:pPr>
              <w:spacing w:after="0"/>
              <w:rPr>
                <w:sz w:val="11"/>
                <w:szCs w:val="11"/>
                <w:color w:val="auto"/>
              </w:rPr>
            </w:pPr>
          </w:p>
        </w:tc>
        <w:tc>
          <w:tcPr>
            <w:tcW w:w="760" w:type="dxa"/>
            <w:vAlign w:val="bottom"/>
            <w:tcBorders>
              <w:top w:val="single" w:sz="8" w:color="auto"/>
            </w:tcBorders>
            <w:gridSpan w:val="3"/>
          </w:tcPr>
          <w:p>
            <w:pPr>
              <w:jc w:val="center"/>
              <w:ind w:right="212"/>
              <w:spacing w:after="0" w:line="129" w:lineRule="exact"/>
              <w:rPr>
                <w:sz w:val="20"/>
                <w:szCs w:val="20"/>
                <w:color w:val="auto"/>
              </w:rPr>
            </w:pPr>
            <w:r>
              <w:rPr>
                <w:rFonts w:ascii="Arial" w:cs="Arial" w:eastAsia="Arial" w:hAnsi="Arial"/>
                <w:sz w:val="14"/>
                <w:szCs w:val="14"/>
                <w:b w:val="1"/>
                <w:bCs w:val="1"/>
                <w:color w:val="auto"/>
                <w:w w:val="78"/>
              </w:rPr>
              <w:t>Gross</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760" w:type="dxa"/>
            <w:vAlign w:val="bottom"/>
            <w:gridSpan w:val="3"/>
          </w:tcPr>
          <w:p>
            <w:pPr>
              <w:jc w:val="center"/>
              <w:ind w:right="212"/>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Amortizable:</w:t>
            </w:r>
          </w:p>
        </w:tc>
        <w:tc>
          <w:tcPr>
            <w:tcW w:w="2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420"/>
              <w:spacing w:after="0"/>
              <w:rPr>
                <w:sz w:val="20"/>
                <w:szCs w:val="20"/>
                <w:color w:val="auto"/>
              </w:rPr>
            </w:pPr>
            <w:r>
              <w:rPr>
                <w:rFonts w:ascii="Arial" w:cs="Arial" w:eastAsia="Arial" w:hAnsi="Arial"/>
                <w:sz w:val="18"/>
                <w:szCs w:val="18"/>
                <w:color w:val="auto"/>
              </w:rPr>
              <w:t>Service portfolios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$1,605</w:t>
            </w:r>
          </w:p>
        </w:tc>
        <w:tc>
          <w:tcPr>
            <w:tcW w:w="30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(703)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Patents and trademarks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420"/>
              <w:spacing w:after="0"/>
              <w:rPr>
                <w:sz w:val="20"/>
                <w:szCs w:val="20"/>
                <w:color w:val="auto"/>
              </w:rPr>
            </w:pPr>
            <w:r>
              <w:rPr>
                <w:rFonts w:ascii="Arial" w:cs="Arial" w:eastAsia="Arial" w:hAnsi="Arial"/>
                <w:sz w:val="18"/>
                <w:szCs w:val="18"/>
                <w:color w:val="auto"/>
              </w:rPr>
              <w:t>Other, principally customer relationships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(1,613)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Unamortizable: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Trademarks and other</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2"/>
          </w:tcPr>
          <w:p>
            <w:pPr>
              <w:ind w:left="860"/>
              <w:spacing w:after="0"/>
              <w:rPr>
                <w:sz w:val="20"/>
                <w:szCs w:val="20"/>
                <w:color w:val="auto"/>
              </w:rPr>
            </w:pPr>
            <w:r>
              <w:rPr>
                <w:rFonts w:ascii="Arial" w:cs="Arial" w:eastAsia="Arial" w:hAnsi="Arial"/>
                <w:sz w:val="18"/>
                <w:szCs w:val="18"/>
                <w:color w:val="auto"/>
              </w:rPr>
              <w:t>Totals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5,097</w:t>
            </w:r>
          </w:p>
        </w:tc>
        <w:tc>
          <w:tcPr>
            <w:tcW w:w="300" w:type="dxa"/>
            <w:vAlign w:val="bottom"/>
          </w:tcPr>
          <w:p>
            <w:pPr>
              <w:spacing w:after="0"/>
              <w:rPr>
                <w:sz w:val="19"/>
                <w:szCs w:val="19"/>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Amortization of intangible assets for the quarter and nine months ended September 30, 2008 was $85 million and $272 million, respectively, compared with $87 million and $238 million for the same periods of 2007. Amortization of these intangible assets for 2008 through 2012 is expected to approximate $285 million per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jc w:val="right"/>
              <w:ind w:right="95"/>
              <w:spacing w:after="0"/>
              <w:rPr>
                <w:sz w:val="20"/>
                <w:szCs w:val="20"/>
                <w:color w:val="auto"/>
              </w:rPr>
            </w:pPr>
            <w:r>
              <w:rPr>
                <w:rFonts w:ascii="Arial" w:cs="Arial" w:eastAsia="Arial" w:hAnsi="Arial"/>
                <w:sz w:val="14"/>
                <w:szCs w:val="14"/>
                <w:b w:val="1"/>
                <w:bCs w:val="1"/>
                <w:color w:val="auto"/>
                <w:w w:val="94"/>
              </w:rPr>
              <w:t>Quarter Ended</w:t>
            </w:r>
          </w:p>
        </w:tc>
        <w:tc>
          <w:tcPr>
            <w:tcW w:w="200" w:type="dxa"/>
            <w:vAlign w:val="bottom"/>
          </w:tcPr>
          <w:p>
            <w:pPr>
              <w:spacing w:after="0"/>
              <w:rPr>
                <w:sz w:val="14"/>
                <w:szCs w:val="14"/>
                <w:color w:val="auto"/>
              </w:rPr>
            </w:pPr>
          </w:p>
        </w:tc>
        <w:tc>
          <w:tcPr>
            <w:tcW w:w="1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7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jc w:val="right"/>
              <w:ind w:right="115"/>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020" w:type="dxa"/>
            <w:vAlign w:val="bottom"/>
            <w:gridSpan w:val="5"/>
            <w:vMerge w:val="continue"/>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2008</w:t>
            </w: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40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1,197</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$ 3,544</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5"/>
            <w:vMerge w:val="restart"/>
          </w:tcPr>
          <w:p>
            <w:pPr>
              <w:spacing w:after="0"/>
              <w:rPr>
                <w:sz w:val="20"/>
                <w:szCs w:val="20"/>
                <w:color w:val="auto"/>
              </w:rPr>
            </w:pPr>
            <w:r>
              <w:rPr>
                <w:rFonts w:ascii="Arial" w:cs="Arial" w:eastAsia="Arial" w:hAnsi="Arial"/>
                <w:sz w:val="18"/>
                <w:szCs w:val="18"/>
                <w:color w:val="auto"/>
              </w:rPr>
              <w:t>Average shares:</w:t>
            </w: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gridSpan w:val="5"/>
            <w:vMerge w:val="continue"/>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4"/>
          </w:tcPr>
          <w:p>
            <w:pPr>
              <w:ind w:left="420"/>
              <w:spacing w:after="0"/>
              <w:rPr>
                <w:sz w:val="20"/>
                <w:szCs w:val="20"/>
                <w:color w:val="auto"/>
              </w:rPr>
            </w:pPr>
            <w:r>
              <w:rPr>
                <w:rFonts w:ascii="Arial" w:cs="Arial" w:eastAsia="Arial" w:hAnsi="Arial"/>
                <w:sz w:val="18"/>
                <w:szCs w:val="18"/>
                <w:color w:val="auto"/>
              </w:rPr>
              <w:t>Stock awards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5"/>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gridSpan w:val="5"/>
            <w:vMerge w:val="continue"/>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gridSpan w:val="4"/>
          </w:tcPr>
          <w:p>
            <w:pPr>
              <w:ind w:left="42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020" w:type="dxa"/>
            <w:vAlign w:val="bottom"/>
            <w:gridSpan w:val="5"/>
          </w:tcPr>
          <w:p>
            <w:pPr>
              <w:spacing w:after="0"/>
              <w:rPr>
                <w:sz w:val="20"/>
                <w:szCs w:val="20"/>
                <w:color w:val="auto"/>
              </w:rPr>
            </w:pPr>
            <w:r>
              <w:rPr>
                <w:rFonts w:ascii="Arial" w:cs="Arial" w:eastAsia="Arial" w:hAnsi="Arial"/>
                <w:sz w:val="18"/>
                <w:szCs w:val="18"/>
                <w:b w:val="1"/>
                <w:bCs w:val="1"/>
                <w:color w:val="auto"/>
              </w:rPr>
              <w:t>Note 3: Inventories and Contracts in Progress</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000" w:type="dxa"/>
            <w:vAlign w:val="bottom"/>
            <w:gridSpan w:val="4"/>
          </w:tcPr>
          <w:p>
            <w:pPr>
              <w:ind w:left="440"/>
              <w:spacing w:after="0"/>
              <w:rPr>
                <w:sz w:val="20"/>
                <w:szCs w:val="20"/>
                <w:color w:val="auto"/>
              </w:rPr>
            </w:pPr>
            <w:r>
              <w:rPr>
                <w:rFonts w:ascii="Arial" w:cs="Arial" w:eastAsia="Arial" w:hAnsi="Arial"/>
                <w:sz w:val="18"/>
                <w:szCs w:val="18"/>
                <w:color w:val="auto"/>
              </w:rPr>
              <w:t>Inventories consist of the following:</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3"/>
              </w:rPr>
              <w:t>December 31,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5200" w:type="dxa"/>
            <w:vAlign w:val="bottom"/>
            <w:gridSpan w:val="2"/>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520" w:type="dxa"/>
            <w:vAlign w:val="bottom"/>
            <w:tcBorders>
              <w:left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3,405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2,783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520" w:type="dxa"/>
            <w:vAlign w:val="bottom"/>
            <w:tcBorders>
              <w:left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Contracts in progress</w:t>
            </w: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4,753</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14,192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12,511</w:t>
            </w:r>
          </w:p>
        </w:tc>
        <w:tc>
          <w:tcPr>
            <w:tcW w:w="520" w:type="dxa"/>
            <w:vAlign w:val="bottom"/>
            <w:tcBorders>
              <w:left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Less: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Progress payments, secured by lien, on U.S. Government contracts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520" w:type="dxa"/>
            <w:vAlign w:val="bottom"/>
            <w:tcBorders>
              <w:left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60" w:type="dxa"/>
            <w:vAlign w:val="bottom"/>
            <w:gridSpan w:val="3"/>
          </w:tcPr>
          <w:p>
            <w:pPr>
              <w:ind w:left="440"/>
              <w:spacing w:after="0"/>
              <w:rPr>
                <w:sz w:val="20"/>
                <w:szCs w:val="20"/>
                <w:color w:val="auto"/>
              </w:rPr>
            </w:pPr>
            <w:r>
              <w:rPr>
                <w:rFonts w:ascii="Arial" w:cs="Arial" w:eastAsia="Arial" w:hAnsi="Arial"/>
                <w:sz w:val="18"/>
                <w:szCs w:val="18"/>
                <w:color w:val="auto"/>
              </w:rPr>
              <w:t>Billings on contracts in progress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(4,696)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(4,131)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520" w:type="dxa"/>
            <w:vAlign w:val="bottom"/>
            <w:tcBorders>
              <w:left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September 30, 2008 and December 31, 2007, inventory included capitalized research and development costs of $832 million and $740 million, respectively, relating to certain aerospace programs, principally at Sikorsky. These capitalized costs will be liquidated as production units are delivered to customers. Sikorsky’s capitalized contract research and development costs within inventory relate principally to development costs incurred on the H-92 contract with the Canadian government.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Commercial paper borrowings provide short-term liquidity to supplement operating cash flows and are used for general corporate purposes as well as the potential funding of certain acquisitions. We had $75 million of commercial paper outstanding at September 30, 2008, all of which was scheduled to mature within one month. At September 30, 2008, we had credit commitments from banks totaling $2.5 billion. We have a credit commitment of $1.5 billion under a revolving credit agreement that serves as a back-up facility for the issuance of commercial paper. As of September 30, 2008, there were no borrowings under this line of credit, which expires in October 2011. We also have a $1.0 billion multi-currency revolving credit agreement that is to be used for general corporate funding purposes, including acquisitions. As of September 30, 2008, approximately $754 million had been borrowed under this line of credit to fund corporate expenses and acquisitions. This credit agreement expires in November 2011.</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July 2007, we filed with the Securities and Exchange Commission (SEC) a universal shelf registration statement for an indeterminate amount of securities for future issuance, subject to our internal limitations on the amount of debt to be issued under this shelf registration statement. In May 2008, we issued $1.0 billion of long-term debt pursuant to this shelf registration statement, the proceeds of which were used for general corporate purposes, including financing acquisitions and repurchases of our stock. This debt bears interest at 6.125% and will mature on July 15, 2038. We may redeem the notes, in whole or in part, at our option at any time at a redemption price in U.S. dollars equal to the greater of: 1) 100% of the principal amount of the notes to be redeemed; or 2) the sum of the present values of the remaining scheduled payments of principal and interest on the notes to be redeemed, discounted to the redemption date on a semiannual basis at the adjusted treasury rate plus 25 basis points. The redemption price will also include interest accrued to the date of redemption on the principal balance of the notes being redeemed.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conduct business globally and, as a result, UTC or one or more of our subsidiaries files income tax returns in the U.S. federal jurisdiction and various state, local and foreign jurisdictions. In the normal course of business we are subject to examination by taxing authorities throughout the world, including such major jurisdictions as Australia, Canada, China, France, Germany, Hong Kong, Italy, Japan, Korea, Singapore, Spain, the United Kingdom and the United States. With few exceptions, we are no longer subject to U.S. federal, state and local, or non-U.S. income tax examinations for years before 1998.</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adopted the provisions of Financial Accounting Standards Board (FASB) Interpretation No. 48, “Accounting for Uncertainty in Income Taxes” on January 1, 2007. As a result of the adoption, we recognized a charge of approximately $19 million to the January 1, 2007 retained earnings balance. We recognize interest accrued related to unrecognized tax benefits in interest expense. Penalties, if incurred, would be recognized as a component of income tax expense. It is reasonably possible that there will be a change in the balance of our unrecognized tax benefits within the next 12 months as a result of projected resolutions of tax disputes, expiring tax statutes and transactional activity worldwide. The estimated range of the change for currently quantifiable items is a reduction in unrecognized tax benefits of between $125 million and $225 million.</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Internal Revenue Service (IRS) examination fieldwork for tax years 2000 through 2003 was completed in 2007. In the third quarter of 2007, we recorded a $50 million reduction in tax expense relating to a re-evaluation of our liabilities and contingencies based on global examination activity in the quarter, including the completion of our review of the 2000 to 2003 IRS audit report and our protest filing and the development of claims for research and development credits, net of charges associated with tax law changes enacted in the quarter. In addition, in the third quarter of 2007, we recognized approximately $28 million of associated pre-tax interest income. We expect to finalize settlement of disputed adjustments resulting from the 2000 to 2003 examination with the Appeals Division of the IRS in the fourth quarter of 2008. The IRS review of tax years 2004 and 2005 is ongoing.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sponsor both funded and unfunded domestic and foreign defined pension and postretirement plans. Cash contributions to these plans during the quarters and nine months ended September 30, 2008 and 2007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0"/>
              </w:rPr>
              <w:t>Quarter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8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10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87"/>
              </w:rPr>
              <w:t>September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620" w:type="dxa"/>
            <w:vAlign w:val="bottom"/>
            <w:gridSpan w:val="3"/>
            <w:vMerge w:val="continue"/>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Plans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3"/>
            <w:vMerge w:val="restart"/>
          </w:tcPr>
          <w:p>
            <w:pPr>
              <w:spacing w:after="0"/>
              <w:rPr>
                <w:sz w:val="20"/>
                <w:szCs w:val="20"/>
                <w:color w:val="auto"/>
              </w:rPr>
            </w:pPr>
            <w:r>
              <w:rPr>
                <w:rFonts w:ascii="Arial" w:cs="Arial" w:eastAsia="Arial" w:hAnsi="Arial"/>
                <w:sz w:val="18"/>
                <w:szCs w:val="18"/>
                <w:color w:val="auto"/>
              </w:rPr>
              <w:t>Defined Contribution Plans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first nine months of 2007, we contributed $150 million of UTC common stock to our domestic defined benefit pension plans, all of which was contributed in the first quarter of 2007. There were no contributions of UTC common stock to our domestic defined benefit pension plans in the first nine months of 2008.</w:t>
      </w:r>
    </w:p>
    <w:p>
      <w:pPr>
        <w:spacing w:after="0" w:line="14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Effective January 1, 2007, we early-adopted the measurement date (the date at which plan assets and the benefit obligation are measured) provisions of Statement of Financial Accounting Standards (SFAS) No. 158, “Employers’ Accounting for Defined Benefit Pension and Other Postretirement Plans – an amendment of FASB Statements No. 87, 88, 106 and 132(R)” (SFAS 158). Under SFAS 158, the measurement date is required to be the company’s fiscal year-end. The majority of our pension and postretirement plans previously used a November 30 measurement date. All plans are now measured as of December 31, consistent with the company’s fiscal year-end. The non-cash effect of the adoption of the measurement date provisions of SFAS 158 at January 1, 2007 increased shareowners’ equity by approximately $425 million and decreased long-term liabilities by approximately $620 million. There was no effect on our results of operations.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components of net periodic benefit cost for our pension and other postretirement benefits: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7"/>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Postretirement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8"/>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Pension Benefits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4"/>
          </w:tcPr>
          <w:p>
            <w:pPr>
              <w:jc w:val="center"/>
              <w:ind w:left="39"/>
              <w:spacing w:after="0" w:line="149" w:lineRule="exact"/>
              <w:rPr>
                <w:sz w:val="20"/>
                <w:szCs w:val="20"/>
                <w:color w:val="auto"/>
              </w:rPr>
            </w:pPr>
            <w:r>
              <w:rPr>
                <w:rFonts w:ascii="Arial" w:cs="Arial" w:eastAsia="Arial" w:hAnsi="Arial"/>
                <w:sz w:val="14"/>
                <w:szCs w:val="14"/>
                <w:b w:val="1"/>
                <w:bCs w:val="1"/>
                <w:color w:val="auto"/>
                <w:w w:val="83"/>
              </w:rPr>
              <w:t>Benefits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8"/>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240" w:type="dxa"/>
            <w:vAlign w:val="bottom"/>
          </w:tcPr>
          <w:p>
            <w:pPr>
              <w:spacing w:after="0"/>
              <w:rPr>
                <w:sz w:val="12"/>
                <w:szCs w:val="12"/>
                <w:color w:val="auto"/>
              </w:rPr>
            </w:pPr>
          </w:p>
        </w:tc>
        <w:tc>
          <w:tcPr>
            <w:tcW w:w="1220" w:type="dxa"/>
            <w:vAlign w:val="bottom"/>
            <w:gridSpan w:val="7"/>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64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1360" w:type="dxa"/>
            <w:vAlign w:val="bottom"/>
            <w:tcBorders>
              <w:bottom w:val="single" w:sz="8" w:color="auto"/>
            </w:tcBorders>
            <w:vMerge w:val="continue"/>
          </w:tcPr>
          <w:p>
            <w:pPr>
              <w:spacing w:after="0"/>
              <w:rPr>
                <w:sz w:val="12"/>
                <w:szCs w:val="12"/>
                <w:color w:val="auto"/>
              </w:rPr>
            </w:pPr>
          </w:p>
        </w:tc>
        <w:tc>
          <w:tcPr>
            <w:tcW w:w="6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$ 112</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212"/>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(387)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Recognized actuarial net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212"/>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settlement and curtailment gain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Total net periodic benefit cost</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9"/>
              </w:rPr>
              <w:t>$  54</w:t>
            </w:r>
          </w:p>
        </w:tc>
        <w:tc>
          <w:tcPr>
            <w:tcW w:w="1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12"/>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3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6"/>
          </w:tcPr>
          <w:p>
            <w:pPr>
              <w:jc w:val="center"/>
              <w:ind w:left="117"/>
              <w:spacing w:after="0" w:line="149" w:lineRule="exact"/>
              <w:rPr>
                <w:sz w:val="20"/>
                <w:szCs w:val="20"/>
                <w:color w:val="auto"/>
              </w:rPr>
            </w:pPr>
            <w:r>
              <w:rPr>
                <w:rFonts w:ascii="Arial" w:cs="Arial" w:eastAsia="Arial" w:hAnsi="Arial"/>
                <w:sz w:val="14"/>
                <w:szCs w:val="14"/>
                <w:b w:val="1"/>
                <w:bCs w:val="1"/>
                <w:color w:val="auto"/>
                <w:w w:val="86"/>
              </w:rPr>
              <w:t>Postretirement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jc w:val="center"/>
              <w:ind w:left="119"/>
              <w:spacing w:after="0" w:line="149" w:lineRule="exact"/>
              <w:rPr>
                <w:sz w:val="20"/>
                <w:szCs w:val="20"/>
                <w:color w:val="auto"/>
              </w:rPr>
            </w:pPr>
            <w:r>
              <w:rPr>
                <w:rFonts w:ascii="Arial" w:cs="Arial" w:eastAsia="Arial" w:hAnsi="Arial"/>
                <w:sz w:val="14"/>
                <w:szCs w:val="14"/>
                <w:b w:val="1"/>
                <w:bCs w:val="1"/>
                <w:color w:val="auto"/>
                <w:w w:val="84"/>
              </w:rPr>
              <w:t>Pension Benefits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Benefits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jc w:val="center"/>
              <w:ind w:left="119"/>
              <w:spacing w:after="0" w:line="149" w:lineRule="exact"/>
              <w:rPr>
                <w:sz w:val="20"/>
                <w:szCs w:val="20"/>
                <w:color w:val="auto"/>
              </w:rPr>
            </w:pPr>
            <w:r>
              <w:rPr>
                <w:rFonts w:ascii="Arial" w:cs="Arial" w:eastAsia="Arial" w:hAnsi="Arial"/>
                <w:sz w:val="14"/>
                <w:szCs w:val="14"/>
                <w:b w:val="1"/>
                <w:bCs w:val="1"/>
                <w:color w:val="auto"/>
                <w:w w:val="90"/>
              </w:rPr>
              <w:t>Nine Months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8"/>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64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7"/>
          </w:tcPr>
          <w:p>
            <w:pPr>
              <w:jc w:val="center"/>
              <w:ind w:right="92"/>
              <w:spacing w:after="0"/>
              <w:rPr>
                <w:sz w:val="20"/>
                <w:szCs w:val="20"/>
                <w:color w:val="auto"/>
              </w:rPr>
            </w:pPr>
            <w:r>
              <w:rPr>
                <w:rFonts w:ascii="Arial" w:cs="Arial" w:eastAsia="Arial" w:hAnsi="Arial"/>
                <w:sz w:val="14"/>
                <w:szCs w:val="14"/>
                <w:b w:val="1"/>
                <w:bCs w:val="1"/>
                <w:color w:val="auto"/>
                <w:w w:val="87"/>
              </w:rPr>
              <w:t>Ended September 30,</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Borders>
              <w:bottom w:val="single" w:sz="8" w:color="auto"/>
            </w:tcBorders>
            <w:vMerge w:val="continue"/>
          </w:tcPr>
          <w:p>
            <w:pPr>
              <w:spacing w:after="0"/>
              <w:rPr>
                <w:sz w:val="12"/>
                <w:szCs w:val="12"/>
                <w:color w:val="auto"/>
              </w:rPr>
            </w:pPr>
          </w:p>
        </w:tc>
        <w:tc>
          <w:tcPr>
            <w:tcW w:w="646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2008</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46"/>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328</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884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(1,259)</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59"/>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Recognized actuarial net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189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1"/>
        </w:trPr>
        <w:tc>
          <w:tcPr>
            <w:tcW w:w="13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settlement and curtailment gain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Total net periodic benefit cost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274</w:t>
            </w:r>
          </w:p>
        </w:tc>
        <w:tc>
          <w:tcPr>
            <w:tcW w:w="60" w:type="dxa"/>
            <w:vAlign w:val="bottom"/>
          </w:tcPr>
          <w:p>
            <w:pPr>
              <w:spacing w:after="0"/>
              <w:rPr>
                <w:sz w:val="19"/>
                <w:szCs w:val="19"/>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and Related Costs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first nine months of 2008, we recorded net pre-tax restructuring and related charges in our business segments totaling $221 million for new and ongoing restructuring actions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Otis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9220" w:type="dxa"/>
            <w:vAlign w:val="bottom"/>
            <w:gridSpan w:val="2"/>
          </w:tcPr>
          <w:p>
            <w:pPr>
              <w:spacing w:after="0"/>
              <w:rPr>
                <w:sz w:val="20"/>
                <w:szCs w:val="20"/>
                <w:color w:val="auto"/>
              </w:rPr>
            </w:pPr>
            <w:r>
              <w:rPr>
                <w:rFonts w:ascii="Arial" w:cs="Arial" w:eastAsia="Arial" w:hAnsi="Arial"/>
                <w:sz w:val="18"/>
                <w:szCs w:val="18"/>
                <w:color w:val="auto"/>
              </w:rPr>
              <w:t>Totals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221</w:t>
            </w:r>
          </w:p>
        </w:tc>
      </w:tr>
      <w:tr>
        <w:trPr>
          <w:trHeight w:val="20"/>
        </w:trPr>
        <w:tc>
          <w:tcPr>
            <w:tcW w:w="13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net charges included $97 million in cost of sales, $120 million in selling, general and administrative expenses and $4 million in other income and, as described below, relate to actions initiated during 2008 and 2007 and trailing costs related to certain 2006 actions.</w:t>
      </w:r>
    </w:p>
    <w:p>
      <w:pPr>
        <w:spacing w:after="0" w:line="12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2008 Actions. </w:t>
      </w:r>
      <w:r>
        <w:rPr>
          <w:rFonts w:ascii="Arial" w:cs="Arial" w:eastAsia="Arial" w:hAnsi="Arial"/>
          <w:sz w:val="18"/>
          <w:szCs w:val="18"/>
          <w:color w:val="auto"/>
        </w:rPr>
        <w:t>During the first nine months of 2008, we initiated restructuring actions relating to ongoing cost reduction efforts, including selling,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and administrative reductions, principally at Carrier, Pratt &amp; Whitney, and UTC Fire &amp; Security, and the consolidation of manufacturing facilities. We recorded net pre-tax restructuring and related charges totaling $198 million, including $73 million in cost of sales, $121 million in selling, general and administrative expenses and $4 million in other income.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September 30, 2008, net workforce reductions of approximately 2,400 employees of an expected 3,700 employees have been completed. The majority of the remaining workforce reductions and all facility-related cost reduction actions, expected to total 1,100,000 net square feet of facilities, are targeted for completion during 2008 and 2009.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2008 restructuring actions: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and Lease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Asset</w:t>
            </w:r>
          </w:p>
        </w:tc>
        <w:tc>
          <w:tcPr>
            <w:tcW w:w="2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Write-Downs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Costs</w:t>
            </w:r>
          </w:p>
        </w:tc>
        <w:tc>
          <w:tcPr>
            <w:tcW w:w="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June 30, 2008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Net pre-tax restructuring charges</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2008</w:t>
            </w: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3"/>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2008 restructuring actions by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and Lease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Asset</w:t>
            </w:r>
          </w:p>
        </w:tc>
        <w:tc>
          <w:tcPr>
            <w:tcW w:w="2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8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Write-Downs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Costs</w:t>
            </w:r>
          </w:p>
        </w:tc>
        <w:tc>
          <w:tcPr>
            <w:tcW w:w="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40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2008</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June 30, 2008</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Costs incurred – quarter ended September 30, 2008</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costs at September 30, 2008</w:t>
            </w:r>
          </w:p>
        </w:tc>
        <w:tc>
          <w:tcPr>
            <w:tcW w:w="20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2008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30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30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0"/>
              </w:rPr>
              <w:t>Expected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2"/>
                <w:szCs w:val="12"/>
                <w:color w:val="auto"/>
              </w:rPr>
            </w:pPr>
          </w:p>
        </w:tc>
        <w:tc>
          <w:tcPr>
            <w:tcW w:w="15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September 30,</w:t>
            </w: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440" w:type="dxa"/>
            <w:vAlign w:val="bottom"/>
          </w:tcPr>
          <w:p>
            <w:pPr>
              <w:jc w:val="right"/>
              <w:ind w:right="15"/>
              <w:spacing w:after="0"/>
              <w:rPr>
                <w:sz w:val="20"/>
                <w:szCs w:val="20"/>
                <w:color w:val="auto"/>
              </w:rPr>
            </w:pPr>
            <w:r>
              <w:rPr>
                <w:rFonts w:ascii="Arial" w:cs="Arial" w:eastAsia="Arial" w:hAnsi="Arial"/>
                <w:sz w:val="14"/>
                <w:szCs w:val="14"/>
                <w:b w:val="1"/>
                <w:bCs w:val="1"/>
                <w:color w:val="auto"/>
                <w:w w:val="82"/>
              </w:rPr>
              <w:t>Costs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260</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 xml:space="preserve">2007 Actions. </w:t>
      </w:r>
      <w:r>
        <w:rPr>
          <w:rFonts w:ascii="Arial" w:cs="Arial" w:eastAsia="Arial" w:hAnsi="Arial"/>
          <w:sz w:val="18"/>
          <w:szCs w:val="18"/>
          <w:color w:val="auto"/>
        </w:rPr>
        <w:t>During the first nine months of 2008, we recorded net pre-tax restructuring and related charges to cost of sales in the business segments</w:t>
      </w:r>
      <w:r>
        <w:rPr>
          <w:rFonts w:ascii="Arial" w:cs="Arial" w:eastAsia="Arial" w:hAnsi="Arial"/>
          <w:sz w:val="18"/>
          <w:szCs w:val="18"/>
          <w:b w:val="1"/>
          <w:bCs w:val="1"/>
          <w:color w:val="auto"/>
        </w:rPr>
        <w:t xml:space="preserve"> </w:t>
      </w:r>
      <w:r>
        <w:rPr>
          <w:rFonts w:ascii="Arial" w:cs="Arial" w:eastAsia="Arial" w:hAnsi="Arial"/>
          <w:sz w:val="18"/>
          <w:szCs w:val="18"/>
          <w:color w:val="auto"/>
        </w:rPr>
        <w:t>totaling $6 million for restructuring actions initiated in 2007. The 2007 actions relate to ongoing cost reduction efforts, including workforce reductions and the consolidation of manufacturing facilities.</w:t>
      </w:r>
    </w:p>
    <w:p>
      <w:pPr>
        <w:spacing w:after="0" w:line="13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2008, net workforce reductions of approximately 1,600 employees of an expected 1,900 employees have been completed, and 200,000 net square feet of facilities of an expected 900,000 net square feet have been exited. The majority of the remaining workforce and facility related cost reduction actions are targeted for completion during 2009.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2007 restructuring actions: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and Lease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4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9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Write-Downs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Costs</w:t>
            </w:r>
          </w:p>
        </w:tc>
        <w:tc>
          <w:tcPr>
            <w:tcW w:w="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June 30, 2008</w:t>
            </w:r>
          </w:p>
        </w:tc>
        <w:tc>
          <w:tcPr>
            <w:tcW w:w="324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Net pre-tax restructuring (reversals) charges</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2008</w:t>
            </w:r>
          </w:p>
        </w:tc>
        <w:tc>
          <w:tcPr>
            <w:tcW w:w="2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gridSpan w:val="3"/>
            <w:vMerge w:val="continue"/>
          </w:tcPr>
          <w:p>
            <w:pPr>
              <w:spacing w:after="0"/>
              <w:rPr>
                <w:sz w:val="19"/>
                <w:szCs w:val="19"/>
                <w:color w:val="auto"/>
              </w:rPr>
            </w:pPr>
          </w:p>
        </w:tc>
        <w:tc>
          <w:tcPr>
            <w:tcW w:w="29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980" w:type="dxa"/>
            <w:vAlign w:val="bottom"/>
            <w:vMerge w:val="restart"/>
          </w:tcPr>
          <w:p>
            <w:pPr>
              <w:jc w:val="right"/>
              <w:ind w:right="1452"/>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2007 restructuring actions by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 Lease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4"/>
              </w:rPr>
              <w:t>Asset</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140" w:type="dxa"/>
            <w:vAlign w:val="bottom"/>
          </w:tcPr>
          <w:p>
            <w:pPr>
              <w:spacing w:after="0"/>
              <w:rPr>
                <w:sz w:val="14"/>
                <w:szCs w:val="14"/>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2"/>
              </w:rPr>
              <w:t>Costs</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5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2007</w:t>
            </w:r>
          </w:p>
        </w:tc>
        <w:tc>
          <w:tcPr>
            <w:tcW w:w="2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2008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Costs incurred – quarter ended June 30, 2008</w:t>
            </w:r>
          </w:p>
        </w:tc>
        <w:tc>
          <w:tcPr>
            <w:tcW w:w="20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September 30, 2008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Remaining costs at September 30, 2008</w:t>
            </w: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3"/>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2007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Costs Incurred</w:t>
            </w:r>
          </w:p>
        </w:tc>
        <w:tc>
          <w:tcPr>
            <w:tcW w:w="2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2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Costs Incurred</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through</w:t>
            </w:r>
          </w:p>
        </w:tc>
        <w:tc>
          <w:tcPr>
            <w:tcW w:w="2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Expected</w:t>
            </w: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June 30,</w:t>
            </w:r>
          </w:p>
        </w:tc>
        <w:tc>
          <w:tcPr>
            <w:tcW w:w="14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September 30,</w:t>
            </w: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720" w:type="dxa"/>
            <w:vAlign w:val="bottom"/>
          </w:tcPr>
          <w:p>
            <w:pPr>
              <w:jc w:val="center"/>
              <w:ind w:right="57"/>
              <w:spacing w:after="0"/>
              <w:rPr>
                <w:sz w:val="20"/>
                <w:szCs w:val="20"/>
                <w:color w:val="auto"/>
              </w:rPr>
            </w:pPr>
            <w:r>
              <w:rPr>
                <w:rFonts w:ascii="Arial" w:cs="Arial" w:eastAsia="Arial" w:hAnsi="Arial"/>
                <w:sz w:val="14"/>
                <w:szCs w:val="14"/>
                <w:b w:val="1"/>
                <w:bCs w:val="1"/>
                <w:color w:val="auto"/>
                <w:w w:val="83"/>
              </w:rPr>
              <w:t>2007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143</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2006 Actions. </w:t>
      </w:r>
      <w:r>
        <w:rPr>
          <w:rFonts w:ascii="Arial" w:cs="Arial" w:eastAsia="Arial" w:hAnsi="Arial"/>
          <w:sz w:val="16"/>
          <w:szCs w:val="16"/>
          <w:color w:val="auto"/>
        </w:rPr>
        <w:t>During the first nine months of 2008, we recorded net pre-tax restructuring and related charges in the business segments totaling $17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restructuring actions initiated in 2006, including $18 million of charges in cost of sales and $1 million of reversals in selling, general and administrative expenses. These actions relate to ongoing cost reduction efforts, including selling, general and administrative reductions, workforce reductions and the consolidation of manufacturing facilities. As of September 30, 2008, we have approximately $7 million of accrual balances recorded for remaining costs on these actions. All net workforce reductions of an expected 3,700 employees have been completed, and 500,000 net square feet of facilities of an expected 800,000 net square feet have been exited. The remaining facility reduction actions are targeted for completion during 2008.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Instruments and Hedging Activities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used derivative instruments, including swaps, forward contracts and options to manage certain foreign currency, interest rate and commodity price exposures. We view derivative instruments as risk management tools and do not use them for trading or speculative purposes. Derivatives used for hedging purposes may be designated and effective as a hedge of the identified risk exposure at the inception of the contract. Accordingly, changes in the fair value of derivative contracts must be highly correlated with changes in the fair value of the underlying hedged item at inception of the hedge and over the life of the hedge contract. Changes in the fair value of derivatives not designated as hedging instruments are recorded currently in earnings.</w:t>
      </w:r>
    </w:p>
    <w:p>
      <w:pPr>
        <w:spacing w:after="0" w:line="1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At September 30, 2008 and December 31, 2007, the fair value of derivatives recorded as assets was $224 million and $365 million, respectively, and the fair value of derivatives recorded as liabilities was $267 million and $43 million, respectively. Assuming current market conditions continue, of the amount recorded in shareowners’ equity, an $86 million pre-tax gain is expected to be reclassified into sales or cost of products sold to reflect the fixed prices obtained from hedging within the next 12 months. Gains and losses recognized in earnings related to the ineffectiveness of cash flow hedges during the quarter ended September 30, 2008 were not significant. All open derivative contracts accounted for as cash flow hedges mature by December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Shareowners’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changes in shareowners’ equity for the quarters and nine months ended September 30, 2008 and 2007 is provided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Quarter Ended</w:t>
            </w:r>
          </w:p>
        </w:tc>
        <w:tc>
          <w:tcPr>
            <w:tcW w:w="15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8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72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Shareowners’ Equity, beginning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$21,912</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$19,195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$21,355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Effects of changing pension plan measurement dates pursuant to SFAS No. 158, net of taxes</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FASB Interpretation No. 48</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19,195</w:t>
            </w:r>
          </w:p>
        </w:tc>
        <w:tc>
          <w:tcPr>
            <w:tcW w:w="580" w:type="dxa"/>
            <w:vAlign w:val="bottom"/>
          </w:tcPr>
          <w:p>
            <w:pPr>
              <w:jc w:val="right"/>
              <w:spacing w:after="0"/>
              <w:rPr>
                <w:sz w:val="20"/>
                <w:szCs w:val="20"/>
                <w:color w:val="auto"/>
              </w:rPr>
            </w:pPr>
            <w:r>
              <w:rPr>
                <w:rFonts w:ascii="Arial" w:cs="Arial" w:eastAsia="Arial" w:hAnsi="Arial"/>
                <w:sz w:val="18"/>
                <w:szCs w:val="18"/>
                <w:color w:val="auto"/>
              </w:rPr>
              <w:t>21,355</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repurchased</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(925)</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(500)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(2,492)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contributed to pension plans</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(296)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(869)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 on ESOP Common Stock</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Non-shareowners’ Changes in Equity:</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1,197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 net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(965)</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362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580" w:type="dxa"/>
            <w:vAlign w:val="bottom"/>
          </w:tcPr>
          <w:p>
            <w:pPr>
              <w:jc w:val="right"/>
              <w:spacing w:after="0"/>
              <w:rPr>
                <w:sz w:val="20"/>
                <w:szCs w:val="20"/>
                <w:color w:val="auto"/>
              </w:rPr>
            </w:pPr>
            <w:r>
              <w:rPr>
                <w:rFonts w:ascii="Arial" w:cs="Arial" w:eastAsia="Arial" w:hAnsi="Arial"/>
                <w:sz w:val="18"/>
                <w:szCs w:val="18"/>
                <w:color w:val="auto"/>
              </w:rPr>
              <w:t>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(Decreases) increases in unrealized gains and losses from available-for-sale investments, net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Cash flow hedging (loss) gain, net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89</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580" w:type="dxa"/>
            <w:vAlign w:val="bottom"/>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pension and post-retirement benefit plans,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Shareowners’ Equity, end of period</w:t>
            </w: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3"/>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20,278</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21,083</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20,278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Guarantees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2007.</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nine months ended September 30, 2008 and 2007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$1,252</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500" w:type="dxa"/>
            <w:vAlign w:val="bottom"/>
          </w:tcPr>
          <w:p>
            <w:pPr>
              <w:jc w:val="right"/>
              <w:spacing w:after="0"/>
              <w:rPr>
                <w:sz w:val="20"/>
                <w:szCs w:val="20"/>
                <w:color w:val="auto"/>
              </w:rPr>
            </w:pPr>
            <w:r>
              <w:rPr>
                <w:rFonts w:ascii="Arial" w:cs="Arial" w:eastAsia="Arial" w:hAnsi="Arial"/>
                <w:sz w:val="18"/>
                <w:szCs w:val="18"/>
                <w:color w:val="auto"/>
              </w:rPr>
              <w:t>363</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1,159</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September 2006, the FASB issued SFAS No. 157, “Fair Value Measurements”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Relative to SFAS 157, the FASB issued FASB Staff Positions (FSP) FAS 157-1, FAS 157-2, and FAS 157-3. FSP FAS 157-1 amends SFAS 157 to exclude SFAS No. 13, “Accounting for Leases” (SFAS 13), and its related interpretive accounting pronouncements that address leasing transactions, while FSP FAS 157-2 delays the effective date of the application of SFAS 157 to fiscal years beginning after November 15, 2008 for all nonfinancial assets and nonfinancial liabilities that are recognized or disclosed at fair value in the financial statements on a non-recurring basis. FSP FAS 157-3 clarifies the application of SFAS 157 as it relates to the valuation of financial assets in a market that is not active for those financial assets. This FSP is effective immediately and includes those periods for which financial statements have not been issued. We currently do not have any financial assets that are valued using inactive markets, and as such are not impacted by the issuance of this FSP.</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adopted SFAS 157 as of January 1, 2008, with the exception of the application of the statement to non-recurring nonfinancial assets and nonfinancial liabilities. Non-recurring nonfinancial assets and nonfinancial liabilities for which we have not applied the provisions of SFAS 157 include those measured at fair value in goodwill impairment testing, indefinite lived intangible assets measured at fair value for impairment testing, asset retirement obligations initially measured at fair value, and those non-recurring nonfinancial assets and nonfinancial liabilities initially measured at fair value in a business combination.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b w:val="1"/>
          <w:bCs w:val="1"/>
          <w:color w:val="auto"/>
        </w:rPr>
        <w:t xml:space="preserve">Valuation Hierarchy. </w:t>
      </w:r>
      <w:r>
        <w:rPr>
          <w:rFonts w:ascii="Arial" w:cs="Arial" w:eastAsia="Arial" w:hAnsi="Arial"/>
          <w:sz w:val="18"/>
          <w:szCs w:val="18"/>
          <w:color w:val="auto"/>
        </w:rPr>
        <w:t>SFAS 157 establishes a valuation hierarchy for disclosure of the inputs to valuation used to measure fair value. This hierarchy</w:t>
      </w:r>
      <w:r>
        <w:rPr>
          <w:rFonts w:ascii="Arial" w:cs="Arial" w:eastAsia="Arial" w:hAnsi="Arial"/>
          <w:sz w:val="18"/>
          <w:szCs w:val="18"/>
          <w:b w:val="1"/>
          <w:b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quoted prices for identical or similar assets in markets that are not active, inputs other than quoted prices that are observable for the asset or liability, including interest rates, yield curves and credit risks, or inputs that are derived principally from or corroborated by observable market data through correlation. Level 3 inputs are unobservable inputs based on our own assumptions used to measure assets and liabilities at fair value. A financial asset or liability’s classification within the hierarchy is determined based on the lowest level input that is significant to the fair value measurement.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and liabilities carried at fair value as measured on a recurring basis as of September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 other</w:t>
            </w:r>
          </w:p>
        </w:tc>
        <w:tc>
          <w:tcPr>
            <w:tcW w:w="7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Total Carrying</w:t>
            </w:r>
          </w:p>
        </w:tc>
        <w:tc>
          <w:tcPr>
            <w:tcW w:w="720" w:type="dxa"/>
            <w:vAlign w:val="bottom"/>
          </w:tcPr>
          <w:p>
            <w:pPr>
              <w:spacing w:after="0"/>
              <w:rPr>
                <w:sz w:val="12"/>
                <w:szCs w:val="12"/>
                <w:color w:val="auto"/>
              </w:rPr>
            </w:pPr>
          </w:p>
        </w:tc>
        <w:tc>
          <w:tcPr>
            <w:tcW w:w="16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Quoted prices in</w:t>
            </w:r>
          </w:p>
        </w:tc>
        <w:tc>
          <w:tcPr>
            <w:tcW w:w="140" w:type="dxa"/>
            <w:vAlign w:val="bottom"/>
          </w:tcPr>
          <w:p>
            <w:pPr>
              <w:spacing w:after="0"/>
              <w:rPr>
                <w:sz w:val="12"/>
                <w:szCs w:val="12"/>
                <w:color w:val="auto"/>
              </w:rPr>
            </w:pPr>
          </w:p>
        </w:tc>
        <w:tc>
          <w:tcPr>
            <w:tcW w:w="8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3"/>
              </w:rPr>
              <w:t>observable</w:t>
            </w:r>
          </w:p>
        </w:tc>
        <w:tc>
          <w:tcPr>
            <w:tcW w:w="7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260"/>
              <w:spacing w:after="0" w:line="149" w:lineRule="exact"/>
              <w:rPr>
                <w:sz w:val="20"/>
                <w:szCs w:val="20"/>
                <w:color w:val="auto"/>
              </w:rPr>
            </w:pPr>
            <w:r>
              <w:rPr>
                <w:rFonts w:ascii="Arial" w:cs="Arial" w:eastAsia="Arial" w:hAnsi="Arial"/>
                <w:sz w:val="14"/>
                <w:szCs w:val="14"/>
                <w:b w:val="1"/>
                <w:bCs w:val="1"/>
                <w:color w:val="auto"/>
              </w:rPr>
              <w:t>Value at</w:t>
            </w:r>
          </w:p>
        </w:tc>
        <w:tc>
          <w:tcPr>
            <w:tcW w:w="720" w:type="dxa"/>
            <w:vAlign w:val="bottom"/>
          </w:tcPr>
          <w:p>
            <w:pPr>
              <w:spacing w:after="0"/>
              <w:rPr>
                <w:sz w:val="12"/>
                <w:szCs w:val="12"/>
                <w:color w:val="auto"/>
              </w:rPr>
            </w:pPr>
          </w:p>
        </w:tc>
        <w:tc>
          <w:tcPr>
            <w:tcW w:w="16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14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inputs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7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September 30, 2008</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(Level 1)</w:t>
            </w:r>
          </w:p>
        </w:tc>
        <w:tc>
          <w:tcPr>
            <w:tcW w:w="140" w:type="dxa"/>
            <w:vAlign w:val="bottom"/>
          </w:tcPr>
          <w:p>
            <w:pPr>
              <w:spacing w:after="0"/>
              <w:rPr>
                <w:sz w:val="14"/>
                <w:szCs w:val="14"/>
                <w:color w:val="auto"/>
              </w:rPr>
            </w:pPr>
          </w:p>
        </w:tc>
        <w:tc>
          <w:tcPr>
            <w:tcW w:w="840" w:type="dxa"/>
            <w:vAlign w:val="bottom"/>
          </w:tcPr>
          <w:p>
            <w:pPr>
              <w:jc w:val="center"/>
              <w:ind w:right="62"/>
              <w:spacing w:after="0"/>
              <w:rPr>
                <w:sz w:val="20"/>
                <w:szCs w:val="20"/>
                <w:color w:val="auto"/>
              </w:rPr>
            </w:pPr>
            <w:r>
              <w:rPr>
                <w:rFonts w:ascii="Arial" w:cs="Arial" w:eastAsia="Arial" w:hAnsi="Arial"/>
                <w:sz w:val="14"/>
                <w:szCs w:val="14"/>
                <w:b w:val="1"/>
                <w:bCs w:val="1"/>
                <w:color w:val="auto"/>
                <w:w w:val="87"/>
              </w:rPr>
              <w:t>(Level 2)</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w w:val="79"/>
              </w:rPr>
              <w:t>224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267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00" w:firstLine="456"/>
        <w:spacing w:after="0" w:line="296"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 for sale securities include equity investments that are traded in an active market. They are measured at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using closing stock prices from active markets and are classified within Level 1 of the valuation hierarchy</w:t>
      </w:r>
      <w:r>
        <w:rPr>
          <w:rFonts w:ascii="Arial" w:cs="Arial" w:eastAsia="Arial" w:hAnsi="Arial"/>
          <w:sz w:val="16"/>
          <w:szCs w:val="16"/>
          <w:b w:val="1"/>
          <w:bCs w:val="1"/>
          <w:color w:val="auto"/>
        </w:rPr>
        <w:t>.</w:t>
      </w:r>
      <w:r>
        <w:rPr>
          <w:rFonts w:ascii="Arial" w:cs="Arial" w:eastAsia="Arial" w:hAnsi="Arial"/>
          <w:sz w:val="16"/>
          <w:szCs w:val="16"/>
          <w:color w:val="auto"/>
        </w:rPr>
        <w:t xml:space="preserve"> Our derivative assets and liabilities include foreign exchange derivatives that are measured at fair value using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w:t>
      </w:r>
    </w:p>
    <w:p>
      <w:pPr>
        <w:spacing w:after="0" w:line="11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As of September 30, 2008, there has not been any impact to the fair value of our derivative liabilities due to our own credit risk. Similarly, there has not been any significant adverse impact to our derivative assets based on our evaluation of our counterparties’ credit risks.</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 Including an amendment of FASB Statement No. 115” (SFAS 159), which is effective for fiscal years beginning after November 15, 2007. This statement permits entities to choose to measure many financial instruments and certain other items at fair value. This statement also establishes presentation and disclosure requirements designed to facilitate comparisons between entities that choose different measurement attributes for similar types of assets and liabilities. Unrealized gains and losses on items for which the fair value option is elected would be reported in earnings. We have adopted SFAS 159 and have elected not to measure any additional financial instruments and other items at fair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Summarized below are the matters previously described in Note 14 of the Notes to the Consolidated Financial Statements in our 2007 Form 10-K.</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Environmental</w:t>
      </w:r>
      <w:r>
        <w:rPr>
          <w:rFonts w:ascii="Arial" w:cs="Arial" w:eastAsia="Arial" w:hAnsi="Arial"/>
          <w:sz w:val="18"/>
          <w:szCs w:val="18"/>
          <w:color w:val="auto"/>
        </w:rPr>
        <w:t>. Our operations are subject to environmental regulation by federal, state and local authorities in the United States and regulatory authorities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over our foreign operations.</w:t>
      </w:r>
    </w:p>
    <w:p>
      <w:pPr>
        <w:spacing w:after="0" w:line="1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accrue for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96" w:lineRule="auto"/>
        <w:rPr>
          <w:sz w:val="20"/>
          <w:szCs w:val="20"/>
          <w:color w:val="auto"/>
        </w:rPr>
      </w:pPr>
      <w:r>
        <w:rPr>
          <w:rFonts w:ascii="Arial" w:cs="Arial" w:eastAsia="Arial" w:hAnsi="Arial"/>
          <w:sz w:val="16"/>
          <w:szCs w:val="16"/>
          <w:b w:val="1"/>
          <w:bCs w:val="1"/>
          <w:color w:val="auto"/>
        </w:rPr>
        <w:t>Government</w:t>
      </w:r>
      <w:r>
        <w:rPr>
          <w:rFonts w:ascii="Arial" w:cs="Arial" w:eastAsia="Arial" w:hAnsi="Arial"/>
          <w:sz w:val="16"/>
          <w:szCs w:val="16"/>
          <w:color w:val="auto"/>
        </w:rPr>
        <w:t>. 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we accrue the minimum amount.</w:t>
      </w:r>
    </w:p>
    <w:p>
      <w:pPr>
        <w:spacing w:after="0" w:line="1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the 1983 offer. In the absence of actual damages, the trial court judge awarded the DOJ the maximum civil penalty of $7.09 million, or $10,000 for each of the 709 invoices Pratt &amp;</w:t>
      </w:r>
    </w:p>
    <w:p>
      <w:pPr>
        <w:spacing w:after="0" w:line="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Whitney submitted in 1989 and later under the contracts. Both the DOJ and UTC have appealed the decision.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138"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Other</w:t>
      </w:r>
      <w:r>
        <w:rPr>
          <w:rFonts w:ascii="Arial" w:cs="Arial" w:eastAsia="Arial" w:hAnsi="Arial"/>
          <w:sz w:val="16"/>
          <w:szCs w:val="16"/>
          <w:color w:val="auto"/>
        </w:rPr>
        <w:t>. We extend performance and operating cost guarantees beyond our normal warranty and service policies for extended periods on some of our products.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accrued our estimate of the liability that may result under these guarantees and for service costs that are probable and can be reasonably estimated.</w:t>
      </w:r>
    </w:p>
    <w:p>
      <w:pPr>
        <w:spacing w:after="0" w:line="8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financial condition, results of operations or cash flows.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other commitments and contingent liabilities related to legal proceedings, self insurance programs and matters arising out of the normal course of business. We accrue contingencies based upon a range of possible outcomes. If no amount within this range is a better estimate than any other, we then accrue the minimum amount.</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Except as otherwise noted above, we do not believe that resolution of any of these matters will have a material adverse effect upon our competitive position, results of operations, cash flows or financial condition.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Financial Data</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operations are classified into six principal segments: Otis, Carrier, UTC Fire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quarters and nine months ended September 30, 2008 and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gridSpan w:val="4"/>
          </w:tcPr>
          <w:p>
            <w:pPr>
              <w:spacing w:after="0"/>
              <w:rPr>
                <w:sz w:val="20"/>
                <w:szCs w:val="20"/>
                <w:color w:val="auto"/>
              </w:rPr>
            </w:pPr>
            <w:r>
              <w:rPr>
                <w:rFonts w:ascii="Arial" w:cs="Arial" w:eastAsia="Arial" w:hAnsi="Arial"/>
                <w:sz w:val="14"/>
                <w:szCs w:val="14"/>
                <w:b w:val="1"/>
                <w:bCs w:val="1"/>
                <w:color w:val="auto"/>
              </w:rPr>
              <w:t>Quarter Ended September 30,</w:t>
            </w:r>
          </w:p>
        </w:tc>
        <w:tc>
          <w:tcPr>
            <w:tcW w:w="10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Operating Profits</w:t>
            </w:r>
          </w:p>
        </w:tc>
        <w:tc>
          <w:tcPr>
            <w:tcW w:w="1820" w:type="dxa"/>
            <w:vAlign w:val="bottom"/>
            <w:gridSpan w:val="4"/>
          </w:tcPr>
          <w:p>
            <w:pPr>
              <w:ind w:left="120"/>
              <w:spacing w:after="0"/>
              <w:rPr>
                <w:sz w:val="20"/>
                <w:szCs w:val="20"/>
                <w:color w:val="auto"/>
              </w:rPr>
            </w:pPr>
            <w:r>
              <w:rPr>
                <w:rFonts w:ascii="Arial" w:cs="Arial" w:eastAsia="Arial" w:hAnsi="Arial"/>
                <w:sz w:val="14"/>
                <w:szCs w:val="14"/>
                <w:b w:val="1"/>
                <w:bCs w:val="1"/>
                <w:color w:val="auto"/>
              </w:rPr>
              <w:t>Operating Profit Margin</w:t>
            </w:r>
          </w:p>
        </w:tc>
        <w:tc>
          <w:tcPr>
            <w:tcW w:w="0" w:type="dxa"/>
            <w:vAlign w:val="bottom"/>
          </w:tcPr>
          <w:p>
            <w:pPr>
              <w:spacing w:after="0"/>
              <w:rPr>
                <w:sz w:val="1"/>
                <w:szCs w:val="1"/>
                <w:color w:val="auto"/>
              </w:rPr>
            </w:pPr>
          </w:p>
        </w:tc>
      </w:tr>
      <w:tr>
        <w:trPr>
          <w:trHeight w:val="129"/>
        </w:trPr>
        <w:tc>
          <w:tcPr>
            <w:tcW w:w="59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(in millions of dollars)</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2008</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jc w:val="right"/>
              <w:ind w:right="46"/>
              <w:spacing w:after="0" w:line="129"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2007</w:t>
            </w:r>
          </w:p>
        </w:tc>
        <w:tc>
          <w:tcPr>
            <w:tcW w:w="380" w:type="dxa"/>
            <w:vAlign w:val="bottom"/>
          </w:tcPr>
          <w:p>
            <w:pPr>
              <w:spacing w:after="0"/>
              <w:rPr>
                <w:sz w:val="11"/>
                <w:szCs w:val="11"/>
                <w:color w:val="auto"/>
              </w:rPr>
            </w:pPr>
          </w:p>
        </w:tc>
        <w:tc>
          <w:tcPr>
            <w:tcW w:w="54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2,936</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648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3,738</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420</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1,471</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3,036</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503</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16.8%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1,427</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1,307</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9.2%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segment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13,915</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1,961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13,863</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2,049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1,888</w:t>
            </w:r>
          </w:p>
        </w:tc>
        <w:tc>
          <w:tcPr>
            <w:tcW w:w="38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13.8%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160" w:type="dxa"/>
            <w:vAlign w:val="bottom"/>
            <w:gridSpan w:val="3"/>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92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Operating Profits</w:t>
            </w:r>
          </w:p>
        </w:tc>
        <w:tc>
          <w:tcPr>
            <w:tcW w:w="1820" w:type="dxa"/>
            <w:vAlign w:val="bottom"/>
            <w:gridSpan w:val="4"/>
          </w:tcPr>
          <w:p>
            <w:pPr>
              <w:ind w:left="120"/>
              <w:spacing w:after="0"/>
              <w:rPr>
                <w:sz w:val="20"/>
                <w:szCs w:val="20"/>
                <w:color w:val="auto"/>
              </w:rPr>
            </w:pPr>
            <w:r>
              <w:rPr>
                <w:rFonts w:ascii="Arial" w:cs="Arial" w:eastAsia="Arial" w:hAnsi="Arial"/>
                <w:sz w:val="14"/>
                <w:szCs w:val="14"/>
                <w:b w:val="1"/>
                <w:bCs w:val="1"/>
                <w:color w:val="auto"/>
              </w:rPr>
              <w:t>Operating Profit Margin</w:t>
            </w:r>
          </w:p>
        </w:tc>
        <w:tc>
          <w:tcPr>
            <w:tcW w:w="0" w:type="dxa"/>
            <w:vAlign w:val="bottom"/>
          </w:tcPr>
          <w:p>
            <w:pPr>
              <w:spacing w:after="0"/>
              <w:rPr>
                <w:sz w:val="1"/>
                <w:szCs w:val="1"/>
                <w:color w:val="auto"/>
              </w:rPr>
            </w:pPr>
          </w:p>
        </w:tc>
      </w:tr>
      <w:tr>
        <w:trPr>
          <w:trHeight w:val="129"/>
        </w:trPr>
        <w:tc>
          <w:tcPr>
            <w:tcW w:w="59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(in millions of dollars)</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2008</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jc w:val="right"/>
              <w:ind w:right="46"/>
              <w:spacing w:after="0" w:line="129"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2007</w:t>
            </w:r>
          </w:p>
        </w:tc>
        <w:tc>
          <w:tcPr>
            <w:tcW w:w="380" w:type="dxa"/>
            <w:vAlign w:val="bottom"/>
          </w:tcPr>
          <w:p>
            <w:pPr>
              <w:spacing w:after="0"/>
              <w:rPr>
                <w:sz w:val="11"/>
                <w:szCs w:val="11"/>
                <w:color w:val="auto"/>
              </w:rPr>
            </w:pPr>
          </w:p>
        </w:tc>
        <w:tc>
          <w:tcPr>
            <w:tcW w:w="54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Otis</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8,522</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1,673</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11,682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10,923</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1,122</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4,066</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8,911</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1,515</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4,144</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3,511</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263</w:t>
            </w:r>
          </w:p>
        </w:tc>
        <w:tc>
          <w:tcPr>
            <w:tcW w:w="3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segment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44,408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40,077</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6,173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5,592</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44,182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40,045</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5,822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5,257</w:t>
            </w:r>
          </w:p>
        </w:tc>
        <w:tc>
          <w:tcPr>
            <w:tcW w:w="38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13.2%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7 to the Condensed Consolidated Financial Statements for a discussion of restructuring charges included in segment operating results.</w:t>
      </w:r>
    </w:p>
    <w:p>
      <w:pPr>
        <w:spacing w:after="0" w:line="19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view of the risks and costs associated with developing new engines, Pratt &amp; Whitney has entered into certain collaboration arrangements in which costs, revenues and risks are shared. Revenues from Pratt &amp; Whitney’s engine programs under these collaboration arrangements are recorded as earned and the collaborator share of revenue is recorded as a reduction of revenue at that time. The collaborator share of revenue for the quarters ended September 30, 2008 and 2007 was approximately $252 million and $232 million, respectively. For the nine months ended September 30, 2008 and 2007, the approximate collaborator share of revenue was $740 million and $673 million, respectively. Costs associated with engine programs under collaboration arrangements are expensed as incurred. The collaborator share of program costs is recorded as a reduction of the related expense item at that time. Upon the January 1, 2009 adoption of Emerging Issues Task Force (EITF) Issue No. 07-1, “Accounting for Collaborative Arrangements,” which requires that transactions with third parties be reported in the appropriate line item in each company’s financial statement pursuant to the guidance in EITF Issue No. 99-19, “Reporting Revenue Gross as a Principal versus Net as an Agent,” revenues will be increased by these amounts, with an offsetting increase to cost of sales in order to reflect the impact of the collaboration arrangements on a gross basis.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Accounting Pronouncements</w:t>
      </w:r>
    </w:p>
    <w:p>
      <w:pPr>
        <w:spacing w:after="0" w:line="9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In September 2006, the FASB issued SFAS No.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 Relative to SFAS 157, the FASB issued FSP FAS 157-1, FAS 157-2, and FAS 157-3. FSP FAS 157-1 amends SFAS 157 to exclude SFAS 13 and its related interpretive accounting pronouncements that address leasing transactions, while FSP FAS 157-2 delays the effective date of SFAS 157 for all nonfinancial assets and nonfinancial liabilities, except those that are recognized or disclosed at fair value in the financial statements on a recurring basis. FSP FAS 157-3 clarifies the application of SFAS 157 as it relates to the valuation of financial assets in a market that is not active for those financial assets. This FSP is effective immediately and includes those periods for which financial statements have not been issued. We currently do not have any financial assets that are valued using inactive markets, and as such are not impacted by the issuance of this FSP. We adopted SFAS 157 as of January 1, 2008, with the exception of the application of the statement to non-recurring nonfinancial assets and nonfinancial liabilities. Refer to Note 11 to the Condensed Consolidated Financial Statements for additional discussion on fair value measurements.</w:t>
      </w:r>
    </w:p>
    <w:p>
      <w:pPr>
        <w:spacing w:after="0" w:line="121"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In December 2007, the FASB issued SFAS No. 141 (revised 2007), “Business Combinations” (SFAS 141(R)), which replaces SFAS No. 141, “Business Combinations” (SFAS 141). SFAS 141(R) retains the underlying concepts of SFAS 141 in that all business combinations are still required to be accounted for at fair value under the acquisition method of accounting but SFAS 141(R) changed the method of applying the acquisition method in a number of significant aspects. Acquisition costs will generally be expensed as incurred; noncontrolling interests will be valued at fair value at the acquisition date; in-process research and development will be recorded at fair value as an indefinite-lived intangible asset at the acquisition date, until either abandoned or completed, at which point the useful lives will be determined; restructuring costs associated with a business combination will generally be expensed subsequent to the acquisition date; and changes in deferred tax asset valuation allowances and income tax uncertainties after the acquisition date generally will affect income tax expense. SFAS 141(R) is effective on a prospective basis for all business combinations for which the acquisition date is on or after the beginning of the first annual period subsequent to December 15, 2008, with the exception of the accounting for valuation allowances on deferred taxes and acquired tax contingencies. SFAS 141(R) amends SFAS No. 109, “Accounting for Income Taxes” (SFAS 109) such that adjustments made to valuation allowances on deferred taxes and acquired tax contingencies associated with acquisitions that closed prior to the effective date of SFAS 141(R) would also apply the provisions of SFAS 141(R). Early adoption is not permitted. Upon adoption, SFAS 141(R) will not have a significant impact on our financial position and results of operations; however, any business combination entered into after the adoption may significantly impact our financial position and results of operations when compared to acquisitions accounted for under existing U.S. Generally Accepted Accounting Principles (GAAP). Also, since we have significant acquired deferred tax assets for which full valuation allowances were recorded at the acquisition date, SFAS 141(R) could significantly affect the results of operations if changes in the valuation allowances occur subsequent to adoption. For additional discussion on deferred tax valuation allowances, refer to Note 9 to the Consolidated Financial Statements in the 2007 Form 10-K.</w:t>
      </w:r>
    </w:p>
    <w:p>
      <w:pPr>
        <w:spacing w:after="0" w:line="11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ARB No. 51.” This statement is effective for fiscal years, and interim periods within those fiscal years, beginning on or after December 15, 2008, with earlier adoption prohibited.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It also amends certain of ARB No. 51’s consolidation procedures for consistency with the requirements of SFAS 141(R). This statement also includes expanded disclosure requirements regarding the interests of the parent and its noncontrolling interest. We have evaluated this new statement and have determined that the statement will not have a significant impact on the reporting of our financial position and results of operations.</w:t>
      </w:r>
    </w:p>
    <w:p>
      <w:pPr>
        <w:spacing w:after="0" w:line="118"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In December 2007, the EITF issued Issue No. 07-1, “Accounting for Collaborative Arrangements.” This Issue is effective for financial statements issued for fiscal years beginning after December 15, 2008, and interim periods within those fiscal years, and shall be applied retrospectively to all prior periods presented for all collaborative arrangements existing as of the effective date. This Issue requires that transactions with third parties (i.e., revenue generated and costs incurred by the partners) should be reported in the appropriate line item in each company’s financial statement pursuant to the guidance in EITF Issue</w:t>
      </w:r>
    </w:p>
    <w:p>
      <w:pPr>
        <w:spacing w:after="0" w:line="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No. 99-19, “Reporting Revenue Gross as a Principal versus Net as an Agent.” This Issue also includes enhanced disclosure requirements regarding the nature and purpose of the arrangement, rights and obligations under the arrangement, accounting policy, amount and income statement classification of collaboration transactions between the parties. The collaborator share of revenue for the quarters ended September 30, 2008 and 2007 was approximately $252 million and $232 million, respectively. For the nine months ended September 30, 2008 and 2007, the approximate collaborator share of revenue was $740 million and $673 million, respectively. Costs associated with engine programs under collaboration agreements are expensed as incurred. Under this Issue, revenues would be increased by these amounts with an offsetting increase to cost of sales in order to reflect the impact of the collaboration arrangements on a gross basis.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FASB Statement No. 133” (SFAS 161). This statement is intended to improve transparency in financial reporting by requiring enhanced disclosures of an entity’s derivative instruments and hedging activities and their effects on the entity’s financial position, financial performance, and cash flows. SFAS 161 applies to all derivative instruments within the scope of SFAS 133, “Accounting for Derivative Instruments and Hedging Activities” (SFAS 133) as well as related hedged items, bifurcated derivatives, and nonderivative instruments that are designated and qualify as hedging instruments. Entities with instruments subject to SFAS 161 must provide more robust qualitative disclosures and expanded quantitative disclosures. SFAS 161 is effective prospectively for financial statements issued for fiscal years and interim periods beginning after November 15, 2008, with early application permitted. We are currently evaluating the disclosure implications of this statement; however, the new statement will not have an impact on the determination of our financial results.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April 2008, the FASB issued FSP No. FAS 142-3, “Determination of the Useful Life of Intangible Assets.” This FSP amends the factors that should be considered in developing renewal or extension assumptions used to determine the useful life of a recognized intangible asset under SFAS No. 142, “Goodwill and Other Intangible Assets” (SFAS 142). The objective of this FSP is to improve the consistency between the useful life of a recognized intangible asset under SFAS 142 and the period of expected cash flows used to measure the fair value of the asset under SFAS 141(R), and other principles of GAAP. This FSP applies to all intangible assets, whether acquired in a business combination or otherwise, and shall be effective for financial statements issued for fiscal years beginning after December 15, 2008, and interim periods within those fiscal years and applied prospectively to intangible assets acquired after the effective date. Early adoption is prohibited. We have evaluated the new statement and have determined that it will not have a significant impact on the determination or reporting of our financial results.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May 2008, the FASB issued SFAS No. 162, “The Hierarchy of Generally Accepted Accounting Principles” (SFAS 162). This statement identifies the sources of accounting principles and the framework for selecting the principles used in the preparation of financial statements of nongovernmental entities that are presented in accordance with GAAP. With the issuance of this statement, the FASB concluded that the GAAP hierarchy should be directed toward the entity and not its auditor, and reside in the accounting literature established by the FASB as opposed to the American Institute of Certified Public Accountants (AICPA) Statement on Auditing Standards No. 69, “The Meaning of Present Fairly in Conformity With Generally Accepted Accounting Principles.” This statement is effective 60 days following the SEC’s approval of the Public Company Accounting Oversight Board amendments to AU Section 411, “The Meaning of Present Fairly in Conformity With Generally Accepted Accounting Principles.” We have evaluated the new statement and have determined that it will not have a significant impact on the determination or reporting of our financial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 and nine months ended September 30, 2008 and 2007, PricewaterhouseCoopers LLP (PricewaterhouseCoopers) reported that it has applied limited procedures in accordance with professional standards for a review of such information. However, its report dated October 21, 2008,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193"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(the “Corporation”) and its subsidiaries as of September 30, 2008, and the related condensed consolidated statement of operations for each of the three-month and nine-month periods ended September 30, 2008 and 2007 and the condensed consolidated statement of cash flows for the nine-month periods ended September 30, 2008 and 2007. This interim financial information is the responsibility of the Corporation’s management.</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 xml:space="preserve">As discussed in Notes 5, 6, and 11 to the condensed consolidated interim financial information, the Corporation changed the manner in which it accounts for uncertain tax positions and the manner in which it accounts for defined benefit pension and other postretirement plans in 2007, and adopted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 of January 1, 2008, respectively.</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2007, and the related consolidated statements of operations, of cash flows and of changes in shareowners’ equity for the year then ended (not presented herein), and in our report dated February 7, 2008 (which included an explanatory paragraph with respect to the Corporation’s change in its manner of accounting for conditional asset retirement obligations, defined benefit pension and other postretirement plans, and uncertain tax positions), we expressed an unqualified opinion on those consolidated financial statements. In our opinion, the information set forth in the accompanying condensed consolidated balance sheet as of December 31, 2007, is fairly stated in all material respects in relation to the consolidated balance sheet from which it has been derived.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21,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conduct our business through six principal segments: Otis, Carrier, UTC Fire &amp; Security, Pratt &amp; Whitney, Hamilton Sundstrand and Sikorsky. Otis, Carrier and UTC Fire &amp; Security are collectively referred to as the “commercial businesses,” while Pratt &amp; Whitney, Hamilton Sundstrand and Sikorsky are collectively referred to as the “aerospace businesses.” The current status of significant factors impacting our business environment in 2008 is discussed below. For additional discussion, refer to the “Business Overview” section in Management’s Discussion and Analysis of Financial Condition and Results of Operations in our 2007 Annual Report to Shareowners, incorporated by reference in our 2007 Form 10-K (2007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worldwide businesses, our operations can be affected by global and regional industrial, economic and political factors. However, our geographic and industry diversity, as well as the diversity of our product sales and services, has helped limit the impact of any one industry or economy of any single country on our consolidated results.</w:t>
      </w:r>
    </w:p>
    <w:p>
      <w:pPr>
        <w:spacing w:after="0" w:line="14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Total third quarter revenues increased 7% year over year, as compared to the same period in 2007, despite an increasingly challenging economic environment. The recent extreme volatility and disruption of financial markets in the United States, Europe and Asia, continuing airline financial distress, and depressed conditions in the domestic housing market have all contributed to weakening worldwide economic conditions. Some of these factors have had an impact on aspects of our underlying businesses, as discussed further below, while other markets and businesses have continued to perform strongly.</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Organic growth for the quarter was 4% as compared with the 6% seen in the second quarter of 2008. The favorable impact of foreign currency translation (3%) contributed the remainder of the 7% total growth in third quarter revenues year over year. Although reduced, organic growth continues to reflect the global infrastructure investments that are benefiting our commercial businesses, notwithstanding the moderation of orders in commercial construction activity at Otis and strong opening order backlogs entering 2008. On a global basis, Otis’s new equipment orders were flat year over year for the third quarter, and up 15% for the first nine months of 2008 when compared to the same period of 2007. Conversely, Carrier’s commercial heating, ventilating, and air conditioning (HVAC) new equipment orders grew approximately 12% worldwide in the third quarter of 2008, as compared with the same period of 2007. Although commercial HVAC revenue grew in the quarter, the commercial refrigeration and residential international businesses in Europe declined as a result of the current economic conditions. As with prior quarters, the ongoing weakness in the U.S. residential market continued to affect Carrier’s North American residential business, although shipments were stronger than those reflected in comparable reported market data. UTC Fire &amp; Security’s organic revenue growth of 5% in the quarter was driven by strength in the Fire Safety businesses serving the oil &amp; gas and marine industries.</w:t>
      </w:r>
    </w:p>
    <w:p>
      <w:pPr>
        <w:spacing w:after="0" w:line="12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Although the price of oil has retreated from record prices seen only a few months ago, the commercial aerospace industry continues its plan of capacity reductions to help offset volatile fuel prices. Revenue passenger miles (RPMs) are projected to increase worldwide in 2008, although at a rate lower than initially expected, in part due to volatile fuel prices and slower global economic growth. Consistent with expectations, we saw a 6% decline in Pratt &amp; Whitney’s commercial aerospace aftermarket business in the third quarter of 2008 when compared to the same period of 2007. However, we continue to experience growth in the commercial aerospace original equipment manufacturer (OEM) markets, both at Pratt &amp; Whitney and Hamilton Sundstrand, and continued strong demand for military helicopters at Sikorsky. The increase in revenues in the third quarter of 2008 was accompanied by continued improvements in operational efficiencies, including savings from previously initiated restructuring actions and cost containment efforts.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Operating profit improvements across all businesses were partially offset by the adverse impact of higher restructuring costs to generate a 9% increase in consolidated operating profit in the third quarter of 2008 as compared with the same period in 2007. In anticipation of a slower growth environment, we have initiated further cost reduction actions, particularly at Pratt &amp; Whitney and Carrier, and expect full year restructuring costs of around $300 million. Although lower than the previous quarter, commodity prices still adversely impacted operating results. After a partial recovery through pricing, the net impact to earnings, excluding energy, was approximately $40 million in the third quarter of 2008. We expect the full year gross commodity cost impact, excluding energy, to be over $300 million, with pricing expected to offset a little more than half the impact. The favorable impact of foreign currency translation (2%) and the net impact from acquisitions and divestitures completed in the past year (1%) were offset by increased restructuring charges (3%).</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previously disclosed, operating profit for the first nine months of 2007 was adversely impacted by a civil fine, net of existing reserves, of $216 million levied against Otis recorded in the first three months of 2007. The European Commission’s Competition Directorate assessed a civil fine of approximately $300 million (EU Fine) against Otis, its relevant local entities and UTC, as a result of certain Otis subsidiaries in Europe violating European Union competition rules. Gains from the sale of marketable securities and certain non-core assets and lower restructuring charges in the first three months of 2007 helped to offset the adverse impact of this fine.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Weakness of the U.S. dollar against certain currencies such as the Euro, when compared to prior year rates, generated a positive foreign currency translation impact in the third quarter of 2008, which was partially offset by the adverse impact of foreign exchange on Pratt &amp; Whitney Canada’s results. The weakness of the U.S. dollar has adversely impacted Pratt &amp; Whitney Canada’s operating profits as the majority of its revenues are denominated in U.S. dollars, while a significant portion of its costs are incurred in local currencies. Including the adverse impact on Pratt &amp; Whitney Canada’s costs, foreign currency translation contributed $.03 and $.02 per share in the third quarter of 2008 and 2007, respectively. Although, currency markets cannot be predicted with certainty, any significant fluctuations in foreign exchange rates could negatively affect our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commercial businesses generally serve customers in the worldwide commercial and residential property industries, although Carrier also serves customers in the commercial and transport refrigeration industries. Revenues in the commercial businesses are influenced by residential and commercial construction activity, domestic and world gross domestic product growth levels, overall global economic conditions and, for Carrier, seasonal weather conditions. To ensure adequate supply of Carrier products in the distribution channel, Carrier customarily offers its customers incentives to purchase products.</w:t>
      </w:r>
    </w:p>
    <w:p>
      <w:pPr>
        <w:spacing w:after="0" w:line="113" w:lineRule="exact"/>
        <w:rPr>
          <w:sz w:val="20"/>
          <w:szCs w:val="20"/>
          <w:color w:val="auto"/>
        </w:rPr>
      </w:pPr>
    </w:p>
    <w:p>
      <w:pPr>
        <w:ind w:right="460" w:firstLine="456"/>
        <w:spacing w:after="0" w:line="255" w:lineRule="auto"/>
        <w:rPr>
          <w:sz w:val="20"/>
          <w:szCs w:val="20"/>
          <w:color w:val="auto"/>
        </w:rPr>
      </w:pPr>
      <w:r>
        <w:rPr>
          <w:rFonts w:ascii="Arial" w:cs="Arial" w:eastAsia="Arial" w:hAnsi="Arial"/>
          <w:sz w:val="18"/>
          <w:szCs w:val="18"/>
          <w:color w:val="auto"/>
        </w:rPr>
        <w:t>Despite a general slowdown in retail-related markets, Carrier experienced overall revenue growth of 5% in the third quarter of 2008. Weak economic conditions in Europe have adversely impacted both the commercial refrigeration and international residential businesses. The favorable foreign currency translation impact from a weak U.S. dollar, and growth in its other businesses combined to help offset the declines in the commercial refrigeration and international residential businesses. In response to the current economic environment and expected slower worldwide growth, Carrier continues to focus on implementing restructuring and other cost reduction initiatives.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Within the Otis segment, revenue increased 14% in the first nine months of 2008 with organic growth of 7%, compared to the same period of 2007. New equipment orders were flat in the quarter, but still remained up 15% through the first nine months of the year, or 8% excluding the favorable impact of foreign currency translation. During the third quarter, Otis saw continued double digit new equipment order growth in Asia, offset by a significant decline in North America, influenced by a single large project cancellation in Las Vegas. Order growth in China remained strong in the quarter, up approximately 30%, or about 20% excluding the favorable impact of foreign currency translation, which is consistent with the first half of the year.</w:t>
      </w:r>
    </w:p>
    <w:p>
      <w:pPr>
        <w:spacing w:after="0" w:line="11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UTC Fire &amp; Security’s third quarter revenue increased 10% with organic growth of 5%. Organic revenue growth was driven primarily by growth in the North American and European Fire Safety businesses with a solid presence in the petroleum, oil &amp; gas and marine industries. During the quarter, UTC Fire &amp; Security completed its sale of the Australian guarding and mobile patrol businesses.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aerospace businesses serve both commercial and government aerospace customers. In addition, elements of Pratt &amp; Whitney and Hamilton Sundstrand also serve customers in the industrial markets. RPMs, U.S. government military and space spending, corporate profits, production levels at airframe manufacturers and the general economic health of airline carriers are all barometers for our aerospace businesses. Volatile fuel prices continue to adversely impact the commercial aerospace industry as some larger domestic airline carriers have implemented plans to reduce service and capacity in response to high oil prices, including retiring their older and less fuel efficient aircraft, and cutting payroll costs; while several smaller carriers have either declared bankruptcy or shut down altogether</w:t>
      </w:r>
      <w:r>
        <w:rPr>
          <w:rFonts w:ascii="Arial" w:cs="Arial" w:eastAsia="Arial" w:hAnsi="Arial"/>
          <w:sz w:val="15"/>
          <w:szCs w:val="15"/>
          <w:b w:val="1"/>
          <w:bCs w:val="1"/>
          <w:color w:val="auto"/>
        </w:rPr>
        <w:t>.</w:t>
      </w:r>
      <w:r>
        <w:rPr>
          <w:rFonts w:ascii="Arial" w:cs="Arial" w:eastAsia="Arial" w:hAnsi="Arial"/>
          <w:sz w:val="15"/>
          <w:szCs w:val="15"/>
          <w:color w:val="auto"/>
        </w:rPr>
        <w:t xml:space="preserve"> Announced service and capacity reductions are not expected to have a significant impact on our 2008 full year results, although there have been year over year declines in Pratt &amp; Whitney’s large commercial spares orders in each quarter this year with similar challenges expected in the fourth quarter of 2008 and into 2009 as airlines reduce capacity. Total commercial aerospace aftermarket revenues declined 3% in the third quarter of 2008 compared to the same period in 2007, reflecting a 6% decline at Pratt &amp; Whitney partially offset by increases at both Hamilton Sundstrand and Sikorsky. Hamilton Sundstrand’s aftermarket revenues increased in both the quarter and year to date due to provisioning by the airlines and due to product content on a broad spectrum of aircraft.</w:t>
      </w:r>
    </w:p>
    <w:p>
      <w:pPr>
        <w:spacing w:after="0" w:line="10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Despite the airline industry adversity, the continued strong production levels at the airframe manufacturers generated commercial aerospace OEM growth in the third quarter of 2008 as compared with the same period in 2007 as airframe manufacturers continued delivering on their record backlogs. The current machinist strike at Boeing Co. has not had a significant adverse impact on us to date and is not expected to have a significant impact to our 2008 full year results. Government military spending is also driving helicopter demand and, as a result, Sikorsky’s military backlog remains very strong. Across all segments, military OEM volume increased 8% in the third quarter as compared to the same period in 2007, led by Sikorsky. Contributing to the growth in revenues at Sikorsky were increased large aircraft shipments and a favorable military configuration shift to the new Black Hawk variant. The UH-60M helicopter is the latest and most modern in a series of Black Hawk variants that Sikorsky has been delivering to the U.S. Army since 1978 and requires significant additional assembly hours relative to the previous variants.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times, the aerospace businesses enter into firm, fixed-price development contracts, which may require us to bear cost overruns related to unforeseen technical and design challenges that arise during the development stage of a particular program. Sikorsky is developing the CH-148 for the Canadian government under an approximately $3 billion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firm, fixed-price contract, which provides for the development, production, and logistical support of 28 helicopters. The CH-148 is a derivative of the H-92, a military variant of the S-92. This is the largest and most expansive fixed-price development contract in Sikorsky’s history, including 20 years of service and support requirements. As previously disclosed, it is expected that delivery of the initial aircraft will be delayed approximately 24 months, until approximately the fourth quarter of 2010. Sikorsky is currently in discussions with the Canadian government concerning a potential re-baselining of the program.</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Overall economic conditions are also affecting the cost and availability of raw materials, such as titanium and nickel, as industry demand outpaces current capacity. The availability and pricing of these materials are expected to continue to affect aerospace performance and could have a further adverse impact on future performance depending on market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growth strategy contemplates acquisitions. The rate and extent to which appropriate acquisition opportunities are available, acquired businesses are effectively integrated and anticipated synergies or cost savings are achieved, can affect our operations and results. During the first nine months of 2008, our investment in businesses was $721 million, including debt assumed of $13 million, which consisted primarily of a number of small acquisitions in both our commercial and aerospace businesses. We recorded the excess of the purchase price over the estimated fair value of the assets acquired as an increase in goodwill. As a result of acquisition activity and the finalization of purchase accounting, goodwill increased approximately $545 million in the first nine months of 2008.</w:t>
      </w:r>
    </w:p>
    <w:p>
      <w:pPr>
        <w:spacing w:after="0" w:line="10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Including acquisitions made during the first nine months of 2008, we now expect to invest approximately $1 billion in acquisitions for 2008, compared with the $2 billion disclosed in prior quarters. The total amount of investments in any given year depends upon the timing, availability and appropriate value of acquisition opportunities. We have withdrawn our previously disclosed offer to acquire all of the outstanding shares of Diebold, Incorporated. With the expected investment in acquisitions for 2008, we have increased the projected repurchase of our common stock in 2008 from $2 billion to around $3 billion.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Global economic conditions, commercial airline financial distress/consolidation, changes in raw material and commodity prices, interest rates, foreign currency exchange rates and energy costs create uncertainties that could impact our earnings outlook for the remainder of 2008. See Part II, Item 1A, “Risk Factors” in this Form 10-Q for further discussion.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revenues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and Note 1 to the Consolidated Financial Statements in our 2007 Form 10-K, describe the significant accounting estimates and policies used in preparation of the Consolidated Financial Statements. Actual results in these areas could differ from management’s estimates. As discussed below and in Note 11 to the Condensed Consolidated Financial Statements, we have adopted SFAS 157 as of January 1, 2008, with the exception of the application of the statement to nonrecurring nonfinancial assets and nonfinancial liabilities, the deferral of which was permitted under FSP 157-2. Other than this change, there have been no significant changes in our critical accounting estimates during the first nine months of 2008.</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Substantially all of our financial assets and liabilities are measured at fair value based upon Level 1 or Level 2 inputs, as defined under SFAS 157. We use quoted market prices in active markets to measure and record the fair value of available for sale securities. For our derivative assets and liabilities, we use observable inputs such as forward rates and interest rates to measure and record their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CONTINUING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Quarter Ended</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Nine Months Ended</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5060" w:type="dxa"/>
            <w:vAlign w:val="bottom"/>
          </w:tcPr>
          <w:p>
            <w:pPr>
              <w:spacing w:after="0"/>
              <w:rPr>
                <w:sz w:val="14"/>
                <w:szCs w:val="14"/>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5"/>
              </w:rPr>
              <w:t>% change</w:t>
            </w:r>
          </w:p>
        </w:tc>
        <w:tc>
          <w:tcPr>
            <w:tcW w:w="13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1360" w:type="dxa"/>
            <w:vAlign w:val="bottom"/>
            <w:gridSpan w:val="2"/>
            <w:vMerge w:val="continue"/>
          </w:tcPr>
          <w:p>
            <w:pPr>
              <w:spacing w:after="0"/>
              <w:rPr>
                <w:sz w:val="12"/>
                <w:szCs w:val="12"/>
                <w:color w:val="auto"/>
              </w:rPr>
            </w:pPr>
          </w:p>
        </w:tc>
        <w:tc>
          <w:tcPr>
            <w:tcW w:w="506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$14,702</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$13,718</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$43,814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$39,420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2"/>
              </w:rPr>
              <w:t>Other income, net</w:t>
            </w:r>
          </w:p>
        </w:tc>
        <w:tc>
          <w:tcPr>
            <w:tcW w:w="50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145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600" w:type="dxa"/>
            <w:vAlign w:val="bottom"/>
          </w:tcPr>
          <w:p>
            <w:pPr>
              <w:jc w:val="right"/>
              <w:spacing w:after="0"/>
              <w:rPr>
                <w:sz w:val="20"/>
                <w:szCs w:val="20"/>
                <w:color w:val="auto"/>
              </w:rPr>
            </w:pPr>
            <w:r>
              <w:rPr>
                <w:rFonts w:ascii="Arial" w:cs="Arial" w:eastAsia="Arial" w:hAnsi="Arial"/>
                <w:sz w:val="18"/>
                <w:szCs w:val="18"/>
                <w:color w:val="auto"/>
              </w:rPr>
              <w:t>368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14,814</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13,863</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44,182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40,045</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Revenue growth in the third quarter of 2008 reflects organic growth of 4% and the favorable impact from foreign currency translation of 3% resulting from the weakness of the U.S. dollar relative to currencies such as the Euro. The organic revenue growth reflects the strong opening new equipment backlog at Otis, demand for military helicopters at Sikorsky, strength in commercial aerospace OEM at Hamilton Sundstrand and Pratt &amp; Whitney and growth in the Fire Safety businesses at UTC Fire &amp; Security. This growth was partially offset by declines in Pratt &amp; Whitney’s large commercial spares business and weakness in Carrier’s commercial refrigeration and residential international businesses, as discussed previously in the “Business Overview” section.</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decrease in other income in the third quarter of 2008, as compared to 2007, reflects the absence of approximately $28 million of pretax interest income related to the completion of an IRS examination for tax years 2000 through 2003 recorded in the third quarter of 2007. The remainder of the year over year decrease reflects increased hedging costs on our cash management activities. Other income in the third quarter of 2008 includes an approximately $37 million non-cash gain recognized on the sale of a partial investment at Pratt &amp; Whitney.</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nine month revenue increase of 10% consists of organic growth of 6% and the favorable impact of foreign currency translation of 4%. The net impact of acquisitions and divestitures (2%) was offset by a decrease in other income. The nine month revenue growth is due largely to strong new equipment backlog entering the year at Otis, the strength in the commercial aerospace OEM markets and the demand for military helicopters. The decrease in other income in the first nine months of 2008, as compared with 2007, is largely related to the absence of gains reflected in 2007, which included approximately $150 million related to the sale of certain marketable securities and an $84 million gain recognized on the sale of land by Otis. Also contributing to the year over year decrease is the absence of $28 million of pre-tax interest income related to the completion of an IRS examination for tax years 2000 through 2003 recorded in 2007, and increased hedging costs on our cash management activities. As noted above, other income in 2008 includes an approximately $37 million non-cash gain recognized on the sale of a partial investment at Pratt &amp; Whitney.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7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7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780" w:type="dxa"/>
            <w:vAlign w:val="bottom"/>
            <w:gridSpan w:val="3"/>
            <w:vMerge w:val="continue"/>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$4,038</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$11,810</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Percentage of sales</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27.0%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For the third quarter of 2008, gross margin as a percentage of sales increased by 90 basis points, as compared to the same period of 2007. This improvement is largely attributable to savings from previously initiated restructuring actions and continued net operational efficiencies. The net benefits from several contract related negotiations at Hamilton Sundstrand and a favorable resolution of a legal dispute at Pratt &amp; Whitney were offset by the adverse impact of higher commodity costs. After a partial recovery through pricing, the net adverse impact to earnings of higher commodity costs, net of pricing, was approximately $40 million in the third quarter and approximately $95 million for the nine months ended September 30, 2008. These benefits were partially offset by higher restructuring costs. Restructuring costs, as a component of cost of sales, increased $30 million for the third quarter of the year when compared to the same period of 2007.</w:t>
      </w:r>
    </w:p>
    <w:p>
      <w:pPr>
        <w:spacing w:after="0" w:line="147"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For the first nine months of 2008, gross margin as a percentage of sales increased by 110 basis points, as compared to the same period of 2007. This improvement is primarily due to the absence of the first quarter 2007 EU Fine, net of reserves (approximately 50 basis points). The net benefits from several contract related negotiations at Hamilton Sundstrand and a favorable resolution of a legal dispute at Pratt &amp; Whitney (approximately 10 basis points combined) was more than offset by higher commodity costs, net of pricing (approximately 20 basis points). The benefit from higher volumes, savings from previously initiated restructuring actions and net operational efficiencies, partially offset by the impact of foreign exchange at Pratt &amp; Whitney Canada contributed to the remainder of the year over year change.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9"/>
          </w:tcPr>
          <w:p>
            <w:pPr>
              <w:jc w:val="right"/>
              <w:ind w:right="940"/>
              <w:spacing w:after="0"/>
              <w:rPr>
                <w:sz w:val="20"/>
                <w:szCs w:val="20"/>
                <w:color w:val="auto"/>
              </w:rPr>
            </w:pPr>
            <w:r>
              <w:rPr>
                <w:rFonts w:ascii="Arial" w:cs="Arial" w:eastAsia="Arial" w:hAnsi="Arial"/>
                <w:sz w:val="14"/>
                <w:szCs w:val="14"/>
                <w:b w:val="1"/>
                <w:bCs w:val="1"/>
                <w:color w:val="auto"/>
                <w:w w:val="95"/>
              </w:rPr>
              <w:t>Quarter Ended September 30,</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457"/>
              <w:spacing w:after="0" w:line="142" w:lineRule="exact"/>
              <w:rPr>
                <w:sz w:val="20"/>
                <w:szCs w:val="20"/>
                <w:color w:val="auto"/>
              </w:rPr>
            </w:pPr>
            <w:r>
              <w:rPr>
                <w:rFonts w:ascii="Arial" w:cs="Arial" w:eastAsia="Arial" w:hAnsi="Arial"/>
                <w:sz w:val="14"/>
                <w:szCs w:val="14"/>
                <w:b w:val="1"/>
                <w:bCs w:val="1"/>
                <w:color w:val="auto"/>
                <w:w w:val="89"/>
              </w:rPr>
              <w:t>2008</w:t>
            </w: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472"/>
              <w:spacing w:after="0" w:line="142" w:lineRule="exact"/>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492"/>
              <w:spacing w:after="0" w:line="142" w:lineRule="exact"/>
              <w:rPr>
                <w:sz w:val="20"/>
                <w:szCs w:val="20"/>
                <w:color w:val="auto"/>
              </w:rPr>
            </w:pPr>
            <w:r>
              <w:rPr>
                <w:rFonts w:ascii="Arial" w:cs="Arial" w:eastAsia="Arial" w:hAnsi="Arial"/>
                <w:sz w:val="14"/>
                <w:szCs w:val="14"/>
                <w:b w:val="1"/>
                <w:bCs w:val="1"/>
                <w:color w:val="auto"/>
                <w:w w:val="83"/>
              </w:rPr>
              <w:t>2008</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6"/>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52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 of Sales</w:t>
            </w:r>
          </w:p>
        </w:tc>
        <w:tc>
          <w:tcPr>
            <w:tcW w:w="380" w:type="dxa"/>
            <w:vAlign w:val="bottom"/>
          </w:tcPr>
          <w:p>
            <w:pPr>
              <w:spacing w:after="0"/>
              <w:rPr>
                <w:sz w:val="12"/>
                <w:szCs w:val="12"/>
                <w:color w:val="auto"/>
              </w:rPr>
            </w:pPr>
          </w:p>
        </w:tc>
        <w:tc>
          <w:tcPr>
            <w:tcW w:w="52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 of Sales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 of Sales</w:t>
            </w:r>
          </w:p>
        </w:tc>
        <w:tc>
          <w:tcPr>
            <w:tcW w:w="3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of Sales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5"/>
              </w:rPr>
              <w:t>Company-funded</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$1,281</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Customer-funded</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484</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1,525</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3.5%</w:t>
            </w:r>
          </w:p>
        </w:tc>
        <w:tc>
          <w:tcPr>
            <w:tcW w:w="500" w:type="dxa"/>
            <w:vAlign w:val="bottom"/>
          </w:tcPr>
          <w:p>
            <w:pPr>
              <w:jc w:val="right"/>
              <w:spacing w:after="0"/>
              <w:rPr>
                <w:sz w:val="20"/>
                <w:szCs w:val="20"/>
                <w:color w:val="auto"/>
              </w:rPr>
            </w:pPr>
            <w:r>
              <w:rPr>
                <w:rFonts w:ascii="Arial" w:cs="Arial" w:eastAsia="Arial" w:hAnsi="Arial"/>
                <w:sz w:val="18"/>
                <w:szCs w:val="18"/>
                <w:color w:val="auto"/>
              </w:rPr>
              <w:t>1,369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2,806</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2,566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in company-funded research and development in the third quarter and first nine months of 2008, compared to the same periods in 2007, was</w:t>
      </w:r>
    </w:p>
    <w:p>
      <w:pPr>
        <w:spacing w:after="0" w:line="4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led by continued efforts on Pratt &amp; Whitney’s next generation product family, which includes the Geared Turbofan</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(GTF) engine as well as general increases across the businesses. Company-funded research and development spending for the full year 2008 is expected to increase by approximately $150 million from 2007 levels, led by Pratt &amp; Whitney’s engineering investments on aerospace programs such as the GTF. Company funded research and development spending is subject to the variable nature of program development schedules. The increase in customer-funded research and development spending for the first nine months of 2008, as compared to the same period of 2007, relates largely to increased engineering effort in the J-2X propulsion program at Pratt &amp; Whitney Rocketdyne and military and space programs at Hamilton Sundstrand.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Quarter Ended</w:t>
            </w:r>
          </w:p>
        </w:tc>
        <w:tc>
          <w:tcPr>
            <w:tcW w:w="16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6580" w:type="dxa"/>
            <w:vAlign w:val="bottom"/>
          </w:tcPr>
          <w:p>
            <w:pPr>
              <w:spacing w:after="0"/>
              <w:rPr>
                <w:sz w:val="14"/>
                <w:szCs w:val="14"/>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360" w:type="dxa"/>
            <w:vAlign w:val="bottom"/>
            <w:gridSpan w:val="2"/>
            <w:vMerge w:val="continue"/>
          </w:tcPr>
          <w:p>
            <w:pPr>
              <w:spacing w:after="0"/>
              <w:rPr>
                <w:sz w:val="12"/>
                <w:szCs w:val="12"/>
                <w:color w:val="auto"/>
              </w:rPr>
            </w:pPr>
          </w:p>
        </w:tc>
        <w:tc>
          <w:tcPr>
            <w:tcW w:w="6580" w:type="dxa"/>
            <w:vAlign w:val="bottom"/>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7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$1,508</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$5,075</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$4,398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82"/>
              </w:rPr>
              <w:t>Percentage of sales</w:t>
            </w:r>
          </w:p>
        </w:tc>
        <w:tc>
          <w:tcPr>
            <w:tcW w:w="7520" w:type="dxa"/>
            <w:vAlign w:val="bottom"/>
            <w:gridSpan w:val="3"/>
          </w:tcPr>
          <w:p>
            <w:pPr>
              <w:jc w:val="right"/>
              <w:ind w:right="300"/>
              <w:spacing w:after="0"/>
              <w:rPr>
                <w:sz w:val="20"/>
                <w:szCs w:val="20"/>
                <w:color w:val="auto"/>
              </w:rPr>
            </w:pPr>
            <w:r>
              <w:rPr>
                <w:rFonts w:ascii="Arial" w:cs="Arial" w:eastAsia="Arial" w:hAnsi="Arial"/>
                <w:sz w:val="18"/>
                <w:szCs w:val="18"/>
                <w:color w:val="auto"/>
              </w:rPr>
              <w:t>11.3%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increase in selling, general and administrative expenses for the quarter and nine months ended September 30, 2008, compared to the same periods of 2007, is due primarily to general increases across the businesses in support of volume, higher restructuring charges, and the adverse impact of foreign currency translation. Restructuring costs as a component of selling, general and administrative expenses increased $20 million and $86 million for the third quarter and first nine months of the year, respectively, when compared to the same periods of 2007.</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6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Quarter Ended</w:t>
            </w: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8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7"/>
              </w:rPr>
              <w:t>September 30,</w:t>
            </w: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240" w:type="dxa"/>
            <w:vAlign w:val="bottom"/>
            <w:gridSpan w:val="3"/>
            <w:vMerge w:val="continue"/>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44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Interest expense</w:t>
            </w:r>
          </w:p>
        </w:tc>
        <w:tc>
          <w:tcPr>
            <w:tcW w:w="68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$179</w:t>
            </w:r>
          </w:p>
        </w:tc>
        <w:tc>
          <w:tcPr>
            <w:tcW w:w="4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$ 518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Average interest rate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6.3%</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540" w:firstLine="456"/>
        <w:spacing w:after="0" w:line="298" w:lineRule="auto"/>
        <w:rPr>
          <w:sz w:val="20"/>
          <w:szCs w:val="20"/>
          <w:color w:val="auto"/>
        </w:rPr>
      </w:pPr>
      <w:r>
        <w:rPr>
          <w:rFonts w:ascii="Arial" w:cs="Arial" w:eastAsia="Arial" w:hAnsi="Arial"/>
          <w:sz w:val="16"/>
          <w:szCs w:val="16"/>
          <w:color w:val="auto"/>
        </w:rPr>
        <w:t>Interest expense for the nine months ended September 30, 2008, as compared to the same periods in 2007, has increased primarily as a result of the issuances of $1.0 billion of long-term debt in December 2007 bearing interest at 5.375% and $1.0 billion of long-term debt in May 2008 bearing interest at 6.125%. The overall average interest rate declined as these debt issuances were at interest rates lower than the existing debt levels. While full year interest expense has increased, the expense in the third quarter of 2008 benefited from lower charges on the deferred compensation plan.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6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0"/>
              </w:rPr>
              <w:t>Quarter Ended</w:t>
            </w:r>
          </w:p>
        </w:tc>
        <w:tc>
          <w:tcPr>
            <w:tcW w:w="156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8260" w:type="dxa"/>
            <w:vAlign w:val="bottom"/>
          </w:tcPr>
          <w:p>
            <w:pPr>
              <w:spacing w:after="0"/>
              <w:rPr>
                <w:sz w:val="14"/>
                <w:szCs w:val="14"/>
                <w:color w:val="auto"/>
              </w:rPr>
            </w:pPr>
          </w:p>
        </w:tc>
        <w:tc>
          <w:tcPr>
            <w:tcW w:w="16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September 30,</w:t>
            </w: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260" w:type="dxa"/>
            <w:vAlign w:val="bottom"/>
          </w:tcPr>
          <w:p>
            <w:pPr>
              <w:spacing w:after="0"/>
              <w:rPr>
                <w:sz w:val="12"/>
                <w:szCs w:val="12"/>
                <w:color w:val="auto"/>
              </w:rPr>
            </w:pPr>
          </w:p>
        </w:tc>
        <w:tc>
          <w:tcPr>
            <w:tcW w:w="3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2008</w:t>
            </w: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2007</w:t>
            </w:r>
          </w:p>
        </w:tc>
        <w:tc>
          <w:tcPr>
            <w:tcW w:w="4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26.8%</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25.4%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effective tax rate for the third quarter of 2008 increased, as compared to the third quarter of 2007, due to the absence of discrete items which favorably impacted the third quarter of 2007. The effective tax rate for the third quarter of 2007 was favorably impacted by approximately $50 million relating to a re-evaluation of our liabilities and contingencies based on global examination activity in the quarter, including completion of our review of the 2000 to 2003 IRS audit report and our protest filing and the development of claims for research and development credits, net of charges associated with tax law changes enacted in the quarter. As a result of international transactions now contemplated, our full year forecasted effective tax rate decreased from 28.5% to 28%, excluding discrete items, which favorably impacted the effective tax rate for the third quarter of 2008.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effective tax rate for the nine months ended September 30, 2008 decreased as compared to the same period of 2007 due to the absence of certain 2007 discrete items which had a net adverse impact in 2007. The net benefit to the effective tax rate in the third quarter of 2007 as noted above, was more than offset by the adverse impact of the EU Fine and the sale of land and marketable securities in the first quarter of 2007.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4"/>
              </w:rPr>
              <w:t>Quarter Ended</w:t>
            </w:r>
          </w:p>
        </w:tc>
        <w:tc>
          <w:tcPr>
            <w:tcW w:w="200" w:type="dxa"/>
            <w:vAlign w:val="bottom"/>
          </w:tcPr>
          <w:p>
            <w:pPr>
              <w:spacing w:after="0"/>
              <w:rPr>
                <w:sz w:val="14"/>
                <w:szCs w:val="14"/>
                <w:color w:val="auto"/>
              </w:rPr>
            </w:pPr>
          </w:p>
        </w:tc>
        <w:tc>
          <w:tcPr>
            <w:tcW w:w="13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8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00" w:type="dxa"/>
            <w:vAlign w:val="bottom"/>
          </w:tcPr>
          <w:p>
            <w:pPr>
              <w:spacing w:after="0"/>
              <w:rPr>
                <w:sz w:val="14"/>
                <w:szCs w:val="14"/>
                <w:color w:val="auto"/>
              </w:rPr>
            </w:pPr>
          </w:p>
        </w:tc>
        <w:tc>
          <w:tcPr>
            <w:tcW w:w="112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86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3,544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Foreign currency translation had a positive impact on earnings per share in the third quarter of 2008 of $.03 per share compared to $.02 per share in the same period of 2007, while restructuring charges resulted in an adverse impact of $.06 per share and $.03 per share in the third quarter 2008 and 2007, respectively. In the third quarter, diluted earnings per share included a favorable impact of $.03 per share related to a gain at Pratt &amp; Whitney on the sale of a partial investment. As previously disclosed, the diluted earnings per share for the first nine months of 2007 included the EU Fine, net of previously established reserves against the fine, and incremental restructuring charges, partially offset by gains on the sale of land and marketable securities, and the favorable impact of a contract termination at Pratt &amp; Whitney, resulting in a $.07 per share adverse impact on diluted earnings. In the first nine months of 2007, net income was further reduced by an increase in minority interest which included $27 million for the minority partner’s share of the gain from the previously noted sale of land. Diluted earnings per share was favorably impacted by shares repurchased since October 1, 2007 through our share repurchase program by approximately $.04 and $.09 per share for the third quarter and nine months of 2008,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Costs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first nine months of 2008, we recorded net pre-tax restructuring and related charges in our business segments totaling $221 million for new and ongoing restructuring actions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Otis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9220" w:type="dxa"/>
            <w:vAlign w:val="bottom"/>
            <w:gridSpan w:val="2"/>
          </w:tcPr>
          <w:p>
            <w:pPr>
              <w:spacing w:after="0"/>
              <w:rPr>
                <w:sz w:val="20"/>
                <w:szCs w:val="20"/>
                <w:color w:val="auto"/>
              </w:rPr>
            </w:pPr>
            <w:r>
              <w:rPr>
                <w:rFonts w:ascii="Arial" w:cs="Arial" w:eastAsia="Arial" w:hAnsi="Arial"/>
                <w:sz w:val="18"/>
                <w:szCs w:val="18"/>
                <w:color w:val="auto"/>
              </w:rPr>
              <w:t>Totals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221</w:t>
            </w:r>
          </w:p>
        </w:tc>
      </w:tr>
      <w:tr>
        <w:trPr>
          <w:trHeight w:val="20"/>
        </w:trPr>
        <w:tc>
          <w:tcPr>
            <w:tcW w:w="13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net charges included $97 million in cost of sales, $120 million in selling, general and administrative expenses and $4 million in other income and, as described below, relate to actions initiated during 2008 and 2007 and trailing costs related to certain 2006 actions.</w:t>
      </w:r>
    </w:p>
    <w:p>
      <w:pPr>
        <w:spacing w:after="0" w:line="12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2008 Actions. </w:t>
      </w:r>
      <w:r>
        <w:rPr>
          <w:rFonts w:ascii="Arial" w:cs="Arial" w:eastAsia="Arial" w:hAnsi="Arial"/>
          <w:sz w:val="16"/>
          <w:szCs w:val="16"/>
          <w:color w:val="auto"/>
        </w:rPr>
        <w:t>During the first nine months of 2008, we initiated restructuring actions relating to ongoing cost reduction efforts, including selling,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and administrative reductions, principally at Carrier, Pratt &amp; Whitney and UTC Fire &amp; Security, and the consolidation of manufacturing facilities. We recorded net pre-tax restructuring and related charges in the business segments totaling $198 million as follows: Otis $11 million, Carrier $93 million, UTC Fire &amp; Security $30 million, Pratt &amp; Whitney $63 million and Hamilton Sundstrand $1 million. The charges included $73 million in cost of sales, $121 million in selling, general and administrative expenses and $4 million in other income. Those costs included $183 million for severance and related employee termination costs, $7 million for asset write-downs and $8 million for facility exit and lease termination costs.</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expect the 2008 actions to result in net workforce reductions of approximately 3,700 hourly and salaried employees, the exiting of approximately 1,100,000 net square feet of facilities and the disposal of assets associated with the exited facilities. As of September 30, 2008, we have completed net workforce reductions of approximately 2,400 employees. We are targeting the majority of the remaining workforce and all facility related cost reduction actions for completion during 2008 and 2009. Approximately 80% of the total pre-tax charge will require cash payments, which we will fund with cash generated from operations. During the first nine months of 2008, we had cash outflows of approximately $67 million related to the 2008 actions. We expect to incur additional restructuring and related charges of $62 million to complete these actions. We expect recurring pre-tax savings to increase over the two-year period subsequent to initiating the actions to approximately $260 million annually.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color w:val="auto"/>
        </w:rPr>
        <w:t xml:space="preserve">2007 Actions. </w:t>
      </w:r>
      <w:r>
        <w:rPr>
          <w:rFonts w:ascii="Arial" w:cs="Arial" w:eastAsia="Arial" w:hAnsi="Arial"/>
          <w:sz w:val="16"/>
          <w:szCs w:val="16"/>
          <w:color w:val="auto"/>
        </w:rPr>
        <w:t>During the first nine months of 2008, we recorded net pre-tax restructuring and related charges to cost of sales in the business segments</w:t>
      </w:r>
      <w:r>
        <w:rPr>
          <w:rFonts w:ascii="Arial" w:cs="Arial" w:eastAsia="Arial" w:hAnsi="Arial"/>
          <w:sz w:val="16"/>
          <w:szCs w:val="16"/>
          <w:b w:val="1"/>
          <w:bCs w:val="1"/>
          <w:color w:val="auto"/>
        </w:rPr>
        <w:t xml:space="preserve"> </w:t>
      </w:r>
      <w:r>
        <w:rPr>
          <w:rFonts w:ascii="Arial" w:cs="Arial" w:eastAsia="Arial" w:hAnsi="Arial"/>
          <w:sz w:val="16"/>
          <w:szCs w:val="16"/>
          <w:color w:val="auto"/>
        </w:rPr>
        <w:t>totaling $6 million for restructuring actions initiated in 2007. The 2007 actions relate to ongoing cost reduction efforts, including workforce reductions and the consolidation of manufacturing facilities. We recorded the charges (reversals) for the first nine months of 2008 in our segments as follows: Carrier $(1) million, UTC Fire &amp; Security $3 million, Pratt &amp; Whitney $2 million and Hamilton Sundstrand $2 million.</w:t>
      </w:r>
    </w:p>
    <w:p>
      <w:pPr>
        <w:spacing w:after="0" w:line="10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expect the 2007 actions to result in net workforce reductions of approximately 1,900 hourly and salaried employees, the exiting of approximately 900,000 net square feet of facilities and the disposal of assets associated with the exited facilities. As of September 30, 2008, we have completed net workforce reductions of approximately 1,600 employees and exited 200,000 net square feet of facilities. We are targeting the majority of the remaining workforce and facility related cost reduction actions for completion during 2009. Approximately 70% of the total pre-tax charge will require cash payments, which we will fund with cash generated from operations. During the first nine months of 2008, we had cash outflows of approximately $36 million related to the 2007 actions. We expect to incur additional restructuring and related charges of $28 million to complete these actions. We expect recurring pre-tax savings to increase over the two-year period subsequent to initiating the actions to approximately $110 million annually.</w:t>
      </w:r>
    </w:p>
    <w:p>
      <w:pPr>
        <w:spacing w:after="0" w:line="112"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2006 Actions. </w:t>
      </w:r>
      <w:r>
        <w:rPr>
          <w:rFonts w:ascii="Arial" w:cs="Arial" w:eastAsia="Arial" w:hAnsi="Arial"/>
          <w:sz w:val="16"/>
          <w:szCs w:val="16"/>
          <w:color w:val="auto"/>
        </w:rPr>
        <w:t>During the first nine months of 2008, we recorded net pre-tax restructuring and related charges of $17 million for actions initiated in 2006.</w:t>
      </w:r>
      <w:r>
        <w:rPr>
          <w:rFonts w:ascii="Arial" w:cs="Arial" w:eastAsia="Arial" w:hAnsi="Arial"/>
          <w:sz w:val="16"/>
          <w:szCs w:val="16"/>
          <w:b w:val="1"/>
          <w:bCs w:val="1"/>
          <w:color w:val="auto"/>
        </w:rPr>
        <w:t xml:space="preserve"> </w:t>
      </w:r>
      <w:r>
        <w:rPr>
          <w:rFonts w:ascii="Arial" w:cs="Arial" w:eastAsia="Arial" w:hAnsi="Arial"/>
          <w:sz w:val="16"/>
          <w:szCs w:val="16"/>
          <w:color w:val="auto"/>
        </w:rPr>
        <w:t>The 2006 actions relate to ongoing cost reduction efforts, selling, general and administrative reductions, workforce reductions and the consolidation of manufacturing facilities. The charges recorded in the first nine months of 2008 pertain to facility exit and lease termination costs, which include $18 million of charges recorded to cost of sales at Pratt &amp; Whitney, and $1 million of reversals recorded to selling, general and administrative expenses at Carrier.</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the 2006 actions to result in the exiting of approximately 800,000 net square feet of facilities and the disposal of assets associated with the exited facilities. As of September 30, 2008, we have completed all net workforce reductions of approximately 3,700 hourly and salaried employees and exited 500,000 net square feet of facilities. We are targeting the remaining facility related actions for completion during 2008. Approximately 90% of the total pre-tax charge will require cash payments, which we will fund with cash generated from operations. We expect pre-tax cash outflows on these programs to be approximately $235 million, of which $233 million has been funded to date. We expect recurring pre-tax savings to increase over the two-year period subsequent to initiating the actions to approximately $140 million annually.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2008 Actions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expect to initiate additional restructuring actions during the remainder of 2008 due to our continuing cost reduction efforts. Including trailing costs from previously announced restructuring actions, the full year 2008 restructuring costs are expected to be about $300 million; however, no specific plans for significant other actions have been finalized at this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and nine months ended September 30, 2008 and 2007 are included in “Eliminations and other,” which also includes certain small subsidiaries.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September 30, 2008 and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4"/>
                <w:szCs w:val="14"/>
                <w:color w:val="auto"/>
              </w:rPr>
            </w:pPr>
          </w:p>
        </w:tc>
        <w:tc>
          <w:tcPr>
            <w:tcW w:w="14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9"/>
              </w:rPr>
              <w:t>Operating Profits</w:t>
            </w:r>
          </w:p>
        </w:tc>
        <w:tc>
          <w:tcPr>
            <w:tcW w:w="17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Operating Profit Margin</w:t>
            </w: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260" w:type="dxa"/>
            <w:vAlign w:val="bottom"/>
          </w:tcPr>
          <w:p>
            <w:pPr>
              <w:spacing w:after="0"/>
              <w:rPr>
                <w:sz w:val="12"/>
                <w:szCs w:val="12"/>
                <w:color w:val="auto"/>
              </w:rPr>
            </w:pPr>
          </w:p>
        </w:tc>
        <w:tc>
          <w:tcPr>
            <w:tcW w:w="5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4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420</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3,150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503</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segment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1,961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gridSpan w:val="3"/>
            <w:vMerge w:val="continue"/>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14,814</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13,863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2,049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1,888</w:t>
            </w:r>
          </w:p>
        </w:tc>
        <w:tc>
          <w:tcPr>
            <w:tcW w:w="2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80" w:type="dxa"/>
            <w:vAlign w:val="bottom"/>
            <w:vMerge w:val="restart"/>
          </w:tcPr>
          <w:p>
            <w:pPr>
              <w:jc w:val="right"/>
              <w:ind w:right="572"/>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Third quarter 2008 and 2007 restructuring and related charges included in consolidated operating profit totaled $93 million and $43 million, respectively,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61"/>
        </w:trPr>
        <w:tc>
          <w:tcPr>
            <w:tcW w:w="9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2008</w:t>
            </w:r>
          </w:p>
        </w:tc>
        <w:tc>
          <w:tcPr>
            <w:tcW w:w="40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7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3"/>
          </w:tcPr>
          <w:p>
            <w:pPr>
              <w:spacing w:after="0"/>
              <w:rPr>
                <w:sz w:val="20"/>
                <w:szCs w:val="20"/>
                <w:color w:val="auto"/>
              </w:rPr>
            </w:pPr>
            <w:r>
              <w:rPr>
                <w:rFonts w:ascii="Arial" w:cs="Arial" w:eastAsia="Arial" w:hAnsi="Arial"/>
                <w:sz w:val="18"/>
                <w:szCs w:val="18"/>
                <w:color w:val="auto"/>
              </w:rPr>
              <w:t>Totals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nine months ended September 30, 2008 and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16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Revenues</w:t>
            </w:r>
          </w:p>
        </w:tc>
        <w:tc>
          <w:tcPr>
            <w:tcW w:w="15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7"/>
              </w:rPr>
              <w:t>Operating Profits</w:t>
            </w:r>
          </w:p>
        </w:tc>
        <w:tc>
          <w:tcPr>
            <w:tcW w:w="17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Operating Profit Margin</w:t>
            </w:r>
          </w:p>
        </w:tc>
        <w:tc>
          <w:tcPr>
            <w:tcW w:w="0" w:type="dxa"/>
            <w:vAlign w:val="bottom"/>
          </w:tcPr>
          <w:p>
            <w:pPr>
              <w:spacing w:after="0"/>
              <w:rPr>
                <w:sz w:val="1"/>
                <w:szCs w:val="1"/>
                <w:color w:val="auto"/>
              </w:rPr>
            </w:pPr>
          </w:p>
        </w:tc>
      </w:tr>
      <w:tr>
        <w:trPr>
          <w:trHeight w:val="142"/>
        </w:trPr>
        <w:tc>
          <w:tcPr>
            <w:tcW w:w="64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5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11,682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10,923</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1,156</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1,122</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9,649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8,911</w:t>
            </w:r>
          </w:p>
        </w:tc>
        <w:tc>
          <w:tcPr>
            <w:tcW w:w="500" w:type="dxa"/>
            <w:vAlign w:val="bottom"/>
          </w:tcPr>
          <w:p>
            <w:pPr>
              <w:jc w:val="right"/>
              <w:spacing w:after="0"/>
              <w:rPr>
                <w:sz w:val="20"/>
                <w:szCs w:val="20"/>
                <w:color w:val="auto"/>
              </w:rPr>
            </w:pPr>
            <w:r>
              <w:rPr>
                <w:rFonts w:ascii="Arial" w:cs="Arial" w:eastAsia="Arial" w:hAnsi="Arial"/>
                <w:sz w:val="18"/>
                <w:szCs w:val="18"/>
                <w:color w:val="auto"/>
              </w:rPr>
              <w:t>1,602</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1,515</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3,511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44,408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40,077</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44,182</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40,045</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5,822</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5,257</w:t>
            </w:r>
          </w:p>
        </w:tc>
        <w:tc>
          <w:tcPr>
            <w:tcW w:w="2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the first nine months of 2008 and 2007, restructuring and related charges/(credits) included in consolidated operating profit totaled $221 million and $103 million, respectively,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8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14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9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Otis - </w:t>
      </w:r>
      <w:r>
        <w:rPr>
          <w:rFonts w:ascii="Arial" w:cs="Arial" w:eastAsia="Arial" w:hAnsi="Arial"/>
          <w:sz w:val="18"/>
          <w:szCs w:val="18"/>
          <w:color w:val="auto"/>
        </w:rPr>
        <w:t>Revenues increased $309 million (11%) in the third quarter of 2008 compared with the same period of 2007 reflecting organic growth (5%)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favorable impact of foreign currency translation (6%). For the first nine months of 2008, revenues increased $1,184 million (14%) compared with the same period of 2007 reflecting organic growth (7%) and the favorable impact of foreign currency translation (8%), partially offset by the absence of the $84 million gain on the sale of land (1%) recorded in the first quarter of 2007. Revenue growth in both the third quarter and the first nine months of 2008 reflects the strong new equipment backlog entering the year as well as higher modernization and repair sales in Europe, which benefited from changes to elevator safety laws in France and Spain.</w:t>
      </w:r>
    </w:p>
    <w:p>
      <w:pPr>
        <w:spacing w:after="0" w:line="14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Operating profits increased $81 million (14%) in the third quarter of 2008 compared with the same period of 2007. The increase reflects higher volumes and better field installation efficiencies as partially offset by higher commodity and labor costs (net combined 7%), and the favorable impact of foreign currency translation (7%). In the first nine months of 2008, operating profits increased $226 million (14%) compared with the same period of 2007. The increase reflects higher volumes and product cost reductions, partially offset by higher commodity and labor costs (net combined 10%), and the favorable impact of foreign currency translation (9%). These improvements were further offset by the absence of the $84 million gain on the sale of land (5%) recorded in the first quarter of 2007.</w:t>
      </w:r>
    </w:p>
    <w:p>
      <w:pPr>
        <w:spacing w:after="0" w:line="13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color w:val="auto"/>
        </w:rPr>
        <w:t xml:space="preserve">Carrier </w:t>
      </w:r>
      <w:r>
        <w:rPr>
          <w:rFonts w:ascii="Arial" w:cs="Arial" w:eastAsia="Arial" w:hAnsi="Arial"/>
          <w:sz w:val="18"/>
          <w:szCs w:val="18"/>
          <w:color w:val="auto"/>
        </w:rPr>
        <w:t>- Revenues increased $179 million (5%) in the third quarter of 2008 compared with the same period of 2007. Revenue growth reflects the favorable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foreign currency translation (3%) and the net impact of recent acquisitions (1%). Volume increases in the Building Systems and Services and Residential and Light Commercial Systems North America businesses were partially offset by a decline in the commercial refrigeration and international residential businesses in Europe due to weak economic and market conditions, to contribute the remaining growth. For the first nine months of 2008, revenues increased $759 million (7%) compared</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with the same period in 2007. Revenue growth reflects the favorable impact of foreign currency translation (5%) and the net impact of recent acquisitions (1%). The remaining revenue growth (1%) was primarily at Building Systems and Services partially offset by a decline in the commercial refrigeration businesses in Europe due to the weak economic and market conditions.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Operating profits were essentially flat in the third quarter of 2008 compared with the same period of 2007. The favorable impact of foreign currency translation (5%) and net benefit from recent acquisitions (1%) was offset by higher restructuring costs (5%) and higher commodity costs, net of pricing (5%). Continued strength in the Building Systems and Services businesses comprised the remaining year over year change in operating profits in the quarter. For the first nine months of 2008, operating profits increased $34 million (3%) compared with the same period of 2007. Higher restructuring (6%) and commodity costs, net of pricing (4%), were partially offset by the favorable impact of foreign currency translation (6%) and the net benefit from recent acquisitions (1%). Growth in Building Systems and Services, product cost reductions and benefits from prior restructuring actions were partially offset by lower earnings in the Refrigeration business to contribute a net 6%.</w:t>
      </w:r>
    </w:p>
    <w:p>
      <w:pPr>
        <w:spacing w:after="0" w:line="14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UTC Fire &amp; Security - </w:t>
      </w:r>
      <w:r>
        <w:rPr>
          <w:rFonts w:ascii="Arial" w:cs="Arial" w:eastAsia="Arial" w:hAnsi="Arial"/>
          <w:sz w:val="16"/>
          <w:szCs w:val="16"/>
          <w:color w:val="auto"/>
        </w:rPr>
        <w:t>Revenues increased $153 million (10%) in the third quarter of 2008 compared with the same period of 2007, reflecting organic growth of</w:t>
      </w:r>
      <w:r>
        <w:rPr>
          <w:rFonts w:ascii="Arial" w:cs="Arial" w:eastAsia="Arial" w:hAnsi="Arial"/>
          <w:sz w:val="16"/>
          <w:szCs w:val="16"/>
          <w:b w:val="1"/>
          <w:bCs w:val="1"/>
          <w:color w:val="auto"/>
        </w:rPr>
        <w:t xml:space="preserve"> </w:t>
      </w:r>
      <w:r>
        <w:rPr>
          <w:rFonts w:ascii="Arial" w:cs="Arial" w:eastAsia="Arial" w:hAnsi="Arial"/>
          <w:sz w:val="16"/>
          <w:szCs w:val="16"/>
          <w:color w:val="auto"/>
        </w:rPr>
        <w:t>5%, the favorable impact from foreign currency translation (2%) and the impact of recent acquisitions (7%) partially offset by the impact of the Australian manned guarding divestiture (4%). Organic revenue growth was generated principally in the North American and European Fire Safety businesses (4%). For the first nine months of 2008, revenues increased $894 million (22%) compared with the same period of 2007, principally due to net acquisitions (13%) and the favorable impact from foreign currency translation (6%). Organic revenue growth of 3% in the first nine months of the year was primarily contributed by the North American and European Fire Safety businesses (2%) due to strength in the oil &amp; gas and marine industries.</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Operating profits increased $35 million (29%) in the third quarter of 2008 compared with the same period of 2007. This improvement is principally due to increased sales and the benefits of net cost reductions from previous restructuring and integration actions (combined 18%), net acquisitions (8%) and lower restructuring costs (2%). For the first nine months of 2008, operating profits increased $89 million (29%) compared with the same period of 2007. This improvement was principally due to increased sales and benefits of net cost reductions from previous restructuring and integration actions (combined 19%) and net acquisitions (13%). The adverse impact of higher restructuring costs (8%) was partially offset by the favorable impact of foreign currency translation (5%) to generate the remainder of the year over year increase in operating profits.</w:t>
      </w:r>
    </w:p>
    <w:p>
      <w:pPr>
        <w:spacing w:after="0" w:line="11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Pratt &amp; Whitney </w:t>
      </w:r>
      <w:r>
        <w:rPr>
          <w:rFonts w:ascii="Arial" w:cs="Arial" w:eastAsia="Arial" w:hAnsi="Arial"/>
          <w:sz w:val="18"/>
          <w:szCs w:val="18"/>
          <w:color w:val="auto"/>
        </w:rPr>
        <w:t>- Revenues increased $114 million (4%) in the third quarter of 2008 compared with the same period of 2007. This increase is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volume growth at Pratt &amp; Whitney Canada (4%), partially offset by lower development revenues and military engine deliveries (3%). The remaining increase is primarily attributable to a gain on the sale of a partial investment (1%) and volume growth at Pratt &amp; Whitney Rocketdyne (1%). Increased commercial engine revenues were offset by lower commercial spares and aftermarket activity. For the first nine months of 2008, revenues increased $738 million (8%) compared with the same period in 2007. The nine month revenue growth is primarily attributable to volume growth at Pratt &amp; Whitney Canada (6%) and increased volume at Pratt &amp; Whitney Power Systems (1%).</w:t>
      </w:r>
    </w:p>
    <w:p>
      <w:pPr>
        <w:spacing w:after="0" w:line="145"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Operating profits increased $27 million (5%) in the third quarter of 2008 compared with the same period of 2007. This increase is primarily attributable to profit contributions from higher volumes at Pratt &amp; Whitney Canada (8%), a gain realized on the sale of a partial investment (7%), the favorable resolution of a legal dispute (4%), profit contributions from volume growth at Pratt &amp; Whitney Rocketdyne (2%) and the impact of lower year over year commodity costs (1%). These increases were partially offset by higher year over year restructuring costs (8%), lower commercial spares and aftermarket activity (5%) and by the overall impact of the continued weakness of the U.S. dollar (4%) as the majority of Pratt &amp; Whitney Canada’s revenues are denominated in U.S. dollars while a significant portion of its costs are incurred in local currencies. For the first nine months of 2008, operating profits increased $87 million (6%) compared with the same period in 2007. The increase is primarily attributable to the profit contributions from higher volumes at Pratt &amp; Whitney Canada (8%), favorable aftermarket performance and improved engine mix in military markets (6%), and a gain on the sale of a partial investment (2%). The profit contributions were partially offset by the absence of the favorable impact of a contract termination in 2007 (4%), higher year over year restructuring costs (3%) and the continued weakness of the U.S. dollar (4%).</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Hamilton Sundstrand </w:t>
      </w:r>
      <w:r>
        <w:rPr>
          <w:rFonts w:ascii="Arial" w:cs="Arial" w:eastAsia="Arial" w:hAnsi="Arial"/>
          <w:sz w:val="16"/>
          <w:szCs w:val="16"/>
          <w:color w:val="auto"/>
        </w:rPr>
        <w:t>- Revenues increased $105 million (7%) in the third quarter of 2008 compared with the same period of 2007, principally due to organic</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volume growth across the aerospace (6%) and industrial (1%) businesses and the favorable impact of foreign currency translation (2%) offset by the net impact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divestiture (2%). Within aerospace, both OEM (4%) and aftermarket (2%) contributed to the increase. For the first nine months of 2008, revenues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$499 million (12%) compared with the same period of 2007, principally due to organic volume growth in both the aerospace (8%) and industrial (2%) businesses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favorable impact of foreign currency translation (2%). Within aerospace, both OEM (5%) and aftermarket (3%) contributed to the increase.</w:t>
      </w:r>
    </w:p>
    <w:p>
      <w:pPr>
        <w:spacing w:after="0" w:line="18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Hamilton Sundstrand’s operating profits increased $37 million (15%) in the third quarter of 2008 compared with the same period of 2007, principally due to volume growth in the aerospace (11%) and industrial (3%) businesses and the favorable impact of currency translation (2%). Operating profit margin as a percentage of revenue for the quarter reflects the favorable impact of several contract related negotiations. For the first nine months of 2008, operating profit increased $82 million (12%) compared with the same period in 2007, principally due to volume growth in the aerospace (6%) and industrial (2%) businesses as well as the favorable impact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of foreign currency translation (2%) and lower year over year restructuring costs (2%). Operating profit margin as a percentage of revenue for the nine months ended September 30, 2008 reflects the adverse mix within aerospace OEM, partially offset by the favorable impact of several contract related negotiations.</w:t>
      </w:r>
    </w:p>
    <w:p>
      <w:pPr>
        <w:spacing w:after="0" w:line="5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 xml:space="preserve">Sikorsky </w:t>
      </w:r>
      <w:r>
        <w:rPr>
          <w:rFonts w:ascii="Arial" w:cs="Arial" w:eastAsia="Arial" w:hAnsi="Arial"/>
          <w:sz w:val="18"/>
          <w:szCs w:val="18"/>
          <w:color w:val="auto"/>
        </w:rPr>
        <w:t>- Revenues increased $131 million (10%) in the third quarter of 2008 compared with the same period of 2007. The increase was driven by higher</w:t>
      </w:r>
      <w:r>
        <w:rPr>
          <w:rFonts w:ascii="Arial" w:cs="Arial" w:eastAsia="Arial" w:hAnsi="Arial"/>
          <w:sz w:val="18"/>
          <w:szCs w:val="18"/>
          <w:b w:val="1"/>
          <w:bCs w:val="1"/>
          <w:color w:val="auto"/>
        </w:rPr>
        <w:t xml:space="preserve"> </w:t>
      </w:r>
      <w:r>
        <w:rPr>
          <w:rFonts w:ascii="Arial" w:cs="Arial" w:eastAsia="Arial" w:hAnsi="Arial"/>
          <w:sz w:val="18"/>
          <w:szCs w:val="18"/>
          <w:color w:val="auto"/>
        </w:rPr>
        <w:t>volume of large aircraft shipments and favorable aircraft mix (combined 20%) compared to the prior year. This increase was partially offset by lower customer funded development revenues (11%). For the first nine months of 2008, revenues increased $257 million (7%) compared with the same period of 2007. As with the third quarter, the nine month revenue increase was driven by higher volume of military aircraft deliveries and favorable aircraft mix for military and commercial programs.</w:t>
      </w:r>
    </w:p>
    <w:p>
      <w:pPr>
        <w:spacing w:after="0" w:line="145"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Operating profits increased $30 million (29%) in the third quarter of 2008 compared to the same period of 2007. This improvement was primarily attributable to increased military aircraft deliveries and a favorable aircraft mix for military and commercial programs (combined 50%). These improvements were partially offset by incremental investments in selling, general, and administrative expenses (9%) and research and development (12%). For the first nine months of 2008, operating profits increased $63 million (24%) compared to the same period of 2007 on 7% higher revenue growth. Similar to the third quarter, this improvement was primarily attributable to increased military aircraft deliveries and favorable aircraft mix for both military and commercial programs (combined 40%). These improvements were partially offset by incremental investments in selling, general, and administrative expenses (10%) and research and development (7%).</w:t>
      </w:r>
    </w:p>
    <w:p>
      <w:pPr>
        <w:spacing w:after="0" w:line="1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Eliminations and other </w:t>
      </w:r>
      <w:r>
        <w:rPr>
          <w:rFonts w:ascii="Arial" w:cs="Arial" w:eastAsia="Arial" w:hAnsi="Arial"/>
          <w:sz w:val="18"/>
          <w:szCs w:val="18"/>
          <w:color w:val="auto"/>
        </w:rPr>
        <w:t>– The decrease in revenue for the third quarter of 2008 as compared with the same period of 2007 is primarily attributable to the absence</w:t>
      </w:r>
      <w:r>
        <w:rPr>
          <w:rFonts w:ascii="Arial" w:cs="Arial" w:eastAsia="Arial" w:hAnsi="Arial"/>
          <w:sz w:val="18"/>
          <w:szCs w:val="18"/>
          <w:b w:val="1"/>
          <w:bCs w:val="1"/>
          <w:color w:val="auto"/>
        </w:rPr>
        <w:t xml:space="preserve"> </w:t>
      </w:r>
      <w:r>
        <w:rPr>
          <w:rFonts w:ascii="Arial" w:cs="Arial" w:eastAsia="Arial" w:hAnsi="Arial"/>
          <w:sz w:val="18"/>
          <w:szCs w:val="18"/>
          <w:color w:val="auto"/>
        </w:rPr>
        <w:t>of approximately $28 million of pretax interest income recorded in the third quarter of 2007 related to the completion of an IRS examination for tax years 2000 through 2003, and increased hedging costs on our cash management activities. The decrease in revenue for the nine months ended September 30, 2008, as compared with the same period of 2007, is primarily attributable to the absence of gains of approximately $150 million from the sale of marketable securities reported in 2007, approximately $28 million of pretax interest income, as noted above, and increased hedging costs on our cash management activities for the current year.</w:t>
      </w:r>
    </w:p>
    <w:p>
      <w:pPr>
        <w:spacing w:after="0" w:line="14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Similar to the year over year third quarter revenue decrease, the change in operating profit is primarily attributable to the absence of approximately $28 million of pretax interest income recorded in the third quarter of 2007 and increased hedging costs on our cash management activities. The increase in operating profits for the nine months ended September 30, 2008, as compared with the same period in 2007, is primarily attributable to the absence of the previously disclosed EU Fine of $216 million (net of previously established reserves) partially offset by gains from the sale of marketable securities, the absence of $28 million of pretax interest income and higher hedging costs on our cash management activities, as noted above.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72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3,615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2,904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10,372</w:t>
            </w:r>
          </w:p>
        </w:tc>
        <w:tc>
          <w:tcPr>
            <w:tcW w:w="16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9,148</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6,757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6,244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Shareowners’ equity</w:t>
            </w: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21,083</w:t>
            </w:r>
          </w:p>
        </w:tc>
        <w:tc>
          <w:tcPr>
            <w:tcW w:w="16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21,355</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20,278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31,455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30,503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27,840</w:t>
            </w:r>
          </w:p>
        </w:tc>
        <w:tc>
          <w:tcPr>
            <w:tcW w:w="16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27,599</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total capitalization</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p>
        </w:tc>
        <w:tc>
          <w:tcPr>
            <w:tcW w:w="180" w:type="dxa"/>
            <w:vAlign w:val="bottom"/>
          </w:tcPr>
          <w:p>
            <w:pPr>
              <w:spacing w:after="0"/>
              <w:rPr>
                <w:sz w:val="19"/>
                <w:szCs w:val="19"/>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 of liquidity is operating cash flows, which, after netting out capital expenditures, we target to equal or exceed net income for the full year.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Recent distress in the financial markets has had an adverse impact on financial market activities including, among other things, extreme volatility in security prices, severely diminished liquidity and credit availability, rating downgrades of certain investments and declining valuations of others. We have assessed the implications of these factors on our current business and determined that there has not been a significant impact to our financial position, results of operations or liquidity during the first nine months of 2008. Our pension plans have not experienced any significant impact on liquidity or counterparty exposure due to the volatility in the credit markets. As a result of losses experienced in global equity markets, our pension funds are likely to have a negative return for 2008, which in turn would create increased pension costs in 2009. Approximately 85% of our domestic pension plans are invested 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readily-liquid investments, including equity, fixed income, asset backed receivables and structured products. Less than 1% of these investments are senior tranches of several structured investment vehicles that have been absorbed onto the balance sheets of the sponsoring banks. The balance of our domestic pension plans (15%) is invested in less-liquid but market-valued investments, including real estate and private equity.</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ability to obtain debt financing at comparable risk-based interest rates is partly a function of our existing debt to capitalization levels as well as our current credit standing. Our credit ratings are reviewed regularly by major debt rating agencies such as Standard and Poor’s and Moody’s Investors Service. In 2008, Standard and Poor’s affirmed our long-term and short-term debt ratings as A and A-1, respectively. Similarly, Moody’s Investors Service also affirmed its corporate rating on our long-term and short-term debt as A2 and P-1, respectively. We have re-affirmed our current credit standings with the credit rating agencies, continue to have access to the commercial paper markets and our existing credit facilities, and expect to continue to generate strong operating cash flows. While the impact of continued market volatility cannot be predicted, we believe we have sufficient operating flexibility, cash reserves and funding sources to maintain adequate amounts of liquidity and to meet our future operating cash needs.</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Most of our cash is denominated in foreign currencies. We manage our worldwide cash requirements considering available funds among the many subsidiaries through which we conduct our business and the cost effectiveness with which those funds can be accessed. The repatriation of cash balances from certain of our subsidiaries could have adverse tax consequences; however, those balances are generally available without legal restrictions to fund ordinary business operations. We have transferred and will continue to transfer cash from those subsidiaries to UTC and to other international subsidiaries when it is cost effective to do so.</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debt to capitalization levels increased during the first nine months of 2008 as a result of the issuance of $1.0 billion of long-term debt in May 2008, the proceeds of which were used for general corporate purposes including repurchases of our stock. As noted above, our ability to obtain debt or equity financing, as well as the availability under committed credit lines, provides additional potential sources of liquidity should they be required.</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Cash Flow from Operating Activities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ind w:left="6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5680" w:type="dxa"/>
            <w:vAlign w:val="bottom"/>
            <w:gridSpan w:val="3"/>
            <w:vMerge w:val="continue"/>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66"/>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2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increase in cash flows provided by operating activities for the first nine months of 2008 as compared with the same period in 2007 is driven largely by the absence of the previously disclosed funding of the EU Fine (approximately $300 million) and the payment of Canadian taxes (approximately $200 million) in the first quarter of 2007. The increased contribution from net income in the first nine months of 2008 was partially offset by higher working capital cash requirements to generate the majority of the remaining increase. A reduction in the cash expended on inventories (approximately $540 million) was more than offset by a corresponding decline in accounts payable ($375 million) and accruals associated with lower customer advances (approximately $330 million).</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funded status of our pension plans is dependent upon many factors, including returns on invested assets and the level of market interest rates. We can contribute cash or company stock to our plans at our discretion. We have made approximately $60 million in cash contributions to our global defined benefit pension plans during the first nine months of 2008. We expect to make contributions of up to $250 million to our global defined benefit pension plans during 2008.</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u w:val="single" w:color="auto"/>
          <w:color w:val="auto"/>
        </w:rPr>
        <w:t>Cash Flow from Investing Activities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20" w:type="dxa"/>
            <w:vAlign w:val="bottom"/>
          </w:tcPr>
          <w:p>
            <w:pPr>
              <w:spacing w:after="0"/>
              <w:rPr>
                <w:sz w:val="14"/>
                <w:szCs w:val="14"/>
                <w:color w:val="auto"/>
              </w:rPr>
            </w:pPr>
          </w:p>
        </w:tc>
        <w:tc>
          <w:tcPr>
            <w:tcW w:w="22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81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decrease in the net use of cash flows from investing activities is largely a result of $1 billion less in acquisitions in the third quarter of 2008 as compared to the third quarter of 2007. Further, dispositions of businesses contributed $185 million during the third quarter of 2008. For the first nine months of 2008 as compared to 2007, net acquisitions were a decrease in the use of cash of approximately $1 billion. Cash investment in businesses in the first nine months of 2008 was $708 million and primarily consisted of a number of small purchases in both our commercial and aerospace businesses. We now expect total investments in businesses in 2008 to be approximately $1 billion, including acquisitions announced during the first nine months of 2008; however, actual acquisition spending may vary depending upon the timing, availability and appropriate value of acquisition opportunities. We have withdrawn our previously disclosed offer to acquire all of the outstanding shares of Diebold, Incorporated.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our customer financing activities of $75 million and an increase in our capital expenditures of $113 million were offset by other net financing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activities to provide a decrease in cash of $40 million for the first nine months of 2008 as compared to the same period in 2007. While we expect that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 financing activity will be a net use of funds, actual funding is subject to usage under existing customer financing commitments during the remainder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year. We may also arrange for third-party investors to assume a portion of our commitments. We had financing and rental commitments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$1,493 million and $1,370 million related to commercial aircraft at September 30, 2008 and December 31, 2007, respectively, of which as much as $324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required to be disbursed during 2008.</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u w:val="single" w:color="auto"/>
          <w:color w:val="auto"/>
        </w:rPr>
        <w:t>Cash Flow from Financing Activities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20" w:type="dxa"/>
            <w:vAlign w:val="bottom"/>
          </w:tcPr>
          <w:p>
            <w:pPr>
              <w:spacing w:after="0"/>
              <w:rPr>
                <w:sz w:val="14"/>
                <w:szCs w:val="14"/>
                <w:color w:val="auto"/>
              </w:rPr>
            </w:pPr>
          </w:p>
        </w:tc>
        <w:tc>
          <w:tcPr>
            <w:tcW w:w="22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81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(2,236)</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Commercial paper borrowings provide short-term liquidity to supplement operating cash flows and are used for general corporate purposes as well as the potential funding of certain acquisitions. We had $75 million of commercial paper outstanding at September 30, 2008, all of which was scheduled to mature within one month. At September 30, 2008, we had credit commitments from banks totaling $2.5 billion. We have a credit commitment of $1.5 billion under a revolving credit agreement that serves as a back-up facility for the issuance of commercial paper. As of September 30, 2008, there were no borrowings under this line of credit, which expires in October 2011. We also have a $1.0 billion multi-currency revolving credit agreement that is to be used for general corporate funding purposes, including acquisitions. As of September 30, 2008, approximately $754 million had been borrowed under this line of credit to fund corporate expenses and acquisitions. This credit agreement expires in November 2011. In May 2008, we issued $1.0 billion of long-term debt which was used for general corporate purposes including repurchases of our stock.</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repurchased approximately $2.5 billion of common stock in the first nine months of 2008 under a 60 million share repurchase program. On June 11, 2008, the Board of Directors authorized a new 60 million common share repurchase program that replaced the previous program, approved in December 2006, which was nearing completion. Share repurchase in the first nine months of 2008 represents approximately 37 million shares, which includes 19 million shares repurchased under the previous program and 18 million shares repurchased under the new program. At September 30, 2008, approximately 42 million shares remain available for repurchase under the new share repurchase program. We expect total share repurchases in 2008 of around $3 billion and expect the total number of outstanding shares to decrease during the remainder of the year. However, total repurchases may vary depending upon the level of other investing activities. The share repurchase program continues to be a significant use of our cash flows and, at a minimum, is expected to offset the dilutive effect of the issuance of stock and options under stock-based employee benefit programs. We paid dividends of $0.32 per share in the first quarter of 2008, totaling $293 million, $0.32 per share in the second quarter of 2008 totaling $290 million, and $0.32 per share in the third quarter of 2008 totaling $286 million. On October 8, 2008, the Board of Directors declared a dividend of $0.385 per common share payable on December 10, 2008.</w:t>
      </w:r>
    </w:p>
    <w:p>
      <w:pPr>
        <w:spacing w:after="0" w:line="12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July 2007, we filed a universal shelf registration statement with the SEC for an indeterminate amount of securities for future issuance, subject to our internal limitations on the amount of debt to be issued under this shelf registration statement.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our 2007 Form 10-K, we disclosed our off-balance sheet arrangements and contractual obligations. At September 30, 2008, there have been no material changes to these off-balance sheet arrangements outside the ordinary course of business.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There has been no significant change in our exposure to market risk during the first nine months of 2008. For discussion of our exposure to market risk, refer to Part II, Item 7A, “Quantitative and Qualitative Disclosures about Market Risk,” contained in our 2007 Form 10-K.</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required by Rule 13a-15 under the Securities Exchange Act of 1934, we carried out an evaluation under the supervision and with the participation of our management, including the President and Chief Executive Officer (CEO), the Senior Vice President and Chief Financial Officer (CFO), and the Vice President, Controller (Controller), of the effectiveness of the design and operation of our disclosure controls and procedures as of September 30, 2008.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September 30, 2008, our disclosure controls and procedures were effective to provide reasonable assurance that information required to be disclosed in the reports that we file or submit under the Securities Exchange Act of 1934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2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2008 that has materially affected, or is reasonably likely to materially affect, our internal control over financial reporting.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report on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“plans,” “strategy,” “prospects,” “estimate,” “project,” “target,” “anticipate,” “guidance” and other words of similar meaning in connection with a discussion of future operating or financial performance. These include, among others, statements relating to:</w:t>
      </w:r>
    </w:p>
    <w:p>
      <w:pPr>
        <w:spacing w:after="0" w:line="3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revenues, earnings, cash flow, uses of cash and other measures of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economic conditions in the United States and globally;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costs and savings;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and nature or impact of acquisition activity and integration into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production and support of advanced technologies and new products and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regions and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contingencies;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repurchases of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forward-looking statements involve risks and uncertainties that may cause actual results to differ materially from those expressed or implied in the forward-looking statements. This Quarterly Report on Form 10-Q includes important information as to factors that may cause actual results to vary materially from those stated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Continuing Operations,” and “Liquidity and Financial Condition” and the section titled “Risk Factors.”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2007 Annual Report also includes important information as to these risk factors in the “Business” section under the headings “Description of Business by Segment” and “Other Matters Relating to our Business as a Whole,” and in the “Risk Factors” and “Legal Proceedings” sections. Additional important information as to these factors is included in our 2007 Annual Report in the section titled “Management’s Discussion and Analysis of Financial Condition and Results of Operations” under the headings “Business Overview,” “Critical Accounting Estimates,” “Environmental Matters” and “Restructuring and Other Costs.” For additional information identifying factors that may cause actual results to vary materially from those stated in the forward-looking statements, see our reports on Forms 10-Q and 8-K filed with the SEC from time to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the 1983 offer. In the absence of actual damages, the trial court judge awarded the DOJ the maximum civil penalty of $7.09 million, or $10,000 for each of the 709 invoices Pratt &amp; Whitney submitted in 1989 and</w:t>
      </w:r>
    </w:p>
    <w:p>
      <w:pPr>
        <w:spacing w:after="0" w:line="6"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color w:val="auto"/>
        </w:rPr>
        <w:t>later under the contracts. Both the DOJ and UTC have appealed the decision.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69"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As previously disclosed, in 2005 the Korean Fair Trade Commission (KFTC) conducted an inspection at the offices of Otis Korea and its Korean competitors with respect to collusive activities in the market for new equipment sales, and in May 2007 expanded its investigation to include pricing of subcontracts for elevator installation. In September 2008, the KFTC assessed a fine against Otis Korea of South Korean Won 17.3 billion (approximately $15 million) with respect to the new equipment sales investigation, which we previously accrued. A complaint regarding the installation subcontractor pricing investigation may be received sometime in 2009. We do not believe that any resulting fine will have a material adverse effect on Otis’ competitive position, results of operations, cash flows or financial condition.</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Except as noted above, there have been no material developments in legal proceedings. For a description of previously reported legal proceedings refer to Part I, Item 3, “Legal Proceedings,” of our 2007 Form 10-K, and Part II, Item 1 of our 2008 Form 10-Q for the second quarter.</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business, financial condition, operating results and cash flows can be impacted by a number of factors, including, but not limited to, those set forth below, any one of which could cause our actual results to vary materially from recent results or from our anticipated future results. For a discussion identifying additional risk factors and important factors that could cause actual results to differ materially from those anticipated, see the discussion in the “Business” section under the headings “Other Matters Relating to Our Business as a Whole” and “Cautionary Note Concerning Factors That May Affect Future Results” in our 2007 Form 10-K, in “Management’s Discussion and Analysis of Financial Condition and Results of Operations” and “Notes to Consolidated Financial Statements” in our 2007 Annual Report, and in “Management’s Discussion and Analysis of Financial Condition and Results of Operations” and “Notes to Condensed Consolidated Financial Statements” in this Form 10-Q.</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widely reported, financial markets in the United States, Europe and Asia have been experiencing extreme disruption in recent months, including, among other things, extreme volatility in security prices, severely diminished liquidity and credit availability, rating downgrades of certain investments and declining valuations of others. Governments have taken unprecedented actions intended to address extreme market conditions that include severely restricted credit and declines in real estate values. While currently these conditions have not impaired our ability to access credit markets and finance our operations, there can be no assurance that there will not be a further deterioration in financial markets and confidence in major economies. These economic developments affect businesses such as ours in a number of ways. Although our total revenues remained strong for the third quarter of 2008, the current tightening of credit in financial markets adversely affects the ability of customers and suppliers to obtain financing for significant purchases and operations and could result in a decrease in or cancellation of orders for our products and services. Our global business is also adversely affected by decreases in the general level of economic activity, such as decreases in business and consumer spending, air travel, construction activity, financial strength of airline customers and government procurement. Strengthening of the rate of exchange for the U.S. Dollar against certain major currencies such as the Euro, the Canadian Dollar and other currencies also adversely affects our results. We are unable to predict the likely duration and severity of the current disruption in financial markets and adverse economic conditions in the U.S. and other countries.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Aerospace and Construction Industries</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results of our commercial and military aerospace businesses, which generated 37 percent of our consolidated revenues in 2007, are directly tied to the economic conditions in the commercial aviation and defense industries, which are cyclical in nature. The challenging operating environment currently faced by commercial airlines is expected to continue. As a result, capital spending by commercial airlines and aircraft manufacturers may be influenced by a wide variety of factors, including current and predicted traffic levels, load factors, aircraft fuel pricing, labor issues, worldwide airline profits, airline consolidation, airline insolvencies, competition, the retirement of older aircraft, regulatory changes, terrorism and related safety concerns, general economic conditions, corporate profitability, and backlog levels, all of which could reduce both the demand for air travel and the aftermarket sales and margins of our aerospace businesses. Future terrorist actions or pandemic health issues could dramatically reduce both the demand for air travel and our aerospace businesses aftermarket sales and margins. Also, since a substantial portion of the backlog for commercial aerospace customers is scheduled for delivery beyond 2008,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regulatory changes, the retirement of older aircraft and technological improvements to new engines that increase reliability.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an adverse effect on our financial performance or results of operations. The results of our commercial and industrial businesses, which generated 63 percent of our revenues in 2007, are influenced by a number of external factors, including fluctuations in residential and commercial construction activity, interest rates, labor costs, foreign currency exchange rates, customer attrition, raw material and energy costs, the tightening of the U.S. credit markets and other global and political factors. In addition to these factors, Carrier’s financial performance can also be influenced by production and utilization of transport equipment and, in its residential business, weather conditions.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If we or one of our business units were charged with wrongdoing as a result of any U.S. government investigation (including violation of 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w:t>
      </w:r>
    </w:p>
    <w:p>
      <w:pPr>
        <w:spacing w:after="0" w:line="2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Economic Conditions, Foreign Currency Fluctuations and Changes in Local Government Regulation</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conduct our business on a global basis, with 62 percent of our total 2007 segment revenues derived from operations outside of the United States and from U.S. export sales. Changes in local and regional economic conditions, including fluctuations in exchange rates, may affect product demand in our non-U.S. operations and export markets. Foreign currency fluctuations can also affect reported profits of our non-U.S. operations (primarily the commercial businesses) where transactions are generally denominated in local currencies. In addition, currency fluctuations may affect the prices we pay suppliers for materials used in our products. Our financial statements are denominated in U.S. dollars. Accordingly, fluctuations in exchange rates may give rise to translation gains or losses when financial statements of non-U.S. operating units are translated into U.S. dollars. Given that the majority of our revenues are non-U.S. based, a strengthening of the U.S. dollar against other major foreign currencies could adversely affect our results of operations.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majority of sales in the aerospace businesses is transacted in U.S. dollars, consistent with established industry practice, while the majority of costs at locations outside the United States is incurred in the applicable local currency (principally the Euro and the Canadian dollar). For operating units with 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revenues. See Note 1 to the Consolidated Financial Statements in our 2007 Annual Report and Note 8 to the Condensed Consolidated Financial Statements in this Form 10-Q for a discussion of our hedging strategies.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international sales and operations are subject to risks associated with changes in local government laws, regulations and policies, including those related to tariffs and trade barriers, investments, taxation, exchange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 In addition, as part of our globalization strategy, we have invested in certain countries, including Argentina, Brazil, China, India, Russia and South Africa, that carry high levels of currency, political and economic risk.</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While these factors or the impact of these factors are difficult to predict, any one or more of them could adversely affect our business, financial condition or operating results.</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 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5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some instances, we depend upon a single source of supply, manufacturing or assembly or participate in commodity markets that may be subject to allocations by suppliers. A disruption in deliveries from our suppliers or third party contract manufacturers, supplier capacity constraints, supplier and third party contract manufacturer production disruptions, price increases, or decreased availability of raw materials or commodities, could have an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an adverse effect on our results of operations or financial condition.</w:t>
      </w:r>
    </w:p>
    <w:p>
      <w:pPr>
        <w:spacing w:after="0" w:line="1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Engage in Acquisitions, and May Encounter Difficulties Integrating Acquired Businesses with Our Current Operations; Therefore, We May Not Realize the Anticipated Benefits of the Acquisitions</w:t>
      </w:r>
    </w:p>
    <w:p>
      <w:pPr>
        <w:spacing w:after="0" w:line="5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seek to grow through strategic acquisitions. In the past several years, we have made various acquisitions and entered into joint venture arrangements intended to complement and expand our businesses, and may continue to do so in the future. The success of these transactions will depend on our ability to integrate assets and personnel acquired in these transactions, apply our internal controls and business processes to these acquired businesses, and cooperate with our strategic partners. We may encounter difficulties in integrating acquisitions with our operations, and in managing strategic investments. Furthermore, we may not realize the degree or timing of benefits we anticipate when we first enter into a transaction. Any of the foregoing could adversely affect our business and results of operations.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We regularly invest substantial amounts in research and development efforts that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internal and supplier produced parts and materials; performance of suppliers and subcontractors; achieving cost and production efficiencies; validation of innovative technologies, and the level of customer interest in new technologies and products. These factors involve significant risks and uncertainties. We may encounter difficulties in developing and producing these new products and services, and may not realize the degree or timing of benefits initially anticipated. In particular, we cannot predict with certainty whether, when and in what quantities Pratt &amp; Whitney or its affiliates will produce aircraft engines currently in development or pending required certifications. Any of the foregoing could adversely affect our business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and Legal Compliance Risks That Could Adversely Affect Our Operating Results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subject to a variety of litigation and legal compliance risks. These risks include, among other things, litigation concerning product liability matters, personal injuries, intellectual property rights, government contracts, taxes, environmental matters and compliance with U.S. and foreign export laws, competition laws and sales and trading practices. We or one of our business units could be charged with wrongdoing as a result of such litigation. If convicted or found liable, we could be subject to fines, penalties, repayments, other damages (in certain cases, treble damages), or suspension or debarment from government contracts. Independently, failure of us or one of our business units to comply with applicable export and trade practice laws could result in civil or criminal</w:t>
      </w:r>
    </w:p>
    <w:p>
      <w:pPr>
        <w:spacing w:after="0" w:line="1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penalties and suspension or termination of export privileges. While we believe we have adopted appropriate risk management and compliance programs to address and reduce these risks, the global and diverse nature of our operations means that these risks will continue to exist and additional legal proceedings and contingencies will arise from time to time. Our results may be affected by the outcome of legal proceedings and other contingencies that we cannot predict with certainty. 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an adverse effect on our results of operations in the period in which a liability would be recognized or on our cash flows for the period in which damages would be paid. For a description of current legal proceedings, see Part I, Item 3 “Legal Proceedings,” in our 2007 Form 10-K.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assess that there is not a greater than 50% likelihood that such tax benefit will be sustained, we do not recognize a tax benefit in our financial statements. Subsequent events may cause us to change our assessment of the likelihood of sustaining a previously-recognized benefit which could result in an adverse effect on our results of operations in the period in which such event occurs or on our cash flows in the period in which the ultimate settlement with the applicable taxing authority occurs.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provides information about our purchases during the quarter ended September 30, 2008 of equity securities that are registered by us pursuant to Section 12 of the Exchange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Total Number of Shares</w:t>
            </w: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Purchased as Part of a</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64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Publicly Announced</w:t>
            </w: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w:t>
            </w:r>
          </w:p>
        </w:tc>
        <w:tc>
          <w:tcPr>
            <w:tcW w:w="6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Price Paid</w:t>
            </w:r>
          </w:p>
        </w:tc>
        <w:tc>
          <w:tcPr>
            <w:tcW w:w="640" w:type="dxa"/>
            <w:vAlign w:val="bottom"/>
          </w:tcPr>
          <w:p>
            <w:pPr>
              <w:spacing w:after="0"/>
              <w:rPr>
                <w:sz w:val="12"/>
                <w:szCs w:val="12"/>
                <w:color w:val="auto"/>
              </w:rPr>
            </w:pPr>
          </w:p>
        </w:tc>
        <w:tc>
          <w:tcPr>
            <w:tcW w:w="20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Program</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2008</w:t>
            </w:r>
          </w:p>
        </w:tc>
        <w:tc>
          <w:tcPr>
            <w:tcW w:w="8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(000’s)</w:t>
            </w:r>
          </w:p>
        </w:tc>
        <w:tc>
          <w:tcPr>
            <w:tcW w:w="6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per Share</w:t>
            </w:r>
          </w:p>
        </w:tc>
        <w:tc>
          <w:tcPr>
            <w:tcW w:w="640" w:type="dxa"/>
            <w:vAlign w:val="bottom"/>
          </w:tcPr>
          <w:p>
            <w:pPr>
              <w:spacing w:after="0"/>
              <w:rPr>
                <w:sz w:val="14"/>
                <w:szCs w:val="14"/>
                <w:color w:val="auto"/>
              </w:rPr>
            </w:pPr>
          </w:p>
        </w:tc>
        <w:tc>
          <w:tcPr>
            <w:tcW w:w="2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(000’s)</w:t>
            </w: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Program (000’s)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 July 31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62.89</w:t>
            </w:r>
          </w:p>
        </w:tc>
        <w:tc>
          <w:tcPr>
            <w:tcW w:w="2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3,811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August 1 – August 31</w:t>
            </w:r>
          </w:p>
        </w:tc>
        <w:tc>
          <w:tcPr>
            <w:tcW w:w="620" w:type="dxa"/>
            <w:vAlign w:val="bottom"/>
          </w:tcPr>
          <w:p>
            <w:pPr>
              <w:jc w:val="right"/>
              <w:spacing w:after="0"/>
              <w:rPr>
                <w:sz w:val="20"/>
                <w:szCs w:val="20"/>
                <w:color w:val="auto"/>
              </w:rPr>
            </w:pPr>
            <w:r>
              <w:rPr>
                <w:rFonts w:ascii="Arial" w:cs="Arial" w:eastAsia="Arial" w:hAnsi="Arial"/>
                <w:sz w:val="18"/>
                <w:szCs w:val="18"/>
                <w:color w:val="auto"/>
              </w:rPr>
              <w:t>4,716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65.15</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4,710</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 September 30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63.00</w:t>
            </w:r>
          </w:p>
        </w:tc>
        <w:tc>
          <w:tcPr>
            <w:tcW w:w="6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gridSpan w:val="4"/>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color w:val="auto"/>
              </w:rPr>
              <w:t>14,554</w:t>
            </w: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63.68</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14,528</w:t>
            </w: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repurchase shares under a program announced on June 11, 2008, which authorized the repurchase of up to 60 million shares of our common stock. This new authorization replaces a previous program, approved in December 2006, which was nearing completion. Under this program, shares may be purchased on the open market, in privately negotiated transactions, and under plans complying with Rules 10b5-1 and 10b-18 under the Securities Exchange Act of 1934, as amended. These repurchases are included within the scope of our overall repurchase program discussed above. We may also reacquire shares outside of the program from time to time in connection with the surrender of shares to cover taxes on vesting of restricted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820" w:type="dxa"/>
            <w:vAlign w:val="bottom"/>
          </w:tcPr>
          <w:p>
            <w:pPr>
              <w:ind w:left="360"/>
              <w:spacing w:after="0"/>
              <w:rPr>
                <w:sz w:val="20"/>
                <w:szCs w:val="20"/>
                <w:color w:val="auto"/>
              </w:rPr>
            </w:pPr>
            <w:r>
              <w:rPr>
                <w:rFonts w:ascii="Arial" w:cs="Arial" w:eastAsia="Arial" w:hAnsi="Arial"/>
                <w:sz w:val="18"/>
                <w:szCs w:val="18"/>
                <w:b w:val="1"/>
                <w:bCs w:val="1"/>
                <w:color w:val="auto"/>
              </w:rPr>
              <w:t>Exhibits</w:t>
            </w:r>
          </w:p>
        </w:tc>
      </w:tr>
      <w:tr>
        <w:trPr>
          <w:trHeight w:val="419"/>
        </w:trPr>
        <w:tc>
          <w:tcPr>
            <w:tcW w:w="680" w:type="dxa"/>
            <w:vAlign w:val="bottom"/>
          </w:tcPr>
          <w:p>
            <w:pPr>
              <w:spacing w:after="0"/>
              <w:rPr>
                <w:sz w:val="20"/>
                <w:szCs w:val="20"/>
                <w:color w:val="auto"/>
              </w:rPr>
            </w:pPr>
            <w:r>
              <w:rPr>
                <w:rFonts w:ascii="Arial" w:cs="Arial" w:eastAsia="Arial" w:hAnsi="Arial"/>
                <w:sz w:val="18"/>
                <w:szCs w:val="18"/>
                <w:color w:val="auto"/>
              </w:rPr>
              <w:t>10.9</w:t>
            </w:r>
          </w:p>
        </w:tc>
        <w:tc>
          <w:tcPr>
            <w:tcW w:w="8820" w:type="dxa"/>
            <w:vAlign w:val="bottom"/>
          </w:tcPr>
          <w:p>
            <w:pPr>
              <w:ind w:left="140"/>
              <w:spacing w:after="0"/>
              <w:rPr>
                <w:sz w:val="20"/>
                <w:szCs w:val="20"/>
                <w:color w:val="auto"/>
              </w:rPr>
            </w:pPr>
            <w:r>
              <w:rPr>
                <w:rFonts w:ascii="Arial" w:cs="Arial" w:eastAsia="Arial" w:hAnsi="Arial"/>
                <w:sz w:val="18"/>
                <w:szCs w:val="18"/>
                <w:color w:val="auto"/>
                <w:w w:val="88"/>
              </w:rPr>
              <w:t>United Technologies Corporation Board of Directors Deferred Stock Unit Plan, as amended and restated, October 8, 2008.*</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12</w:t>
            </w:r>
          </w:p>
        </w:tc>
        <w:tc>
          <w:tcPr>
            <w:tcW w:w="8820" w:type="dxa"/>
            <w:vAlign w:val="bottom"/>
          </w:tcPr>
          <w:p>
            <w:pPr>
              <w:ind w:left="14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15</w:t>
            </w:r>
          </w:p>
        </w:tc>
        <w:tc>
          <w:tcPr>
            <w:tcW w:w="8820" w:type="dxa"/>
            <w:vAlign w:val="bottom"/>
          </w:tcPr>
          <w:p>
            <w:pPr>
              <w:ind w:left="140"/>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100.INS</w:t>
            </w:r>
          </w:p>
        </w:tc>
        <w:tc>
          <w:tcPr>
            <w:tcW w:w="384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222"/>
        </w:trPr>
        <w:tc>
          <w:tcPr>
            <w:tcW w:w="740" w:type="dxa"/>
            <w:vAlign w:val="bottom"/>
          </w:tcPr>
          <w:p>
            <w:pPr>
              <w:spacing w:after="0"/>
              <w:rPr>
                <w:sz w:val="19"/>
                <w:szCs w:val="19"/>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(File name: utx-20080930.xml)</w:t>
            </w: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w w:val="98"/>
              </w:rPr>
              <w:t>100.SCH</w:t>
            </w:r>
          </w:p>
        </w:tc>
        <w:tc>
          <w:tcPr>
            <w:tcW w:w="3840" w:type="dxa"/>
            <w:vAlign w:val="bottom"/>
          </w:tcPr>
          <w:p>
            <w:pPr>
              <w:ind w:left="80"/>
              <w:spacing w:after="0"/>
              <w:rPr>
                <w:sz w:val="20"/>
                <w:szCs w:val="20"/>
                <w:color w:val="auto"/>
              </w:rPr>
            </w:pPr>
            <w:r>
              <w:rPr>
                <w:rFonts w:ascii="Arial" w:cs="Arial" w:eastAsia="Arial" w:hAnsi="Arial"/>
                <w:sz w:val="18"/>
                <w:szCs w:val="18"/>
                <w:color w:val="auto"/>
                <w:w w:val="95"/>
              </w:rPr>
              <w:t>XBRL Taxonomy Extension Schema Document.*</w:t>
            </w:r>
          </w:p>
        </w:tc>
      </w:tr>
      <w:tr>
        <w:trPr>
          <w:trHeight w:val="222"/>
        </w:trPr>
        <w:tc>
          <w:tcPr>
            <w:tcW w:w="740" w:type="dxa"/>
            <w:vAlign w:val="bottom"/>
          </w:tcPr>
          <w:p>
            <w:pPr>
              <w:spacing w:after="0"/>
              <w:rPr>
                <w:sz w:val="19"/>
                <w:szCs w:val="19"/>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(File name: utx-20080930.xsd)</w:t>
            </w: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w w:val="99"/>
              </w:rPr>
              <w:t>100.PRE</w:t>
            </w:r>
          </w:p>
        </w:tc>
        <w:tc>
          <w:tcPr>
            <w:tcW w:w="3840" w:type="dxa"/>
            <w:vAlign w:val="bottom"/>
          </w:tcPr>
          <w:p>
            <w:pPr>
              <w:ind w:left="80"/>
              <w:spacing w:after="0"/>
              <w:rPr>
                <w:sz w:val="20"/>
                <w:szCs w:val="20"/>
                <w:color w:val="auto"/>
              </w:rPr>
            </w:pPr>
            <w:r>
              <w:rPr>
                <w:rFonts w:ascii="Arial" w:cs="Arial" w:eastAsia="Arial" w:hAnsi="Arial"/>
                <w:sz w:val="18"/>
                <w:szCs w:val="18"/>
                <w:color w:val="auto"/>
                <w:w w:val="89"/>
              </w:rPr>
              <w:t>XBRL Taxonomy Presentation Linkbase Document.*</w:t>
            </w:r>
          </w:p>
        </w:tc>
      </w:tr>
      <w:tr>
        <w:trPr>
          <w:trHeight w:val="222"/>
        </w:trPr>
        <w:tc>
          <w:tcPr>
            <w:tcW w:w="740" w:type="dxa"/>
            <w:vAlign w:val="bottom"/>
          </w:tcPr>
          <w:p>
            <w:pPr>
              <w:spacing w:after="0"/>
              <w:rPr>
                <w:sz w:val="19"/>
                <w:szCs w:val="19"/>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(File name: utx-20080930_pre.xml)</w:t>
            </w: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rPr>
              <w:t>100.LAB</w:t>
            </w:r>
          </w:p>
        </w:tc>
        <w:tc>
          <w:tcPr>
            <w:tcW w:w="3840" w:type="dxa"/>
            <w:vAlign w:val="bottom"/>
          </w:tcPr>
          <w:p>
            <w:pPr>
              <w:ind w:left="80"/>
              <w:spacing w:after="0"/>
              <w:rPr>
                <w:sz w:val="20"/>
                <w:szCs w:val="20"/>
                <w:color w:val="auto"/>
              </w:rPr>
            </w:pPr>
            <w:r>
              <w:rPr>
                <w:rFonts w:ascii="Arial" w:cs="Arial" w:eastAsia="Arial" w:hAnsi="Arial"/>
                <w:sz w:val="18"/>
                <w:szCs w:val="18"/>
                <w:color w:val="auto"/>
              </w:rPr>
              <w:t>XBRL Taxonomy Label Linkbase Document.*</w:t>
            </w:r>
          </w:p>
        </w:tc>
      </w:tr>
      <w:tr>
        <w:trPr>
          <w:trHeight w:val="222"/>
        </w:trPr>
        <w:tc>
          <w:tcPr>
            <w:tcW w:w="740" w:type="dxa"/>
            <w:vAlign w:val="bottom"/>
          </w:tcPr>
          <w:p>
            <w:pPr>
              <w:spacing w:after="0"/>
              <w:rPr>
                <w:sz w:val="19"/>
                <w:szCs w:val="19"/>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(File name: utx-20080930_lab.xml)</w:t>
            </w: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rPr>
              <w:t>100.CAL</w:t>
            </w:r>
          </w:p>
        </w:tc>
        <w:tc>
          <w:tcPr>
            <w:tcW w:w="3840" w:type="dxa"/>
            <w:vAlign w:val="bottom"/>
          </w:tcPr>
          <w:p>
            <w:pPr>
              <w:ind w:left="80"/>
              <w:spacing w:after="0"/>
              <w:rPr>
                <w:sz w:val="20"/>
                <w:szCs w:val="20"/>
                <w:color w:val="auto"/>
              </w:rPr>
            </w:pPr>
            <w:r>
              <w:rPr>
                <w:rFonts w:ascii="Arial" w:cs="Arial" w:eastAsia="Arial" w:hAnsi="Arial"/>
                <w:sz w:val="18"/>
                <w:szCs w:val="18"/>
                <w:color w:val="auto"/>
                <w:w w:val="92"/>
              </w:rPr>
              <w:t>XBRL Taxonomy Calculation Linkbase Document.*</w:t>
            </w:r>
          </w:p>
        </w:tc>
      </w:tr>
      <w:tr>
        <w:trPr>
          <w:trHeight w:val="222"/>
        </w:trPr>
        <w:tc>
          <w:tcPr>
            <w:tcW w:w="740" w:type="dxa"/>
            <w:vAlign w:val="bottom"/>
          </w:tcPr>
          <w:p>
            <w:pPr>
              <w:spacing w:after="0"/>
              <w:rPr>
                <w:sz w:val="19"/>
                <w:szCs w:val="19"/>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(File name: utx-20080930_cal.xml)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herewith.</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Attached as Exhibit 100 to this report are the following formatted in XBRL (Extensible Business Reporting Language): (i) Condensed Consolidated Statement of Operations for the quarters ended September 30, 2008 and 2007, (ii) Condensed Consolidated Statement of Operations for the nine months ended September 30, 2008 and 2007, (iii) Condensed Consolidated Balance Sheet at September 30, 2008 and December 31, 2007, (iv) Condensed Consolidated Statement of Cash Flows for the nine months ended September 30, 2008 and 2007. Users of this data are advised pursuant to Rule 401 of Regulation S-T that the information contained in the XBRL documents is unaudited and these are not the official publicly filed financial statements of United Technologies Corporation. The purpose of submitting these XBRL formatted documents is to test the related format and technology and, as a result, investors should continue to rely on the official filed version of the furnished documents and not rely on this information in making investment decisions.</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accordance with Rule 402 of Regulation S-T, the XBRL related information in Exhibit 100 to this Quarterly Report on Form 10-Q shall not be deemed to be “filed” for purposes of Section 18 of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 filing.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Dated: October 21, 2008</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Dated: October 21, 2008</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Dated: October 21, 2008</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UNITED TECHNOLOGIES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10795</wp:posOffset>
            </wp:positionV>
            <wp:extent cx="3542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Gregory J. Hayes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Senior Vice President and Chief Financial Officer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by:  /s/ Charles D.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10795</wp:posOffset>
            </wp:positionV>
            <wp:extent cx="3542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Charles D. Gill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Senior Vice President and General Counsel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by:  /s/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10795</wp:posOffset>
            </wp:positionV>
            <wp:extent cx="3542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Margaret M. Smyth</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Controller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ectPr>
          <w:pgSz w:w="11900" w:h="16838" w:orient="portrait"/>
          <w:cols w:equalWidth="0" w:num="2">
            <w:col w:w="4900" w:space="720"/>
            <w:col w:w="5380"/>
          </w:cols>
          <w:pgMar w:left="240" w:top="459" w:right="6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3220" w:type="dxa"/>
            <w:vAlign w:val="bottom"/>
          </w:tcPr>
          <w:p>
            <w:pPr>
              <w:spacing w:after="0"/>
              <w:rPr>
                <w:sz w:val="17"/>
                <w:szCs w:val="17"/>
                <w:color w:val="auto"/>
              </w:rPr>
            </w:pPr>
          </w:p>
        </w:tc>
      </w:tr>
      <w:tr>
        <w:trPr>
          <w:trHeight w:val="437"/>
        </w:trPr>
        <w:tc>
          <w:tcPr>
            <w:tcW w:w="620" w:type="dxa"/>
            <w:vAlign w:val="bottom"/>
          </w:tcPr>
          <w:p>
            <w:pPr>
              <w:spacing w:after="0"/>
              <w:rPr>
                <w:sz w:val="20"/>
                <w:szCs w:val="20"/>
                <w:color w:val="auto"/>
              </w:rPr>
            </w:pPr>
            <w:r>
              <w:rPr>
                <w:rFonts w:ascii="Arial" w:cs="Arial" w:eastAsia="Arial" w:hAnsi="Arial"/>
                <w:sz w:val="18"/>
                <w:szCs w:val="18"/>
                <w:color w:val="auto"/>
              </w:rPr>
              <w:t>10.9</w:t>
            </w:r>
          </w:p>
        </w:tc>
        <w:tc>
          <w:tcPr>
            <w:tcW w:w="9000" w:type="dxa"/>
            <w:vAlign w:val="bottom"/>
            <w:gridSpan w:val="3"/>
          </w:tcPr>
          <w:p>
            <w:pPr>
              <w:ind w:left="300"/>
              <w:spacing w:after="0"/>
              <w:rPr>
                <w:sz w:val="20"/>
                <w:szCs w:val="20"/>
                <w:color w:val="auto"/>
              </w:rPr>
            </w:pPr>
            <w:r>
              <w:rPr>
                <w:rFonts w:ascii="Arial" w:cs="Arial" w:eastAsia="Arial" w:hAnsi="Arial"/>
                <w:sz w:val="18"/>
                <w:szCs w:val="18"/>
                <w:color w:val="auto"/>
                <w:w w:val="88"/>
              </w:rPr>
              <w:t>United Technologies Corporation Board of Directors Deferred Stock Unit Plan, as amended and restated, October 8, 2008.*</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12</w:t>
            </w:r>
          </w:p>
        </w:tc>
        <w:tc>
          <w:tcPr>
            <w:tcW w:w="9000" w:type="dxa"/>
            <w:vAlign w:val="bottom"/>
            <w:gridSpan w:val="3"/>
          </w:tcPr>
          <w:p>
            <w:pPr>
              <w:ind w:left="30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15</w:t>
            </w:r>
          </w:p>
        </w:tc>
        <w:tc>
          <w:tcPr>
            <w:tcW w:w="9000" w:type="dxa"/>
            <w:vAlign w:val="bottom"/>
            <w:gridSpan w:val="3"/>
          </w:tcPr>
          <w:p>
            <w:pPr>
              <w:ind w:left="300"/>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920" w:hanging="912"/>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920" w:hanging="912"/>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100.INS</w:t>
            </w:r>
          </w:p>
        </w:tc>
        <w:tc>
          <w:tcPr>
            <w:tcW w:w="390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222"/>
        </w:trPr>
        <w:tc>
          <w:tcPr>
            <w:tcW w:w="800" w:type="dxa"/>
            <w:vAlign w:val="bottom"/>
          </w:tcPr>
          <w:p>
            <w:pPr>
              <w:spacing w:after="0"/>
              <w:rPr>
                <w:sz w:val="19"/>
                <w:szCs w:val="19"/>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(File name: utx-20080930.xml)</w:t>
            </w: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100.SCH</w:t>
            </w:r>
          </w:p>
        </w:tc>
        <w:tc>
          <w:tcPr>
            <w:tcW w:w="3900" w:type="dxa"/>
            <w:vAlign w:val="bottom"/>
          </w:tcPr>
          <w:p>
            <w:pPr>
              <w:ind w:left="120"/>
              <w:spacing w:after="0"/>
              <w:rPr>
                <w:sz w:val="20"/>
                <w:szCs w:val="20"/>
                <w:color w:val="auto"/>
              </w:rPr>
            </w:pPr>
            <w:r>
              <w:rPr>
                <w:rFonts w:ascii="Arial" w:cs="Arial" w:eastAsia="Arial" w:hAnsi="Arial"/>
                <w:sz w:val="18"/>
                <w:szCs w:val="18"/>
                <w:color w:val="auto"/>
                <w:w w:val="96"/>
              </w:rPr>
              <w:t>XBRL Taxonomy Extension Schema Document.*</w:t>
            </w:r>
          </w:p>
        </w:tc>
      </w:tr>
      <w:tr>
        <w:trPr>
          <w:trHeight w:val="222"/>
        </w:trPr>
        <w:tc>
          <w:tcPr>
            <w:tcW w:w="800" w:type="dxa"/>
            <w:vAlign w:val="bottom"/>
          </w:tcPr>
          <w:p>
            <w:pPr>
              <w:spacing w:after="0"/>
              <w:rPr>
                <w:sz w:val="19"/>
                <w:szCs w:val="19"/>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(File name: utx-20080930.xsd)</w:t>
            </w: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100.PRE</w:t>
            </w:r>
          </w:p>
        </w:tc>
        <w:tc>
          <w:tcPr>
            <w:tcW w:w="3900" w:type="dxa"/>
            <w:vAlign w:val="bottom"/>
          </w:tcPr>
          <w:p>
            <w:pPr>
              <w:ind w:left="120"/>
              <w:spacing w:after="0"/>
              <w:rPr>
                <w:sz w:val="20"/>
                <w:szCs w:val="20"/>
                <w:color w:val="auto"/>
              </w:rPr>
            </w:pPr>
            <w:r>
              <w:rPr>
                <w:rFonts w:ascii="Arial" w:cs="Arial" w:eastAsia="Arial" w:hAnsi="Arial"/>
                <w:sz w:val="18"/>
                <w:szCs w:val="18"/>
                <w:color w:val="auto"/>
                <w:w w:val="89"/>
              </w:rPr>
              <w:t>XBRL Taxonomy Presentation Linkbase Document.*</w:t>
            </w:r>
          </w:p>
        </w:tc>
      </w:tr>
      <w:tr>
        <w:trPr>
          <w:trHeight w:val="222"/>
        </w:trPr>
        <w:tc>
          <w:tcPr>
            <w:tcW w:w="800" w:type="dxa"/>
            <w:vAlign w:val="bottom"/>
          </w:tcPr>
          <w:p>
            <w:pPr>
              <w:spacing w:after="0"/>
              <w:rPr>
                <w:sz w:val="19"/>
                <w:szCs w:val="19"/>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(File name: utx-20080930_pre.xml)</w:t>
            </w: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100.LAB</w:t>
            </w:r>
          </w:p>
        </w:tc>
        <w:tc>
          <w:tcPr>
            <w:tcW w:w="3900" w:type="dxa"/>
            <w:vAlign w:val="bottom"/>
          </w:tcPr>
          <w:p>
            <w:pPr>
              <w:ind w:left="120"/>
              <w:spacing w:after="0"/>
              <w:rPr>
                <w:sz w:val="20"/>
                <w:szCs w:val="20"/>
                <w:color w:val="auto"/>
              </w:rPr>
            </w:pPr>
            <w:r>
              <w:rPr>
                <w:rFonts w:ascii="Arial" w:cs="Arial" w:eastAsia="Arial" w:hAnsi="Arial"/>
                <w:sz w:val="18"/>
                <w:szCs w:val="18"/>
                <w:color w:val="auto"/>
              </w:rPr>
              <w:t>XBRL Taxonomy Label Linkbase Document.*</w:t>
            </w:r>
          </w:p>
        </w:tc>
      </w:tr>
      <w:tr>
        <w:trPr>
          <w:trHeight w:val="222"/>
        </w:trPr>
        <w:tc>
          <w:tcPr>
            <w:tcW w:w="800" w:type="dxa"/>
            <w:vAlign w:val="bottom"/>
          </w:tcPr>
          <w:p>
            <w:pPr>
              <w:spacing w:after="0"/>
              <w:rPr>
                <w:sz w:val="19"/>
                <w:szCs w:val="19"/>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(File name: utx-20080930_lab.xml)</w:t>
            </w: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100.CAL</w:t>
            </w:r>
          </w:p>
        </w:tc>
        <w:tc>
          <w:tcPr>
            <w:tcW w:w="3900" w:type="dxa"/>
            <w:vAlign w:val="bottom"/>
          </w:tcPr>
          <w:p>
            <w:pPr>
              <w:ind w:left="120"/>
              <w:spacing w:after="0"/>
              <w:rPr>
                <w:sz w:val="20"/>
                <w:szCs w:val="20"/>
                <w:color w:val="auto"/>
              </w:rPr>
            </w:pPr>
            <w:r>
              <w:rPr>
                <w:rFonts w:ascii="Arial" w:cs="Arial" w:eastAsia="Arial" w:hAnsi="Arial"/>
                <w:sz w:val="18"/>
                <w:szCs w:val="18"/>
                <w:color w:val="auto"/>
                <w:w w:val="92"/>
              </w:rPr>
              <w:t>XBRL Taxonomy Calculation Linkbase Document.*</w:t>
            </w:r>
          </w:p>
        </w:tc>
      </w:tr>
      <w:tr>
        <w:trPr>
          <w:trHeight w:val="222"/>
        </w:trPr>
        <w:tc>
          <w:tcPr>
            <w:tcW w:w="800" w:type="dxa"/>
            <w:vAlign w:val="bottom"/>
          </w:tcPr>
          <w:p>
            <w:pPr>
              <w:spacing w:after="0"/>
              <w:rPr>
                <w:sz w:val="19"/>
                <w:szCs w:val="19"/>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(File name: utx-20080930_cal.xml)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herewith.</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Attached as Exhibit 100 to this report are the following formatted in XBRL (Extensible Business Reporting Language): (i) Condensed Consolidated Statement of Operations for the quarters ended September 30, 2008 and 2007, (ii) Condensed Consolidated Statement of Operations for the nine months ended September 30, 2008 and 2007, (iii) Condensed Consolidated Balance Sheet at September 30, 2008 and December 31, 2007, (iv) Condensed Consolidated Statement of Cash Flows for the nine months ended September 30, 2008 and 2007. Users of this data are advised pursuant to Rule 401 of Regulation S-T that the information contained in the XBRL documents is unaudited and these are not the official publicly filed financial statements of United Technologies Corporation. The purpose of submitting these XBRL formatted documents is to test the related format and technology and, as a result, investors should continue to rely on the official filed version of the furnished documents and not rely on this information in making investment decisions.</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accordance with Rule 402 of Regulation S-T, the XBRL related information in Exhibit 100 to this Quarterly Report on Form 10-Q shall not be deemed to be “filed” for purposes of Section 18 of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 filing.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10.9</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UNITED TECHNOLOGIES CORPORATION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BOARD OF DIRECTORS</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DEFERRED STOCK UNIT PLAN</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As Amended and Restated Effective January 1, 2005</w:t>
      </w:r>
    </w:p>
    <w:p>
      <w:pPr>
        <w:sectPr>
          <w:pgSz w:w="11900" w:h="16838" w:orient="portrait"/>
          <w:cols w:equalWidth="0" w:num="1">
            <w:col w:w="10220"/>
          </w:cols>
          <w:pgMar w:left="1440" w:top="12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320" w:type="dxa"/>
            <w:vAlign w:val="bottom"/>
          </w:tcPr>
          <w:p>
            <w:pPr>
              <w:jc w:val="center"/>
              <w:ind w:right="1452"/>
              <w:spacing w:after="0"/>
              <w:rPr>
                <w:sz w:val="20"/>
                <w:szCs w:val="20"/>
                <w:color w:val="auto"/>
              </w:rPr>
            </w:pPr>
            <w:r>
              <w:rPr>
                <w:rFonts w:ascii="Arial" w:cs="Arial" w:eastAsia="Arial" w:hAnsi="Arial"/>
                <w:sz w:val="18"/>
                <w:szCs w:val="18"/>
                <w:b w:val="1"/>
                <w:bCs w:val="1"/>
                <w:color w:val="auto"/>
                <w:w w:val="99"/>
              </w:rPr>
              <w:t>UNITED TECHNOLOGIES CORPORATION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20" w:type="dxa"/>
            <w:vAlign w:val="bottom"/>
          </w:tcPr>
          <w:p>
            <w:pPr>
              <w:jc w:val="center"/>
              <w:ind w:right="1432"/>
              <w:spacing w:after="0"/>
              <w:rPr>
                <w:sz w:val="20"/>
                <w:szCs w:val="20"/>
                <w:color w:val="auto"/>
              </w:rPr>
            </w:pPr>
            <w:r>
              <w:rPr>
                <w:rFonts w:ascii="Arial" w:cs="Arial" w:eastAsia="Arial" w:hAnsi="Arial"/>
                <w:sz w:val="18"/>
                <w:szCs w:val="18"/>
                <w:b w:val="1"/>
                <w:bCs w:val="1"/>
                <w:color w:val="auto"/>
                <w:w w:val="96"/>
              </w:rPr>
              <w:t>BOARD OF DIRECTORS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20" w:type="dxa"/>
            <w:vAlign w:val="bottom"/>
          </w:tcPr>
          <w:p>
            <w:pPr>
              <w:jc w:val="center"/>
              <w:ind w:right="1452"/>
              <w:spacing w:after="0"/>
              <w:rPr>
                <w:sz w:val="20"/>
                <w:szCs w:val="20"/>
                <w:color w:val="auto"/>
              </w:rPr>
            </w:pPr>
            <w:r>
              <w:rPr>
                <w:rFonts w:ascii="Arial" w:cs="Arial" w:eastAsia="Arial" w:hAnsi="Arial"/>
                <w:sz w:val="18"/>
                <w:szCs w:val="18"/>
                <w:b w:val="1"/>
                <w:bCs w:val="1"/>
                <w:color w:val="auto"/>
                <w:w w:val="97"/>
              </w:rPr>
              <w:t>DEFERRED STOCK UNIT PLAN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20" w:type="dxa"/>
            <w:vAlign w:val="bottom"/>
          </w:tcPr>
          <w:p>
            <w:pPr>
              <w:jc w:val="center"/>
              <w:ind w:right="1432"/>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00" w:type="dxa"/>
            <w:vAlign w:val="bottom"/>
            <w:vMerge w:val="restart"/>
          </w:tcPr>
          <w:p>
            <w:pPr>
              <w:spacing w:after="0"/>
              <w:rPr>
                <w:sz w:val="20"/>
                <w:szCs w:val="20"/>
                <w:color w:val="auto"/>
              </w:rPr>
            </w:pPr>
            <w:r>
              <w:rPr>
                <w:rFonts w:ascii="Arial" w:cs="Arial" w:eastAsia="Arial" w:hAnsi="Arial"/>
                <w:sz w:val="18"/>
                <w:szCs w:val="18"/>
                <w:color w:val="auto"/>
              </w:rPr>
              <w:t>ARTICLE I</w:t>
            </w:r>
          </w:p>
        </w:tc>
        <w:tc>
          <w:tcPr>
            <w:tcW w:w="9940" w:type="dxa"/>
            <w:vAlign w:val="bottom"/>
            <w:gridSpan w:val="2"/>
            <w:vMerge w:val="restart"/>
          </w:tcPr>
          <w:p>
            <w:pPr>
              <w:ind w:left="140"/>
              <w:spacing w:after="0"/>
              <w:rPr>
                <w:sz w:val="20"/>
                <w:szCs w:val="20"/>
                <w:color w:val="auto"/>
              </w:rPr>
            </w:pPr>
            <w:r>
              <w:rPr>
                <w:rFonts w:ascii="Arial" w:cs="Arial" w:eastAsia="Arial" w:hAnsi="Arial"/>
                <w:sz w:val="18"/>
                <w:szCs w:val="18"/>
                <w:color w:val="auto"/>
              </w:rPr>
              <w:t>INTRODUCTION AND PURPOSE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200" w:type="dxa"/>
            <w:vAlign w:val="bottom"/>
            <w:vMerge w:val="continue"/>
          </w:tcPr>
          <w:p>
            <w:pPr>
              <w:spacing w:after="0"/>
              <w:rPr>
                <w:sz w:val="17"/>
                <w:szCs w:val="17"/>
                <w:color w:val="auto"/>
              </w:rPr>
            </w:pPr>
          </w:p>
        </w:tc>
        <w:tc>
          <w:tcPr>
            <w:tcW w:w="99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1.01</w:t>
            </w:r>
          </w:p>
        </w:tc>
        <w:tc>
          <w:tcPr>
            <w:tcW w:w="9320" w:type="dxa"/>
            <w:vAlign w:val="bottom"/>
          </w:tcPr>
          <w:p>
            <w:pPr>
              <w:ind w:left="180"/>
              <w:spacing w:after="0"/>
              <w:rPr>
                <w:sz w:val="20"/>
                <w:szCs w:val="20"/>
                <w:color w:val="auto"/>
              </w:rPr>
            </w:pPr>
            <w:r>
              <w:rPr>
                <w:rFonts w:ascii="Arial" w:cs="Arial" w:eastAsia="Arial" w:hAnsi="Arial"/>
                <w:sz w:val="18"/>
                <w:szCs w:val="18"/>
                <w:color w:val="auto"/>
              </w:rPr>
              <w:t>Purpose of Plan</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1.02</w:t>
            </w:r>
          </w:p>
        </w:tc>
        <w:tc>
          <w:tcPr>
            <w:tcW w:w="9320" w:type="dxa"/>
            <w:vAlign w:val="bottom"/>
          </w:tcPr>
          <w:p>
            <w:pPr>
              <w:ind w:left="180"/>
              <w:spacing w:after="0"/>
              <w:rPr>
                <w:sz w:val="20"/>
                <w:szCs w:val="20"/>
                <w:color w:val="auto"/>
              </w:rPr>
            </w:pPr>
            <w:r>
              <w:rPr>
                <w:rFonts w:ascii="Arial" w:cs="Arial" w:eastAsia="Arial" w:hAnsi="Arial"/>
                <w:sz w:val="18"/>
                <w:szCs w:val="18"/>
                <w:color w:val="auto"/>
              </w:rPr>
              <w:t>Effective Date of Plan</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II</w:t>
            </w:r>
          </w:p>
        </w:tc>
        <w:tc>
          <w:tcPr>
            <w:tcW w:w="9940" w:type="dxa"/>
            <w:vAlign w:val="bottom"/>
            <w:gridSpan w:val="2"/>
          </w:tcPr>
          <w:p>
            <w:pPr>
              <w:ind w:left="14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ARTICLE III</w:t>
            </w:r>
          </w:p>
        </w:tc>
        <w:tc>
          <w:tcPr>
            <w:tcW w:w="9940" w:type="dxa"/>
            <w:vAlign w:val="bottom"/>
            <w:gridSpan w:val="2"/>
          </w:tcPr>
          <w:p>
            <w:pPr>
              <w:ind w:left="140"/>
              <w:spacing w:after="0"/>
              <w:rPr>
                <w:sz w:val="20"/>
                <w:szCs w:val="20"/>
                <w:color w:val="auto"/>
              </w:rPr>
            </w:pPr>
            <w:r>
              <w:rPr>
                <w:rFonts w:ascii="Arial" w:cs="Arial" w:eastAsia="Arial" w:hAnsi="Arial"/>
                <w:sz w:val="18"/>
                <w:szCs w:val="18"/>
                <w:color w:val="auto"/>
              </w:rPr>
              <w:t>ELIGIBLE COMPENSATION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3.01</w:t>
            </w:r>
          </w:p>
        </w:tc>
        <w:tc>
          <w:tcPr>
            <w:tcW w:w="9320" w:type="dxa"/>
            <w:vAlign w:val="bottom"/>
          </w:tcPr>
          <w:p>
            <w:pPr>
              <w:ind w:left="180"/>
              <w:spacing w:after="0"/>
              <w:rPr>
                <w:sz w:val="20"/>
                <w:szCs w:val="20"/>
                <w:color w:val="auto"/>
              </w:rPr>
            </w:pPr>
            <w:r>
              <w:rPr>
                <w:rFonts w:ascii="Arial" w:cs="Arial" w:eastAsia="Arial" w:hAnsi="Arial"/>
                <w:sz w:val="18"/>
                <w:szCs w:val="18"/>
                <w:color w:val="auto"/>
              </w:rPr>
              <w:t>Annual Retainer</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3.02</w:t>
            </w:r>
          </w:p>
        </w:tc>
        <w:tc>
          <w:tcPr>
            <w:tcW w:w="9320" w:type="dxa"/>
            <w:vAlign w:val="bottom"/>
          </w:tcPr>
          <w:p>
            <w:pPr>
              <w:ind w:left="180"/>
              <w:spacing w:after="0"/>
              <w:rPr>
                <w:sz w:val="20"/>
                <w:szCs w:val="20"/>
                <w:color w:val="auto"/>
              </w:rPr>
            </w:pPr>
            <w:r>
              <w:rPr>
                <w:rFonts w:ascii="Arial" w:cs="Arial" w:eastAsia="Arial" w:hAnsi="Arial"/>
                <w:sz w:val="18"/>
                <w:szCs w:val="18"/>
                <w:color w:val="auto"/>
              </w:rPr>
              <w:t>Restricted Stock Unit Award for a New Director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ARTICLE IV</w:t>
            </w:r>
          </w:p>
        </w:tc>
        <w:tc>
          <w:tcPr>
            <w:tcW w:w="9940" w:type="dxa"/>
            <w:vAlign w:val="bottom"/>
            <w:gridSpan w:val="2"/>
          </w:tcPr>
          <w:p>
            <w:pPr>
              <w:ind w:left="140"/>
              <w:spacing w:after="0"/>
              <w:rPr>
                <w:sz w:val="20"/>
                <w:szCs w:val="20"/>
                <w:color w:val="auto"/>
              </w:rPr>
            </w:pPr>
            <w:r>
              <w:rPr>
                <w:rFonts w:ascii="Arial" w:cs="Arial" w:eastAsia="Arial" w:hAnsi="Arial"/>
                <w:sz w:val="18"/>
                <w:szCs w:val="18"/>
                <w:color w:val="auto"/>
              </w:rPr>
              <w:t>ACCOUNTS AND CREDITS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4.01</w:t>
            </w:r>
          </w:p>
        </w:tc>
        <w:tc>
          <w:tcPr>
            <w:tcW w:w="9320" w:type="dxa"/>
            <w:vAlign w:val="bottom"/>
          </w:tcPr>
          <w:p>
            <w:pPr>
              <w:ind w:left="180"/>
              <w:spacing w:after="0"/>
              <w:rPr>
                <w:sz w:val="20"/>
                <w:szCs w:val="20"/>
                <w:color w:val="auto"/>
              </w:rPr>
            </w:pPr>
            <w:r>
              <w:rPr>
                <w:rFonts w:ascii="Arial" w:cs="Arial" w:eastAsia="Arial" w:hAnsi="Arial"/>
                <w:sz w:val="18"/>
                <w:szCs w:val="18"/>
                <w:color w:val="auto"/>
              </w:rPr>
              <w:t>Non-elective Annual Retainer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4.02</w:t>
            </w:r>
          </w:p>
        </w:tc>
        <w:tc>
          <w:tcPr>
            <w:tcW w:w="9320" w:type="dxa"/>
            <w:vAlign w:val="bottom"/>
          </w:tcPr>
          <w:p>
            <w:pPr>
              <w:ind w:left="180"/>
              <w:spacing w:after="0"/>
              <w:rPr>
                <w:sz w:val="20"/>
                <w:szCs w:val="20"/>
                <w:color w:val="auto"/>
              </w:rPr>
            </w:pPr>
            <w:r>
              <w:rPr>
                <w:rFonts w:ascii="Arial" w:cs="Arial" w:eastAsia="Arial" w:hAnsi="Arial"/>
                <w:sz w:val="18"/>
                <w:szCs w:val="18"/>
                <w:color w:val="auto"/>
              </w:rPr>
              <w:t>Elective Annual Retainer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4.03</w:t>
            </w:r>
          </w:p>
        </w:tc>
        <w:tc>
          <w:tcPr>
            <w:tcW w:w="9320" w:type="dxa"/>
            <w:vAlign w:val="bottom"/>
          </w:tcPr>
          <w:p>
            <w:pPr>
              <w:ind w:left="180"/>
              <w:spacing w:after="0"/>
              <w:rPr>
                <w:sz w:val="20"/>
                <w:szCs w:val="20"/>
                <w:color w:val="auto"/>
              </w:rPr>
            </w:pPr>
            <w:r>
              <w:rPr>
                <w:rFonts w:ascii="Arial" w:cs="Arial" w:eastAsia="Arial" w:hAnsi="Arial"/>
                <w:sz w:val="18"/>
                <w:szCs w:val="18"/>
                <w:color w:val="auto"/>
              </w:rPr>
              <w:t>Restricted Stock Unit Award for A New Director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4.04</w:t>
            </w:r>
          </w:p>
        </w:tc>
        <w:tc>
          <w:tcPr>
            <w:tcW w:w="9320" w:type="dxa"/>
            <w:vAlign w:val="bottom"/>
          </w:tcPr>
          <w:p>
            <w:pPr>
              <w:ind w:left="180"/>
              <w:spacing w:after="0"/>
              <w:rPr>
                <w:sz w:val="20"/>
                <w:szCs w:val="20"/>
                <w:color w:val="auto"/>
              </w:rPr>
            </w:pPr>
            <w:r>
              <w:rPr>
                <w:rFonts w:ascii="Arial" w:cs="Arial" w:eastAsia="Arial" w:hAnsi="Arial"/>
                <w:sz w:val="18"/>
                <w:szCs w:val="18"/>
                <w:color w:val="auto"/>
              </w:rPr>
              <w:t>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4.05</w:t>
            </w:r>
          </w:p>
        </w:tc>
        <w:tc>
          <w:tcPr>
            <w:tcW w:w="9320" w:type="dxa"/>
            <w:vAlign w:val="bottom"/>
          </w:tcPr>
          <w:p>
            <w:pPr>
              <w:ind w:left="180"/>
              <w:spacing w:after="0"/>
              <w:rPr>
                <w:sz w:val="20"/>
                <w:szCs w:val="20"/>
                <w:color w:val="auto"/>
              </w:rPr>
            </w:pPr>
            <w:r>
              <w:rPr>
                <w:rFonts w:ascii="Arial" w:cs="Arial" w:eastAsia="Arial" w:hAnsi="Arial"/>
                <w:sz w:val="18"/>
                <w:szCs w:val="18"/>
                <w:color w:val="auto"/>
              </w:rPr>
              <w:t>Deferred Stock Units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4.06</w:t>
            </w:r>
          </w:p>
        </w:tc>
        <w:tc>
          <w:tcPr>
            <w:tcW w:w="9320" w:type="dxa"/>
            <w:vAlign w:val="bottom"/>
          </w:tcPr>
          <w:p>
            <w:pPr>
              <w:ind w:left="180"/>
              <w:spacing w:after="0"/>
              <w:rPr>
                <w:sz w:val="20"/>
                <w:szCs w:val="20"/>
                <w:color w:val="auto"/>
              </w:rPr>
            </w:pPr>
            <w:r>
              <w:rPr>
                <w:rFonts w:ascii="Arial" w:cs="Arial" w:eastAsia="Arial" w:hAnsi="Arial"/>
                <w:sz w:val="18"/>
                <w:szCs w:val="18"/>
                <w:color w:val="auto"/>
              </w:rPr>
              <w:t>Hypothetical Nature of Accounts and Investments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ARTICLE V</w:t>
            </w:r>
          </w:p>
        </w:tc>
        <w:tc>
          <w:tcPr>
            <w:tcW w:w="9940" w:type="dxa"/>
            <w:vAlign w:val="bottom"/>
            <w:gridSpan w:val="2"/>
          </w:tcPr>
          <w:p>
            <w:pPr>
              <w:ind w:left="140"/>
              <w:spacing w:after="0"/>
              <w:rPr>
                <w:sz w:val="20"/>
                <w:szCs w:val="20"/>
                <w:color w:val="auto"/>
              </w:rPr>
            </w:pPr>
            <w:r>
              <w:rPr>
                <w:rFonts w:ascii="Arial" w:cs="Arial" w:eastAsia="Arial" w:hAnsi="Arial"/>
                <w:sz w:val="18"/>
                <w:szCs w:val="18"/>
                <w:color w:val="auto"/>
              </w:rPr>
              <w:t>ELECTION PROCEDURES AND PAYMENTS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5.01</w:t>
            </w:r>
          </w:p>
        </w:tc>
        <w:tc>
          <w:tcPr>
            <w:tcW w:w="9320" w:type="dxa"/>
            <w:vAlign w:val="bottom"/>
          </w:tcPr>
          <w:p>
            <w:pPr>
              <w:ind w:left="180"/>
              <w:spacing w:after="0"/>
              <w:rPr>
                <w:sz w:val="20"/>
                <w:szCs w:val="20"/>
                <w:color w:val="auto"/>
              </w:rPr>
            </w:pPr>
            <w:r>
              <w:rPr>
                <w:rFonts w:ascii="Arial" w:cs="Arial" w:eastAsia="Arial" w:hAnsi="Arial"/>
                <w:sz w:val="18"/>
                <w:szCs w:val="18"/>
                <w:color w:val="auto"/>
              </w:rPr>
              <w:t>Annual Retainer Deferral Election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5.02</w:t>
            </w:r>
          </w:p>
        </w:tc>
        <w:tc>
          <w:tcPr>
            <w:tcW w:w="9320" w:type="dxa"/>
            <w:vAlign w:val="bottom"/>
          </w:tcPr>
          <w:p>
            <w:pPr>
              <w:ind w:left="180"/>
              <w:spacing w:after="0"/>
              <w:rPr>
                <w:sz w:val="20"/>
                <w:szCs w:val="20"/>
                <w:color w:val="auto"/>
              </w:rPr>
            </w:pPr>
            <w:r>
              <w:rPr>
                <w:rFonts w:ascii="Arial" w:cs="Arial" w:eastAsia="Arial" w:hAnsi="Arial"/>
                <w:sz w:val="18"/>
                <w:szCs w:val="18"/>
                <w:color w:val="auto"/>
              </w:rPr>
              <w:t>Annual Retainer Deferral Election Deadline</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5.03</w:t>
            </w:r>
          </w:p>
        </w:tc>
        <w:tc>
          <w:tcPr>
            <w:tcW w:w="9320" w:type="dxa"/>
            <w:vAlign w:val="bottom"/>
          </w:tcPr>
          <w:p>
            <w:pPr>
              <w:ind w:left="180"/>
              <w:spacing w:after="0"/>
              <w:rPr>
                <w:sz w:val="20"/>
                <w:szCs w:val="20"/>
                <w:color w:val="auto"/>
              </w:rPr>
            </w:pPr>
            <w:r>
              <w:rPr>
                <w:rFonts w:ascii="Arial" w:cs="Arial" w:eastAsia="Arial" w:hAnsi="Arial"/>
                <w:sz w:val="18"/>
                <w:szCs w:val="18"/>
                <w:color w:val="auto"/>
              </w:rPr>
              <w:t>Entitlement to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5.04</w:t>
            </w:r>
          </w:p>
        </w:tc>
        <w:tc>
          <w:tcPr>
            <w:tcW w:w="9320" w:type="dxa"/>
            <w:vAlign w:val="bottom"/>
          </w:tcPr>
          <w:p>
            <w:pPr>
              <w:ind w:left="180"/>
              <w:spacing w:after="0"/>
              <w:rPr>
                <w:sz w:val="20"/>
                <w:szCs w:val="20"/>
                <w:color w:val="auto"/>
              </w:rPr>
            </w:pPr>
            <w:r>
              <w:rPr>
                <w:rFonts w:ascii="Arial" w:cs="Arial" w:eastAsia="Arial" w:hAnsi="Arial"/>
                <w:sz w:val="18"/>
                <w:szCs w:val="18"/>
                <w:color w:val="auto"/>
              </w:rPr>
              <w:t>Payment Commencement Date</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5.05</w:t>
            </w:r>
          </w:p>
        </w:tc>
        <w:tc>
          <w:tcPr>
            <w:tcW w:w="9320" w:type="dxa"/>
            <w:vAlign w:val="bottom"/>
          </w:tcPr>
          <w:p>
            <w:pPr>
              <w:ind w:left="180"/>
              <w:spacing w:after="0"/>
              <w:rPr>
                <w:sz w:val="20"/>
                <w:szCs w:val="20"/>
                <w:color w:val="auto"/>
              </w:rPr>
            </w:pPr>
            <w:r>
              <w:rPr>
                <w:rFonts w:ascii="Arial" w:cs="Arial" w:eastAsia="Arial" w:hAnsi="Arial"/>
                <w:sz w:val="18"/>
                <w:szCs w:val="18"/>
                <w:color w:val="auto"/>
              </w:rPr>
              <w:t>Election of Form and Amount of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5.06</w:t>
            </w:r>
          </w:p>
        </w:tc>
        <w:tc>
          <w:tcPr>
            <w:tcW w:w="9320" w:type="dxa"/>
            <w:vAlign w:val="bottom"/>
          </w:tcPr>
          <w:p>
            <w:pPr>
              <w:ind w:left="180"/>
              <w:spacing w:after="0"/>
              <w:rPr>
                <w:sz w:val="20"/>
                <w:szCs w:val="20"/>
                <w:color w:val="auto"/>
              </w:rPr>
            </w:pPr>
            <w:r>
              <w:rPr>
                <w:rFonts w:ascii="Arial" w:cs="Arial" w:eastAsia="Arial" w:hAnsi="Arial"/>
                <w:sz w:val="18"/>
                <w:szCs w:val="18"/>
                <w:color w:val="auto"/>
              </w:rPr>
              <w:t>Change in Payment Election</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5.07</w:t>
            </w:r>
          </w:p>
        </w:tc>
        <w:tc>
          <w:tcPr>
            <w:tcW w:w="9320" w:type="dxa"/>
            <w:vAlign w:val="bottom"/>
          </w:tcPr>
          <w:p>
            <w:pPr>
              <w:ind w:left="180"/>
              <w:spacing w:after="0"/>
              <w:rPr>
                <w:sz w:val="20"/>
                <w:szCs w:val="20"/>
                <w:color w:val="auto"/>
              </w:rPr>
            </w:pPr>
            <w:r>
              <w:rPr>
                <w:rFonts w:ascii="Arial" w:cs="Arial" w:eastAsia="Arial" w:hAnsi="Arial"/>
                <w:sz w:val="18"/>
                <w:szCs w:val="18"/>
                <w:color w:val="auto"/>
              </w:rPr>
              <w:t>Investment of Account during Installment Period</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ARTICLE VI</w:t>
            </w:r>
          </w:p>
        </w:tc>
        <w:tc>
          <w:tcPr>
            <w:tcW w:w="9940" w:type="dxa"/>
            <w:vAlign w:val="bottom"/>
            <w:gridSpan w:val="2"/>
          </w:tcPr>
          <w:p>
            <w:pPr>
              <w:ind w:left="140"/>
              <w:spacing w:after="0"/>
              <w:rPr>
                <w:sz w:val="20"/>
                <w:szCs w:val="20"/>
                <w:color w:val="auto"/>
              </w:rPr>
            </w:pPr>
            <w:r>
              <w:rPr>
                <w:rFonts w:ascii="Arial" w:cs="Arial" w:eastAsia="Arial" w:hAnsi="Arial"/>
                <w:sz w:val="18"/>
                <w:szCs w:val="18"/>
                <w:color w:val="auto"/>
              </w:rPr>
              <w:t>ADMINISTRATION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6.01</w:t>
            </w:r>
          </w:p>
        </w:tc>
        <w:tc>
          <w:tcPr>
            <w:tcW w:w="9320" w:type="dxa"/>
            <w:vAlign w:val="bottom"/>
          </w:tcPr>
          <w:p>
            <w:pPr>
              <w:ind w:left="180"/>
              <w:spacing w:after="0"/>
              <w:rPr>
                <w:sz w:val="20"/>
                <w:szCs w:val="20"/>
                <w:color w:val="auto"/>
              </w:rPr>
            </w:pPr>
            <w:r>
              <w:rPr>
                <w:rFonts w:ascii="Arial" w:cs="Arial" w:eastAsia="Arial" w:hAnsi="Arial"/>
                <w:sz w:val="18"/>
                <w:szCs w:val="18"/>
                <w:color w:val="auto"/>
              </w:rPr>
              <w:t>In General</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6.02</w:t>
            </w:r>
          </w:p>
        </w:tc>
        <w:tc>
          <w:tcPr>
            <w:tcW w:w="9320" w:type="dxa"/>
            <w:vAlign w:val="bottom"/>
          </w:tcPr>
          <w:p>
            <w:pPr>
              <w:ind w:left="180"/>
              <w:spacing w:after="0"/>
              <w:rPr>
                <w:sz w:val="20"/>
                <w:szCs w:val="20"/>
                <w:color w:val="auto"/>
              </w:rPr>
            </w:pPr>
            <w:r>
              <w:rPr>
                <w:rFonts w:ascii="Arial" w:cs="Arial" w:eastAsia="Arial" w:hAnsi="Arial"/>
                <w:sz w:val="18"/>
                <w:szCs w:val="18"/>
                <w:color w:val="auto"/>
              </w:rPr>
              <w:t>Plan Amendment and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6.03</w:t>
            </w:r>
          </w:p>
        </w:tc>
        <w:tc>
          <w:tcPr>
            <w:tcW w:w="9320" w:type="dxa"/>
            <w:vAlign w:val="bottom"/>
          </w:tcPr>
          <w:p>
            <w:pPr>
              <w:ind w:left="180"/>
              <w:spacing w:after="0"/>
              <w:rPr>
                <w:sz w:val="20"/>
                <w:szCs w:val="20"/>
                <w:color w:val="auto"/>
              </w:rPr>
            </w:pPr>
            <w:r>
              <w:rPr>
                <w:rFonts w:ascii="Arial" w:cs="Arial" w:eastAsia="Arial" w:hAnsi="Arial"/>
                <w:sz w:val="18"/>
                <w:szCs w:val="18"/>
                <w:color w:val="auto"/>
              </w:rPr>
              <w:t>Reports to Participants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6.04</w:t>
            </w:r>
          </w:p>
        </w:tc>
        <w:tc>
          <w:tcPr>
            <w:tcW w:w="9320" w:type="dxa"/>
            <w:vAlign w:val="bottom"/>
          </w:tcPr>
          <w:p>
            <w:pPr>
              <w:ind w:left="180"/>
              <w:spacing w:after="0"/>
              <w:rPr>
                <w:sz w:val="20"/>
                <w:szCs w:val="20"/>
                <w:color w:val="auto"/>
              </w:rPr>
            </w:pPr>
            <w:r>
              <w:rPr>
                <w:rFonts w:ascii="Arial" w:cs="Arial" w:eastAsia="Arial" w:hAnsi="Arial"/>
                <w:sz w:val="18"/>
                <w:szCs w:val="18"/>
                <w:color w:val="auto"/>
              </w:rPr>
              <w:t>Delegation of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ARTICLE VII</w:t>
            </w:r>
          </w:p>
        </w:tc>
        <w:tc>
          <w:tcPr>
            <w:tcW w:w="9940" w:type="dxa"/>
            <w:vAlign w:val="bottom"/>
            <w:gridSpan w:val="2"/>
          </w:tcPr>
          <w:p>
            <w:pPr>
              <w:ind w:left="140"/>
              <w:spacing w:after="0"/>
              <w:rPr>
                <w:sz w:val="20"/>
                <w:szCs w:val="20"/>
                <w:color w:val="auto"/>
              </w:rPr>
            </w:pPr>
            <w:r>
              <w:rPr>
                <w:rFonts w:ascii="Arial" w:cs="Arial" w:eastAsia="Arial" w:hAnsi="Arial"/>
                <w:sz w:val="18"/>
                <w:szCs w:val="18"/>
                <w:color w:val="auto"/>
              </w:rPr>
              <w:t>MISCELLANEOUS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7.01</w:t>
            </w:r>
          </w:p>
        </w:tc>
        <w:tc>
          <w:tcPr>
            <w:tcW w:w="9320" w:type="dxa"/>
            <w:vAlign w:val="bottom"/>
          </w:tcPr>
          <w:p>
            <w:pPr>
              <w:ind w:left="180"/>
              <w:spacing w:after="0"/>
              <w:rPr>
                <w:sz w:val="20"/>
                <w:szCs w:val="20"/>
                <w:color w:val="auto"/>
              </w:rPr>
            </w:pPr>
            <w:r>
              <w:rPr>
                <w:rFonts w:ascii="Arial" w:cs="Arial" w:eastAsia="Arial" w:hAnsi="Arial"/>
                <w:sz w:val="18"/>
                <w:szCs w:val="18"/>
                <w:color w:val="auto"/>
              </w:rPr>
              <w:t>Rights Not Assignable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7.02</w:t>
            </w:r>
          </w:p>
        </w:tc>
        <w:tc>
          <w:tcPr>
            <w:tcW w:w="9320" w:type="dxa"/>
            <w:vAlign w:val="bottom"/>
          </w:tcPr>
          <w:p>
            <w:pPr>
              <w:ind w:left="180"/>
              <w:spacing w:after="0"/>
              <w:rPr>
                <w:sz w:val="20"/>
                <w:szCs w:val="20"/>
                <w:color w:val="auto"/>
              </w:rPr>
            </w:pPr>
            <w:r>
              <w:rPr>
                <w:rFonts w:ascii="Arial" w:cs="Arial" w:eastAsia="Arial" w:hAnsi="Arial"/>
                <w:sz w:val="18"/>
                <w:szCs w:val="18"/>
                <w:color w:val="auto"/>
              </w:rPr>
              <w:t>Certain Rights 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7.03</w:t>
            </w:r>
          </w:p>
        </w:tc>
        <w:tc>
          <w:tcPr>
            <w:tcW w:w="9320" w:type="dxa"/>
            <w:vAlign w:val="bottom"/>
          </w:tcPr>
          <w:p>
            <w:pPr>
              <w:ind w:left="180"/>
              <w:spacing w:after="0"/>
              <w:rPr>
                <w:sz w:val="20"/>
                <w:szCs w:val="20"/>
                <w:color w:val="auto"/>
              </w:rPr>
            </w:pPr>
            <w:r>
              <w:rPr>
                <w:rFonts w:ascii="Arial" w:cs="Arial" w:eastAsia="Arial" w:hAnsi="Arial"/>
                <w:sz w:val="18"/>
                <w:szCs w:val="18"/>
                <w:color w:val="auto"/>
              </w:rPr>
              <w:t>Withholding Taxes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7.04</w:t>
            </w:r>
          </w:p>
        </w:tc>
        <w:tc>
          <w:tcPr>
            <w:tcW w:w="9320" w:type="dxa"/>
            <w:vAlign w:val="bottom"/>
          </w:tcPr>
          <w:p>
            <w:pPr>
              <w:ind w:left="180"/>
              <w:spacing w:after="0"/>
              <w:rPr>
                <w:sz w:val="20"/>
                <w:szCs w:val="20"/>
                <w:color w:val="auto"/>
              </w:rPr>
            </w:pPr>
            <w:r>
              <w:rPr>
                <w:rFonts w:ascii="Arial" w:cs="Arial" w:eastAsia="Arial" w:hAnsi="Arial"/>
                <w:sz w:val="18"/>
                <w:szCs w:val="18"/>
                <w:color w:val="auto"/>
              </w:rPr>
              <w:t>Compliance with Section 409A</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7.05</w:t>
            </w:r>
          </w:p>
        </w:tc>
        <w:tc>
          <w:tcPr>
            <w:tcW w:w="9320" w:type="dxa"/>
            <w:vAlign w:val="bottom"/>
          </w:tcPr>
          <w:p>
            <w:pPr>
              <w:ind w:left="180"/>
              <w:spacing w:after="0"/>
              <w:rPr>
                <w:sz w:val="20"/>
                <w:szCs w:val="20"/>
                <w:color w:val="auto"/>
              </w:rPr>
            </w:pPr>
            <w:r>
              <w:rPr>
                <w:rFonts w:ascii="Arial" w:cs="Arial" w:eastAsia="Arial" w:hAnsi="Arial"/>
                <w:sz w:val="18"/>
                <w:szCs w:val="18"/>
                <w:color w:val="auto"/>
              </w:rPr>
              <w:t>Incompetence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7.06</w:t>
            </w:r>
          </w:p>
        </w:tc>
        <w:tc>
          <w:tcPr>
            <w:tcW w:w="9320" w:type="dxa"/>
            <w:vAlign w:val="bottom"/>
          </w:tcPr>
          <w:p>
            <w:pPr>
              <w:ind w:left="180"/>
              <w:spacing w:after="0"/>
              <w:rPr>
                <w:sz w:val="20"/>
                <w:szCs w:val="20"/>
                <w:color w:val="auto"/>
              </w:rPr>
            </w:pPr>
            <w:r>
              <w:rPr>
                <w:rFonts w:ascii="Arial" w:cs="Arial" w:eastAsia="Arial" w:hAnsi="Arial"/>
                <w:sz w:val="18"/>
                <w:szCs w:val="18"/>
                <w:color w:val="auto"/>
              </w:rPr>
              <w:t>Inability to Locate Participants and Beneficiaries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7.07</w:t>
            </w:r>
          </w:p>
        </w:tc>
        <w:tc>
          <w:tcPr>
            <w:tcW w:w="9320" w:type="dxa"/>
            <w:vAlign w:val="bottom"/>
          </w:tcPr>
          <w:p>
            <w:pPr>
              <w:ind w:left="180"/>
              <w:spacing w:after="0"/>
              <w:rPr>
                <w:sz w:val="20"/>
                <w:szCs w:val="20"/>
                <w:color w:val="auto"/>
              </w:rPr>
            </w:pPr>
            <w:r>
              <w:rPr>
                <w:rFonts w:ascii="Arial" w:cs="Arial" w:eastAsia="Arial" w:hAnsi="Arial"/>
                <w:sz w:val="18"/>
                <w:szCs w:val="18"/>
                <w:color w:val="auto"/>
              </w:rPr>
              <w:t>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7.08</w:t>
            </w:r>
          </w:p>
        </w:tc>
        <w:tc>
          <w:tcPr>
            <w:tcW w:w="9320" w:type="dxa"/>
            <w:vAlign w:val="bottom"/>
          </w:tcPr>
          <w:p>
            <w:pPr>
              <w:ind w:left="180"/>
              <w:spacing w:after="0"/>
              <w:rPr>
                <w:sz w:val="20"/>
                <w:szCs w:val="20"/>
                <w:color w:val="auto"/>
              </w:rPr>
            </w:pPr>
            <w:r>
              <w:rPr>
                <w:rFonts w:ascii="Arial" w:cs="Arial" w:eastAsia="Arial" w:hAnsi="Arial"/>
                <w:sz w:val="18"/>
                <w:szCs w:val="18"/>
                <w:color w:val="auto"/>
              </w:rPr>
              <w:t>Usage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7.09</w:t>
            </w:r>
          </w:p>
        </w:tc>
        <w:tc>
          <w:tcPr>
            <w:tcW w:w="932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7.10</w:t>
            </w:r>
          </w:p>
        </w:tc>
        <w:tc>
          <w:tcPr>
            <w:tcW w:w="932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APPENDIX A</w:t>
            </w:r>
          </w:p>
        </w:tc>
        <w:tc>
          <w:tcPr>
            <w:tcW w:w="6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 AND PURPOSE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Purpose of Plan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United Technologies Corporation Board of Directors Deferred Stock Unit Plan (the “Plan”) has been established to provide an arrangement for non-employee directors to defer their Annual Retainer and Restricted Stock Unit Award for A New Director in the form of deferred stock units equal in value to shares of the Corporation’s common stock for the purpose of aligning the interests of non-employee directors with those of the Corporation’s shareowners. The Plan is hereby amended and restated for the purposes of: (i) accommodating changes to the non-employee directors compensation program, including the consolidation of prior compensation program elements into a revised retainer structure as integrated into this Plan; and (ii) effecting certain changes related to compliance with Section 409A of the Internal Revenue Code.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Effective Date of Plan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Changes related to the re-design of the non-employee directors’ compensation program are generally effective for deferrals credited on and after January 1, 2006. Changes related to Section 409A of the Internal Revenue Code are generally effective for deferrals that were earned or vested after December 31, 2004. Amounts that were earned or vested (within the meaning of Section 409A) prior to January 1, 2005, and any subsequent increases in these amounts that are permitted to be treated as grandfathered benefits under Section 409A, are generally subject to and shall continue to be governed by the terms of the Prior Plan set forth in Appendix 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3" w:name="page44"/>
    <w:bookmarkEnd w:id="4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Unless the context clearly indicates otherwise, the following terms, when used in capitalized form in the Plan, shall have the meanings set forth below:</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Account </w:t>
      </w:r>
      <w:r>
        <w:rPr>
          <w:rFonts w:ascii="Arial" w:cs="Arial" w:eastAsia="Arial" w:hAnsi="Arial"/>
          <w:sz w:val="18"/>
          <w:szCs w:val="18"/>
          <w:color w:val="auto"/>
        </w:rPr>
        <w:t>means a bookkeeping account established for a Participant under Article IV that is credited with Deferred Stock Units representing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or vested after 2004. Any compensation earned and vested before 2005 shall be credited to a Participant’s Prior Plan Account and shall be subject to the provisions set forth in Appendix A.</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Annual Retainer </w:t>
      </w:r>
      <w:r>
        <w:rPr>
          <w:rFonts w:ascii="Arial" w:cs="Arial" w:eastAsia="Arial" w:hAnsi="Arial"/>
          <w:sz w:val="18"/>
          <w:szCs w:val="18"/>
          <w:color w:val="auto"/>
        </w:rPr>
        <w:t>means the annual retainer payable to a Participant under Section 3.01 for services to the Company as a non-employee member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Beneficiary </w:t>
      </w:r>
      <w:r>
        <w:rPr>
          <w:rFonts w:ascii="Arial" w:cs="Arial" w:eastAsia="Arial" w:hAnsi="Arial"/>
          <w:sz w:val="16"/>
          <w:szCs w:val="16"/>
          <w:color w:val="auto"/>
        </w:rPr>
        <w:t>means a Participant’s beneficiary, designated in writing and in a form and manner satisfactory to the Committee, or if a Participant fails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designate a beneficiary, or if all of the Participant’s designated Beneficiaries predecease the Participant, the Participant’s estate.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Corporation.</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 from time to time, and any successor thereto. References to any section of the Internal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Code shall include any final regulations or other published guidance interpreting that section.</w:t>
      </w:r>
    </w:p>
    <w:p>
      <w:pPr>
        <w:spacing w:after="0" w:line="132"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b w:val="1"/>
          <w:bCs w:val="1"/>
          <w:i w:val="1"/>
          <w:iCs w:val="1"/>
          <w:color w:val="auto"/>
        </w:rPr>
        <w:t xml:space="preserve">Closing Price </w:t>
      </w:r>
      <w:r>
        <w:rPr>
          <w:rFonts w:ascii="Arial" w:cs="Arial" w:eastAsia="Arial" w:hAnsi="Arial"/>
          <w:sz w:val="15"/>
          <w:szCs w:val="15"/>
          <w:color w:val="auto"/>
        </w:rPr>
        <w:t>means, with respect to any date specified by the Plan, the closing price of UTC Common Stock on the composite tape of New York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Exchange issues (or if there was no reported sale of UTC Common Stock on such date, on the next preceding day on which there was such a reported sale).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Committee </w:t>
      </w:r>
      <w:r>
        <w:rPr>
          <w:rFonts w:ascii="Arial" w:cs="Arial" w:eastAsia="Arial" w:hAnsi="Arial"/>
          <w:sz w:val="18"/>
          <w:szCs w:val="18"/>
          <w:color w:val="auto"/>
        </w:rPr>
        <w:t>means the Committee on Nominations and Governance of the Board.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Corporation </w:t>
      </w:r>
      <w:r>
        <w:rPr>
          <w:rFonts w:ascii="Arial" w:cs="Arial" w:eastAsia="Arial" w:hAnsi="Arial"/>
          <w:sz w:val="18"/>
          <w:szCs w:val="18"/>
          <w:color w:val="auto"/>
        </w:rPr>
        <w:t>means United Technologies Corporation.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Deferred Stock Unit </w:t>
      </w:r>
      <w:r>
        <w:rPr>
          <w:rFonts w:ascii="Arial" w:cs="Arial" w:eastAsia="Arial" w:hAnsi="Arial"/>
          <w:sz w:val="18"/>
          <w:szCs w:val="18"/>
          <w:color w:val="auto"/>
        </w:rPr>
        <w:t>means a hypothetical share of UTC Common Stock as described in Section 4.05.</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Election </w:t>
      </w:r>
      <w:r>
        <w:rPr>
          <w:rFonts w:ascii="Arial" w:cs="Arial" w:eastAsia="Arial" w:hAnsi="Arial"/>
          <w:sz w:val="18"/>
          <w:szCs w:val="18"/>
          <w:color w:val="auto"/>
        </w:rPr>
        <w:t>means an irrevocable election by a Participant either to defer a portion of the Annual Retainer otherwise payable in cash or to specify how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 will be distributed (i.e., as a lump sum, in 10 annual installments or in 15 annual installments).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each member of the Board (other than a member of the Board who is also an employee of the Company or a subsidiary thereof) who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becomes a member of the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Anniversary Date </w:t>
      </w:r>
      <w:r>
        <w:rPr>
          <w:rFonts w:ascii="Arial" w:cs="Arial" w:eastAsia="Arial" w:hAnsi="Arial"/>
          <w:sz w:val="18"/>
          <w:szCs w:val="18"/>
          <w:color w:val="auto"/>
        </w:rPr>
        <w:t>means an anniversary of the Payment Commencement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Payment Commencement Date </w:t>
      </w:r>
      <w:r>
        <w:rPr>
          <w:rFonts w:ascii="Arial" w:cs="Arial" w:eastAsia="Arial" w:hAnsi="Arial"/>
          <w:sz w:val="15"/>
          <w:szCs w:val="15"/>
          <w:color w:val="auto"/>
        </w:rPr>
        <w:t>means the first business day of the first month following the month in which the Participant has a Separation from Service.</w:t>
      </w:r>
    </w:p>
    <w:p>
      <w:pPr>
        <w:spacing w:after="0" w:line="20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this United Technologies Corporation Board of Directors Deferred Stock Unit Plan, as amended and restated herein effective January 1, 2005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 amended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Plan Year </w:t>
      </w:r>
      <w:r>
        <w:rPr>
          <w:rFonts w:ascii="Arial" w:cs="Arial" w:eastAsia="Arial" w:hAnsi="Arial"/>
          <w:sz w:val="18"/>
          <w:szCs w:val="18"/>
          <w:color w:val="auto"/>
        </w:rPr>
        <w:t>means the calendar year.</w:t>
      </w:r>
    </w:p>
    <w:p>
      <w:pPr>
        <w:spacing w:after="0" w:line="171" w:lineRule="exact"/>
        <w:rPr>
          <w:sz w:val="20"/>
          <w:szCs w:val="20"/>
          <w:color w:val="auto"/>
        </w:rPr>
      </w:pPr>
    </w:p>
    <w:p>
      <w:pPr>
        <w:jc w:val="both"/>
        <w:ind w:right="3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Prior Plan </w:t>
      </w:r>
      <w:r>
        <w:rPr>
          <w:rFonts w:ascii="Arial" w:cs="Arial" w:eastAsia="Arial" w:hAnsi="Arial"/>
          <w:sz w:val="16"/>
          <w:szCs w:val="16"/>
          <w:color w:val="auto"/>
        </w:rPr>
        <w:t>means the United Technologies Corporation Board of Directors Deferred Stock Unit Plan as in effect on October 3, 2004, and as modified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thereafter from time to time in a manner that does not constitute a “material modification” for purposes of Section 409A, as set forth in Appendix A hereto.</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Restricted Stock Unit Award for a New Director </w:t>
      </w:r>
      <w:r>
        <w:rPr>
          <w:rFonts w:ascii="Arial" w:cs="Arial" w:eastAsia="Arial" w:hAnsi="Arial"/>
          <w:sz w:val="18"/>
          <w:szCs w:val="18"/>
          <w:color w:val="auto"/>
        </w:rPr>
        <w:t>means the one-time restricted stock unit award granted to a Participant under Section 3.02 upon election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Board.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45" w:name="page46"/>
    <w:bookmarkEnd w:id="45"/>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Separation from Service </w:t>
      </w:r>
      <w:r>
        <w:rPr>
          <w:rFonts w:ascii="Arial" w:cs="Arial" w:eastAsia="Arial" w:hAnsi="Arial"/>
          <w:sz w:val="18"/>
          <w:szCs w:val="18"/>
          <w:color w:val="auto"/>
        </w:rPr>
        <w:t>means a Participant’s resignation, removal, or retirement from the Board (for a reason other than death) that constitutes a good-faith, complete termination of the Participant’s relationship with the Corporation, and that also qualifies as a “separation from service” for purposes of Section 409A of the Code.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UTC Common Stock </w:t>
      </w:r>
      <w:r>
        <w:rPr>
          <w:rFonts w:ascii="Arial" w:cs="Arial" w:eastAsia="Arial" w:hAnsi="Arial"/>
          <w:sz w:val="18"/>
          <w:szCs w:val="18"/>
          <w:color w:val="auto"/>
        </w:rPr>
        <w:t>shall mean the common stock of the Corporation.</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ELIGIBLE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  Annual Retainer</w:t>
      </w:r>
    </w:p>
    <w:p>
      <w:pPr>
        <w:spacing w:after="0" w:line="96" w:lineRule="exact"/>
        <w:rPr>
          <w:sz w:val="20"/>
          <w:szCs w:val="20"/>
          <w:color w:val="auto"/>
        </w:rPr>
      </w:pPr>
    </w:p>
    <w:p>
      <w:pPr>
        <w:jc w:val="both"/>
        <w:ind w:right="140" w:firstLine="464"/>
        <w:spacing w:after="0" w:line="256"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Amount. </w:t>
      </w:r>
      <w:r>
        <w:rPr>
          <w:rFonts w:ascii="Arial" w:cs="Arial" w:eastAsia="Arial" w:hAnsi="Arial"/>
          <w:sz w:val="18"/>
          <w:szCs w:val="18"/>
          <w:color w:val="auto"/>
        </w:rPr>
        <w:t>Effective January 1, 2006, subject to subsections (b) and (c) of this Section 3.01, the Annual Retainer shall be as follows: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case of the Audit Committee Chair and the Presiding or Lead Director, $260,000; in the case of any other member of the Audit Committee, $250,000; in the case of any other Committee Chair, $230,000; and for all other Participants, $220,000. The Annual Retainer is subject to change from time to time at the discretion of the Committee.</w:t>
      </w:r>
    </w:p>
    <w:p>
      <w:pPr>
        <w:spacing w:after="0" w:line="143"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Terminated Participants. </w:t>
      </w:r>
      <w:r>
        <w:rPr>
          <w:rFonts w:ascii="Arial" w:cs="Arial" w:eastAsia="Arial" w:hAnsi="Arial"/>
          <w:sz w:val="18"/>
          <w:szCs w:val="18"/>
          <w:color w:val="auto"/>
        </w:rPr>
        <w:t>If a Participant’s Separation from Service or death occurs before the Corporation’s Annual Meeting, the Participant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an Annual Retainer for the year of the Participant’s Separation from Service or death.</w:t>
      </w:r>
    </w:p>
    <w:p>
      <w:pPr>
        <w:spacing w:after="0" w:line="131" w:lineRule="exact"/>
        <w:rPr>
          <w:rFonts w:ascii="Arial" w:cs="Arial" w:eastAsia="Arial" w:hAnsi="Arial"/>
          <w:sz w:val="18"/>
          <w:szCs w:val="18"/>
          <w:color w:val="auto"/>
        </w:rPr>
      </w:pPr>
    </w:p>
    <w:p>
      <w:pPr>
        <w:ind w:firstLine="464"/>
        <w:spacing w:after="0" w:line="291"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New Participants. </w:t>
      </w:r>
      <w:r>
        <w:rPr>
          <w:rFonts w:ascii="Arial" w:cs="Arial" w:eastAsia="Arial" w:hAnsi="Arial"/>
          <w:sz w:val="16"/>
          <w:szCs w:val="16"/>
          <w:color w:val="auto"/>
        </w:rPr>
        <w:t>If a Participant is elected to the Board before September 30 of a calendar year, the Participant will receive the full amount of the then</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Annual Retainer, with 60% of such amount credited automatically to a Participant’s Annual Retainer Account as Deferred Stock Units as of the date of the Participant’s election to the Board; and with 40% of such amount eligible for a deferral election in accordance with Article V. If a Participant is elected to the Board after September 30 of a calendar year, the Participant will receive 50% of the then applicable Annual Retainer, with 60% of such amount credited automatically to a Participant’s Annual Retainer Account as Deferred Stock Units as of the date of the Participant’s election to the Board; and with 40% of such amount eligible for a deferral election in accordance with Article V.</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3.02  Restricted Stock Unit Award for a New Director</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Effective as of the date of the Participant’s election to the Board, the Participant shall receive an unvested Restricted Stock Unit Award for a New Director (“RSU Award”) of Deferred Stock Units equal in value to $100,000 as of such date. The amount of an RSU Award is subject to change at the discretion of the Committee.</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ACCOUNTS AND CREDITS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  Non-elective Annual Retainer</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60% of the Annual Retainer shall be credited automatically to a Participant’s Annual Retainer Account as Deferred Stock Units, effective as of the date of the Corporation’s Annual Meeting. Participants may not elect to receive this portion of the Annual Retainer as current cash.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4.02  Elective Annual Retainer</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40% of the Annual Retainer is payable in cash unless the Participant makes a timely irrevocable election in accordance with Article V to defer the receipt of this 40% amount as Deferred Stock Units under this Plan in lieu of a cash payment.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4.03  Restricted Stock Unit Award for a New Director</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Effective as of the date of the Participant’s election to the Board, the Corporation will credit the amount of the RSU Award to a New Director Restricted Stock Unit Account (“RSU Account”) established for the Participant. The amount of an RSU Award is subject to change at the discretion of the Committee. The RSU Account may not be distributed prior to the Participant’s Separation from Service. The value of the RSU Account is subject to forfeiture if Separation from Service occurs before the first annual meeting following the date of election to the Board. Thereafter, the percentage of such Award subject to forfeiture will be reduced by 20</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74" w:right="359" w:bottom="1440" w:gutter="0" w:footer="0" w:header="0"/>
        </w:sectPr>
      </w:pPr>
    </w:p>
    <w:bookmarkStart w:id="47" w:name="page48"/>
    <w:bookmarkEnd w:id="47"/>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percentage points as of the date of each succeeding annual meeting until the fifth annual meeting when 100% of the value of such Award will be vested and subject to distribution following Separation from Service. There will be no forfeiture of interest in the RSU Account in the event of the Participant’s death, Disability, or a “Change in Control” as defined in the Corporation’s Long Term Incentive Plan while the Participant is a member of the Board, or in the event of the Participant’s resignation or retirement from the Board for the purpose of accepting full-time employment in public or charitable service. A Participant’s RSU Account will be credited with dividend equivalents which will vest immediately, but will otherwise be subject to the same transfer restrictions applicable to the Deferred Stock Units credited to the Account.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4.04  Accounts</w:t>
      </w:r>
    </w:p>
    <w:p>
      <w:pPr>
        <w:spacing w:after="0" w:line="96" w:lineRule="exact"/>
        <w:rPr>
          <w:sz w:val="20"/>
          <w:szCs w:val="20"/>
          <w:color w:val="auto"/>
        </w:rPr>
      </w:pPr>
    </w:p>
    <w:p>
      <w:pPr>
        <w:jc w:val="both"/>
        <w:ind w:right="340" w:firstLine="464"/>
        <w:spacing w:after="0" w:line="298"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Post-December 31, 2004 Credits. </w:t>
      </w:r>
      <w:r>
        <w:rPr>
          <w:rFonts w:ascii="Arial" w:cs="Arial" w:eastAsia="Arial" w:hAnsi="Arial"/>
          <w:sz w:val="16"/>
          <w:szCs w:val="16"/>
          <w:color w:val="auto"/>
        </w:rPr>
        <w:t>All Annual Retainer deferrals and RSU Awards earned or vested after December 31, 2004, shall be maintained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under and shall be subject to the terms and conditions of the Plan, as amended and restated herein, effective January 1, 2005. Separate Accounts for post-December 31, 2004 Deferred Stock Units will be maintained for each Participant. Sub-accounts may be maintained within Participants’ Accounts to the extent the Committee determines such an arrangement to be necessary or useful in the administration of the Plan.</w:t>
      </w:r>
    </w:p>
    <w:p>
      <w:pPr>
        <w:spacing w:after="0" w:line="112" w:lineRule="exact"/>
        <w:rPr>
          <w:rFonts w:ascii="Arial" w:cs="Arial" w:eastAsia="Arial" w:hAnsi="Arial"/>
          <w:sz w:val="16"/>
          <w:szCs w:val="16"/>
          <w:color w:val="auto"/>
        </w:rPr>
      </w:pPr>
    </w:p>
    <w:p>
      <w:pPr>
        <w:ind w:firstLine="464"/>
        <w:spacing w:after="0" w:line="290" w:lineRule="auto"/>
        <w:tabs>
          <w:tab w:leader="none" w:pos="70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Pre-January 1, 2005 Credits. </w:t>
      </w:r>
      <w:r>
        <w:rPr>
          <w:rFonts w:ascii="Arial" w:cs="Arial" w:eastAsia="Arial" w:hAnsi="Arial"/>
          <w:sz w:val="16"/>
          <w:szCs w:val="16"/>
          <w:color w:val="auto"/>
        </w:rPr>
        <w:t>All Annual Retainer deferrals and RSU Awards earned and vested prior to January 1, 2005, and any subsequent increases</w:t>
      </w:r>
      <w:r>
        <w:rPr>
          <w:rFonts w:ascii="Arial" w:cs="Arial" w:eastAsia="Arial" w:hAnsi="Arial"/>
          <w:sz w:val="16"/>
          <w:szCs w:val="16"/>
          <w:i w:val="1"/>
          <w:iCs w:val="1"/>
          <w:color w:val="auto"/>
        </w:rPr>
        <w:t xml:space="preserve"> </w:t>
      </w:r>
      <w:r>
        <w:rPr>
          <w:rFonts w:ascii="Arial" w:cs="Arial" w:eastAsia="Arial" w:hAnsi="Arial"/>
          <w:sz w:val="16"/>
          <w:szCs w:val="16"/>
          <w:color w:val="auto"/>
        </w:rPr>
        <w:t>in these amounts that are permitted to be treated as grandfathered benefits under Section 409A of the Code (e.g., increases in unit value and dividend equivalents), shall be maintained in separate Prior Plan Accounts and shall remain subject to the terms and conditions of the Prior Plan as in effect on October 3, 2004. Prior Plan Accounts shall be equal to the value earned and vested on December 31, 2004, as subsequently adjusted in accordance with the Prior Plan. The Prior Plan and Prior Plan Accounts are not intended to be subject to Section 409A of the Code. No amendment to Appendix A that would constitute a “material modification” for purposes of Section 409A shall be effective unless the amending instrument states that it is intended to materially modify Appendix A and to cause the Prior Plan to become subject to Section 409A.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4.05  Deferred Stock Units</w:t>
      </w:r>
    </w:p>
    <w:p>
      <w:pPr>
        <w:spacing w:after="0" w:line="96" w:lineRule="exact"/>
        <w:rPr>
          <w:sz w:val="20"/>
          <w:szCs w:val="20"/>
          <w:color w:val="auto"/>
        </w:rPr>
      </w:pPr>
    </w:p>
    <w:p>
      <w:pPr>
        <w:ind w:right="340" w:firstLine="464"/>
        <w:spacing w:after="0" w:line="332"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Deemed Investment in UTC Common Stock</w:t>
      </w:r>
      <w:r>
        <w:rPr>
          <w:rFonts w:ascii="Arial" w:cs="Arial" w:eastAsia="Arial" w:hAnsi="Arial"/>
          <w:sz w:val="16"/>
          <w:szCs w:val="16"/>
          <w:color w:val="auto"/>
        </w:rPr>
        <w:t>. Except as provided in Section 5.07, a Participant’s Account shall be treated as if it were invested in</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Stock Units that are equivalent in value to the fair market value of shares of UTC Common Stock in accordance with the following rules:</w:t>
      </w:r>
    </w:p>
    <w:p>
      <w:pPr>
        <w:spacing w:after="0" w:line="4" w:lineRule="exact"/>
        <w:rPr>
          <w:rFonts w:ascii="Arial" w:cs="Arial" w:eastAsia="Arial" w:hAnsi="Arial"/>
          <w:sz w:val="16"/>
          <w:szCs w:val="16"/>
          <w:color w:val="auto"/>
        </w:rPr>
      </w:pPr>
    </w:p>
    <w:p>
      <w:pPr>
        <w:jc w:val="both"/>
        <w:ind w:left="460" w:right="60" w:firstLine="443"/>
        <w:spacing w:after="0" w:line="298" w:lineRule="auto"/>
        <w:tabs>
          <w:tab w:leader="none" w:pos="1147"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Conversion into Deferred Stock Units. </w:t>
      </w:r>
      <w:r>
        <w:rPr>
          <w:rFonts w:ascii="Arial" w:cs="Arial" w:eastAsia="Arial" w:hAnsi="Arial"/>
          <w:sz w:val="16"/>
          <w:szCs w:val="16"/>
          <w:color w:val="auto"/>
        </w:rPr>
        <w:t>The RSU Award credited to a Participant’s RSU Account under Section 4.03, and the Annual Retainer</w:t>
      </w:r>
      <w:r>
        <w:rPr>
          <w:rFonts w:ascii="Arial" w:cs="Arial" w:eastAsia="Arial" w:hAnsi="Arial"/>
          <w:sz w:val="16"/>
          <w:szCs w:val="16"/>
          <w:i w:val="1"/>
          <w:iCs w:val="1"/>
          <w:color w:val="auto"/>
        </w:rPr>
        <w:t xml:space="preserve"> </w:t>
      </w:r>
      <w:r>
        <w:rPr>
          <w:rFonts w:ascii="Arial" w:cs="Arial" w:eastAsia="Arial" w:hAnsi="Arial"/>
          <w:sz w:val="16"/>
          <w:szCs w:val="16"/>
          <w:color w:val="auto"/>
        </w:rPr>
        <w:t>credited to a Participant’s Annual Retainer Account for a Plan Year under Section 4.01 or 4.02 shall be converted into Deferred Stock Units (including fractional Deferred Stock Units) by dividing the amount of the RSU Award or Annual Retainer credited by the Closing Price on the date of the Corporation’s Annual Meeting or the date a Participant is elected to the Board, as applicable.</w:t>
      </w:r>
    </w:p>
    <w:p>
      <w:pPr>
        <w:spacing w:after="0" w:line="31" w:lineRule="exact"/>
        <w:rPr>
          <w:rFonts w:ascii="Arial" w:cs="Arial" w:eastAsia="Arial" w:hAnsi="Arial"/>
          <w:sz w:val="16"/>
          <w:szCs w:val="16"/>
          <w:color w:val="auto"/>
        </w:rPr>
      </w:pPr>
    </w:p>
    <w:p>
      <w:pPr>
        <w:ind w:left="460" w:firstLine="443"/>
        <w:spacing w:after="0" w:line="254" w:lineRule="auto"/>
        <w:tabs>
          <w:tab w:leader="none" w:pos="1147"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Deemed Reinvestment Of Dividends. </w:t>
      </w:r>
      <w:r>
        <w:rPr>
          <w:rFonts w:ascii="Arial" w:cs="Arial" w:eastAsia="Arial" w:hAnsi="Arial"/>
          <w:sz w:val="18"/>
          <w:szCs w:val="18"/>
          <w:color w:val="auto"/>
        </w:rPr>
        <w:t>The number of Deferred Stock Units credited to a Participant’s Annual Retainer or RSU Account on a</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payment date shall be increased on each date on which a dividend is paid on UTC Common Stock. The number of additional Deferred Stock Units credited to a Participant’s Annual Retainer or RSU Account as a result of such dividend payment shall be determined by (i) multiplying the total number of Deferred Stock Units (including fractional Deferred Stock Units) credited to the Participant’s Account on the dividend payment date by the amount of the dividend paid per share of UTC Common Stock on the dividend payment date, and (ii) dividing the product so determined by the Closing Price on the dividend payment date.</w:t>
      </w:r>
    </w:p>
    <w:p>
      <w:pPr>
        <w:spacing w:after="0" w:line="63" w:lineRule="exact"/>
        <w:rPr>
          <w:rFonts w:ascii="Arial" w:cs="Arial" w:eastAsia="Arial" w:hAnsi="Arial"/>
          <w:sz w:val="18"/>
          <w:szCs w:val="18"/>
          <w:color w:val="auto"/>
        </w:rPr>
      </w:pPr>
    </w:p>
    <w:p>
      <w:pPr>
        <w:ind w:left="460" w:right="40" w:firstLine="443"/>
        <w:spacing w:after="0" w:line="259" w:lineRule="auto"/>
        <w:tabs>
          <w:tab w:leader="none" w:pos="1147"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Conversion Out of Deferred Stock Units. </w:t>
      </w:r>
      <w:r>
        <w:rPr>
          <w:rFonts w:ascii="Arial" w:cs="Arial" w:eastAsia="Arial" w:hAnsi="Arial"/>
          <w:sz w:val="18"/>
          <w:szCs w:val="18"/>
          <w:color w:val="auto"/>
        </w:rPr>
        <w:t>The dollar value of the Deferred Stock Units credited to a Participant’s Annual Retainer or RSU</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on any date shall be determined by multiplying the number of Deferred Stock Units (including fractional Deferred Stock Units) credited to the Participant’s Account by the Closing Price on that date.</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240" w:top="274" w:right="519" w:bottom="1440" w:gutter="0" w:footer="0" w:header="0"/>
        </w:sectPr>
      </w:pPr>
    </w:p>
    <w:bookmarkStart w:id="49" w:name="page50"/>
    <w:bookmarkEnd w:id="49"/>
    <w:p>
      <w:pPr>
        <w:ind w:left="460" w:firstLine="443"/>
        <w:spacing w:after="0" w:line="289" w:lineRule="auto"/>
        <w:tabs>
          <w:tab w:leader="none" w:pos="1147"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Effect of Recapitalization. </w:t>
      </w:r>
      <w:r>
        <w:rPr>
          <w:rFonts w:ascii="Arial" w:cs="Arial" w:eastAsia="Arial" w:hAnsi="Arial"/>
          <w:sz w:val="16"/>
          <w:szCs w:val="16"/>
          <w:color w:val="auto"/>
        </w:rPr>
        <w:t>In the event of a transaction or event described in this paragraph (4) (a “Recapitalization Event”), the number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credited to a Participant’s Annual Retainer or RSU Account shall be adjusted in the same manner as outstanding shares of Common Stock. A Recapitalization Event includes a dividend (other than regular quarterly dividends) or other extraordinary distribution to holders of Common Stock (whether in the form of cash, shares, other securities, or other property), extraordinary cash dividend, recapitalization, stock split, reverse stock split, reorganization, merger, consolidation, split-up, spin-off, repurchase, or exchange of shares or other securities, the issuance or exercisability of stock purchase rights, the issuance of warrants or other rights to purchase shares or other securities, or other similar corporate transaction or event that has a material affect on the shares of UTC Common Stock and requires conforming adjustment to the value and/or number of Deferred Stock Units to prevent dilution or enlargement of the value of Participants’ Accounts.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4.06  Hypothetical Nature of Accounts and Investments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Account established under this Article IV shall be maintained for bookkeeping purposes only. Neither the Plan nor any of the Accounts established under the Plan shall hold any actual funds or assets. The Deferred Stock Units established hereunder shall be used solely to determine the amounts to be paid hereunder, shall not be or represent an equity security of the Company, shall not be convertible into or otherwise entitle a Participant to acquire an equity security of the Company and shall not carry any voting or dividend rights.</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ELECTION PROCEDURES AND PAYMENTS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5.01  Annual Retainer Deferral Election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Participants who elect to defer the receipt of the eligible 40% of each year’s Annual Retainer as Deferred Stock Units under this Plan, must, on or before the election deadline established by the Committee, make a written deferral election on the Election form provided by the Committee.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5.02  Annual Retainer Deferral Election Deadline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written Election form must be completed and submitted to the Office of the Corporate Secretary no later than December 31st of the calendar year prior to the year for which the Annual Retainer is earned or, for new Participants, prior to the date the Participant is elected to the Board, and in no event later than 30 days after such election. If a Participant fails to timely submit a properly completed Election form, the remaining 40% of the Participant’s Annual Retainer earned in the applicable year shall be paid as provided in Section 4.02. The Participant’s deferral election shall be irrevocable following the election deadline.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5.03  Entitlement to Payment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payment from an Account under the Plan shall be made solely in cash and as further provided in this Article V. The right of any person to receive one or more payments under the Plan shall be an unsecured claim against the general assets of the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5.04  Payment Commencement Date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Payments to a Participant with respect to the Participant’s Annual Retainer Account or RSU Account shall begin as of the Participant’s Payment Commencement Date or, if the Participant has changed his payment election as provided in Section 5.06, on the fifth anniversary of the Participant’s Payment Commencement Date. If a Participant dies before payments to the Participant commence, payment of the entire value of the Participant’s Accounts shall be made in a lump sum to the Participant’s Beneficiary on the first business day of the third month following the month of the Participant’s death.</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purposes of the Code, a payment is treated as being made on the date when it is due under the Plan if the payment is made on the due date specified by the Plan, or on a later date that is either (a) in the same calendar year (for a payment whose specified due date is on or before September 30), or (b) by the 15th day of the third calendar month following the date specified by the Plan (for a payment whose specified due date is on or after October 1). A payment also is treated as being made on the date when it is due under the Plan if the payment is made not more than 30 days before the due date specified by the Plan. A Participant may not, directly or indirectly, designate the taxable year of a payment made in reliance on the administrative rules in this Section 5.04.</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5.05  Election of Form and Amount of Payment</w:t>
      </w:r>
    </w:p>
    <w:p>
      <w:pPr>
        <w:spacing w:after="0" w:line="96" w:lineRule="exact"/>
        <w:rPr>
          <w:sz w:val="20"/>
          <w:szCs w:val="20"/>
          <w:color w:val="auto"/>
        </w:rPr>
      </w:pPr>
    </w:p>
    <w:p>
      <w:pPr>
        <w:jc w:val="both"/>
        <w:ind w:right="20" w:firstLine="464"/>
        <w:spacing w:after="0" w:line="298"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Lump Sum Payment. </w:t>
      </w:r>
      <w:r>
        <w:rPr>
          <w:rFonts w:ascii="Arial" w:cs="Arial" w:eastAsia="Arial" w:hAnsi="Arial"/>
          <w:sz w:val="16"/>
          <w:szCs w:val="16"/>
          <w:color w:val="auto"/>
        </w:rPr>
        <w:t>A Participant shall receive his or her Annual Retainer Account or RSU Account under the Plan as a lump sum payment unless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timely elects to receive his or her Account in the form of 10 annual installments or in 15 annual installments in accordance with subsection (b), below. The lump sum shall be payable to the Participant in cash as of the Payment Commencement Date and shall equal the value of the Deferred Stock Units credited to the Participant’s Account, determined as of the Payment Commencement Date as provided in Section 5.04.</w:t>
      </w:r>
    </w:p>
    <w:p>
      <w:pPr>
        <w:spacing w:after="0" w:line="112" w:lineRule="exact"/>
        <w:rPr>
          <w:rFonts w:ascii="Arial" w:cs="Arial" w:eastAsia="Arial" w:hAnsi="Arial"/>
          <w:sz w:val="16"/>
          <w:szCs w:val="16"/>
          <w:color w:val="auto"/>
        </w:rPr>
      </w:pPr>
    </w:p>
    <w:p>
      <w:pPr>
        <w:ind w:right="20" w:firstLine="464"/>
        <w:spacing w:after="0" w:line="288"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10 or 15 Annual Installments. </w:t>
      </w:r>
      <w:r>
        <w:rPr>
          <w:rFonts w:ascii="Arial" w:cs="Arial" w:eastAsia="Arial" w:hAnsi="Arial"/>
          <w:sz w:val="16"/>
          <w:szCs w:val="16"/>
          <w:color w:val="auto"/>
        </w:rPr>
        <w:t>A Participant may elect to receive his or her Annual Retainer Account or RSU Account under the Plan in 10 or 15</w:t>
      </w:r>
      <w:r>
        <w:rPr>
          <w:rFonts w:ascii="Arial" w:cs="Arial" w:eastAsia="Arial" w:hAnsi="Arial"/>
          <w:sz w:val="16"/>
          <w:szCs w:val="16"/>
          <w:i w:val="1"/>
          <w:iCs w:val="1"/>
          <w:color w:val="auto"/>
        </w:rPr>
        <w:t xml:space="preserve"> </w:t>
      </w:r>
      <w:r>
        <w:rPr>
          <w:rFonts w:ascii="Arial" w:cs="Arial" w:eastAsia="Arial" w:hAnsi="Arial"/>
          <w:sz w:val="16"/>
          <w:szCs w:val="16"/>
          <w:color w:val="auto"/>
        </w:rPr>
        <w:t>installment payments in lieu of the lump sum payment determined under subsection (a), above. Annual installments shall be payable to the Participant in cash beginning as of the Payment Commencement Date and continuing as of each Payment Anniversary Date thereafter until all installments have been paid. The first annual installment shall equal one-tenth (1/10) (if Participant elects 10 installment payments) or one-fifteenth (1/15th) (if Participant elects 15 installment payments) of the value of the Participant’s Account, determined as of the Payment Commencement Date. Each successive annual installment shall equal the value of the Participant’s Account, determined as of the Payment Anniversary Date, multiplied by a fraction, the numerator of which is one, and the denominator of which shall be the number of scheduled annual installments that remain unpaid. If the Participant dies after the Participant’s Payment Commencement Date but before all installments have been paid, the entire remaining value of the Participant’s Account shall be made in a lump sum to the Participant’s Beneficiary on the first business day of the third month following the month of the Participant’s death.</w:t>
      </w:r>
    </w:p>
    <w:p>
      <w:pPr>
        <w:spacing w:after="0" w:line="119" w:lineRule="exact"/>
        <w:rPr>
          <w:rFonts w:ascii="Arial" w:cs="Arial" w:eastAsia="Arial" w:hAnsi="Arial"/>
          <w:sz w:val="16"/>
          <w:szCs w:val="16"/>
          <w:color w:val="auto"/>
        </w:rPr>
      </w:pPr>
    </w:p>
    <w:p>
      <w:pPr>
        <w:jc w:val="both"/>
        <w:ind w:firstLine="464"/>
        <w:spacing w:after="0" w:line="259"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Form of Payment Election. </w:t>
      </w:r>
      <w:r>
        <w:rPr>
          <w:rFonts w:ascii="Arial" w:cs="Arial" w:eastAsia="Arial" w:hAnsi="Arial"/>
          <w:sz w:val="18"/>
          <w:szCs w:val="18"/>
          <w:color w:val="auto"/>
        </w:rPr>
        <w:t>A valid payment election for an Annual Retainer Account under subsection (b) shall be made in writing on an Election form,</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and submitted to the Office of the Corporate Secretary no later than December 31st of the calendar year prior to the year for which the Annual Retainer is earned, or for new Participants, prior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Participant is elected to the Board, and in no event later than 30 days after such election. A valid payment election for an RSU Account under subsection</w:t>
      </w:r>
    </w:p>
    <w:p>
      <w:pPr>
        <w:spacing w:after="0" w:line="50" w:lineRule="exact"/>
        <w:rPr>
          <w:sz w:val="20"/>
          <w:szCs w:val="20"/>
          <w:color w:val="auto"/>
        </w:rPr>
      </w:pPr>
    </w:p>
    <w:p>
      <w:pPr>
        <w:ind w:right="160" w:firstLine="8"/>
        <w:spacing w:after="0" w:line="295" w:lineRule="auto"/>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shall be made in writing on an Election form, completed and submitted to the Office of the Corporate Secretary prior to the date Participant is elected to the Board, and in no event later than 30 days after such election. If a Participant does not make a valid payment election, the Participant shall be deemed to have elected to receive his or her Annual Retainer Account or RSU Account in a lump sum payment as provided in subsection (a). Except as provided below in Section 5.06 (Change in Payment Election), a Participant’s payment election shall become irrevocable on the election deadline date.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5.06  Change in Payment Election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Participant may make a one-time irrevocable election to change the form of payment that the Participant elected under Section 5.05. A change to the form of payment must meet the following requirements:</w:t>
      </w:r>
    </w:p>
    <w:p>
      <w:pPr>
        <w:spacing w:after="0" w:line="51" w:lineRule="exact"/>
        <w:rPr>
          <w:sz w:val="20"/>
          <w:szCs w:val="20"/>
          <w:color w:val="auto"/>
        </w:rPr>
      </w:pPr>
    </w:p>
    <w:p>
      <w:pPr>
        <w:ind w:left="900" w:right="2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new election must be made at least twelve months prior to the Payment Commencement Date (and the new election shall be ineffective if the Payment Commencement Date occurs within twelve months after the date of the new election);</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new election will not take effect until twelve months after the date when the Participant submits a new Election form to the Office of the Corporate Secretary;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new payment commencement date must be five years later than the date on which payments would otherwise have commenced;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new form of payment must be one of the forms of payment provided under Section 5.05(a) or (b).</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5.07  Investment of Account during Installment Period</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Participants electing to convert Deferred Stock Units in the Annual Retainer Account or RSU Account to a fixed interest investment for the installment payment period, must, prior to the Payment Commencement Date or subsequent Payment Anniversary Date, make a written election on the Election form provided by the Committee. If a Participant makes such election to have his or her Account treated as if the Account were invested in cash, the Account will be credited with a rate of interest equal to the average interest rate on 10-Year Treasury Bonds as of the January through October Period in the calendar year prior to the Plan Year in which the interest is credited, plus 1%.</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6.01  In General</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Committee shall have the discretionary authority to interpret the Plan and to decide any and all matters arising under the Plan, including without limitation the right to determine eligibility for participation, benefits, and other rights under the Plan; the right to determine whether any election or notice requirement or other administrative procedure under the Plan has been adequately observed; the right to determine the proper recipient of any distribution under the Plan; the right to remedy possible ambiguities, inconsistencies, or omissions by general rule or particular decision; and the right otherwise to interpret the Plan in accordance with its terms. Except as otherwise provided in Section 6.04, the Committee’s determination on any and all questions arising out of the interpretation or administration of the Plan shall be final, conclusive, and binding on all parties.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6.02  Plan Amendment and Termination</w:t>
      </w:r>
    </w:p>
    <w:p>
      <w:pPr>
        <w:spacing w:after="0" w:line="96" w:lineRule="exact"/>
        <w:rPr>
          <w:sz w:val="20"/>
          <w:szCs w:val="20"/>
          <w:color w:val="auto"/>
        </w:rPr>
      </w:pPr>
    </w:p>
    <w:p>
      <w:pPr>
        <w:ind w:right="440" w:firstLine="464"/>
        <w:spacing w:after="0" w:line="370" w:lineRule="auto"/>
        <w:tabs>
          <w:tab w:leader="none" w:pos="695"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Committee may amend, suspend, or terminate the Plan at any time; provided that no amendment, suspension, or termination of the Plan shall, without a Participant’s consent, reduce the Participant’s benefits accrued under the Plan before the date of such amendment, suspension, or termination.</w:t>
      </w:r>
    </w:p>
    <w:p>
      <w:pPr>
        <w:spacing w:after="0" w:line="62" w:lineRule="exact"/>
        <w:rPr>
          <w:rFonts w:ascii="Arial" w:cs="Arial" w:eastAsia="Arial" w:hAnsi="Arial"/>
          <w:sz w:val="15"/>
          <w:szCs w:val="15"/>
          <w:color w:val="auto"/>
        </w:rPr>
      </w:pPr>
    </w:p>
    <w:p>
      <w:pPr>
        <w:ind w:right="740" w:firstLine="464"/>
        <w:spacing w:after="0" w:line="268"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of suspension of the Plan, no additional deferrals shall be made under the Plan, but all previous deferrals shall accumulate and be distributed in accordance with the otherwise applicable provisions of the Plan and the applicable elections on file.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54" w:name="page55"/>
    <w:bookmarkEnd w:id="54"/>
    <w:p>
      <w:pPr>
        <w:ind w:right="20" w:firstLine="464"/>
        <w:spacing w:after="0" w:line="283"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termination of the Plan with respect to all Participants, and termination of all arrangements sponsored by the Corporation or its affiliates that would be aggregated with the Plan under Section 409A of the Code, the Corporation shall have the right, in its sole discretion, and notwithstanding any elections made by the Participant, to pay the Participant’s vested Account in a lump sum, to the extent permitted under Section 409A. All payments that may be made pursuant to this Section 6.02(c) shall be made no earlier than the thirteenth month and no later than the twenty-fourth month after the termination of the Plan. The Corporation may not accelerate payments pursuant to this Section 6.02(c) if the termination of the Plan is proximate to a downturn in the Corporation’s financial health within the meaning of Treas. Reg. Section 1.409A-3(j)(4)(ix)(C)(1). If the Corporation exercises its discretion to accelerate payments under this</w:t>
      </w:r>
    </w:p>
    <w:p>
      <w:pPr>
        <w:spacing w:after="0" w:line="1"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Section 6.02(c), it shall not adopt any new arrangement that would have been aggregated with the Plan under Section 409A within three years following the date of the Plan’s termination.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6.03  Reports to Participants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shall furnish an annual statement to each Participant reporting the value of the Participant’s Account as of the end of the most recent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6.04  Delegation of Authority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Committee may delegate to officers of the Corporation any and all authority with which it is vested under the Plan, and the Committee may allocate its responsibilities under the Plan among its members.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7.01  Rights Not Assignable</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 payment due under the Plan shall be subject in any manner to anticipation, alienation, sale, transfer, assignment, pledge, encumbrance, or charge in any other way. Any attempt to anticipate, alienate, sell, transfer, assign, pledge, encumber, or charge such payment in any other way shall be void. No such payment or interest therein shall be liable for or subject to the debts, contracts, liabilities, or torts of any Participant or Beneficiary. If any Participant or Beneficiary becomes bankrupt or attempts to anticipate, alienate, sell, transfer, assign, pledge, encumber, or charge in any other way any payment under the Plan, the Committee may direct that such payment be suspended and that all future payments to which such Participant or Beneficiary otherwise would be entitled be held and applied for the benefit of such person, the person’s children or other dependents, or any of them, in such manner and in such proportions as the Committee may deem proper.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7.02  Certain Rights Reserved</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Nothing in the Plan shall confer upon any person the right to continue to serve as a member of the Board or to participate in the Plan other than in accordance with its terms.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7.03  Withholding Taxes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Committee may make any appropriate arrangements to deduct from all credits and payments under the Plan any taxes that the Committee reasonably determines to be required by law to be withheld from such credits and payments.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7.04  Compliance with Section 409A</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the extent that rights or payments under this Plan are subject to Section 409A of the Internal Revenue Code, the Plan shall be construed and administered in compliance with the conditions of Section 409A and regulations and other guidance issued pursuant to Section 409A for deferral of income taxation until the time the compensation is paid. Any distribution election that would not comply with Section 409A of the Code shall not be effective for purposes of this Plan. To the extent that a provision of this Plan does not comply with Section 409A of the Code, such provision shall be void and without effect. The Corporation does not warrant that the Plan will comply with Section 409A of the Code with respect to any Participant or with respect to any payment. In no event shall the Corporation, any director, officer, or employee of the Corporation (other than the Participant), or any member of the Committee be liable for any additional tax, interest, or penalty incurred by a Participant or Beneficiary as a result of the Plan’s failure to satisfy the requirements of Section 409A of the Code, or as a result of the Plan’s failure to satisfy any other requirements of applicable tax laws.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7.05  Incompetence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Committee determines, upon evidence satisfactory to the Committee, that any Participant or Beneficiary to whom a benefit is payable under the Plan is unable to care for his or her affairs because of illness or accident or otherwise, any payment due under the Plan (unless prior claim therefore shall have been made by a duly authorized guardian or other legal representative) may be paid, upon appropriate indemnification of the Committee and the Company, to the spouse of the Participant or Beneficiary or other person deemed by the Committee to have incurred expenses for the benefit of and on behalf of such Participant or Beneficiary. Any such payment shall be a complete discharge of any liability under the Plan with respect to the amount so paid.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7.06  Inability to Locate Participants and Beneficiaries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Each Participant and Beneficiary entitled to receive a payment under the Plan shall keep the Committee advised of his or her current address. If the Committee is unable to locate a Participant or Beneficiary to whom a payment is due under the Plan, the total amount payable to such Participant or Beneficiary shall be forfeited as of the last day of the calendar year in which the payment first becomes due.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7.07  Successors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provisions of the Plan shall bind and inure to the benefit of the Corporation and its successors and assigns. The term “successors” as used in the preceding sentence shall include any corporation or other business entity that by merger, consolidation, purchase, or otherwise acquires all or substantially all of the business and assets of the Corporation, and any successors and assigns of any such corporation or other business entity.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7.08  Usage</w:t>
      </w:r>
    </w:p>
    <w:p>
      <w:pPr>
        <w:spacing w:after="0" w:line="96" w:lineRule="exact"/>
        <w:rPr>
          <w:sz w:val="20"/>
          <w:szCs w:val="20"/>
          <w:color w:val="auto"/>
        </w:rPr>
      </w:pPr>
    </w:p>
    <w:p>
      <w:pPr>
        <w:ind w:right="200" w:firstLine="464"/>
        <w:spacing w:after="0" w:line="268"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Titles and Headings. </w:t>
      </w:r>
      <w:r>
        <w:rPr>
          <w:rFonts w:ascii="Arial" w:cs="Arial" w:eastAsia="Arial" w:hAnsi="Arial"/>
          <w:sz w:val="18"/>
          <w:szCs w:val="18"/>
          <w:color w:val="auto"/>
        </w:rPr>
        <w:t>The titles to Articles and the headings of Sections, subsections, and paragraphs in the Plan are placed herein for convenience of</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only and shall be of no force or effect in the interpretation of the Plan.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4" w:right="319"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 </w:t>
      </w:r>
      <w:r>
        <w:rPr>
          <w:rFonts w:ascii="Arial" w:cs="Arial" w:eastAsia="Arial" w:hAnsi="Arial"/>
          <w:sz w:val="18"/>
          <w:szCs w:val="18"/>
          <w:i w:val="1"/>
          <w:iCs w:val="1"/>
          <w:color w:val="auto"/>
        </w:rPr>
        <w:t>Number.</w:t>
      </w:r>
      <w:r>
        <w:rPr>
          <w:rFonts w:ascii="Arial" w:cs="Arial" w:eastAsia="Arial" w:hAnsi="Arial"/>
          <w:sz w:val="18"/>
          <w:szCs w:val="18"/>
          <w:color w:val="auto"/>
        </w:rPr>
        <w:t xml:space="preserve"> The singular form shall include the plural, where appropriate.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7.09  Severability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any provision of the Plan is held unlawful or otherwise invalid or unenforceable in whole or in part, such unlawfulness, invalidity, or unenforceability shall not affect any other provision of the Plan or part thereof, each of which shall remain in full force and effect. If the making of any payment or the provision of any other benefit required under the Plan is held unlawful or otherwise invalid or unenforceable,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7.10  Governing Law</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Plan and all determinations made and actions taken under the Plan shall be governed by and construed in accordance with the laws of the State of Connecticut.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58" w:name="page59"/>
    <w:bookmarkEnd w:id="58"/>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Appendix A sets forth the United Technologies Corporation Board of Directors Deferred Stock Unit Plan as in effect on October 3, 2004 (“Prior Plan”), and as modified thereafter from time to time in a manner that does not constitute a “material modification” for purposes of Section 409A. Amounts that were earned or vested (within the meaning of Section 409A) prior to January 1, 2005, and any subsequent increases in these amounts that are permitted to be treated as grandfathered benefits under Section 409A, are generally subject to and shall continue to be governed by the terms of this Prior Plan.</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UNITED TECHNOLOGIES CORPORATION</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BOARD OF DIRECTORS</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DEFERRED STOCK UNIT PLAN</w:t>
      </w:r>
    </w:p>
    <w:p>
      <w:pPr>
        <w:spacing w:after="0" w:line="1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Effective January 1, 1996</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274" w:right="4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320" w:type="dxa"/>
            <w:vAlign w:val="bottom"/>
          </w:tcPr>
          <w:p>
            <w:pPr>
              <w:jc w:val="center"/>
              <w:ind w:right="1452"/>
              <w:spacing w:after="0"/>
              <w:rPr>
                <w:sz w:val="20"/>
                <w:szCs w:val="20"/>
                <w:color w:val="auto"/>
              </w:rPr>
            </w:pPr>
            <w:r>
              <w:rPr>
                <w:rFonts w:ascii="Arial" w:cs="Arial" w:eastAsia="Arial" w:hAnsi="Arial"/>
                <w:sz w:val="18"/>
                <w:szCs w:val="18"/>
                <w:b w:val="1"/>
                <w:bCs w:val="1"/>
                <w:color w:val="auto"/>
                <w:w w:val="99"/>
              </w:rPr>
              <w:t>UNITED TECHNOLOGIES CORPORATION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320" w:type="dxa"/>
            <w:vAlign w:val="bottom"/>
          </w:tcPr>
          <w:p>
            <w:pPr>
              <w:jc w:val="center"/>
              <w:ind w:right="1452"/>
              <w:spacing w:after="0"/>
              <w:rPr>
                <w:sz w:val="20"/>
                <w:szCs w:val="20"/>
                <w:color w:val="auto"/>
              </w:rPr>
            </w:pPr>
            <w:r>
              <w:rPr>
                <w:rFonts w:ascii="Arial" w:cs="Arial" w:eastAsia="Arial" w:hAnsi="Arial"/>
                <w:sz w:val="18"/>
                <w:szCs w:val="18"/>
                <w:b w:val="1"/>
                <w:bCs w:val="1"/>
                <w:color w:val="auto"/>
                <w:w w:val="97"/>
              </w:rPr>
              <w:t>DEFERRED STOCK UNIT PLAN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320" w:type="dxa"/>
            <w:vAlign w:val="bottom"/>
          </w:tcPr>
          <w:p>
            <w:pPr>
              <w:jc w:val="center"/>
              <w:ind w:right="1432"/>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80" w:type="dxa"/>
            <w:vAlign w:val="bottom"/>
            <w:vMerge w:val="restart"/>
          </w:tcPr>
          <w:p>
            <w:pPr>
              <w:spacing w:after="0"/>
              <w:rPr>
                <w:sz w:val="20"/>
                <w:szCs w:val="20"/>
                <w:color w:val="auto"/>
              </w:rPr>
            </w:pPr>
            <w:r>
              <w:rPr>
                <w:rFonts w:ascii="Arial" w:cs="Arial" w:eastAsia="Arial" w:hAnsi="Arial"/>
                <w:sz w:val="18"/>
                <w:szCs w:val="18"/>
                <w:color w:val="auto"/>
              </w:rPr>
              <w:t>ARTICLE I</w:t>
            </w:r>
          </w:p>
        </w:tc>
        <w:tc>
          <w:tcPr>
            <w:tcW w:w="9960" w:type="dxa"/>
            <w:vAlign w:val="bottom"/>
            <w:gridSpan w:val="2"/>
            <w:vMerge w:val="restart"/>
          </w:tcPr>
          <w:p>
            <w:pPr>
              <w:ind w:left="160"/>
              <w:spacing w:after="0"/>
              <w:rPr>
                <w:sz w:val="20"/>
                <w:szCs w:val="20"/>
                <w:color w:val="auto"/>
              </w:rPr>
            </w:pPr>
            <w:r>
              <w:rPr>
                <w:rFonts w:ascii="Arial" w:cs="Arial" w:eastAsia="Arial" w:hAnsi="Arial"/>
                <w:sz w:val="18"/>
                <w:szCs w:val="18"/>
                <w:color w:val="auto"/>
              </w:rPr>
              <w:t>INTRODUCTION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80" w:type="dxa"/>
            <w:vAlign w:val="bottom"/>
            <w:vMerge w:val="continue"/>
          </w:tcPr>
          <w:p>
            <w:pPr>
              <w:spacing w:after="0"/>
              <w:rPr>
                <w:sz w:val="17"/>
                <w:szCs w:val="17"/>
                <w:color w:val="auto"/>
              </w:rPr>
            </w:pPr>
          </w:p>
        </w:tc>
        <w:tc>
          <w:tcPr>
            <w:tcW w:w="99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1.01</w:t>
            </w:r>
          </w:p>
        </w:tc>
        <w:tc>
          <w:tcPr>
            <w:tcW w:w="9320" w:type="dxa"/>
            <w:vAlign w:val="bottom"/>
          </w:tcPr>
          <w:p>
            <w:pPr>
              <w:ind w:left="180"/>
              <w:spacing w:after="0"/>
              <w:rPr>
                <w:sz w:val="20"/>
                <w:szCs w:val="20"/>
                <w:color w:val="auto"/>
              </w:rPr>
            </w:pPr>
            <w:r>
              <w:rPr>
                <w:rFonts w:ascii="Arial" w:cs="Arial" w:eastAsia="Arial" w:hAnsi="Arial"/>
                <w:sz w:val="18"/>
                <w:szCs w:val="18"/>
                <w:color w:val="auto"/>
              </w:rPr>
              <w:t>Purpose of Plan</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1.02</w:t>
            </w:r>
          </w:p>
        </w:tc>
        <w:tc>
          <w:tcPr>
            <w:tcW w:w="9320" w:type="dxa"/>
            <w:vAlign w:val="bottom"/>
          </w:tcPr>
          <w:p>
            <w:pPr>
              <w:ind w:left="180"/>
              <w:spacing w:after="0"/>
              <w:rPr>
                <w:sz w:val="20"/>
                <w:szCs w:val="20"/>
                <w:color w:val="auto"/>
              </w:rPr>
            </w:pPr>
            <w:r>
              <w:rPr>
                <w:rFonts w:ascii="Arial" w:cs="Arial" w:eastAsia="Arial" w:hAnsi="Arial"/>
                <w:sz w:val="18"/>
                <w:szCs w:val="18"/>
                <w:color w:val="auto"/>
              </w:rPr>
              <w:t>Effective Date of Plan</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ARTICLE II</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ARTICLE III</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3.01</w:t>
            </w:r>
          </w:p>
        </w:tc>
        <w:tc>
          <w:tcPr>
            <w:tcW w:w="9320" w:type="dxa"/>
            <w:vAlign w:val="bottom"/>
          </w:tcPr>
          <w:p>
            <w:pPr>
              <w:ind w:left="180"/>
              <w:spacing w:after="0"/>
              <w:rPr>
                <w:sz w:val="20"/>
                <w:szCs w:val="20"/>
                <w:color w:val="auto"/>
              </w:rPr>
            </w:pPr>
            <w:r>
              <w:rPr>
                <w:rFonts w:ascii="Arial" w:cs="Arial" w:eastAsia="Arial" w:hAnsi="Arial"/>
                <w:sz w:val="18"/>
                <w:szCs w:val="18"/>
                <w:color w:val="auto"/>
              </w:rPr>
              <w:t>Transition Credits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3.02</w:t>
            </w:r>
          </w:p>
        </w:tc>
        <w:tc>
          <w:tcPr>
            <w:tcW w:w="9320" w:type="dxa"/>
            <w:vAlign w:val="bottom"/>
          </w:tcPr>
          <w:p>
            <w:pPr>
              <w:ind w:left="180"/>
              <w:spacing w:after="0"/>
              <w:rPr>
                <w:sz w:val="20"/>
                <w:szCs w:val="20"/>
                <w:color w:val="auto"/>
              </w:rPr>
            </w:pPr>
            <w:r>
              <w:rPr>
                <w:rFonts w:ascii="Arial" w:cs="Arial" w:eastAsia="Arial" w:hAnsi="Arial"/>
                <w:sz w:val="18"/>
                <w:szCs w:val="18"/>
                <w:color w:val="auto"/>
              </w:rPr>
              <w:t>Automatic Credits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3.03</w:t>
            </w:r>
          </w:p>
        </w:tc>
        <w:tc>
          <w:tcPr>
            <w:tcW w:w="9320" w:type="dxa"/>
            <w:vAlign w:val="bottom"/>
          </w:tcPr>
          <w:p>
            <w:pPr>
              <w:ind w:left="180"/>
              <w:spacing w:after="0"/>
              <w:rPr>
                <w:sz w:val="20"/>
                <w:szCs w:val="20"/>
                <w:color w:val="auto"/>
              </w:rPr>
            </w:pPr>
            <w:r>
              <w:rPr>
                <w:rFonts w:ascii="Arial" w:cs="Arial" w:eastAsia="Arial" w:hAnsi="Arial"/>
                <w:sz w:val="18"/>
                <w:szCs w:val="18"/>
                <w:color w:val="auto"/>
              </w:rPr>
              <w:t>Elective Credits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ARTICLE IV</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rPr>
              <w:t>ACCOUNTS AND INVESTMENTS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4.01</w:t>
            </w:r>
          </w:p>
        </w:tc>
        <w:tc>
          <w:tcPr>
            <w:tcW w:w="9320" w:type="dxa"/>
            <w:vAlign w:val="bottom"/>
          </w:tcPr>
          <w:p>
            <w:pPr>
              <w:ind w:left="180"/>
              <w:spacing w:after="0"/>
              <w:rPr>
                <w:sz w:val="20"/>
                <w:szCs w:val="20"/>
                <w:color w:val="auto"/>
              </w:rPr>
            </w:pPr>
            <w:r>
              <w:rPr>
                <w:rFonts w:ascii="Arial" w:cs="Arial" w:eastAsia="Arial" w:hAnsi="Arial"/>
                <w:sz w:val="18"/>
                <w:szCs w:val="18"/>
                <w:color w:val="auto"/>
              </w:rPr>
              <w:t>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4.02</w:t>
            </w:r>
          </w:p>
        </w:tc>
        <w:tc>
          <w:tcPr>
            <w:tcW w:w="9320" w:type="dxa"/>
            <w:vAlign w:val="bottom"/>
          </w:tcPr>
          <w:p>
            <w:pPr>
              <w:ind w:left="180"/>
              <w:spacing w:after="0"/>
              <w:rPr>
                <w:sz w:val="20"/>
                <w:szCs w:val="20"/>
                <w:color w:val="auto"/>
              </w:rPr>
            </w:pPr>
            <w:r>
              <w:rPr>
                <w:rFonts w:ascii="Arial" w:cs="Arial" w:eastAsia="Arial" w:hAnsi="Arial"/>
                <w:sz w:val="18"/>
                <w:szCs w:val="18"/>
                <w:color w:val="auto"/>
              </w:rPr>
              <w:t>Stock Units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4.03</w:t>
            </w:r>
          </w:p>
        </w:tc>
        <w:tc>
          <w:tcPr>
            <w:tcW w:w="9320" w:type="dxa"/>
            <w:vAlign w:val="bottom"/>
          </w:tcPr>
          <w:p>
            <w:pPr>
              <w:ind w:left="180"/>
              <w:spacing w:after="0"/>
              <w:rPr>
                <w:sz w:val="20"/>
                <w:szCs w:val="20"/>
                <w:color w:val="auto"/>
              </w:rPr>
            </w:pPr>
            <w:r>
              <w:rPr>
                <w:rFonts w:ascii="Arial" w:cs="Arial" w:eastAsia="Arial" w:hAnsi="Arial"/>
                <w:sz w:val="18"/>
                <w:szCs w:val="18"/>
                <w:color w:val="auto"/>
              </w:rPr>
              <w:t>Hypothetical Nature of Accounts and Investments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ARTICLE V</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5.01</w:t>
            </w:r>
          </w:p>
        </w:tc>
        <w:tc>
          <w:tcPr>
            <w:tcW w:w="9320" w:type="dxa"/>
            <w:vAlign w:val="bottom"/>
          </w:tcPr>
          <w:p>
            <w:pPr>
              <w:ind w:left="180"/>
              <w:spacing w:after="0"/>
              <w:rPr>
                <w:sz w:val="20"/>
                <w:szCs w:val="20"/>
                <w:color w:val="auto"/>
              </w:rPr>
            </w:pPr>
            <w:r>
              <w:rPr>
                <w:rFonts w:ascii="Arial" w:cs="Arial" w:eastAsia="Arial" w:hAnsi="Arial"/>
                <w:sz w:val="18"/>
                <w:szCs w:val="18"/>
                <w:color w:val="auto"/>
              </w:rPr>
              <w:t>Entitlement to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5.02</w:t>
            </w:r>
          </w:p>
        </w:tc>
        <w:tc>
          <w:tcPr>
            <w:tcW w:w="9320" w:type="dxa"/>
            <w:vAlign w:val="bottom"/>
          </w:tcPr>
          <w:p>
            <w:pPr>
              <w:ind w:left="180"/>
              <w:spacing w:after="0"/>
              <w:rPr>
                <w:sz w:val="20"/>
                <w:szCs w:val="20"/>
                <w:color w:val="auto"/>
              </w:rPr>
            </w:pPr>
            <w:r>
              <w:rPr>
                <w:rFonts w:ascii="Arial" w:cs="Arial" w:eastAsia="Arial" w:hAnsi="Arial"/>
                <w:sz w:val="18"/>
                <w:szCs w:val="18"/>
                <w:color w:val="auto"/>
              </w:rPr>
              <w:t>Payment Commencement Date</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5.03</w:t>
            </w:r>
          </w:p>
        </w:tc>
        <w:tc>
          <w:tcPr>
            <w:tcW w:w="9320" w:type="dxa"/>
            <w:vAlign w:val="bottom"/>
          </w:tcPr>
          <w:p>
            <w:pPr>
              <w:ind w:left="180"/>
              <w:spacing w:after="0"/>
              <w:rPr>
                <w:sz w:val="20"/>
                <w:szCs w:val="20"/>
                <w:color w:val="auto"/>
              </w:rPr>
            </w:pPr>
            <w:r>
              <w:rPr>
                <w:rFonts w:ascii="Arial" w:cs="Arial" w:eastAsia="Arial" w:hAnsi="Arial"/>
                <w:sz w:val="18"/>
                <w:szCs w:val="18"/>
                <w:color w:val="auto"/>
              </w:rPr>
              <w:t>Form and Amount of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ARTICLE VI</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rPr>
              <w:t>ADMINISTRATION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6.01</w:t>
            </w:r>
          </w:p>
        </w:tc>
        <w:tc>
          <w:tcPr>
            <w:tcW w:w="9320" w:type="dxa"/>
            <w:vAlign w:val="bottom"/>
          </w:tcPr>
          <w:p>
            <w:pPr>
              <w:ind w:left="180"/>
              <w:spacing w:after="0"/>
              <w:rPr>
                <w:sz w:val="20"/>
                <w:szCs w:val="20"/>
                <w:color w:val="auto"/>
              </w:rPr>
            </w:pPr>
            <w:r>
              <w:rPr>
                <w:rFonts w:ascii="Arial" w:cs="Arial" w:eastAsia="Arial" w:hAnsi="Arial"/>
                <w:sz w:val="18"/>
                <w:szCs w:val="18"/>
                <w:color w:val="auto"/>
              </w:rPr>
              <w:t>In General</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6.02</w:t>
            </w:r>
          </w:p>
        </w:tc>
        <w:tc>
          <w:tcPr>
            <w:tcW w:w="9320" w:type="dxa"/>
            <w:vAlign w:val="bottom"/>
          </w:tcPr>
          <w:p>
            <w:pPr>
              <w:ind w:left="180"/>
              <w:spacing w:after="0"/>
              <w:rPr>
                <w:sz w:val="20"/>
                <w:szCs w:val="20"/>
                <w:color w:val="auto"/>
              </w:rPr>
            </w:pPr>
            <w:r>
              <w:rPr>
                <w:rFonts w:ascii="Arial" w:cs="Arial" w:eastAsia="Arial" w:hAnsi="Arial"/>
                <w:sz w:val="18"/>
                <w:szCs w:val="18"/>
                <w:color w:val="auto"/>
              </w:rPr>
              <w:t>Plan Amendment and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6.03</w:t>
            </w:r>
          </w:p>
        </w:tc>
        <w:tc>
          <w:tcPr>
            <w:tcW w:w="9320" w:type="dxa"/>
            <w:vAlign w:val="bottom"/>
          </w:tcPr>
          <w:p>
            <w:pPr>
              <w:ind w:left="180"/>
              <w:spacing w:after="0"/>
              <w:rPr>
                <w:sz w:val="20"/>
                <w:szCs w:val="20"/>
                <w:color w:val="auto"/>
              </w:rPr>
            </w:pPr>
            <w:r>
              <w:rPr>
                <w:rFonts w:ascii="Arial" w:cs="Arial" w:eastAsia="Arial" w:hAnsi="Arial"/>
                <w:sz w:val="18"/>
                <w:szCs w:val="18"/>
                <w:color w:val="auto"/>
              </w:rPr>
              <w:t>Reports to Participants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6.04</w:t>
            </w:r>
          </w:p>
        </w:tc>
        <w:tc>
          <w:tcPr>
            <w:tcW w:w="9320" w:type="dxa"/>
            <w:vAlign w:val="bottom"/>
          </w:tcPr>
          <w:p>
            <w:pPr>
              <w:ind w:left="180"/>
              <w:spacing w:after="0"/>
              <w:rPr>
                <w:sz w:val="20"/>
                <w:szCs w:val="20"/>
                <w:color w:val="auto"/>
              </w:rPr>
            </w:pPr>
            <w:r>
              <w:rPr>
                <w:rFonts w:ascii="Arial" w:cs="Arial" w:eastAsia="Arial" w:hAnsi="Arial"/>
                <w:sz w:val="18"/>
                <w:szCs w:val="18"/>
                <w:color w:val="auto"/>
              </w:rPr>
              <w:t>Delegation of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ARTICLE VII</w:t>
            </w:r>
          </w:p>
        </w:tc>
        <w:tc>
          <w:tcPr>
            <w:tcW w:w="9960" w:type="dxa"/>
            <w:vAlign w:val="bottom"/>
            <w:gridSpan w:val="2"/>
          </w:tcPr>
          <w:p>
            <w:pPr>
              <w:ind w:left="160"/>
              <w:spacing w:after="0"/>
              <w:rPr>
                <w:sz w:val="20"/>
                <w:szCs w:val="20"/>
                <w:color w:val="auto"/>
              </w:rPr>
            </w:pPr>
            <w:r>
              <w:rPr>
                <w:rFonts w:ascii="Arial" w:cs="Arial" w:eastAsia="Arial" w:hAnsi="Arial"/>
                <w:sz w:val="18"/>
                <w:szCs w:val="18"/>
                <w:color w:val="auto"/>
              </w:rPr>
              <w:t>MISCELLANEOUS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7.01</w:t>
            </w:r>
          </w:p>
        </w:tc>
        <w:tc>
          <w:tcPr>
            <w:tcW w:w="9320" w:type="dxa"/>
            <w:vAlign w:val="bottom"/>
          </w:tcPr>
          <w:p>
            <w:pPr>
              <w:ind w:left="180"/>
              <w:spacing w:after="0"/>
              <w:rPr>
                <w:sz w:val="20"/>
                <w:szCs w:val="20"/>
                <w:color w:val="auto"/>
              </w:rPr>
            </w:pPr>
            <w:r>
              <w:rPr>
                <w:rFonts w:ascii="Arial" w:cs="Arial" w:eastAsia="Arial" w:hAnsi="Arial"/>
                <w:sz w:val="18"/>
                <w:szCs w:val="18"/>
                <w:color w:val="auto"/>
              </w:rPr>
              <w:t>Rights Not Assignable</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7.02</w:t>
            </w:r>
          </w:p>
        </w:tc>
        <w:tc>
          <w:tcPr>
            <w:tcW w:w="9320" w:type="dxa"/>
            <w:vAlign w:val="bottom"/>
          </w:tcPr>
          <w:p>
            <w:pPr>
              <w:ind w:left="180"/>
              <w:spacing w:after="0"/>
              <w:rPr>
                <w:sz w:val="20"/>
                <w:szCs w:val="20"/>
                <w:color w:val="auto"/>
              </w:rPr>
            </w:pPr>
            <w:r>
              <w:rPr>
                <w:rFonts w:ascii="Arial" w:cs="Arial" w:eastAsia="Arial" w:hAnsi="Arial"/>
                <w:sz w:val="18"/>
                <w:szCs w:val="18"/>
                <w:color w:val="auto"/>
              </w:rPr>
              <w:t>Certain Rights 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7.03</w:t>
            </w:r>
          </w:p>
        </w:tc>
        <w:tc>
          <w:tcPr>
            <w:tcW w:w="9320" w:type="dxa"/>
            <w:vAlign w:val="bottom"/>
          </w:tcPr>
          <w:p>
            <w:pPr>
              <w:ind w:left="180"/>
              <w:spacing w:after="0"/>
              <w:rPr>
                <w:sz w:val="20"/>
                <w:szCs w:val="20"/>
                <w:color w:val="auto"/>
              </w:rPr>
            </w:pPr>
            <w:r>
              <w:rPr>
                <w:rFonts w:ascii="Arial" w:cs="Arial" w:eastAsia="Arial" w:hAnsi="Arial"/>
                <w:sz w:val="18"/>
                <w:szCs w:val="18"/>
                <w:color w:val="auto"/>
              </w:rPr>
              <w:t>Withholding Taxes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7.04</w:t>
            </w:r>
          </w:p>
        </w:tc>
        <w:tc>
          <w:tcPr>
            <w:tcW w:w="9320" w:type="dxa"/>
            <w:vAlign w:val="bottom"/>
          </w:tcPr>
          <w:p>
            <w:pPr>
              <w:ind w:left="180"/>
              <w:spacing w:after="0"/>
              <w:rPr>
                <w:sz w:val="20"/>
                <w:szCs w:val="20"/>
                <w:color w:val="auto"/>
              </w:rPr>
            </w:pPr>
            <w:r>
              <w:rPr>
                <w:rFonts w:ascii="Arial" w:cs="Arial" w:eastAsia="Arial" w:hAnsi="Arial"/>
                <w:sz w:val="18"/>
                <w:szCs w:val="18"/>
                <w:color w:val="auto"/>
              </w:rPr>
              <w:t>Incompetence</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7.05</w:t>
            </w:r>
          </w:p>
        </w:tc>
        <w:tc>
          <w:tcPr>
            <w:tcW w:w="9320" w:type="dxa"/>
            <w:vAlign w:val="bottom"/>
          </w:tcPr>
          <w:p>
            <w:pPr>
              <w:ind w:left="180"/>
              <w:spacing w:after="0"/>
              <w:rPr>
                <w:sz w:val="20"/>
                <w:szCs w:val="20"/>
                <w:color w:val="auto"/>
              </w:rPr>
            </w:pPr>
            <w:r>
              <w:rPr>
                <w:rFonts w:ascii="Arial" w:cs="Arial" w:eastAsia="Arial" w:hAnsi="Arial"/>
                <w:sz w:val="18"/>
                <w:szCs w:val="18"/>
                <w:color w:val="auto"/>
              </w:rPr>
              <w:t>Inability to Locate Participants and Beneficiaries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7.06</w:t>
            </w:r>
          </w:p>
        </w:tc>
        <w:tc>
          <w:tcPr>
            <w:tcW w:w="9320" w:type="dxa"/>
            <w:vAlign w:val="bottom"/>
          </w:tcPr>
          <w:p>
            <w:pPr>
              <w:ind w:left="180"/>
              <w:spacing w:after="0"/>
              <w:rPr>
                <w:sz w:val="20"/>
                <w:szCs w:val="20"/>
                <w:color w:val="auto"/>
              </w:rPr>
            </w:pPr>
            <w:r>
              <w:rPr>
                <w:rFonts w:ascii="Arial" w:cs="Arial" w:eastAsia="Arial" w:hAnsi="Arial"/>
                <w:sz w:val="18"/>
                <w:szCs w:val="18"/>
                <w:color w:val="auto"/>
              </w:rPr>
              <w:t>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7.07</w:t>
            </w:r>
          </w:p>
        </w:tc>
        <w:tc>
          <w:tcPr>
            <w:tcW w:w="9320" w:type="dxa"/>
            <w:vAlign w:val="bottom"/>
          </w:tcPr>
          <w:p>
            <w:pPr>
              <w:ind w:left="180"/>
              <w:spacing w:after="0"/>
              <w:rPr>
                <w:sz w:val="20"/>
                <w:szCs w:val="20"/>
                <w:color w:val="auto"/>
              </w:rPr>
            </w:pPr>
            <w:r>
              <w:rPr>
                <w:rFonts w:ascii="Arial" w:cs="Arial" w:eastAsia="Arial" w:hAnsi="Arial"/>
                <w:sz w:val="18"/>
                <w:szCs w:val="18"/>
                <w:color w:val="auto"/>
              </w:rPr>
              <w:t>Usage</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7.08</w:t>
            </w:r>
          </w:p>
        </w:tc>
        <w:tc>
          <w:tcPr>
            <w:tcW w:w="932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7.09</w:t>
            </w:r>
          </w:p>
        </w:tc>
        <w:tc>
          <w:tcPr>
            <w:tcW w:w="932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65"/>
        </w:trPr>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320" w:type="dxa"/>
            <w:vAlign w:val="bottom"/>
          </w:tcPr>
          <w:p>
            <w:pPr>
              <w:jc w:val="center"/>
              <w:ind w:right="1452"/>
              <w:spacing w:after="0"/>
              <w:rPr>
                <w:sz w:val="20"/>
                <w:szCs w:val="20"/>
                <w:color w:val="auto"/>
              </w:rPr>
            </w:pPr>
            <w:r>
              <w:rPr>
                <w:rFonts w:ascii="Arial" w:cs="Arial" w:eastAsia="Arial" w:hAnsi="Arial"/>
                <w:sz w:val="18"/>
                <w:szCs w:val="18"/>
                <w:color w:val="auto"/>
                <w:w w:val="89"/>
              </w:rPr>
              <w:t>18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0" w:name="page61"/>
    <w:bookmarkEnd w:id="6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INTRODUCTION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Purpose of Plan</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purpose of the Plan is to enhance the Company’s ability to attract and retain non-employee members of the Board whose training, experience and ability will promote the interests of the Company and to directly align the interests of such non-employee Directors with the interests of the Company’s shareowners by providing compensation based on the value of UTC Common Stock. The Plan is designed to permit such non-employee directors to defer the receipt of all or a portion of the cash compensation otherwise payable to them for services to the Company as members of the Board.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Effective Date of Plan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Except as otherwise provided by Section 3.01, the Plan shall apply only to a Participant’s annual Director’s retainer Fees with respect to service on and after January 1, 1996.</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Unless the context clearly indicates otherwise, the following terms, when used in capitalized form in the Plan, shall have the meanings set forth below:</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Account </w:t>
      </w:r>
      <w:r>
        <w:rPr>
          <w:rFonts w:ascii="Arial" w:cs="Arial" w:eastAsia="Arial" w:hAnsi="Arial"/>
          <w:sz w:val="18"/>
          <w:szCs w:val="18"/>
          <w:color w:val="auto"/>
        </w:rPr>
        <w:t>shall mean a bookkeeping account established for a Participant under Section 4.01.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Article </w:t>
      </w:r>
      <w:r>
        <w:rPr>
          <w:rFonts w:ascii="Arial" w:cs="Arial" w:eastAsia="Arial" w:hAnsi="Arial"/>
          <w:sz w:val="18"/>
          <w:szCs w:val="18"/>
          <w:color w:val="auto"/>
        </w:rPr>
        <w:t>shall mean an article of the Plan.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Beneficiary </w:t>
      </w:r>
      <w:r>
        <w:rPr>
          <w:rFonts w:ascii="Arial" w:cs="Arial" w:eastAsia="Arial" w:hAnsi="Arial"/>
          <w:sz w:val="18"/>
          <w:szCs w:val="18"/>
          <w:color w:val="auto"/>
        </w:rPr>
        <w:t>shall mean a Participant’s beneficiary, designated in writing and in a form and manner satisfactory to the Committee, or if a Participant fails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 a beneficiary, or if the Participant’s designated Beneficiary predeceases the Participant, the Participant’s estate.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74" w:right="319"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Board </w:t>
      </w:r>
      <w:r>
        <w:rPr>
          <w:rFonts w:ascii="Arial" w:cs="Arial" w:eastAsia="Arial" w:hAnsi="Arial"/>
          <w:sz w:val="18"/>
          <w:szCs w:val="18"/>
          <w:color w:val="auto"/>
        </w:rPr>
        <w:t>shall mean the Board of Directors of the Company.</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b w:val="1"/>
          <w:bCs w:val="1"/>
          <w:i w:val="1"/>
          <w:iCs w:val="1"/>
          <w:color w:val="auto"/>
        </w:rPr>
        <w:t xml:space="preserve">Closing Price </w:t>
      </w:r>
      <w:r>
        <w:rPr>
          <w:rFonts w:ascii="Arial" w:cs="Arial" w:eastAsia="Arial" w:hAnsi="Arial"/>
          <w:sz w:val="15"/>
          <w:szCs w:val="15"/>
          <w:color w:val="auto"/>
        </w:rPr>
        <w:t>shall mean, with respect to any date specified by the Plan, the closing price of UTC Common Stock on the composite tape of New York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Exchange issues (or if there was no reported sale of UTC Common Stock on such date, on the next preceding day on which there was such a reported sale).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Committee </w:t>
      </w:r>
      <w:r>
        <w:rPr>
          <w:rFonts w:ascii="Arial" w:cs="Arial" w:eastAsia="Arial" w:hAnsi="Arial"/>
          <w:sz w:val="18"/>
          <w:szCs w:val="18"/>
          <w:color w:val="auto"/>
        </w:rPr>
        <w:t>shall mean the Nominating Committee of the Board.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shall mean United Technologies Corporation.</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Director’s </w:t>
      </w:r>
      <w:r>
        <w:rPr>
          <w:rFonts w:ascii="Arial" w:cs="Arial" w:eastAsia="Arial" w:hAnsi="Arial"/>
          <w:sz w:val="18"/>
          <w:szCs w:val="18"/>
          <w:color w:val="auto"/>
        </w:rPr>
        <w:t>Fees shall mean the annual retainer fee payable to a Participant for services to the Company as a member of the Board. Director’s Fees do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special meeting fees.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shall mean each member of the Board (other than a member of the Board who is also an employee of the Company or a subsidiary thereof)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or becomes a member of the Board on or after January 1, 1996.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Anniversary Date </w:t>
      </w:r>
      <w:r>
        <w:rPr>
          <w:rFonts w:ascii="Arial" w:cs="Arial" w:eastAsia="Arial" w:hAnsi="Arial"/>
          <w:sz w:val="18"/>
          <w:szCs w:val="18"/>
          <w:color w:val="auto"/>
        </w:rPr>
        <w:t>shall mean an anniversary of the Payment Commencement Date.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Commencement Date </w:t>
      </w:r>
      <w:r>
        <w:rPr>
          <w:rFonts w:ascii="Arial" w:cs="Arial" w:eastAsia="Arial" w:hAnsi="Arial"/>
          <w:sz w:val="18"/>
          <w:szCs w:val="18"/>
          <w:color w:val="auto"/>
        </w:rPr>
        <w:t>shall mean the first business day of the first month following the month in which the Participant terminates service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the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Plan </w:t>
      </w:r>
      <w:r>
        <w:rPr>
          <w:rFonts w:ascii="Arial" w:cs="Arial" w:eastAsia="Arial" w:hAnsi="Arial"/>
          <w:sz w:val="16"/>
          <w:szCs w:val="16"/>
          <w:color w:val="auto"/>
        </w:rPr>
        <w:t>shall mean this United Technologies Corporation Board of Directors Deferred Stock Unit Plan, as set forth herein and as amended from time to time.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Plan Year </w:t>
      </w:r>
      <w:r>
        <w:rPr>
          <w:rFonts w:ascii="Arial" w:cs="Arial" w:eastAsia="Arial" w:hAnsi="Arial"/>
          <w:sz w:val="18"/>
          <w:szCs w:val="18"/>
          <w:color w:val="auto"/>
        </w:rPr>
        <w:t>shall mean the calendar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Section </w:t>
      </w:r>
      <w:r>
        <w:rPr>
          <w:rFonts w:ascii="Arial" w:cs="Arial" w:eastAsia="Arial" w:hAnsi="Arial"/>
          <w:sz w:val="18"/>
          <w:szCs w:val="18"/>
          <w:color w:val="auto"/>
        </w:rPr>
        <w:t>shall mean a section of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Stock Unit </w:t>
      </w:r>
      <w:r>
        <w:rPr>
          <w:rFonts w:ascii="Arial" w:cs="Arial" w:eastAsia="Arial" w:hAnsi="Arial"/>
          <w:sz w:val="18"/>
          <w:szCs w:val="18"/>
          <w:color w:val="auto"/>
        </w:rPr>
        <w:t>shall mean a hypothetical share of UTC Common Stock as described in Section 4.02.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UTC Common Stock </w:t>
      </w:r>
      <w:r>
        <w:rPr>
          <w:rFonts w:ascii="Arial" w:cs="Arial" w:eastAsia="Arial" w:hAnsi="Arial"/>
          <w:sz w:val="18"/>
          <w:szCs w:val="18"/>
          <w:color w:val="auto"/>
        </w:rPr>
        <w:t>shall mean the common stock of the Company.</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CREDITS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  Transition Credits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soon as practicable on or after January 1, 1996, the Company shall credit to the Account of each Participant a number of Stock Units determined in accordance with the schedules set forth in Appendix I and Appendix II to the Plan. The credits set forth in Appendix I shall be provided in lieu of any benefits to which the Participant otherwise would have been entitled under the United Technologies Corporation Directors Retirement Plan as of its termination on December 31, 1995. The credits set forth in Appendix II shall be provided in lieu of any benefits to which the Participant otherwise would be entitled under certain deferred compensation arrangements entered into prior to January 1, 1996. The number of units set forth in Appendix II shall equal the number of tax deferred stock units (if any) credited to the Participant under any such prior deferred compensation arrangement, determined as of December 31, 1995.</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3.02  Automatic Credits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the beginning of each Plan Year, the Company shall credit Stock Units to each Participant’s Account equal in value to 60% of the Participant’s Director’s Fees for the Plan Year, as determined in accordance with Section 4.02(a)(1).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3.03  Elective Credits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Participant may elect, with respect to each Plan Year, to defer the entire portion (but not a partial portion) of the 40% of the Participant’s Director’s Fees that are not automatically deferred in accordance with Section 3.02 and that otherwise would be paid to the Participant in cash. If the Participant makes such an election, the Company shall credit Stock Units to the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80" w:right="339" w:bottom="1440" w:gutter="0" w:footer="0" w:header="0"/>
        </w:sectPr>
      </w:pPr>
    </w:p>
    <w:bookmarkStart w:id="63" w:name="page64"/>
    <w:bookmarkEnd w:id="63"/>
    <w:p>
      <w:pPr>
        <w:ind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Account equal in value to 40% of the Participant’s Director’s Fees for the Plan Year, as determined in accordance with Section 4.02(a)(I), as of the beginning of the Plan Year with respect to which the election is made (or, if later, as of the first day in the Plan Year on which the individual becomes a Participant). An election under this Section 3.03 shall be made in a form and manner satisfactory to the Committee and shall be effective for a Plan Year only if made before the beginning of the Plan Year; provided that an individual who becomes a Participant after the first day of a Plan Year may make the election for that Plan Year within 30 days of becoming a Participant.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ACCOUNTS AND INVESTMENTS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  Accounts</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A separate Account under the Plan shall be established for each Participant. Such Account shall be (a) credited with the amounts credited in accordance with Article Ill, (b) credited (or charged, as the case may be) with the investment results determined in accordance with Section 4.02, and (c) charged with the amounts paid by the Plan to or on behalf of the Participant in accordance with Article V. Within each Participant’s Account, separate subaccounts shall be maintained to the extent the Committee determines them to be necessary or useful in the administration of the Plan.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4.02  Stock Units</w:t>
      </w:r>
    </w:p>
    <w:p>
      <w:pPr>
        <w:spacing w:after="0" w:line="96" w:lineRule="exact"/>
        <w:rPr>
          <w:sz w:val="20"/>
          <w:szCs w:val="20"/>
          <w:color w:val="auto"/>
        </w:rPr>
      </w:pPr>
    </w:p>
    <w:p>
      <w:pPr>
        <w:ind w:firstLine="464"/>
        <w:spacing w:after="0" w:line="332"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Deemed Investment in UTC Common Stock. </w:t>
      </w:r>
      <w:r>
        <w:rPr>
          <w:rFonts w:ascii="Arial" w:cs="Arial" w:eastAsia="Arial" w:hAnsi="Arial"/>
          <w:sz w:val="16"/>
          <w:szCs w:val="16"/>
          <w:color w:val="auto"/>
        </w:rPr>
        <w:t>Except as provided in subsection (b), below, a Participant’s Account shall be treated as if it were invested in</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that are equivalent in value to the fair market value of shares of UTC Common Stock in accordance with the following rules:</w:t>
      </w:r>
    </w:p>
    <w:p>
      <w:pPr>
        <w:spacing w:after="0" w:line="4" w:lineRule="exact"/>
        <w:rPr>
          <w:rFonts w:ascii="Arial" w:cs="Arial" w:eastAsia="Arial" w:hAnsi="Arial"/>
          <w:sz w:val="16"/>
          <w:szCs w:val="16"/>
          <w:color w:val="auto"/>
        </w:rPr>
      </w:pPr>
    </w:p>
    <w:p>
      <w:pPr>
        <w:ind w:left="460" w:right="100" w:firstLine="443"/>
        <w:spacing w:after="0" w:line="256" w:lineRule="auto"/>
        <w:tabs>
          <w:tab w:leader="none" w:pos="1147"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Conversion into Stock Units. </w:t>
      </w:r>
      <w:r>
        <w:rPr>
          <w:rFonts w:ascii="Arial" w:cs="Arial" w:eastAsia="Arial" w:hAnsi="Arial"/>
          <w:sz w:val="18"/>
          <w:szCs w:val="18"/>
          <w:color w:val="auto"/>
        </w:rPr>
        <w:t>Any Director’s Fees credited to a Participant’s Account for a Plan Year under Section 3.02 or 3.03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 into Stock Units (including fractional Stock Units) by dividing the amount credited by the Closing Price on the first business day of the Plan Year; provided that in the case of an individual who becomes a Participant after the first day of a Plan Year, the Closing Price shall be determined as of the day on which the individual becomes a Participant.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64" w:name="page65"/>
    <w:bookmarkEnd w:id="64"/>
    <w:p>
      <w:pPr>
        <w:ind w:right="40" w:firstLine="443"/>
        <w:spacing w:after="0" w:line="255" w:lineRule="auto"/>
        <w:tabs>
          <w:tab w:leader="none" w:pos="687"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Deemed Reinvestment Of Dividends. </w:t>
      </w:r>
      <w:r>
        <w:rPr>
          <w:rFonts w:ascii="Arial" w:cs="Arial" w:eastAsia="Arial" w:hAnsi="Arial"/>
          <w:sz w:val="18"/>
          <w:szCs w:val="18"/>
          <w:color w:val="auto"/>
        </w:rPr>
        <w:t>The number of Stock Units credited to a Participant’s Account shall be increased on each date on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is paid on UTC Common Stock. The number of additional Stock Units credited to a Participant’s Account as a result of such increase shall be determined by (i) multiplying the total number of Stock Units (excluding fractional Stock Units) credited to the Participant’s Account immediately before such increase by the amount of the dividend paid per share of UTC Common Stock on the dividend payment date, and (ii) dividing the product so determined by the Closing Price on the dividend payment date.</w:t>
      </w:r>
    </w:p>
    <w:p>
      <w:pPr>
        <w:spacing w:after="0" w:line="61" w:lineRule="exact"/>
        <w:rPr>
          <w:rFonts w:ascii="Arial" w:cs="Arial" w:eastAsia="Arial" w:hAnsi="Arial"/>
          <w:sz w:val="18"/>
          <w:szCs w:val="18"/>
          <w:color w:val="auto"/>
        </w:rPr>
      </w:pPr>
    </w:p>
    <w:p>
      <w:pPr>
        <w:ind w:right="480" w:firstLine="443"/>
        <w:spacing w:after="0" w:line="332" w:lineRule="auto"/>
        <w:tabs>
          <w:tab w:leader="none" w:pos="687"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Conversion Out of Stock Units. </w:t>
      </w:r>
      <w:r>
        <w:rPr>
          <w:rFonts w:ascii="Arial" w:cs="Arial" w:eastAsia="Arial" w:hAnsi="Arial"/>
          <w:sz w:val="16"/>
          <w:szCs w:val="16"/>
          <w:color w:val="auto"/>
        </w:rPr>
        <w:t>The dollar value of the Stock Units credited to a Participant’s Account on any date shall be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multiplying the number of Stock Units (including fractional Stock Units) credited to the Participant’s Account by the Closing Price on that date.</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Effect of Recapitalization. </w:t>
      </w:r>
      <w:r>
        <w:rPr>
          <w:rFonts w:ascii="Arial" w:cs="Arial" w:eastAsia="Arial" w:hAnsi="Arial"/>
          <w:sz w:val="16"/>
          <w:szCs w:val="16"/>
          <w:color w:val="auto"/>
        </w:rPr>
        <w:t>In the event of a transaction or event described in this paragraph (4), the number of Stock Units credited to a</w:t>
      </w:r>
    </w:p>
    <w:p>
      <w:pPr>
        <w:spacing w:after="0" w:line="38"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Participant’s Account shall be adjusted in such manner as the Committee, in its sole discretion, deems equitable. A transaction or event is described in this paragraph (4) if (i) it is a dividend (other than regular quarterly dividends) or other distribution (whether in the form of cash, shares, other securities, or other property), extraordinary cash dividend, recapitalization, stock split, reverse stock split reorganization, merger, consolidation, split-up, spin-off, repurchase, or exchange of shares or other securities, the issuance or exercisability of stock purchase rights, the issuance of warrants or other rights to purchase shares or other securities, or other similar corporate transaction or event and (ii) the Committee determines that such transaction or event affects the shares of UTC Common Stock, such that an adjustment pursuant to this paragraph (4) is appropriate to prevent dilution or enlargement of the benefits or potential benefits intended to be made available under the Plan.</w:t>
      </w:r>
    </w:p>
    <w:p>
      <w:pPr>
        <w:spacing w:after="0" w:line="10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40"/>
          </w:cols>
          <w:pgMar w:left="700" w:top="280" w:right="359" w:bottom="1440" w:gutter="0" w:footer="0" w:header="0"/>
        </w:sectPr>
      </w:pPr>
    </w:p>
    <w:bookmarkStart w:id="65" w:name="page66"/>
    <w:bookmarkEnd w:id="65"/>
    <w:p>
      <w:pPr>
        <w:ind w:firstLine="464"/>
        <w:spacing w:after="0" w:line="254"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Change in Deemed Investment Election. </w:t>
      </w:r>
      <w:r>
        <w:rPr>
          <w:rFonts w:ascii="Arial" w:cs="Arial" w:eastAsia="Arial" w:hAnsi="Arial"/>
          <w:sz w:val="18"/>
          <w:szCs w:val="18"/>
          <w:color w:val="auto"/>
        </w:rPr>
        <w:t>A Participant who elects to receive distribution of his or her Accounts in annual installments will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such Account credited with Stock Units during the installment period unless the Participant irrevocably elects to have his or her Account treated, as of the Payment Commencement Date, as if the Account were invested in cash. If a Participant makes such election, the Account will be credited with a rate of interest equal to the average interest rate on 10-Year Treasury Bonds as of the January through October Period in the calendar year prior to the Plan Year in which the interest is credited, plus I %. An election under this subsection (b) shall be made in a form and manner satisfactory to the Committee and shall be effective only if made before the Payment Commencement Date.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4.03  Hypothetical Nature of Accounts and Investments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Each Account established under this Article IV shall be maintained for bookkeeping purposes only. Neither the Plan nor any of the Accounts established under the Plan shall hold any actual funds or assets. The Stock Units established hereunder shall be used solely to determine the amounts to be paid hereunder, shall not be or represent an equity security of the Company, shall not be convertible into or otherwise entitle a Participant to acquire an equity security of the Company and shall not carry any voting or dividend rights.</w:t>
      </w: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PAYMENTS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5.01  Entitlement to Payment</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Credits to a Participant’s Account under Section 3.02 or 3.03 shall be in lieu of payment to the Participant of the related Director’s Fees. Any payment under the Plan with respect to an Account shall be made solely in cash and as further provided in this Article V. The right of any person to receive one or more payments under the Plan shall be an unsecured claim against the general assets of the Company.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5.02  Payment Commencement Date</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Payments to a Participant with respect to the Participant’s Account shall begin as of the Participant’s Payment Commencement Date; provided that if a Participant dies before the Participant’s Payment Commencement Date, payment of the entire value of the Participant’s Account shall be made in a lump sum to the Participant’s Beneficiary as soon as practicable after the Committee receives all documents and other information that it requests in connection with the payment.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5.03  Form and Amount of Payment</w:t>
      </w:r>
    </w:p>
    <w:p>
      <w:pPr>
        <w:spacing w:after="0" w:line="96" w:lineRule="exact"/>
        <w:rPr>
          <w:sz w:val="20"/>
          <w:szCs w:val="20"/>
          <w:color w:val="auto"/>
        </w:rPr>
      </w:pPr>
    </w:p>
    <w:p>
      <w:pPr>
        <w:ind w:firstLine="464"/>
        <w:spacing w:after="0" w:line="288"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Fifteen Annual Installments. </w:t>
      </w:r>
      <w:r>
        <w:rPr>
          <w:rFonts w:ascii="Arial" w:cs="Arial" w:eastAsia="Arial" w:hAnsi="Arial"/>
          <w:sz w:val="16"/>
          <w:szCs w:val="16"/>
          <w:color w:val="auto"/>
        </w:rPr>
        <w:t>A Participant shall receive his or her benefits in 15 annual installments unless the Participant elects to receive his or her</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under the Plan in the form of a lump-sum payment or in less than 15 annual installments in accordance with subsection (b), below. Annual installments shall be payable to the Participant in cash beginning as of the Payment Commencement Date and continuing as of each Payment Anniversary Date thereafter until all installments have been paid. The first annual installment shall equal one- fifteenth (1/15th) of the value of the Stock Units credited to the Participant’s Account, determined as of the Payment Commencement Date. Each successive annual installment shall equal the value of the Stock Units credited to the Participant’s Account, determined as of the Payment Anniversary Date, multiplied by a fraction, the numerator of which is one, and the denominator of which is the excess of 15 over the number of installment payments previously made (i.e., 1/14th, 1/13th, etc.). If the Participant dies after the Participant’s Payment Commencement Date but before all 15 installments have been paid, the remaining installments shall be paid to the Participant’s Beneficiary in accordance with the schedule in this subsection (a).</w:t>
      </w:r>
    </w:p>
    <w:p>
      <w:pPr>
        <w:spacing w:after="0" w:line="119" w:lineRule="exact"/>
        <w:rPr>
          <w:rFonts w:ascii="Arial" w:cs="Arial" w:eastAsia="Arial" w:hAnsi="Arial"/>
          <w:sz w:val="16"/>
          <w:szCs w:val="16"/>
          <w:color w:val="auto"/>
        </w:rPr>
      </w:pPr>
    </w:p>
    <w:p>
      <w:pPr>
        <w:ind w:firstLine="464"/>
        <w:spacing w:after="0" w:line="256"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Lump Sum, or Less Than 15 Annual Installments. </w:t>
      </w:r>
      <w:r>
        <w:rPr>
          <w:rFonts w:ascii="Arial" w:cs="Arial" w:eastAsia="Arial" w:hAnsi="Arial"/>
          <w:sz w:val="18"/>
          <w:szCs w:val="18"/>
          <w:color w:val="auto"/>
        </w:rPr>
        <w:t>A Participant may elect to receive his or her benefits under the Plan in the form of a lump-sum</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or in two to fourteen installments in lieu of the fifteen installment payments determined under subsection (a), above. The lump sum shall be payable to the Participant in cash as of the Payment Commencement Date and shall equal the value of the Stock Units credited to the Participant’s Account, determined as of the Payment Commencement Date. Installments shall be paid in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67" w:name="page68"/>
    <w:bookmarkEnd w:id="67"/>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manner set forth in subsection (a) above, except that for purposes of determining the amount of the first annual installment, the denominator of the fraction shall equal the number of scheduled annual installments. An election under this subsection (b) shall be made in a form and manner satisfactory to the Committee and shall be effective only if made at least two years before the Participant’s Payment Commencement Date.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6.01  In General</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Committee shall have the discretionary authority to interpret the Plan and to decide any and all matters arising under the Plan, including without limitation the right to determine eligibility for participation, benefits, and other rights under the Plan; the right to determine whether any election or notice requirement or other administrative procedure under the Plan has been adequately observed; the right to determine the proper recipient of any distribution under the Plan; the right to remedy possible ambiguities, inconsistencies, or omissions by general rule or particular decision; and the right otherwise to interpret the Plan in accordance with its terms. Except as otherwise provided in Section 6.03, the Committee’s determination on any and all questions arising out of the interpretation or administration of the Plan shall be final, conclusive, and binding on all parties.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6.02  Plan Amendment and Termination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Committee may amend, suspend, or terminate the Plan at any time; provided that no amendment, suspension, or termination of the Plan shall, without a Participant’s consent, reduce the Participant’s benefits accrued under the Plan before the date of such amendment, suspension, or termination. If the Plan is terminated in accordance with this Section 6.02, the terms of the Plan as in effect immediately before termination shall determine the right to payment in respect of any amounts that remain credited to a Participant’s or Beneficiary’s Account upon termination.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6.03  Reports to Participants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Committee shall furnish an annual statement to each Participant (or Beneficiary) reporting the value of the Participant’s (or Beneficiary’s) Account as of the end of the most recent Plan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6.04  Delegation of Authority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Committee may delegate to officers of the Company any and all authority with which it is vested under the Plan, and the Committee may allocate its responsibilities under the Plan among its member.</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7.01  Rights Not Assignable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payment due under the Plan shall be subject in any manner to anticipation, alienation, sale, transfer, assignment, pledge, encumbrance, or charge in any other way. Any attempt to anticipate, alienate, sell, transfer, assign, pledge, encumber, or charge such payment in any other way shall be void. No such payment or interest therein shall be liable for or subject to the debts, contracts, liabilities, or torts of any Participant or Beneficiary. If any Participant or Beneficiary becomes bankrupt or attempts to anticipate, alienate, sell, transfer, assign, pledge, encumber, or charge in any other way any payment under the Plan, the Committee may direct that such payment be suspended and that all future payments to which such Participant or Beneficiary otherwise would be entitled be held and applied for the benefit of such person, the person’s children or other dependents, or any of them, in such manner and in such proportions as the Committee may deem proper.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7.02  Certain Rights Reserved</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Nothing in the Plan shall confer upon any person the right to continue to serve as a member of the Board or to participate in the Plan other than in accordance with its terms.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74" w:right="3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7.03  Withholding Taxes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Committee may make any appropriate arrangements to deduct from all credits and payments under the Plan any taxes that the Committee reasonably determines to be required by law to be withheld from such credits and payments.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7.04  Incompetence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Committee determines, upon evidence satisfactory to the Committee, that any Participant or Beneficiary to whom a benefit is payable under the Plan is unable to care for his or her affairs because of illness or accident or otherwise, any payment due under the Plan (unless prior claim therefore shall have been made by a duly authorized guardian or other legal representative) may be paid, upon appropriate indemnification of the Committee and the Company, to the spouse of the Participant or Beneficiary or other person deemed by the Committee to have incurred expenses for the benefit of and on behalf of such Participant or Beneficiary. Any such payment shall be a complete discharge of any liability under the Plan with respect to the amount so paid.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7.05  Inability to Locate Participants and Beneficiaries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Participant and Beneficiary entitled to receive a payment under the Plan shall keep the Committee advised of his or her current address. If the Committee is unable for a period of 36 months to locate a Participant or Beneficiary to whom a payment is due under the Plan, commencing with the first day of the month as of which such payment first comes due, the total amount payable to such Participant or Beneficiary shall be forfeited. Should such a Participant or Beneficiary subsequently contact the Committee requesting payment, the Committee shall, upon receipt of all documents and other information that it might request in connection with the payment, restore and pay the forfeited payment in a lump sum, the value of which shall not be adjusted to reflect any interest or other type of investment earnings or gains for the period of forfeiture.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274"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7.06  Successors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provisions of the Plan shall bind and inure to the benefit of the Company and its successors and assigns. The term “successors” as used in the preceding sentence shall include any corporation or other business entity that by merger, consolidation, purchase, or otherwise acquires all or substantially all of the business and assets of the Company, and any successors and assigns of any such corporation or other business entity.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7.07  Usage</w:t>
      </w:r>
    </w:p>
    <w:p>
      <w:pPr>
        <w:spacing w:after="0" w:line="96" w:lineRule="exact"/>
        <w:rPr>
          <w:sz w:val="20"/>
          <w:szCs w:val="20"/>
          <w:color w:val="auto"/>
        </w:rPr>
      </w:pPr>
    </w:p>
    <w:p>
      <w:pPr>
        <w:ind w:right="280" w:firstLine="464"/>
        <w:spacing w:after="0" w:line="268"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Titles and Headings. </w:t>
      </w:r>
      <w:r>
        <w:rPr>
          <w:rFonts w:ascii="Arial" w:cs="Arial" w:eastAsia="Arial" w:hAnsi="Arial"/>
          <w:sz w:val="18"/>
          <w:szCs w:val="18"/>
          <w:color w:val="auto"/>
        </w:rPr>
        <w:t>The titles to Articles and the headings of Sections, subsections, and paragraphs in the Plan are placed herein for convenience of</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only and shall be of no force or effect in the interpretation of the Plan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Number. </w:t>
      </w:r>
      <w:r>
        <w:rPr>
          <w:rFonts w:ascii="Arial" w:cs="Arial" w:eastAsia="Arial" w:hAnsi="Arial"/>
          <w:sz w:val="18"/>
          <w:szCs w:val="18"/>
          <w:color w:val="auto"/>
        </w:rPr>
        <w:t>The singular form shall include the plural, where appropriate.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7.08  Severability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any provision of the Plan is held unlawful or otherwise invalid or unenforceable in whole or in part, such unlawfulness, invalidity, or unenforceability shall not affect any other provision of the Plan or part thereof, each of which shall remain in full force and effect. If the making of any payment or the provision of any other benefit required under the Plan is held unlawful or otherwise invalid or unenforceable,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7.09  Governing Law</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Plan and all determinations made and actions taken under the Plan shall be governed by and construed in accordance with the laws of the State of Connecticut.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7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000" w:type="dxa"/>
            <w:vAlign w:val="bottom"/>
            <w:gridSpan w:val="3"/>
            <w:vMerge w:val="continue"/>
          </w:tcPr>
          <w:p>
            <w:pPr>
              <w:spacing w:after="0"/>
              <w:rPr>
                <w:sz w:val="12"/>
                <w:szCs w:val="12"/>
                <w:color w:val="auto"/>
              </w:rPr>
            </w:pPr>
          </w:p>
        </w:tc>
        <w:tc>
          <w:tcPr>
            <w:tcW w:w="30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Charges:</w:t>
            </w:r>
          </w:p>
        </w:tc>
        <w:tc>
          <w:tcPr>
            <w:tcW w:w="56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Interest expense</w:t>
            </w:r>
            <w:r>
              <w:rPr>
                <w:rFonts w:ascii="Arial" w:cs="Arial" w:eastAsia="Arial" w:hAnsi="Arial"/>
                <w:sz w:val="22"/>
                <w:szCs w:val="22"/>
                <w:color w:val="auto"/>
                <w:vertAlign w:val="superscript"/>
              </w:rPr>
              <w:t>1</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One-third of rents</w:t>
            </w:r>
            <w:r>
              <w:rPr>
                <w:rFonts w:ascii="Arial" w:cs="Arial" w:eastAsia="Arial" w:hAnsi="Arial"/>
                <w:sz w:val="22"/>
                <w:szCs w:val="22"/>
                <w:color w:val="auto"/>
                <w:vertAlign w:val="superscript"/>
              </w:rPr>
              <w:t>2</w:t>
            </w:r>
          </w:p>
        </w:tc>
        <w:tc>
          <w:tcPr>
            <w:tcW w:w="3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color w:val="auto"/>
              </w:rPr>
              <w:t>Earnings:</w:t>
            </w:r>
          </w:p>
        </w:tc>
        <w:tc>
          <w:tcPr>
            <w:tcW w:w="3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0" w:type="dxa"/>
            <w:vAlign w:val="bottom"/>
            <w:gridSpan w:val="3"/>
            <w:vMerge w:val="continue"/>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 and minority interests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5,304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Fixed charges per above</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interest capitalized</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interest capitalized</w:t>
            </w:r>
          </w:p>
        </w:tc>
        <w:tc>
          <w:tcPr>
            <w:tcW w:w="3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Total earnings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5,931</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3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Effective January 1, 2007, we adopted the provisions of Financial Accounting Standards Board Interpretation No. 48, “Accounting for Uncertainty in Income Taxes.” Interest related to unrecognized tax benefits was approximately $8 million and $15 million for the nine months ended September 30, 2008 and 2007, respectively. The ratio of earnings to fixed charges would have been 9.47 and 9.27 for the nine months ended September 30, 2008 and 2007, respectively, if such interest were excluded from the calculation.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Reasonable approximation of the interest factor.</w:t>
      </w:r>
    </w:p>
    <w:p>
      <w:pPr>
        <w:sectPr>
          <w:pgSz w:w="11900" w:h="16838" w:orient="portrait"/>
          <w:cols w:equalWidth="0" w:num="2">
            <w:col w:w="60" w:space="400"/>
            <w:col w:w="10960"/>
          </w:cols>
          <w:pgMar w:left="240" w:top="125" w:right="2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21,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are aware that our report dated October 21, 2008 on our review of interim financial information of United Technologies Corporation (the “Corporation”) for the three and nine-month periods ended September 30, 2008 and 2007 and included in the Corporation’s quarterly report on Form 10-Q for the quarter ended September 30, 2008 is incorporated by reference in its Registration Statement on Form S-3 (No. 333-144830), in the Registration Statement on Form S-4 (No. 333-77991) as amended by Post-Effective Amendment No. 1 on Form S-8 (No. 333-77991) and in the Registration Statements on Form S-8 (Nos. 333-150643, 333-150640, 333-150639, 333-125478, 333-125476, 333-125293, 333-110020, 333-100724, 333-100723, 333-100718, 333-82911, 333-77817, 333-21853, 333-21851, 033-58937, 033-57769 and 033-51385).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Louis R. Chênevert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October 21, 2008</w:t>
      </w:r>
      <w:r>
        <w:rPr>
          <w:sz w:val="20"/>
          <w:szCs w:val="20"/>
          <w:color w:val="auto"/>
        </w:rPr>
        <w:tab/>
      </w:r>
      <w:r>
        <w:rPr>
          <w:rFonts w:ascii="Arial" w:cs="Arial" w:eastAsia="Arial" w:hAnsi="Arial"/>
          <w:sz w:val="16"/>
          <w:szCs w:val="16"/>
          <w:color w:val="auto"/>
        </w:rPr>
        <w:t>Louis R. Chênevert</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October 21, 2008</w:t>
      </w:r>
      <w:r>
        <w:rPr>
          <w:sz w:val="20"/>
          <w:szCs w:val="20"/>
          <w:color w:val="auto"/>
        </w:rPr>
        <w:tab/>
      </w:r>
      <w:r>
        <w:rPr>
          <w:rFonts w:ascii="Arial" w:cs="Arial" w:eastAsia="Arial" w:hAnsi="Arial"/>
          <w:sz w:val="15"/>
          <w:szCs w:val="15"/>
          <w:color w:val="auto"/>
        </w:rPr>
        <w:t>Gregory J. Hayes</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Margaret M. Smyth, certify that:</w:t>
      </w:r>
    </w:p>
    <w:p>
      <w:pPr>
        <w:spacing w:after="0" w:line="9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October 21, 2008</w:t>
      </w:r>
      <w:r>
        <w:rPr>
          <w:sz w:val="20"/>
          <w:szCs w:val="20"/>
          <w:color w:val="auto"/>
        </w:rPr>
        <w:tab/>
      </w:r>
      <w:r>
        <w:rPr>
          <w:rFonts w:ascii="Arial" w:cs="Arial" w:eastAsia="Arial" w:hAnsi="Arial"/>
          <w:sz w:val="16"/>
          <w:szCs w:val="16"/>
          <w:color w:val="auto"/>
        </w:rPr>
        <w:t>Margaret M. Smyth</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Controller</w:t>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Quarterly Report on Form 10-Q for the quarter ended September 30, 2008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2008 /s/ Louis R. Chênevert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10795</wp:posOffset>
            </wp:positionV>
            <wp:extent cx="22466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Louis R. Chênevert</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2008 /s/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10795</wp:posOffset>
            </wp:positionV>
            <wp:extent cx="22466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Gregory J. Hayes</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Senior Vice President 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2008 /s/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10795</wp:posOffset>
            </wp:positionV>
            <wp:extent cx="22466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Margaret M. Smyth</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Vice President, Controller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31"/>
    </w:lvl>
  </w:abstractNum>
  <w:abstractNum w:abstractNumId="4">
    <w:nsid w:val="DED7263"/>
    <w:multiLevelType w:val="hybridMultilevel"/>
    <w:lvl w:ilvl="0">
      <w:lvlJc w:val="left"/>
      <w:lvlText w:val="%1"/>
      <w:numFmt w:val="decimal"/>
      <w:start w:val="3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1"/>
    </w:lvl>
    <w:lvl w:ilvl="1">
      <w:lvlJc w:val="left"/>
      <w:lvlText w:val="(%2)"/>
      <w:numFmt w:val="decimal"/>
      <w:start w:val="1"/>
    </w:lvl>
  </w:abstractNum>
  <w:abstractNum w:abstractNumId="8">
    <w:nsid w:val="6B68079A"/>
    <w:multiLevelType w:val="hybridMultilevel"/>
    <w:lvl w:ilvl="0">
      <w:lvlJc w:val="left"/>
      <w:lvlText w:val="(%1)"/>
      <w:numFmt w:val="decimal"/>
      <w:start w:val="4"/>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2"/>
    </w:lvl>
  </w:abstractNum>
  <w:abstractNum w:abstractNumId="11">
    <w:nsid w:val="519B500D"/>
    <w:multiLevelType w:val="hybridMultilevel"/>
    <w:lvl w:ilvl="0">
      <w:lvlJc w:val="left"/>
      <w:lvlText w:val="%1."/>
      <w:numFmt w:val="lowerRoman"/>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3"/>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lvl w:ilvl="1">
      <w:lvlJc w:val="left"/>
      <w:lvlText w:val="(%2)"/>
      <w:numFmt w:val="decimal"/>
      <w:start w:val="1"/>
    </w:lvl>
  </w:abstractNum>
  <w:abstractNum w:abstractNumId="16">
    <w:nsid w:val="62BBD95A"/>
    <w:multiLevelType w:val="hybridMultilevel"/>
    <w:lvl w:ilvl="0">
      <w:lvlJc w:val="left"/>
      <w:lvlText w:val="(%1)"/>
      <w:numFmt w:val="decimal"/>
      <w:start w:val="2"/>
    </w:lvl>
  </w:abstractNum>
  <w:abstractNum w:abstractNumId="17">
    <w:nsid w:val="436C6125"/>
    <w:multiLevelType w:val="hybridMultilevel"/>
    <w:lvl w:ilvl="0">
      <w:lvlJc w:val="left"/>
      <w:lvlText w:val="(%1)"/>
      <w:numFmt w:val="lowerLetter"/>
      <w:start w:val="2"/>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2019-12-13T07:49:34Z</dcterms:created>
  <dcterms:modified xsi:type="dcterms:W3CDTF">2019-12-13T07:49:34Z</dcterms:modified>
</cp:coreProperties>
</file>