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142"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1-812</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8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380"/>
          </w:cols>
          <w:pgMar w:left="240" w:top="229" w:right="279" w:bottom="1440" w:gutter="0" w:footer="0" w:header="0"/>
        </w:sectPr>
      </w:pPr>
    </w:p>
    <w:p>
      <w:pPr>
        <w:spacing w:after="0" w:line="259"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06-0570975</w:t>
      </w:r>
    </w:p>
    <w:p>
      <w:pPr>
        <w:spacing w:after="0" w:line="86"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 Farm Springs Road, Farmington, Connecticut 06032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(860) 728-7000</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0" w:lineRule="exact"/>
        <w:rPr>
          <w:sz w:val="24"/>
          <w:szCs w:val="24"/>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64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2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At June 30, 2017 there were 798,772,783 shares of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2017</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324"/>
        </w:trPr>
        <w:tc>
          <w:tcPr>
            <w:tcW w:w="1070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Unaudited Financial Statements:</w:t>
              </w:r>
            </w:hyperlink>
          </w:p>
        </w:tc>
        <w:tc>
          <w:tcPr>
            <w:tcW w:w="766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Statement of Operations for the quarters ended June 30, 2017 and 2016</w:t>
            </w:r>
          </w:p>
        </w:tc>
        <w:tc>
          <w:tcPr>
            <w:tcW w:w="33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 of Operations for the six months ended June 30, 2017 and 2016</w:t>
              </w:r>
            </w:hyperlink>
          </w:p>
        </w:tc>
        <w:tc>
          <w:tcPr>
            <w:tcW w:w="318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40" w:type="dxa"/>
            <w:vAlign w:val="bottom"/>
            <w:tcBorders>
              <w:bottom w:val="single" w:sz="8" w:color="0000FF"/>
            </w:tcBorders>
            <w:gridSpan w:val="18"/>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 of Comprehensive Income for the quarters and six months ended June 30, 2017 and 2016</w:t>
              </w:r>
            </w:hyperlink>
          </w:p>
        </w:tc>
        <w:tc>
          <w:tcPr>
            <w:tcW w:w="13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6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Balance Sheet at June 30, 2017 and December 31, 2016</w:t>
              </w:r>
            </w:hyperlink>
          </w:p>
        </w:tc>
        <w:tc>
          <w:tcPr>
            <w:tcW w:w="450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tcBorders>
              <w:bottom w:val="single" w:sz="8" w:color="0000FF"/>
            </w:tcBorders>
            <w:gridSpan w:val="17"/>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 of Cash Flows for the six months ended June 30, 2017 and 2016</w:t>
              </w:r>
            </w:hyperlink>
          </w:p>
        </w:tc>
        <w:tc>
          <w:tcPr>
            <w:tcW w:w="3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Report of Independent Registered Public Accounting Firm</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5"/>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 Quantitative and Qualitative Disclosures About Market Risk</w:t>
              </w:r>
            </w:hyperlink>
          </w:p>
        </w:tc>
        <w:tc>
          <w:tcPr>
            <w:tcW w:w="358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2">
              <w:r>
                <w:rPr>
                  <w:rFonts w:ascii="Arial" w:cs="Arial" w:eastAsia="Arial" w:hAnsi="Arial"/>
                  <w:sz w:val="18"/>
                  <w:szCs w:val="18"/>
                  <w:color w:val="0000FF"/>
                  <w:w w:val="90"/>
                </w:rPr>
                <w:t>Item 4.</w:t>
              </w:r>
            </w:hyperlink>
          </w:p>
        </w:tc>
        <w:tc>
          <w:tcPr>
            <w:tcW w:w="1800" w:type="dxa"/>
            <w:vAlign w:val="bottom"/>
            <w:gridSpan w:val="5"/>
          </w:tcPr>
          <w:p>
            <w:pPr>
              <w:ind w:left="20"/>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Controls and Procedures</w:t>
              </w:r>
            </w:hyperlink>
          </w:p>
        </w:tc>
        <w:tc>
          <w:tcPr>
            <w:tcW w:w="2580" w:type="dxa"/>
            <w:vAlign w:val="bottom"/>
            <w:gridSpan w:val="6"/>
          </w:tcPr>
          <w:p>
            <w:pPr>
              <w:spacing w:after="0"/>
              <w:rPr>
                <w:sz w:val="24"/>
                <w:szCs w:val="24"/>
                <w:color w:val="auto"/>
              </w:rPr>
            </w:pPr>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9"/>
          </w:tcPr>
          <w:p>
            <w:pPr>
              <w:spacing w:after="0"/>
              <w:rPr>
                <w:rFonts w:ascii="Arial" w:cs="Arial" w:eastAsia="Arial" w:hAnsi="Arial"/>
                <w:sz w:val="18"/>
                <w:szCs w:val="18"/>
                <w:color w:val="0000FF"/>
                <w:w w:val="95"/>
              </w:rPr>
            </w:pPr>
            <w:hyperlink w:anchor="page44">
              <w:r>
                <w:rPr>
                  <w:rFonts w:ascii="Arial" w:cs="Arial" w:eastAsia="Arial" w:hAnsi="Arial"/>
                  <w:sz w:val="18"/>
                  <w:szCs w:val="18"/>
                  <w:color w:val="0000FF"/>
                  <w:w w:val="95"/>
                </w:rPr>
                <w:t>PART II – OTHER INFORMATION</w:t>
              </w:r>
            </w:hyperlink>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1.</w:t>
              </w:r>
            </w:hyperlink>
          </w:p>
        </w:tc>
        <w:tc>
          <w:tcPr>
            <w:tcW w:w="1360" w:type="dxa"/>
            <w:vAlign w:val="bottom"/>
            <w:gridSpan w:val="4"/>
          </w:tcPr>
          <w:p>
            <w:pPr>
              <w:ind w:left="20"/>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Legal Proceedings</w:t>
              </w:r>
            </w:hyperlink>
          </w:p>
        </w:tc>
        <w:tc>
          <w:tcPr>
            <w:tcW w:w="640" w:type="dxa"/>
            <w:vAlign w:val="bottom"/>
            <w:gridSpan w:val="2"/>
          </w:tcPr>
          <w:p>
            <w:pPr>
              <w:spacing w:after="0"/>
              <w:rPr>
                <w:sz w:val="24"/>
                <w:szCs w:val="24"/>
                <w:color w:val="auto"/>
              </w:rPr>
            </w:pPr>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5"/>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1A. Risk Factors</w:t>
              </w:r>
            </w:hyperlink>
          </w:p>
        </w:tc>
        <w:tc>
          <w:tcPr>
            <w:tcW w:w="300" w:type="dxa"/>
            <w:vAlign w:val="bottom"/>
          </w:tcPr>
          <w:p>
            <w:pPr>
              <w:spacing w:after="0"/>
              <w:rPr>
                <w:sz w:val="24"/>
                <w:szCs w:val="24"/>
                <w:color w:val="auto"/>
              </w:rPr>
            </w:pPr>
          </w:p>
        </w:tc>
        <w:tc>
          <w:tcPr>
            <w:tcW w:w="86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2.</w:t>
              </w:r>
            </w:hyperlink>
          </w:p>
        </w:tc>
        <w:tc>
          <w:tcPr>
            <w:tcW w:w="4380" w:type="dxa"/>
            <w:vAlign w:val="bottom"/>
            <w:gridSpan w:val="11"/>
          </w:tcPr>
          <w:p>
            <w:pPr>
              <w:ind w:left="2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Unregistered Sales of Equity Securities and Use of Proceeds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6.</w:t>
              </w:r>
            </w:hyperlink>
          </w:p>
        </w:tc>
        <w:tc>
          <w:tcPr>
            <w:tcW w:w="4380" w:type="dxa"/>
            <w:vAlign w:val="bottom"/>
            <w:gridSpan w:val="11"/>
          </w:tcPr>
          <w:p>
            <w:pPr>
              <w:ind w:left="20"/>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4"/>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SIGNATURES</w:t>
              </w:r>
            </w:hyperlink>
          </w:p>
        </w:tc>
        <w:tc>
          <w:tcPr>
            <w:tcW w:w="9600" w:type="dxa"/>
            <w:vAlign w:val="bottom"/>
            <w:gridSpan w:val="17"/>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Quarter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10,661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10,634</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14,874</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7,933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2,808</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12,780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1,426</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1,439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1,379</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Product 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20,298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20,053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8,178</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28,231</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15,020</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1,129</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24,338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3,834</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2,598</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Gain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2,825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2,562</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3.08</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Loss from discontinued operations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income (loss), net of tax (expense) benefit: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Reclassification adjustments for gain on sale of an investment in 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foreign entity recognized in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actuarial loss, prior service cost and transition obligation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Unrealized gain (loss)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holding gain (loss) arising during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 adjustments for gain included in 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Unrealized cash flow hedging gain arising during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reclassified into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4"/>
                <w:szCs w:val="1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Arial" w:cs="Arial" w:eastAsia="Arial" w:hAnsi="Arial"/>
                <w:sz w:val="17"/>
                <w:szCs w:val="17"/>
                <w:b w:val="1"/>
                <w:bCs w:val="1"/>
                <w:color w:val="auto"/>
                <w:w w:val="78"/>
              </w:rPr>
              <w:t>Assets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40" w:type="dxa"/>
            <w:vAlign w:val="bottom"/>
            <w:tcBorders>
              <w:top w:val="single" w:sz="8" w:color="CCEEFF"/>
            </w:tcBorders>
            <w:gridSpan w:val="4"/>
          </w:tcPr>
          <w:p>
            <w:pPr>
              <w:ind w:left="40"/>
              <w:spacing w:after="0"/>
              <w:rPr>
                <w:sz w:val="20"/>
                <w:szCs w:val="20"/>
                <w:color w:val="auto"/>
              </w:rPr>
            </w:pPr>
            <w:r>
              <w:rPr>
                <w:rFonts w:ascii="Arial" w:cs="Arial" w:eastAsia="Arial" w:hAnsi="Arial"/>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240" w:type="dxa"/>
            <w:vAlign w:val="bottom"/>
            <w:tcBorders>
              <w:top w:val="single" w:sz="8" w:color="CCEEFF"/>
            </w:tcBorders>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9,345</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7,157</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11,481</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Inventories and contracts in progress, net</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9,860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8,704</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Other assets, current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Current Assets</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32,829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28,550</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Customer financing assets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Future income tax benefits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1,817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1,809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Fixed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19,469</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Less: Accumulated depreciation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(10,834)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(10,311)</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Fixed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9,158</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Goodwill</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27,587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27,059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15,684</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5,503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6,048</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94,793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89,706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60" w:type="dxa"/>
            <w:vAlign w:val="bottom"/>
            <w:gridSpan w:val="4"/>
            <w:vMerge w:val="restart"/>
          </w:tcPr>
          <w:p>
            <w:pPr>
              <w:jc w:val="center"/>
              <w:ind w:right="3260"/>
              <w:spacing w:after="0"/>
              <w:rPr>
                <w:sz w:val="20"/>
                <w:szCs w:val="20"/>
                <w:color w:val="auto"/>
              </w:rPr>
            </w:pPr>
            <w:r>
              <w:rPr>
                <w:rFonts w:ascii="Arial" w:cs="Arial" w:eastAsia="Arial" w:hAnsi="Arial"/>
                <w:sz w:val="17"/>
                <w:szCs w:val="17"/>
                <w:b w:val="1"/>
                <w:bCs w:val="1"/>
                <w:color w:val="auto"/>
                <w:w w:val="94"/>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6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Short-term borrowings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8,542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7,483</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12,219</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 currently due</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2,061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1,603</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21,906</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Long-term debt</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23,883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21,697</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Future pension and postretirement benefit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5,612</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Other long-term liabilities</w:t>
            </w:r>
          </w:p>
        </w:tc>
        <w:tc>
          <w:tcPr>
            <w:tcW w:w="24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7"/>
                <w:szCs w:val="17"/>
                <w:color w:val="auto"/>
              </w:rPr>
              <w:t>11,181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11,026</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60,241</w:t>
            </w:r>
          </w:p>
        </w:tc>
        <w:tc>
          <w:tcPr>
            <w:tcW w:w="0" w:type="dxa"/>
            <w:vAlign w:val="bottom"/>
          </w:tcPr>
          <w:p>
            <w:pPr>
              <w:spacing w:after="0"/>
              <w:rPr>
                <w:sz w:val="1"/>
                <w:szCs w:val="1"/>
                <w:color w:val="auto"/>
              </w:rPr>
            </w:pPr>
          </w:p>
        </w:tc>
      </w:tr>
      <w:tr>
        <w:trPr>
          <w:trHeight w:val="21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Commitments and contingent liabilities (Note 15)</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Redeemable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39"/>
        </w:trPr>
        <w:tc>
          <w:tcPr>
            <w:tcW w:w="8120" w:type="dxa"/>
            <w:vAlign w:val="bottom"/>
            <w:gridSpan w:val="7"/>
          </w:tcPr>
          <w:p>
            <w:pPr>
              <w:ind w:left="40"/>
              <w:spacing w:after="0"/>
              <w:rPr>
                <w:sz w:val="20"/>
                <w:szCs w:val="20"/>
                <w:color w:val="auto"/>
              </w:rPr>
            </w:pPr>
            <w:r>
              <w:rPr>
                <w:rFonts w:ascii="Arial" w:cs="Arial" w:eastAsia="Arial" w:hAnsi="Arial"/>
                <w:sz w:val="17"/>
                <w:szCs w:val="17"/>
                <w:color w:val="auto"/>
              </w:rPr>
              <w:t>Shareowners' Equity:</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17,285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Treasury Stock</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(35,516)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(34,150)</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52,873</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Unearned ESOP shares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(8,334)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1100"/>
              <w:spacing w:after="0"/>
              <w:rPr>
                <w:sz w:val="20"/>
                <w:szCs w:val="20"/>
                <w:color w:val="auto"/>
              </w:rPr>
            </w:pPr>
            <w:r>
              <w:rPr>
                <w:rFonts w:ascii="Arial" w:cs="Arial" w:eastAsia="Arial" w:hAnsi="Arial"/>
                <w:sz w:val="17"/>
                <w:szCs w:val="17"/>
                <w:color w:val="auto"/>
              </w:rPr>
              <w:t>Total Shareowners' Equity</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28,442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27,579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7"/>
                <w:szCs w:val="17"/>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1,590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Arial" w:cs="Arial" w:eastAsia="Arial" w:hAnsi="Arial"/>
                <w:sz w:val="17"/>
                <w:szCs w:val="17"/>
                <w:color w:val="auto"/>
              </w:rPr>
              <w:t>Total Equity</w:t>
            </w: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30,155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29,169</w:t>
            </w:r>
          </w:p>
        </w:tc>
        <w:tc>
          <w:tcPr>
            <w:tcW w:w="0" w:type="dxa"/>
            <w:vAlign w:val="bottom"/>
          </w:tcPr>
          <w:p>
            <w:pPr>
              <w:spacing w:after="0"/>
              <w:rPr>
                <w:sz w:val="1"/>
                <w:szCs w:val="1"/>
                <w:color w:val="auto"/>
              </w:rPr>
            </w:pPr>
          </w:p>
        </w:tc>
      </w:tr>
      <w:tr>
        <w:trPr>
          <w:trHeight w:val="31"/>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7"/>
                <w:szCs w:val="17"/>
                <w:color w:val="auto"/>
              </w:rPr>
              <w:t>Total Liabilities and Equity</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94,793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89,706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2,778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Adjustments to reconcile net income from continuing operations to net cash flows provided by operating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activities of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Deferred income tax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Stock compensation cost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Change in: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Inventories and contracts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Global pension contributions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Canadian government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2,606</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Investments in businesses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Dispositions of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Proceeds from sale of investments in Watsco, Inc.</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in customer financing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Increase in collaboration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(Payments) receipts from settlements of derivative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Repayment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short-term borrowings,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Proceeds from Common Stock issued under employee stock plans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 on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provided by financing activities of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7,120</w:t>
            </w:r>
          </w:p>
        </w:tc>
      </w:tr>
      <w:tr>
        <w:trPr>
          <w:trHeight w:val="23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6,813</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Restricted cash, included in 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9,345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02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029"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ind w:firstLine="567"/>
        <w:spacing w:after="0" w:line="297" w:lineRule="auto"/>
        <w:rPr>
          <w:sz w:val="20"/>
          <w:szCs w:val="20"/>
          <w:color w:val="auto"/>
        </w:rPr>
      </w:pPr>
      <w:r>
        <w:rPr>
          <w:rFonts w:ascii="Arial" w:cs="Arial" w:eastAsia="Arial" w:hAnsi="Arial"/>
          <w:sz w:val="16"/>
          <w:szCs w:val="16"/>
          <w:color w:val="auto"/>
        </w:rPr>
        <w:t>The Condensed Consolidated Financial Statements at June 30, 2017 and for the quarters and six months ended June 30, 2017 and 2016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(2016 Annual Report) incorporated by reference in our Annual Report on Form 10-K for calendar year 2016 (2016 Form 10-K).</w:t>
      </w:r>
    </w:p>
    <w:p>
      <w:pPr>
        <w:spacing w:after="0" w:line="50" w:lineRule="exact"/>
        <w:rPr>
          <w:sz w:val="20"/>
          <w:szCs w:val="20"/>
          <w:color w:val="auto"/>
        </w:rPr>
      </w:pPr>
    </w:p>
    <w:p>
      <w:pPr>
        <w:ind w:right="20" w:firstLine="567"/>
        <w:spacing w:after="0" w:line="273" w:lineRule="auto"/>
        <w:rPr>
          <w:sz w:val="20"/>
          <w:szCs w:val="20"/>
          <w:color w:val="auto"/>
        </w:rPr>
      </w:pPr>
      <w:r>
        <w:rPr>
          <w:rFonts w:ascii="Arial" w:cs="Arial" w:eastAsia="Arial" w:hAnsi="Arial"/>
          <w:sz w:val="17"/>
          <w:szCs w:val="17"/>
          <w:color w:val="auto"/>
        </w:rPr>
        <w:t xml:space="preserve">Certain reclassifications have been made to the prior year amounts to conform to the current year presentation. As previously disclosed in our 2016 Form 10-K, in 2016 we early adopted Accounting Standards Update (ASU) 2016-09, </w:t>
      </w:r>
      <w:r>
        <w:rPr>
          <w:rFonts w:ascii="Arial" w:cs="Arial" w:eastAsia="Arial" w:hAnsi="Arial"/>
          <w:sz w:val="17"/>
          <w:szCs w:val="17"/>
          <w:i w:val="1"/>
          <w:iCs w:val="1"/>
          <w:color w:val="auto"/>
        </w:rPr>
        <w:t>Compensation - 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Employee Share-Based Payment Accounting, </w:t>
      </w:r>
      <w:r>
        <w:rPr>
          <w:rFonts w:ascii="Arial" w:cs="Arial" w:eastAsia="Arial" w:hAnsi="Arial"/>
          <w:sz w:val="17"/>
          <w:szCs w:val="17"/>
          <w:color w:val="auto"/>
        </w:rPr>
        <w:t>ASU 2016-15,</w:t>
      </w:r>
      <w:r>
        <w:rPr>
          <w:rFonts w:ascii="Arial" w:cs="Arial" w:eastAsia="Arial" w:hAnsi="Arial"/>
          <w:sz w:val="17"/>
          <w:szCs w:val="17"/>
          <w:i w:val="1"/>
          <w:iCs w:val="1"/>
          <w:color w:val="auto"/>
        </w:rPr>
        <w:t xml:space="preserve"> Statement of Cash Flows (Topic 230): Classification of Certain Cash Receipts and Cash Payments </w:t>
      </w:r>
      <w:r>
        <w:rPr>
          <w:rFonts w:ascii="Arial" w:cs="Arial" w:eastAsia="Arial" w:hAnsi="Arial"/>
          <w:sz w:val="17"/>
          <w:szCs w:val="17"/>
          <w:color w:val="auto"/>
        </w:rPr>
        <w:t>and ASU 2016-18,</w:t>
      </w:r>
      <w:r>
        <w:rPr>
          <w:rFonts w:ascii="Arial" w:cs="Arial" w:eastAsia="Arial" w:hAnsi="Arial"/>
          <w:sz w:val="17"/>
          <w:szCs w:val="17"/>
          <w:i w:val="1"/>
          <w:iCs w:val="1"/>
          <w:color w:val="auto"/>
        </w:rPr>
        <w:t xml:space="preserve"> Statement of Cash Flows (Topic 230): Restricted Cash</w:t>
      </w:r>
      <w:r>
        <w:rPr>
          <w:rFonts w:ascii="Arial" w:cs="Arial" w:eastAsia="Arial" w:hAnsi="Arial"/>
          <w:sz w:val="17"/>
          <w:szCs w:val="17"/>
          <w:color w:val="auto"/>
        </w:rPr>
        <w:t>. Amounts previously reported for the quarter and six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2016 have been restated as required upon adoption of these ASUs. These restatements had an immaterial impact on the Condensed Consolidated Financial Statements as of June 30, 2016, and for the quarter and six months then ended.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22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 xml:space="preserve">Business Acquisitions and Dispositions. </w:t>
      </w:r>
      <w:r>
        <w:rPr>
          <w:rFonts w:ascii="Arial" w:cs="Arial" w:eastAsia="Arial" w:hAnsi="Arial"/>
          <w:sz w:val="18"/>
          <w:szCs w:val="18"/>
          <w:color w:val="auto"/>
        </w:rPr>
        <w:t>During the six months ended June 30, 2017, our investment in business acquisitions was $168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a number of small acquisitions, primarily in our commercial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six months ended June 30, 2017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Goodwill</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260" w:type="dxa"/>
            <w:vAlign w:val="bottom"/>
          </w:tcPr>
          <w:p>
            <w:pPr>
              <w:spacing w:after="0"/>
              <w:rPr>
                <w:sz w:val="14"/>
                <w:szCs w:val="14"/>
                <w:color w:val="auto"/>
              </w:rPr>
            </w:pPr>
          </w:p>
        </w:tc>
        <w:tc>
          <w:tcPr>
            <w:tcW w:w="13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January 1, 2017</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Combinations</w:t>
            </w:r>
          </w:p>
        </w:tc>
        <w:tc>
          <w:tcPr>
            <w:tcW w:w="17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Translation and Other</w:t>
            </w:r>
          </w:p>
        </w:tc>
        <w:tc>
          <w:tcPr>
            <w:tcW w:w="260" w:type="dxa"/>
            <w:vAlign w:val="bottom"/>
          </w:tcPr>
          <w:p>
            <w:pPr>
              <w:spacing w:after="0"/>
              <w:rPr>
                <w:sz w:val="13"/>
                <w:szCs w:val="13"/>
                <w:color w:val="auto"/>
              </w:rPr>
            </w:pPr>
          </w:p>
        </w:tc>
        <w:tc>
          <w:tcPr>
            <w:tcW w:w="134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June 30,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9,838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14,483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14,583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27,584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27,059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27,587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3"/>
                <w:szCs w:val="13"/>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380" w:type="dxa"/>
            <w:vAlign w:val="bottom"/>
          </w:tcPr>
          <w:p>
            <w:pPr>
              <w:spacing w:after="0"/>
              <w:rPr>
                <w:sz w:val="13"/>
                <w:szCs w:val="13"/>
                <w:color w:val="auto"/>
              </w:rPr>
            </w:pP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Amount</w:t>
            </w:r>
          </w:p>
        </w:tc>
        <w:tc>
          <w:tcPr>
            <w:tcW w:w="260" w:type="dxa"/>
            <w:vAlign w:val="bottom"/>
          </w:tcPr>
          <w:p>
            <w:pPr>
              <w:spacing w:after="0"/>
              <w:rPr>
                <w:sz w:val="13"/>
                <w:szCs w:val="13"/>
                <w:color w:val="auto"/>
              </w:rPr>
            </w:pPr>
          </w:p>
        </w:tc>
        <w:tc>
          <w:tcPr>
            <w:tcW w:w="13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Service portfolios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Collaboration intangible assets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3,923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13,141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19,586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18,895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21,680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20,920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Customer relationship intangible assets include payments made to our customers to secure certain contractual rights. Such payments are capitalized when distinct rights are obtained and sufficient incremental cash flows to support the recoverability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assets have been established. Otherwise, the applicable portion of the payments are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amortization expense increasing as programs enter full production and aftermarket cycles. If a pattern of economic benefit cannot be reliably determined, a straight-line amortization method is used. We classify amortization of such payments as a reduction of sales. The collaboration intangible assets are amortized based upon the pattern of economic benefits as represented by the underlying cash flows.</w:t>
      </w:r>
    </w:p>
    <w:p>
      <w:pPr>
        <w:spacing w:after="0" w:line="8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Amortization of intangible assets for the quarter and six months ended June 30, 2017 was $210 million and $415 million, respectively, compared with $194 million and $381 million for the same periods of 2016. The following is the expected amortization of intangible assets for the years 2017 through 2022, which reflects the pattern of expected economic benefit on certain aerospace intangible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Remaining 2017</w:t>
            </w: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903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899</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November 6, 2015, we completed the sale of Sikorsky to Lockheed Martin Corp. In the six months ended June 30, 2016, we recognized approximately $15 million of additional gain on the disposal resulting from the settlement of working capital adjustments, and approximately $52 million of additional income tax expense related to the 2015 gain realized on the sale of Sikorsky. Net cash outflows from discontinued operations of approximately $2.5 billion resulted from the payment of taxes related to the 2015 gain realized on the sale of Sikorsky.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 shares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2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2,825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2,825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Stock awards and equity units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(Loss) Per Share of Common Stock - Basic:</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Earnings (Loss) Per Share of Common Stock - Diluted: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For the quarter and six months ended June 30, 2017, the number of stock awards excluded from the computation was approximately</w:t>
      </w:r>
    </w:p>
    <w:p>
      <w:pPr>
        <w:ind w:right="20"/>
        <w:spacing w:after="0" w:line="261" w:lineRule="auto"/>
        <w:rPr>
          <w:sz w:val="20"/>
          <w:szCs w:val="20"/>
          <w:color w:val="auto"/>
        </w:rPr>
      </w:pPr>
      <w:r>
        <w:rPr>
          <w:rFonts w:ascii="Arial" w:cs="Arial" w:eastAsia="Arial" w:hAnsi="Arial"/>
          <w:sz w:val="18"/>
          <w:szCs w:val="18"/>
          <w:color w:val="auto"/>
        </w:rPr>
        <w:t>5.8 million and 6.4 million, respectively. For the quarter and six months ended June 30, 2016, the number of stock awards excluded from the computation was approximately 12.7 million and 14.9 million, respectively.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and Contracts in Progress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2,787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3,305</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9,395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17,527</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Progress payments, secured by lien, on U.S. Government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Arial" w:cs="Arial" w:eastAsia="Arial" w:hAnsi="Arial"/>
                <w:sz w:val="18"/>
                <w:szCs w:val="18"/>
                <w:color w:val="auto"/>
              </w:rPr>
              <w:t>Billings on contracts in progress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(8,693)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8,704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Inventories include capitalized contract development costs related to certain aerospace programs at UTC Aerospace Systems. As of June 30, 2017 and December 31, 2016, these capitalized costs were $126 million and $140 million, respectively, which will be liquidated as production units are delivered to customers. Within commercial aerospace, inventory costs attributable to new engine offerings are recognized based on the average cost per unit expected over the life of each contract using the units-of-delivery method of percentage of completion accounting. Under this method, costs of initial engine deliveries in excess of the projected contract per unit average cost are capitalized, and these capitalized amounts are subsequently expensed as additional engine deliveries occur for engines with costs below the projected contract per unit average cost over the life of the contract. As of June 30, 2017 and December 31, 2016, inventory included $307 million and $233 million, respectively, of such capitalized amounts.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4"/>
                <w:szCs w:val="14"/>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At June 30, 2017, we had revolving credit agreements with various banks permitting aggregate borrowings of up to $4.35 billion, pursuant to a $2.20 billion revolving credit agreement and a $2.15 billion multicurrency revolving credit agreement, both of which expire in August 2021. As of June 30, 2017, there were no borrowings under these revolving credit agreements. The undrawn portions of these revolving credit agreements are also available to serve as backup facilities for the issuance of commercial paper. As of June 30, 2017, our maximum commercial paper borrowing limit was $4.35 billion. Commercial paper borrowings at June 30, 2017 represent approximately €500 million ($559 million) of euro-denominated commercial paper.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7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On May 4, 2017, we issued $1.0 billion aggregate principal amount of 1.900% notes due 2020, $500 million aggregate principal amount of 2.300% notes due 2022, $800 million aggregate principal amount of 2.800% notes due 2024, $1.1 billion aggregate principal amount of 3.125% notes due 2027 and $600 million aggregate principal amount of 4.050% notes due 2047. The net proceeds received from these debt issuances were used: to fund the repayment at maturity of our 1.800% notes due 2017, representing $1.5 billion in aggregate principal; to fund the repayment of commercial paper; and for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4"/>
                <w:szCs w:val="14"/>
                <w:color w:val="auto"/>
              </w:rPr>
            </w:pP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81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1.800% notes due 2017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6.800% notes due 2018</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EURIBOR plus 0.800% floating rate notes due 2018 (€750 million principal value)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1.778% junior subordinated notes due 2018</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LIBOR plus 0.350% floating rate notes due 2019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1.500% notes due 2019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650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8.750% notes due 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783</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522</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7.100% notes due 2027</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6.700% notes due 2028</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7.000% notes due 2038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70"/>
        </w:trPr>
        <w:tc>
          <w:tcPr>
            <w:tcW w:w="81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Project financing obligations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(including capitalized leases)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principal long-term debt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23,299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(fair market value adjustments and discounts)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w:t>
            </w:r>
          </w:p>
        </w:tc>
      </w:tr>
      <w:tr>
        <w:trPr>
          <w:trHeight w:val="250"/>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23,883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-98425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340" w:right="52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three-month EURIBOR rate as of June 30, 2017 was approximately -0.331%. The notes may be redeemed at our option in whole, but not in part, at any time in the event of certain developments affecting U.S. taxation.</w:t>
      </w:r>
    </w:p>
    <w:p>
      <w:pPr>
        <w:spacing w:after="0" w:line="1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three-month LIBOR rate as of June 30, 2017 was approximately1.299%.</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average maturity of our long-term debt at June 30, 2017 is approximately twelve years. The average interest expense rate on our total borrowings for the quarters and six months ended June 30, 2017 and 2016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Quarter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r>
      <w:tr>
        <w:trPr>
          <w:trHeight w:val="243"/>
        </w:trPr>
        <w:tc>
          <w:tcPr>
            <w:tcW w:w="6380" w:type="dxa"/>
            <w:vAlign w:val="bottom"/>
            <w:gridSpan w:val="2"/>
            <w:shd w:val="clear" w:color="auto" w:fill="CCEEFF"/>
          </w:tcPr>
          <w:p>
            <w:pPr>
              <w:jc w:val="right"/>
              <w:ind w:right="4168"/>
              <w:spacing w:after="0"/>
              <w:rPr>
                <w:sz w:val="20"/>
                <w:szCs w:val="20"/>
                <w:color w:val="auto"/>
              </w:rPr>
            </w:pPr>
            <w:r>
              <w:rPr>
                <w:rFonts w:ascii="Arial" w:cs="Arial" w:eastAsia="Arial" w:hAnsi="Arial"/>
                <w:sz w:val="18"/>
                <w:szCs w:val="18"/>
                <w:color w:val="auto"/>
                <w:w w:val="88"/>
              </w:rPr>
              <w:t>Average interest expense rate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have an existing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Brazil, Canada, China, France, Germany, Hong Kong, India, Italy, Japan, Mexico, Netherlands, Poland, Singapore, South Korea, Spain, Switzerland, the United Kingdom, and the United States. With few exceptions, we are no longer subject to U.S. federal, state and local, or non-U.S. income tax examinations for years before 2005.</w:t>
      </w:r>
    </w:p>
    <w:p>
      <w:pPr>
        <w:spacing w:after="0" w:line="188"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the range of $80 million to $460 million of unrecognized tax benefits may occur within the next 12 months as a result of additional worldwide uncertain tax positions, the revaluation of current uncertain tax positions arising from developments in examinations, in appeals, in the courts, or the closure of tax statutes. See Note 15, Contingent Liabilities, for discussion regarding uncertain tax positions, included in the above range, related to pending litigation with respect to certain deductions claimed in Germany.</w:t>
      </w:r>
    </w:p>
    <w:p>
      <w:pPr>
        <w:spacing w:after="0" w:line="178"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During the quarter ended June 30, 2017, the Examination Division of the Internal Revenue Service commenced audit fieldwork for UTC’s 2015 tax year, combining it with the previously commenced audit of our 2014 tax year. The combined audit of UTC tax years 2014 and 2015 is expected to continue beyond the next 12 months.</w:t>
      </w:r>
    </w:p>
    <w:p>
      <w:pPr>
        <w:spacing w:after="0" w:line="18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a result of federal, state and non-U.S. tax year closures related to audit resolutions and the expiration of applicable statutes of limitation, including expiration of the U.S. federal income tax statute of limitations for UTC’s 2013 tax year, we expect to recognize in the third quarter of 2017 non-cash gains, primarily tax, in the range of $50 million to $65 million. The tax amounts are included in the above range of reasonably possible changes in unrecognized tax benefits.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Employee Benefit Plans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other postretirement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contribution plans. Contributions to our plans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Quarter Ended 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5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Defined benefit plans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w:t>
            </w: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Defined contribution plans</w:t>
            </w:r>
          </w:p>
        </w:tc>
        <w:tc>
          <w:tcPr>
            <w:tcW w:w="9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156</w:t>
            </w:r>
          </w:p>
        </w:tc>
      </w:tr>
    </w:tbl>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There were no contributions to our domestic defined benefit pension plans in the quarters and six months ended June 30, 2017 and 2016. The following table illustrates the components of net periodic benefit cost for our defined pension and other postretirement benefit plans: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46"/>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Quarter Ended June 30,</w:t>
            </w:r>
          </w:p>
        </w:tc>
        <w:tc>
          <w:tcPr>
            <w:tcW w:w="320" w:type="dxa"/>
            <w:vAlign w:val="bottom"/>
          </w:tcPr>
          <w:p>
            <w:pPr>
              <w:spacing w:after="0"/>
              <w:rPr>
                <w:sz w:val="16"/>
                <w:szCs w:val="16"/>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4"/>
              </w:rPr>
              <w:t>Quarter Ended June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 of prior service credit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(gain) loss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88"/>
              </w:rPr>
              <w:t>Pension Benefits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Six Months Ended June 30,</w:t>
            </w:r>
          </w:p>
        </w:tc>
        <w:tc>
          <w:tcPr>
            <w:tcW w:w="320" w:type="dxa"/>
            <w:vAlign w:val="bottom"/>
          </w:tcPr>
          <w:p>
            <w:pPr>
              <w:spacing w:after="0"/>
              <w:rPr>
                <w:sz w:val="16"/>
                <w:szCs w:val="16"/>
                <w:color w:val="auto"/>
              </w:rPr>
            </w:pPr>
          </w:p>
        </w:tc>
        <w:tc>
          <w:tcPr>
            <w:tcW w:w="252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29"/>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Amortization of prior service credit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Recognized actuarial net loss (gain)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settlement and curtailment (gain) loss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net periodic benefit (income) cost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Effective January 1, 2017, a voluntary lump-sum option is available for the frozen final average earnings benefits of certain U.S. salaried employees upon termination of employment after 2016. This option provides participants with the choice of electing to receive a lump-sum payment in lieu of receiving a future monthly pension benefit. This plan change reduced the projected benefit obligation by $170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six months ended June 30, 2017, we recorded net pre-tax restructuring costs totaling $112 million for new and ongoing restructuring 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recorded charges in the segments as follows: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Restructuring charges incurred during the six months ended June 30, 2017 primarily relate to actions initiated during 2017 and 2016, and were recorded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2017 Actions. </w:t>
      </w:r>
      <w:r>
        <w:rPr>
          <w:rFonts w:ascii="Arial" w:cs="Arial" w:eastAsia="Arial" w:hAnsi="Arial"/>
          <w:sz w:val="18"/>
          <w:szCs w:val="18"/>
          <w:color w:val="auto"/>
        </w:rPr>
        <w:t>During the six months ended June 30, 2017, we recorded net pre-tax restructuring costs of $63 million, comprised of $21 million in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and $42 million in selling, general and administrative expenses. The 2017 actions relate to ongoing cost reduction efforts, including workforce reductions and the consolidation of field operations.</w:t>
      </w:r>
    </w:p>
    <w:p>
      <w:pPr>
        <w:sectPr>
          <w:pgSz w:w="11900" w:h="16838" w:orient="portrait"/>
          <w:cols w:equalWidth="0" w:num="1">
            <w:col w:w="11420"/>
          </w:cols>
          <w:pgMar w:left="240" w:top="114" w:right="2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4"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We are targeting to complete the majority of the remaining workforce and facility related cost reduction actions during 2017 and 2018. No specific plans for significant other actions have been finalized at this time. The following table summarizes the accrual balance and utilization for the 2017 restructuring actions for the quarter and six months ended June 30, 2017:</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Facility Exit, Lease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March 31, 2017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Balance at June 30, 2017</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2017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98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June 30, 2017</w:t>
            </w:r>
          </w:p>
        </w:tc>
        <w:tc>
          <w:tcPr>
            <w:tcW w:w="180" w:type="dxa"/>
            <w:vAlign w:val="bottom"/>
          </w:tcPr>
          <w:p>
            <w:pPr>
              <w:spacing w:after="0"/>
              <w:rPr>
                <w:sz w:val="13"/>
                <w:szCs w:val="13"/>
                <w:color w:val="auto"/>
              </w:rPr>
            </w:pPr>
          </w:p>
        </w:tc>
        <w:tc>
          <w:tcPr>
            <w:tcW w:w="118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w w:val="98"/>
              </w:rPr>
              <w:t>June 30,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color w:val="auto"/>
        </w:rPr>
        <w:t xml:space="preserve">2016 Actions. </w:t>
      </w:r>
      <w:r>
        <w:rPr>
          <w:rFonts w:ascii="Arial" w:cs="Arial" w:eastAsia="Arial" w:hAnsi="Arial"/>
          <w:sz w:val="17"/>
          <w:szCs w:val="17"/>
          <w:color w:val="auto"/>
        </w:rPr>
        <w:t>During the six months ended June 30, 2017, we recorded net pre-tax restructuring costs totaling $40 million for restructuring actions initiated</w:t>
      </w:r>
      <w:r>
        <w:rPr>
          <w:rFonts w:ascii="Arial" w:cs="Arial" w:eastAsia="Arial" w:hAnsi="Arial"/>
          <w:sz w:val="17"/>
          <w:szCs w:val="17"/>
          <w:b w:val="1"/>
          <w:bCs w:val="1"/>
          <w:color w:val="auto"/>
        </w:rPr>
        <w:t xml:space="preserve"> </w:t>
      </w:r>
      <w:r>
        <w:rPr>
          <w:rFonts w:ascii="Arial" w:cs="Arial" w:eastAsia="Arial" w:hAnsi="Arial"/>
          <w:sz w:val="17"/>
          <w:szCs w:val="17"/>
          <w:color w:val="auto"/>
        </w:rPr>
        <w:t>in 2016, including $16 million in cost of sales and $24 million in selling, general and administrative expenses. The 2016 actions relate to ongoing cost reduction efforts, including workforce reductions, consolidation of field operations, and costs to exit legacy programs. The following table summarizes the accrual balances and utilization for the 2016 restructuring actions for the quarter and six months ended June 30, 2017:</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 Exit,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2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2017</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March 31, 2017</w:t>
            </w:r>
          </w:p>
        </w:tc>
        <w:tc>
          <w:tcPr>
            <w:tcW w:w="2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2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2017</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Restructuring accruals at December 31, 2016</w:t>
            </w:r>
          </w:p>
        </w:tc>
        <w:tc>
          <w:tcPr>
            <w:tcW w:w="2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Utilization and foreign exchange</w:t>
            </w:r>
          </w:p>
        </w:tc>
        <w:tc>
          <w:tcPr>
            <w:tcW w:w="2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2017</w:t>
            </w:r>
          </w:p>
        </w:tc>
        <w:tc>
          <w:tcPr>
            <w:tcW w:w="2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expected, incurred and remaining costs for the 2016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Expected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Costs Incurred in</w:t>
            </w: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Costs Incurred</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Costs Incurred</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Remaining Costs at</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100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Costs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ind w:right="455"/>
              <w:spacing w:after="0" w:line="158"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June 30, 2017</w:t>
            </w:r>
          </w:p>
        </w:tc>
        <w:tc>
          <w:tcPr>
            <w:tcW w:w="180" w:type="dxa"/>
            <w:vAlign w:val="bottom"/>
          </w:tcPr>
          <w:p>
            <w:pPr>
              <w:spacing w:after="0"/>
              <w:rPr>
                <w:sz w:val="13"/>
                <w:szCs w:val="13"/>
                <w:color w:val="auto"/>
              </w:rPr>
            </w:pPr>
          </w:p>
        </w:tc>
        <w:tc>
          <w:tcPr>
            <w:tcW w:w="118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w w:val="98"/>
              </w:rPr>
              <w:t>June 30,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100"/>
        <w:spacing w:after="0" w:line="347" w:lineRule="auto"/>
        <w:rPr>
          <w:sz w:val="20"/>
          <w:szCs w:val="20"/>
          <w:color w:val="auto"/>
        </w:rPr>
      </w:pPr>
      <w:r>
        <w:rPr>
          <w:rFonts w:ascii="Arial" w:cs="Arial" w:eastAsia="Arial" w:hAnsi="Arial"/>
          <w:sz w:val="16"/>
          <w:szCs w:val="16"/>
          <w:b w:val="1"/>
          <w:bCs w:val="1"/>
          <w:color w:val="auto"/>
        </w:rPr>
        <w:t xml:space="preserve">2015 and Prior Actions. </w:t>
      </w:r>
      <w:r>
        <w:rPr>
          <w:rFonts w:ascii="Arial" w:cs="Arial" w:eastAsia="Arial" w:hAnsi="Arial"/>
          <w:sz w:val="16"/>
          <w:szCs w:val="16"/>
          <w:color w:val="auto"/>
        </w:rPr>
        <w:t>During the six months ended June 30, 2017, we recorded net pre-tax restructuring costs totaling $9 million for restructuring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in 2015 and prior. As of June 30, 2017, we have approximately $69 million of accrual balances remaining related to 2015 and prior actions.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ordinary course of business, we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$18.8 billion and $18.3 billion at June 30, 2017 and December 31, 2016, respectively.</w:t>
      </w:r>
    </w:p>
    <w:p>
      <w:pPr>
        <w:spacing w:after="0" w:line="170"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summarizes the fair value of derivative instruments as of June 30, 2017 and December 31, 2016, which consist solely of foreign exchange contracts: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Liability Derivatives</w:t>
            </w: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9"/>
                <w:szCs w:val="19"/>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9"/>
                <w:szCs w:val="19"/>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9"/>
                <w:szCs w:val="19"/>
                <w:color w:val="auto"/>
              </w:rPr>
            </w:pPr>
          </w:p>
        </w:tc>
        <w:tc>
          <w:tcPr>
            <w:tcW w:w="142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196</w:t>
            </w: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24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158</w:t>
            </w:r>
          </w:p>
        </w:tc>
      </w:tr>
    </w:tbl>
    <w:p>
      <w:pPr>
        <w:spacing w:after="0" w:line="12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As discussed in Note 5, we have issued approximately €2.95 billion of euro-denominated long-term debt and €500 million of outstanding euro-denominated commercial paper borrowings, which qualify as a net investment hedge against our investments in European businesses</w:t>
      </w:r>
      <w:r>
        <w:rPr>
          <w:rFonts w:ascii="Arial" w:cs="Arial" w:eastAsia="Arial" w:hAnsi="Arial"/>
          <w:sz w:val="18"/>
          <w:szCs w:val="18"/>
          <w:i w:val="1"/>
          <w:iCs w:val="1"/>
          <w:color w:val="auto"/>
        </w:rPr>
        <w:t>.</w:t>
      </w:r>
      <w:r>
        <w:rPr>
          <w:rFonts w:ascii="Arial" w:cs="Arial" w:eastAsia="Arial" w:hAnsi="Arial"/>
          <w:sz w:val="18"/>
          <w:szCs w:val="18"/>
          <w:color w:val="auto"/>
        </w:rPr>
        <w:t xml:space="preserve"> As of June 30, 2017, the net investment hedge is deemed to be effective.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amount of gains and losses related to the Company's derivative financial instruments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recorded in Accumulated other comprehensive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3"/>
              </w:rPr>
              <w:t>Loss reclassified from Accumulated other comprehensive loss into Product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sales (effective portion)</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107</w:t>
            </w:r>
          </w:p>
        </w:tc>
      </w:tr>
    </w:tbl>
    <w:p>
      <w:pPr>
        <w:spacing w:after="0" w:line="12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Assuming current market conditions continue, a $3 million pre-tax loss is expected to be reclassified from Accumulated other comprehensive loss into Product sales to reflect the fixed prices obtained from foreign exchange hedging within the next 12 months. At June 30, 2017, all derivative contracts accounted for as cash flow hedges will mature by November 2022.</w:t>
      </w:r>
    </w:p>
    <w:p>
      <w:pPr>
        <w:spacing w:after="0" w:line="181"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effect on the Condensed Consolidated Statement of Operations of foreign exchange contracts not designated as hedging instruments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Quarter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 recognized in Other income, net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We paid $294 million and received $86 million from settlements of derivative contracts during the six months ended June 30, 2017 and 2016, respectively.</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June 30, 2017 and December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2017 (Dollars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2016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Available-for-sale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reduction in value of available-for-sale securities as of June 30, 2017, as compared to December 31, 2016, is primarily the result of the sale of UTC Climate, Controls &amp; Security's investments in Watsco, Inc. during the quarter ended March 31, 2017.</w:t>
      </w:r>
    </w:p>
    <w:p>
      <w:pPr>
        <w:spacing w:after="0" w:line="166"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available-for-sale securities include equity investments that are traded in active markets, either domestically or internationally,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June 30, 2017, there were no significant transfers in and out of Level 1 and Level 2.</w:t>
      </w:r>
    </w:p>
    <w:p>
      <w:pPr>
        <w:spacing w:after="0" w:line="15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As of June 30, 2017,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June 30, 2017 and December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3"/>
                <w:szCs w:val="13"/>
                <w:color w:val="auto"/>
              </w:rPr>
            </w:pPr>
          </w:p>
        </w:tc>
        <w:tc>
          <w:tcPr>
            <w:tcW w:w="106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3"/>
                <w:szCs w:val="13"/>
                <w:color w:val="auto"/>
              </w:rPr>
            </w:pPr>
          </w:p>
        </w:tc>
        <w:tc>
          <w:tcPr>
            <w:tcW w:w="104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as of June 30,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(27,863)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had commercial aerospace financing and other contractual commitments totaling approximately $13.8 billion and $14.4 billion as of June 30, 2017 and December 31, 2016, respectively,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w:t>
      </w:r>
    </w:p>
    <w:p>
      <w:pPr>
        <w:sectPr>
          <w:pgSz w:w="11900" w:h="16838" w:orient="portrait"/>
          <w:cols w:equalWidth="0" w:num="1">
            <w:col w:w="11420"/>
          </w:cols>
          <w:pgMar w:left="240" w:top="12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current market conditions, the fair value of the underlying collateral and the credit worthiness of the customers. As a result, the fair value of these financings is expected to equal the amounts funded.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Financing Receivables</w:t>
      </w:r>
    </w:p>
    <w:p>
      <w:pPr>
        <w:spacing w:after="0" w:line="229" w:lineRule="exact"/>
        <w:rPr>
          <w:sz w:val="20"/>
          <w:szCs w:val="20"/>
          <w:color w:val="auto"/>
        </w:rPr>
      </w:pPr>
    </w:p>
    <w:p>
      <w:pPr>
        <w:ind w:right="300" w:firstLine="567"/>
        <w:spacing w:after="0" w:line="264" w:lineRule="auto"/>
        <w:rPr>
          <w:sz w:val="20"/>
          <w:szCs w:val="20"/>
          <w:color w:val="auto"/>
        </w:rPr>
      </w:pPr>
      <w:r>
        <w:rPr>
          <w:rFonts w:ascii="Arial" w:cs="Arial" w:eastAsia="Arial" w:hAnsi="Arial"/>
          <w:sz w:val="18"/>
          <w:szCs w:val="18"/>
          <w:color w:val="auto"/>
        </w:rPr>
        <w:t>Our long-term financing receivables primarily represent balances related to our aerospace businesses, such as long-term trade accounts receivable, leases receivable, and notes receivable. We also have other long-term receivables related to our commercial businesses; however, both the individual and aggregate amounts of those other receivables are not significant.</w:t>
      </w:r>
    </w:p>
    <w:p>
      <w:pPr>
        <w:spacing w:after="0" w:line="73" w:lineRule="exact"/>
        <w:rPr>
          <w:sz w:val="20"/>
          <w:szCs w:val="20"/>
          <w:color w:val="auto"/>
        </w:rPr>
      </w:pPr>
    </w:p>
    <w:p>
      <w:pPr>
        <w:ind w:right="180" w:firstLine="567"/>
        <w:spacing w:after="0" w:line="276" w:lineRule="auto"/>
        <w:rPr>
          <w:sz w:val="20"/>
          <w:szCs w:val="20"/>
          <w:color w:val="auto"/>
        </w:rPr>
      </w:pPr>
      <w:r>
        <w:rPr>
          <w:rFonts w:ascii="Arial" w:cs="Arial" w:eastAsia="Arial" w:hAnsi="Arial"/>
          <w:sz w:val="17"/>
          <w:szCs w:val="17"/>
          <w:color w:val="auto"/>
        </w:rPr>
        <w:t>Long-term trade accounts receivable, including unbilled receivables related to long-term aftermarket contracts, are principally amounts arising from the sale of goods and the delivery of services with a contractual maturity date or realization period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 related long-term receivables as of June 30, 2017 and December 31,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4"/>
                <w:szCs w:val="14"/>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430</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40"/>
        <w:spacing w:after="0" w:line="302" w:lineRule="auto"/>
        <w:rPr>
          <w:sz w:val="20"/>
          <w:szCs w:val="20"/>
          <w:color w:val="auto"/>
        </w:rPr>
      </w:pPr>
      <w:r>
        <w:rPr>
          <w:rFonts w:ascii="Arial" w:cs="Arial" w:eastAsia="Arial" w:hAnsi="Arial"/>
          <w:sz w:val="16"/>
          <w:szCs w:val="16"/>
          <w:color w:val="auto"/>
        </w:rPr>
        <w:t>Customer credit ratings range from customers with an extremely strong capacity to meet financial obligations to customers whose uncollateralized receivables are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13% of our total long-term receivables were considered to bear high credit risk as of June 30, 2017 and December 31, 2016.</w:t>
      </w:r>
    </w:p>
    <w:p>
      <w:pPr>
        <w:spacing w:after="0" w:line="154" w:lineRule="exact"/>
        <w:rPr>
          <w:sz w:val="20"/>
          <w:szCs w:val="20"/>
          <w:color w:val="auto"/>
        </w:rPr>
      </w:pPr>
    </w:p>
    <w:p>
      <w:pPr>
        <w:ind w:firstLine="540"/>
        <w:spacing w:after="0" w:line="259" w:lineRule="auto"/>
        <w:rPr>
          <w:sz w:val="20"/>
          <w:szCs w:val="20"/>
          <w:color w:val="auto"/>
        </w:rPr>
      </w:pPr>
      <w:r>
        <w:rPr>
          <w:rFonts w:ascii="Arial" w:cs="Arial" w:eastAsia="Arial" w:hAnsi="Arial"/>
          <w:sz w:val="18"/>
          <w:szCs w:val="18"/>
          <w:color w:val="auto"/>
        </w:rPr>
        <w:t>For long-term trade accounts receivable, we evaluate credit risk and collectability individually to determine if an allowance is necessary. Our long-term receivables reflected in the table above, which include reserves of $17 million as of June 30, 2017 and December 31, 2016, are individually evaluated for impairment. At June 30, 2017 and December 31, 2016, we did not have any significant balances that are considered to be delinquent, on non-accrual status, past due 90 days or more, or considered to be unrecoverable.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Shareowners' Equity and Noncontrolling Interest</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 summary of the changes in shareowners' equity and noncontrolling interest comprising total equity for the quarters and six months ended June 30, 2017 and 2016 is provided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5"/>
              </w:rPr>
              <w:t>Quarter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center"/>
              <w:ind w:right="112"/>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w w:val="99"/>
              </w:rPr>
              <w:t>Redeemable noncontrolling interest fair value adjustment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28,442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30,155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29,090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30,648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Share-owners'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3"/>
                <w:szCs w:val="13"/>
                <w:color w:val="auto"/>
              </w:rPr>
            </w:pPr>
          </w:p>
        </w:tc>
        <w:tc>
          <w:tcPr>
            <w:tcW w:w="82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3"/>
                <w:szCs w:val="13"/>
                <w:color w:val="auto"/>
              </w:rPr>
            </w:pPr>
          </w:p>
        </w:tc>
        <w:tc>
          <w:tcPr>
            <w:tcW w:w="820" w:type="dxa"/>
            <w:vAlign w:val="bottom"/>
          </w:tcPr>
          <w:p>
            <w:pPr>
              <w:jc w:val="center"/>
              <w:ind w:right="112"/>
              <w:spacing w:after="0" w:line="158"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Total other comprehensive income</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Common Stock issued under employee plans</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on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Dividends on ESOP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Dividends attributable to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Redeemable noncontrolling interest fair value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28,442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30,155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29,090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30,648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On November 11, 2015, we entered into accelerated share repurchase (ASR) agreements to repurchase an aggregate of $6 billion of our common stock utilizing the net after-tax proceeds from the sale of Sikorsky. Under the terms of the ASR agreements, we made aggregate payments and received an initial delivery of approximately 51.9 million shares of our common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stock in November 2015, representing approximately 85% of the shares expected to be repurchased. The shares associated with the remaining portion of the aggregate purchase were settled upon delivery to us of approximately 2.1 million additional shares of common stock in the quarter ended March 31, 2016 and approximately 8.0 million additional shares of common stock in the quarter ended September 30, 2016.</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summary of the changes in each component of accumulated other comprehensive (loss) income, net of tax for the quarters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 is provided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March 31, 2017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Unrealized Gains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58" w:lineRule="exact"/>
              <w:rPr>
                <w:sz w:val="20"/>
                <w:szCs w:val="20"/>
                <w:color w:val="auto"/>
              </w:rPr>
            </w:pPr>
            <w:r>
              <w:rPr>
                <w:rFonts w:ascii="Arial" w:cs="Arial" w:eastAsia="Arial" w:hAnsi="Arial"/>
                <w:sz w:val="14"/>
                <w:szCs w:val="14"/>
                <w:b w:val="1"/>
                <w:bCs w:val="1"/>
                <w:color w:val="auto"/>
                <w:w w:val="92"/>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Quarter Ended June 30, 2016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March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(7,619)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Balance at June 30,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Amounts reclassified that relate to our defined benefit pension and postretirement plans include the amortization of prior service costs and transition obligations, and actuarial net losses recognized during each period presented. These costs are recorded as components of net periodic pension cost for each period presented (see Note 7 for additional details).</w:t>
      </w:r>
    </w:p>
    <w:p>
      <w:pPr>
        <w:sectPr>
          <w:pgSz w:w="11900" w:h="16838" w:orient="portrait"/>
          <w:cols w:equalWidth="0" w:num="1">
            <w:col w:w="11420"/>
          </w:cols>
          <w:pgMar w:left="240" w:top="12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Amounts reclassified that relate to unrealized gains (losses) on available-for-sale securities, pre-tax includes approximately $380 million of previously unrealized gains reclassified to other income as a result of sales of available-for-sale securities in the six months ended June 30, 2017, which consisted primarily of the sale of UTC Climate, Controls &amp; Security's investments in Watsco, Inc.</w:t>
      </w:r>
    </w:p>
    <w:p>
      <w:pPr>
        <w:spacing w:after="0" w:line="181"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The increase in the value of redeemable noncontrolling interest in our Condensed Consolidated Balance Sheet as of June 30, 2017 is primarily attributable to the adjustment of the redemption value related to the acquisition of a majority interest in an Italian heating products and services company by UTC Climate, Controls &amp; Security in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Variable Interest Entities</w:t>
      </w:r>
    </w:p>
    <w:p>
      <w:pPr>
        <w:spacing w:after="0" w:line="229" w:lineRule="exact"/>
        <w:rPr>
          <w:sz w:val="20"/>
          <w:szCs w:val="20"/>
          <w:color w:val="auto"/>
        </w:rPr>
      </w:pPr>
    </w:p>
    <w:p>
      <w:pPr>
        <w:ind w:right="20" w:firstLine="540"/>
        <w:spacing w:after="0" w:line="253" w:lineRule="auto"/>
        <w:rPr>
          <w:sz w:val="20"/>
          <w:szCs w:val="20"/>
          <w:color w:val="auto"/>
        </w:rPr>
      </w:pPr>
      <w:r>
        <w:rPr>
          <w:rFonts w:ascii="Arial" w:cs="Arial" w:eastAsia="Arial" w:hAnsi="Arial"/>
          <w:sz w:val="18"/>
          <w:szCs w:val="18"/>
          <w:color w:val="auto"/>
        </w:rPr>
        <w:t>Pratt &amp; Whitney holds a 61% net interest in the IAE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in IAE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4"/>
                <w:szCs w:val="14"/>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2,722</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1,334</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4,056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00"/>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2,422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1,636</w:t>
            </w:r>
          </w:p>
        </w:tc>
      </w:tr>
      <w:tr>
        <w:trPr>
          <w:trHeight w:val="257"/>
        </w:trPr>
        <w:tc>
          <w:tcPr>
            <w:tcW w:w="40" w:type="dxa"/>
            <w:vAlign w:val="bottom"/>
          </w:tcPr>
          <w:p>
            <w:pPr>
              <w:spacing w:after="0"/>
              <w:rPr>
                <w:sz w:val="22"/>
                <w:szCs w:val="22"/>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4,058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Guarantees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2016. The changes in the carrying amount of service and product warranties and product performance guarantees for the six months ended June 30, 2017 and 2016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1,212</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June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Contingent Liabilities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18 of the Notes to the Consolidated Financial Statements in our 2016 Annual Report, incorporated by reference in our 2016 Form 10-K, updated as applicable.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ind w:right="40"/>
        <w:spacing w:after="0" w:line="298"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As described in Note 1 to the Consolidated Financial Statements in our 2016 Annual Report,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Additional information pertaining to environmental matters is included in Note 1 to the Consolidated Financial Statements in our 2016 Annual Report.</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Government. </w:t>
      </w:r>
      <w:r>
        <w:rPr>
          <w:rFonts w:ascii="Arial" w:cs="Arial" w:eastAsia="Arial" w:hAnsi="Arial"/>
          <w:sz w:val="17"/>
          <w:szCs w:val="17"/>
          <w:color w:val="auto"/>
        </w:rPr>
        <w:t>In the ordinary course of business, the Company and its subsidiaries and our properties are subject to regulatory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as a result of any of these investigations or other government investigations (including violations of certain anti-bribery,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also void any contracts found to be tainted by fraud.</w:t>
      </w:r>
    </w:p>
    <w:p>
      <w:pPr>
        <w:spacing w:after="0" w:line="178" w:lineRule="exact"/>
        <w:rPr>
          <w:sz w:val="20"/>
          <w:szCs w:val="20"/>
          <w:color w:val="auto"/>
        </w:rPr>
      </w:pPr>
    </w:p>
    <w:p>
      <w:pPr>
        <w:ind w:firstLine="540"/>
        <w:spacing w:after="0" w:line="272" w:lineRule="auto"/>
        <w:rPr>
          <w:sz w:val="20"/>
          <w:szCs w:val="20"/>
          <w:color w:val="auto"/>
        </w:rPr>
      </w:pPr>
      <w:r>
        <w:rPr>
          <w:rFonts w:ascii="Arial" w:cs="Arial" w:eastAsia="Arial" w:hAnsi="Arial"/>
          <w:sz w:val="17"/>
          <w:szCs w:val="17"/>
          <w:color w:val="auto"/>
        </w:rPr>
        <w:t>Our contracts with the U.S. Government are also subject to audits. Like many defense contractors, we have received audit reports, which recommend that certain contract prices should be reduced to comply with various government regulations, including because cost or pricing data we submitted in negotiation of the contract prices or cost accounting practices may not have conformed to government regulations, or that certain payments be delayed or withheld. Some of these audit reports involved substantial amounts. We have made voluntary refunds in those cases we believe appropriate, have settled some allegations and continue to litigate or challenge certain matters.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As previously disclosed, in December 2013, a Divisional Administrative Contracting Officer of the United States Defense Contract Management Agency asserted a claim against Pratt &amp; Whitney to recover overpayments of approximately $177 million plus interest (approximately $67 million through June 30, 2017). The claim is based on Pratt &amp; Whitney's alleged noncompliance with cost accounting standards from January 1, 2005 to December 31, 2012, due to its method of determining the cost of collaborator parts used in the calculation of material overhead costs for government contracts. On March 18, 2014, Pratt &amp; Whitney filed an appeal to the Armed Services Board of Contract Appeals. Pratt &amp; Whitney’s appeal is still pending and we continue to believe the government’s claim is without merit.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 previously disclosed, UTC has been involved in administrative review proceedings with the German Tax Office, which concern approximately €215 million (approximately $241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$132 million). On August 3, 2012, we filed suit in the local German Tax Court (Berlin-Brandenburg). In March 2016, the local German Tax Court dismissed our suit, and we have appealed this decision to the German Federal Tax Court (FTC). In 2015, UTC made tax and interest payments to German tax authorities of €275 million (approximately $300 million) in order to avoid additional interest accruals pending final resolution of this matter. In the meantime, we continue vigorously to litigate this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Matters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previously disclosed,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72" w:right="259" w:bottom="1440" w:gutter="0" w:footer="0" w:header="0"/>
        </w:sectPr>
      </w:pPr>
    </w:p>
    <w:bookmarkStart w:id="21" w:name="page22"/>
    <w:bookmarkEnd w:id="21"/>
    <w:p>
      <w:pPr>
        <w:ind w:right="460"/>
        <w:spacing w:after="0" w:line="277" w:lineRule="auto"/>
        <w:rPr>
          <w:sz w:val="20"/>
          <w:szCs w:val="20"/>
          <w:color w:val="auto"/>
        </w:rPr>
      </w:pPr>
      <w:r>
        <w:rPr>
          <w:rFonts w:ascii="Arial" w:cs="Arial" w:eastAsia="Arial" w:hAnsi="Arial"/>
          <w:sz w:val="18"/>
          <w:szCs w:val="18"/>
          <w:color w:val="auto"/>
        </w:rPr>
        <w:t>or other forms of indemnity. Additional cases were litigated and settled without any insurance reimbursement. The amounts involved in asbestos related claims were not material individually or in the aggregate in any year.</w:t>
      </w:r>
    </w:p>
    <w:p>
      <w:pPr>
        <w:spacing w:after="0" w:line="170" w:lineRule="exact"/>
        <w:rPr>
          <w:sz w:val="20"/>
          <w:szCs w:val="20"/>
          <w:color w:val="auto"/>
        </w:rPr>
      </w:pPr>
    </w:p>
    <w:p>
      <w:pPr>
        <w:ind w:right="140" w:firstLine="567"/>
        <w:spacing w:after="0" w:line="276" w:lineRule="auto"/>
        <w:rPr>
          <w:sz w:val="20"/>
          <w:szCs w:val="20"/>
          <w:color w:val="auto"/>
        </w:rPr>
      </w:pPr>
      <w:r>
        <w:rPr>
          <w:rFonts w:ascii="Arial" w:cs="Arial" w:eastAsia="Arial" w:hAnsi="Arial"/>
          <w:sz w:val="17"/>
          <w:szCs w:val="17"/>
          <w:color w:val="auto"/>
        </w:rPr>
        <w:t>Our estimated total liability to resolve all pending and unasserted potential future asbestos claims through 2059 is approximately $370 million and is principally recorded in Other long-term liabilities on our Condensed Consolidated Balance Sheet as of June 30, 2017. This amount is on a pre-tax basis, not discounted, and excludes the Company’s legal fees to defend the asbestos claims (which will continue to be expensed by the Company as they are incurred). In addition, the Company has an insurance recovery receivable for probable asbestos related recoveries of approximately $133 million, which is included primarily in Other assets on our Condensed Consolidated Balance Sheet as of June 30, 2017.</w:t>
      </w:r>
    </w:p>
    <w:p>
      <w:pPr>
        <w:spacing w:after="0" w:line="64"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The amounts recorded by UTC for asbestos-related liabilities and insurance recoveries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amount of insurance available, allocation methodologies, the contractual terms with each insurer with whom we have reached settlements,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legal rulings that may be made by state and federal courts, and the passage of state or federal legislation. At least annually, the Company evaluates all of these factors and, with input from an outside actuarial expert, makes any necessary adjustments to both our estimated asbestos liabilities and insurance recoveries.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As described in Note 14 of this Form 10-Q and Note 17 to the Consolidated Financial Statements in our 2016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66"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Financial Data</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operations are classified into four principal segments: Otis, UTC Climate, Controls &amp; Security, Pratt &amp; Whitney, and UTC Aerospace Systems. The segments are generally based on the management structure of the businesses and the grouping of similar operating companies, where each management organization has general operating autonomy over diversified products and services.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quarters ended June 30, 2017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4,459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15,280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14,874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39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Results for the six months ended June 30, 2017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Operating Profit Margins</w:t>
            </w:r>
          </w:p>
        </w:tc>
      </w:tr>
      <w:tr>
        <w:trPr>
          <w:trHeight w:val="229"/>
        </w:trPr>
        <w:tc>
          <w:tcPr>
            <w:tcW w:w="39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8,604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8,187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7,251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7,221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392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29,095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28,231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Note 8 to the Condensed Consolidated Financial Statements for a discussion of restructuring costs included in segment operating results.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(ASU) 2014-09, Revenue from Contracts with Customers:</w:t>
      </w:r>
    </w:p>
    <w:p>
      <w:pPr>
        <w:spacing w:after="0" w:line="22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 xml:space="preserve">In May 2014, the FASB issued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In 2015 and 2016, the FASB issued various updates to this ASU as follows:</w:t>
      </w:r>
    </w:p>
    <w:p>
      <w:pPr>
        <w:spacing w:after="0" w:line="170" w:lineRule="exact"/>
        <w:rPr>
          <w:sz w:val="20"/>
          <w:szCs w:val="20"/>
          <w:color w:val="auto"/>
        </w:rPr>
      </w:pPr>
    </w:p>
    <w:p>
      <w:pPr>
        <w:ind w:left="660" w:right="2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xml:space="preserve"> - delays the effective date of ASU 2014-09 by one year.</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2016-08, </w:t>
      </w:r>
      <w:r>
        <w:rPr>
          <w:rFonts w:ascii="Arial" w:cs="Arial" w:eastAsia="Arial" w:hAnsi="Arial"/>
          <w:sz w:val="18"/>
          <w:szCs w:val="18"/>
          <w:i w:val="1"/>
          <w:iCs w:val="1"/>
          <w:color w:val="auto"/>
        </w:rPr>
        <w:t>Revenue from Contracts with Customers (Topic 606), Principal versus Agent Considerations (Reporting Revenue Gross versus Net)</w:t>
      </w:r>
      <w:r>
        <w:rPr>
          <w:rFonts w:ascii="Arial" w:cs="Arial" w:eastAsia="Arial" w:hAnsi="Arial"/>
          <w:sz w:val="18"/>
          <w:szCs w:val="18"/>
          <w:color w:val="auto"/>
        </w:rPr>
        <w:t xml:space="preserve"> - clarifies how an entity should identify the unit of accounting (i.e. the specified good or service) for the principal versus agent evaluation and how it should apply the control principle to certain types of arrangements.</w:t>
      </w:r>
    </w:p>
    <w:p>
      <w:pPr>
        <w:spacing w:after="0" w:line="181"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 clarifies the guidance surrounding licensing arrangements and the identification of performance obligations.</w:t>
      </w:r>
    </w:p>
    <w:p>
      <w:pPr>
        <w:spacing w:after="0" w:line="170" w:lineRule="exact"/>
        <w:rPr>
          <w:rFonts w:ascii="Arial" w:cs="Arial" w:eastAsia="Arial" w:hAnsi="Arial"/>
          <w:sz w:val="18"/>
          <w:szCs w:val="18"/>
          <w:color w:val="auto"/>
        </w:rPr>
      </w:pPr>
    </w:p>
    <w:p>
      <w:pPr>
        <w:ind w:left="660" w:right="9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ASU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xml:space="preserve"> - addresses implementation issues raised by stakeholders concerning collectability, noncash consideration, presentation of sales tax, and transition.</w:t>
      </w:r>
    </w:p>
    <w:p>
      <w:pPr>
        <w:spacing w:after="0" w:line="123"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ASU 2016-20, </w:t>
      </w:r>
      <w:r>
        <w:rPr>
          <w:rFonts w:ascii="Arial" w:cs="Arial" w:eastAsia="Arial" w:hAnsi="Arial"/>
          <w:sz w:val="18"/>
          <w:szCs w:val="18"/>
          <w:i w:val="1"/>
          <w:iCs w:val="1"/>
          <w:color w:val="auto"/>
        </w:rPr>
        <w:t>Revenue from Contracts with Customers (Topic 606), Technical Corrections and Improvements</w:t>
      </w:r>
      <w:r>
        <w:rPr>
          <w:rFonts w:ascii="Arial" w:cs="Arial" w:eastAsia="Arial" w:hAnsi="Arial"/>
          <w:sz w:val="18"/>
          <w:szCs w:val="18"/>
          <w:color w:val="auto"/>
        </w:rPr>
        <w:t xml:space="preserve"> - addresses loan guarantee fees, impairment testing of contract costs, provisions for losses on certain contracts, and various disclosures.</w:t>
      </w:r>
    </w:p>
    <w:p>
      <w:pPr>
        <w:spacing w:after="0" w:line="1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ASU 2014-09 and its related amendments (collectively, the New Revenue Standard) are effective for reporting periods beginning after December 15, 2017, and interim periods therein, using either of the following transition methods; (i) a full retrospective adoption reflecting the application of the standard in each prior reporting period, or (ii) a modified retrospective approach with the cumulative effect of adopting recognized through retained earnings at the date of adoption.</w:t>
      </w:r>
    </w:p>
    <w:p>
      <w:pPr>
        <w:spacing w:after="0" w:line="18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New Revenue Standard is expected to change the revenue recognition practices for a number of revenue streams across our businesses, although the most significant impacts will be concentrated within our aerospace units. Several businesses, which currently account for revenue on a “point-in-time basis,” will be required to use an “over time” model as they meet one or more of the mandatory criteria established in the New Revenue Standard. Revenue will be recognized based on percentage-of-completion for certain U.S. Government aerospace contracts; and aerospace aftermarket service work performed on a time and materials basis. For these businesses, unrecognized sales and operating profits related to the satisfied portion of the performance obligations of contracts in process as of the date of adoption will be recorded through retained earnings. The ongoing effect of recording revenue on a percentage-of-completion basis within these businesses is not expected to be material.</w:t>
      </w:r>
    </w:p>
    <w:p>
      <w:pPr>
        <w:spacing w:after="0" w:line="17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In addition to the forgoing, our aerospace businesses will also incur changes related to the timing of manufacturing cost recognition and certain engineering and development costs. In most circumstances, our commercial aerospace businesses will identify the performance obligation, or the unit of accounting, as the individual original equipment (OEM) unit; revenues and costs to manufacture each unit will be recognized upon OEM unit delivery. Under current practice, the unit of accounting is the contract, and early-contract OEM unit costs in excess of the average expected over the contract are capitalized and amortized</w:t>
      </w:r>
    </w:p>
    <w:p>
      <w:pPr>
        <w:sectPr>
          <w:pgSz w:w="11900" w:h="16838" w:orient="portrait"/>
          <w:cols w:equalWidth="0" w:num="1">
            <w:col w:w="11420"/>
          </w:cols>
          <w:pgMar w:left="240" w:top="121"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over lower-cost units later in the contract. With the adoption of the New Revenue Standard, any deferred unit costs in excess of the contract average will be eliminated through retained earnings and will not be amortized into future earnings. As of June 30, 2017, capitalized deferred unit costs in excess of the contract average are $307 million, which is expected to increase during 2017, prior to adoption of the New Revenue Standard.</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With regard to costs incurred for the engineering and development of aerospace products under contract with customers, we generally expense as incurred unless there is a contractually guaranteed right of recovery. Any customer funding received for such efforts is recognized when earned, with the corresponding costs recognized as cost of sales. The New Revenue Standard requires customer funding of OEM product engineering and development to be deferred and recognized as revenue as the OEM products are delivered to the customer. The New Revenue Standard also requires product engineering and development costs to be capitalized as contract fulfillment costs, to the extent recoverable from the associated contract margin, and subsequently amortized as the OEM products are delivered to the customer. For contracts that are open as of the adoption date, previously recognized customer funding will be established as a contract liability.</w:t>
      </w:r>
    </w:p>
    <w:p>
      <w:pPr>
        <w:spacing w:after="0" w:line="18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We continue to evaluate the implications of the standard change. We intend to adopt the New Revenue Standard effective January 1, 2018 using the modified retrospective approach.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Accounting Pronouncements</w:t>
      </w:r>
      <w:r>
        <w:rPr>
          <w:rFonts w:ascii="Arial" w:cs="Arial" w:eastAsia="Arial" w:hAnsi="Arial"/>
          <w:sz w:val="18"/>
          <w:szCs w:val="18"/>
          <w:color w:val="auto"/>
        </w:rPr>
        <w:t>:</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This ASU modifies how entities measure equity investments and present changes in the fair value of financial liabilities. Upon adoption,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that do not result in consolidation and are not accounted for under the equity method generally must be carried at fair value, with changes in fair value recognized in net income. As discussed in Note 12, we have approximately $100 million of unrealized gains on these securities recorded in Accumulated other comprehensive loss in our Condensed Consolidated Balance Sheet as of June 30, 2017. To the extent currently unrealized gains or losses on these investments are not realized through sale or other actions prior to the date of adoption, these amounts would be recorded directly to retained earnings upon adoption. The provisions of this ASU are effective for years beginning after December 15, 2017.</w:t>
      </w:r>
    </w:p>
    <w:p>
      <w:pPr>
        <w:spacing w:after="0" w:line="178" w:lineRule="exact"/>
        <w:rPr>
          <w:sz w:val="20"/>
          <w:szCs w:val="20"/>
          <w:color w:val="auto"/>
        </w:rPr>
      </w:pPr>
    </w:p>
    <w:p>
      <w:pPr>
        <w:ind w:right="40" w:firstLine="554"/>
        <w:spacing w:after="0" w:line="273" w:lineRule="auto"/>
        <w:rPr>
          <w:sz w:val="20"/>
          <w:szCs w:val="20"/>
          <w:color w:val="auto"/>
        </w:rPr>
      </w:pPr>
      <w:r>
        <w:rPr>
          <w:rFonts w:ascii="Arial" w:cs="Arial" w:eastAsia="Arial" w:hAnsi="Arial"/>
          <w:sz w:val="17"/>
          <w:szCs w:val="17"/>
          <w:color w:val="auto"/>
        </w:rPr>
        <w:t xml:space="preserve">In February 2016, the FASB issued ASU 2016- 02, </w:t>
      </w:r>
      <w:r>
        <w:rPr>
          <w:rFonts w:ascii="Arial" w:cs="Arial" w:eastAsia="Arial" w:hAnsi="Arial"/>
          <w:sz w:val="17"/>
          <w:szCs w:val="17"/>
          <w:i w:val="1"/>
          <w:iCs w:val="1"/>
          <w:color w:val="auto"/>
        </w:rPr>
        <w:t>Leases (Topic 842)</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Condensed Consolidated Statement of Operations. In addition, this standard requires a lessor to classify leases as either sales-type, finance or operating. A lease will be treated as a sale if it transfers all of the risks and rewards, as well as control of the underlying asset, to the lessee. If risks and rewards are conveyed without the transfer of control, the lease is treated as financing. If the lessor doesn’t convey risks and rewards or control, the lease is treated as operating.</w:t>
      </w:r>
    </w:p>
    <w:p>
      <w:pPr>
        <w:spacing w:after="0" w:line="17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fiscal years. A modified retrospective transition approach is required for lessees for capital and operating leases and lessors for sales-type, direct financing, and operating leases existing at, or entered into after, the beginning of the earliest comparative period presented in the financial statements, with certain practical expedients available. We expect that upon adoption we will recognize ROU assets and lease liabilities and that the amounts could be material. We do not expect the ASU to have a material impact on our cash flows or results of operations.</w:t>
      </w:r>
    </w:p>
    <w:p>
      <w:pPr>
        <w:spacing w:after="0" w:line="18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This ASU requires the income tax consequences of an intra-entity transfer of an asset, other than inventory, to be recognized when the transfer occurs. Two common examples of assets included in the scope of this update are intellectual property and property, plant, and equipment. The provisions of this ASU are effective for years beginning after December 15, 2017, with early adoption permitted. We do not expect this ASU to have a significant impact on our financial statements or disclosures. We plan to adopt the new standard effective January 1, 2018.</w:t>
      </w:r>
    </w:p>
    <w:p>
      <w:pPr>
        <w:spacing w:after="0" w:line="18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This ASU provides a new framework that will assist in the evaluation of whether business combination transactions should be accounted as acquisition of a business or a group of assets, as well as specifying the minimum required inputs and processes necessary to be a business. The provisions of this ASU are effective for years beginning after December 15, 2017, with early adoption permitted. We plan to adopt the new standard effective January 1, 2018.</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This ASU eliminates Step 2 of the current goodwill impairment test, which requires a hypothetical purchase price allocation to measure goodwill impairment. A goodwill impairment loss will instead be measured at the amount by which a reporting unit's carrying value exceeds its fair value, not to exceed the recorded amount of goodwill. The provisions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this ASU are effective for years beginning after December 15, 2019, with early adoption permitted for any impairment test performed on testing dates after January 1, 2017. We early adopted this standard as of July 1, 2017 and do not expect this ASU to have a significant impact on our financial statements or disclosures.</w:t>
      </w:r>
    </w:p>
    <w:p>
      <w:pPr>
        <w:spacing w:after="0" w:line="18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Compensation—Retirement Benefits (Topic 715), Improving the Presentation of Net Periodic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Cost and Net Periodic Postretirement Benefit Cost</w:t>
      </w:r>
      <w:r>
        <w:rPr>
          <w:rFonts w:ascii="Arial" w:cs="Arial" w:eastAsia="Arial" w:hAnsi="Arial"/>
          <w:sz w:val="18"/>
          <w:szCs w:val="18"/>
          <w:color w:val="auto"/>
        </w:rPr>
        <w:t>. This ASU requires an employer to report the service cost component of net periodic pension benefit cost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line item or items as other compensation costs arising from services rendered by the pertinent employees during the period, with other cost components presented separately from the service cost component and outside of income from operations. This ASU also allows only the service cost component of net periodic pension benefit cost to be eligible for capitalization when applicable. The provisions of this ASU are effective for years beginning after December 15, 2017. Provisions related to presentation of the service cost components versus other cost components must be applied retrospectively, while provisions related to service cost component eligibility for capitalization must be applied prospectively. This ASU primarily impacts the presentation of net periodic pension cost/benefit and therefore we do not expect this ASU to have a material impact on net income, however it will result in changes to reported operating profit.</w:t>
      </w:r>
    </w:p>
    <w:p>
      <w:pPr>
        <w:spacing w:after="0" w:line="19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May 2017, the FASB issues ASU 2017-09, Compensation—Stock Compensation (Topic 718), Scope of Modification Accounting. This ASU provides that an entity should account for the effects of a modification unless the fair value, the vesting conditions of the modified award and the classification of the modified award (equity or liability instrument) are the same as the original award immediately before the modification. The provisions of this ASU are effective for years beginning after December 15, 2017, with early adoption permitted. We do not expect this ASU to have a significant impact on our financial statements or disclosures. We plan to adopt the new standard effective January 1, 2018.</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and six months ended June 30, 2017 and 2016, PricewaterhouseCoopers LLP (PricewaterhouseCoopers) reported that it has applied limited procedures in accordance with professional standards for a review of such information. However, its report dated July 28, 2017,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286" w:lineRule="exact"/>
        <w:rPr>
          <w:sz w:val="20"/>
          <w:szCs w:val="20"/>
          <w:color w:val="auto"/>
        </w:rPr>
      </w:pPr>
    </w:p>
    <w:p>
      <w:pPr>
        <w:ind w:right="3460" w:firstLine="3453"/>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ind w:right="100"/>
        <w:spacing w:after="0" w:line="279" w:lineRule="auto"/>
        <w:rPr>
          <w:sz w:val="20"/>
          <w:szCs w:val="20"/>
          <w:color w:val="auto"/>
        </w:rPr>
      </w:pPr>
      <w:r>
        <w:rPr>
          <w:rFonts w:ascii="Arial" w:cs="Arial" w:eastAsia="Arial" w:hAnsi="Arial"/>
          <w:sz w:val="17"/>
          <w:szCs w:val="17"/>
          <w:color w:val="auto"/>
        </w:rPr>
        <w:t>We have reviewed the accompanying condensed consolidated balance sheet of United Technologies Corporation and its subsidiaries as of June 30, 2017, and the related condensed consolidated statements of operations and condensed consolidated statements of comprehensive income for the three-month and six-month periods ended June 30, 2017 and 2016 and the condensed consolidated statement of cash flows for the six-month periods ended June 30, 2017 and 2016. This interim financial information is the responsibility of the Corporation’s management.</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2016, and the related consolidated statements of operations, of comprehensive income, of cash flows, and of changes in equity for the year then ended (not presented herein), and in our report dated February 9, 2017, which included a paragraph that described the change in the presentation and classification of certain cash receipts and cash payments and the presentation of restricted cash in the statement of cash flows, as well as the classification and presentation of certain employee share-based payment transactions and the tax-related cash flows resulting from these payments, we expressed an unqualified opinion on those consolidated financial statements. In our opinion, the information set forth in the accompanying condensed consolidated balance sheet as of December 31, 2016,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28, 2017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are a global provider of high technology products and services to the building systems and aerospace industries. Our operations for the periods presented herein are classified into four principal business segments: Otis, UTC Climate, Controls &amp; Security, Pratt &amp; Whitney, and UTC Aerospace Systems. Otis and UTC Climate, Controls &amp; Security are referred to as the "commercial businesses," while Pratt &amp; Whitney and UTC Aerospace Systems are referred to as the "aerospace businesses."</w:t>
      </w:r>
    </w:p>
    <w:p>
      <w:pPr>
        <w:spacing w:after="0" w:line="7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current status of significant factors affecting our business environment in 2017 is discussed below. For additional discussion, refer to the "Business Overview" section in Management's Discussion and Analysis of Financial Condition and Results of Operations in our 2016 Annual Report, which is incorporated by reference in our 2016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spares businesses, and longer cycles at Otis and in our aerospace OEM and aftermarket maintenance businesses. Our customers include companies in the private sector and governments, and our businesses reflect an extensive geographic diversification that has evolved with the continued globalization of world economies.</w:t>
      </w:r>
    </w:p>
    <w:p>
      <w:pPr>
        <w:spacing w:after="0" w:line="17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military businesses' sales are affected by U.S. Department of Defense budget and spending levels. Total sales to the U.S. Government were $1.4 billion and $1.3 billion, or 9% of total UTC sales, in the quarters ended June 30, 2017 and 2016, respectively. The defense portion of our aerospace business is affected by changes in market demand and the global political environment. Our participation in long-term production and development programs for the U.S. Government has and is expected to contribute positively to our results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225"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In the six months ended June 30, 2016, we recognized approximately $36 million of Loss on disposal of discontinued operations, primarily reflecting additional tax provision associated with the net gain realized on the sale of Sikorsky to Lockheed Martin Corp. in November 2015, and we had net cash outflows from discontinued operations of approximately $2.5 billion, primarily related to the payment of taxes related to this 2015 gain.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six months ended June 30, 2017, our investment in business acquisitions was $168 million, which includes a number of small acquisitions primarily in our commercial businesses. We expect cash investment in acquisitions to be approximately $1 billion to $2 billion in 2017. However, actual acquisition spending may vary depending upon the timing, availability and value of acquisition opportunities.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2017. See Part I, Item 1A, "Risk Factors" in our 2016 Form 10-K for further discussion.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2016 Annual Report, incorporated by reference in our 2016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six months ended June 30,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50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15,280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14,874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29,095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28,231</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factors contributing to the total percentage change year-over-year in total net sales for the quarter and six months ended June 30, 2017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 Ended June 30,</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2"/>
        </w:trPr>
        <w:tc>
          <w:tcPr>
            <w:tcW w:w="77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770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7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During the quarter ended June 30, 2017, organic sales growth at Pratt &amp; Whitney (6%), UTC Climate, Controls &amp; Security (5%) and Otis (1%) was partially offset by a decline at UTC Aerospace Systems (1%). The organic sales growth at Pratt &amp; Whitney was driven by higher military revenues and an increase in commercial aftermarket sales. The organic growth at UTC Climate, Controls &amp; Security was driven by higher sales in the North America residential HVAC, global commercial HVAC, and commercial refrigeration businesses, while growth at Otis was primarily driven by service sales growth in North America and Asia, and higher new equipment sales in North America and Europe, partially offset by lower new equipment sales in China. The organic sales decline at UTC Aerospace Systems was driven primarily by lower commercial aerospace OEM volume.</w:t>
      </w:r>
    </w:p>
    <w:p>
      <w:pPr>
        <w:spacing w:after="0" w:line="17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All four segments experienced organic sales growth during the six months ended June 30, 2017. Pratt &amp; Whitney sales were up 5% organically, driven by higher military revenues and an increase in commercial aftermarket sales. Organic sales at UTC Climate, Controls &amp; Security increased 3%, driven by higher sales in the North America residential HVAC, global commercial HVAC, and commercial refrigeration businesses. Otis sales increased 2% organically, driven by service sales growth in North America and Asia, and higher new equipment sales in North America and Europe, partially offset by lower new equipment sales in China. Organic sales at UTC Aerospace Systems grew 2%, primarily driven by an increase in commercial aerospace aftermarket sales.</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580"/>
              <w:spacing w:after="0"/>
              <w:rPr>
                <w:sz w:val="20"/>
                <w:szCs w:val="20"/>
                <w:color w:val="auto"/>
              </w:rPr>
            </w:pPr>
            <w:r>
              <w:rPr>
                <w:rFonts w:ascii="Arial" w:cs="Arial" w:eastAsia="Arial" w:hAnsi="Arial"/>
                <w:sz w:val="14"/>
                <w:szCs w:val="14"/>
                <w:b w:val="1"/>
                <w:bCs w:val="1"/>
                <w:color w:val="auto"/>
              </w:rPr>
              <w:t>Quarter Ended June 30,</w:t>
            </w:r>
          </w:p>
        </w:tc>
        <w:tc>
          <w:tcPr>
            <w:tcW w:w="360" w:type="dxa"/>
            <w:vAlign w:val="bottom"/>
          </w:tcPr>
          <w:p>
            <w:pPr>
              <w:spacing w:after="0"/>
              <w:rPr>
                <w:sz w:val="16"/>
                <w:szCs w:val="16"/>
                <w:color w:val="auto"/>
              </w:rPr>
            </w:pPr>
          </w:p>
        </w:tc>
        <w:tc>
          <w:tcPr>
            <w:tcW w:w="26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7,933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15,170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15,020</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product sales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services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6,007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5,375</w:t>
            </w:r>
          </w:p>
        </w:tc>
      </w:tr>
      <w:tr>
        <w:trPr>
          <w:trHeight w:val="243"/>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Percentage of service sales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21,177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20,395</w:t>
            </w:r>
          </w:p>
        </w:tc>
      </w:tr>
      <w:tr>
        <w:trPr>
          <w:trHeight w:val="459"/>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9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factors contributing to the percentage change year-over-year for the quarter and six months ended June 30, 2017 in total cost of products and services sold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 Ended June 30,</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92"/>
        </w:trPr>
        <w:tc>
          <w:tcPr>
            <w:tcW w:w="77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change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7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9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770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77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organic increase in total cost of products and services sold in the quarter and six months ended June 30, 2017 was primarily driven by the organic sales increases noted above, additional unfavorable contract adjustments related to a large commercial project at UTC Climate, Controls &amp; Security, and higher negative engine margin at Pratt &amp; Whitney. The year-over-year increase in cost of services sold as a percentage of service sales in the quarter and six months ended June 30, 2017 was primarily driven by the absence of prior year favorable contract settlements at Pratt &amp; Whitney.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4,133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7,918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7,836</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w:t>
            </w:r>
          </w:p>
        </w:tc>
      </w:tr>
    </w:tbl>
    <w:p>
      <w:pPr>
        <w:spacing w:after="0" w:line="12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40 basis point decline in gross margin as a percentage of sales for the quarter ended June 30, 2017 primarily reflects lower gross margin at Otis (40 basis points) driven by price/mix pressure, primarily in China, and lower gross margin at UTC Climate, Controls &amp; Security (30 basis points) primarily driven by an unfavorable contract adjustment related to a large commercial project. These declines were partially offset by gross margin improvement at Pratt &amp; Whitney (30 basis points) driven primarily by higher commercial and military aftermarket sales volumes.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60 basis point decline in gross margin as a percentage of sales for the six months ended June 30, 2017 primarily reflects lower gross margin at UTC Climate, Controls &amp; Security (30 basis points) primarily driven by unfavorable contract adjustments related to a large commercial project and lower gross margin at Otis (30 basis points) driven by price/mix pressure, primarily in China.</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1,129</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714</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2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(4%) for the quarter ended June 30, 2017 is primarily driven by higher research and development spending at Pratt &amp; Whitney (2%), driven by higher spending on Pratt &amp; Whitney military development programs and various programs at Pratt &amp; Whitney Canada; continued investment in new products at UTC Climate, Controls &amp; Security (2%); and increased spending on strategic initiatives at Otis (1%). For the six months ended June 30, 2017, company-funded research and development increased 5% with increased spending across all segments. The growth consisted of continued investment in new products at UTC Climate, Controls &amp; Security (2%), higher spending across various programs at UTC Aerospace Systems (1%), increased spending on strategic initiatives at Otis (1%) and an increase at Pratt &amp; Whitney (1%) driven by higher spending on various Pratt &amp; Whitney Canada programs and Pratt &amp; Whitney military development programs.</w:t>
      </w:r>
    </w:p>
    <w:p>
      <w:pPr>
        <w:spacing w:after="0" w:line="74"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year-over-year increase in customer-funded research and development (8%) for the quarter ended June 30, 2017 is primarily driven by higher research and development spending on military development programs at Pratt &amp; Whitney (8%). For the six months ended June 30, 2017, customer-funded research and development increased (1%) as higher spending on military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development programs at Pratt &amp; Whitney was largely offset by lower spending across various programs at UTC Aerospace Systems.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2,814</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21"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Selling, general and administrative expenses increased 6% in the quarter ended June 30, 2017, including a 2% increase in expenses resulting from recent acquisitions. The increase also reflects higher expenses at Pratt &amp; Whitney (2%) and UTC Aerospace Systems (1%), primarily driven by increased headcount and employee compensation related expenses.</w:t>
      </w:r>
    </w:p>
    <w:p>
      <w:pPr>
        <w:spacing w:after="0" w:line="18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Selling, general and administrative expenses increased 7% in the six months ended June 30, 2017 reflecting higher expenses at Pratt &amp; Whitney (1%) and UTC Aerospace Systems (1%), primarily driven by increased headcount and employee compensation related expenses; higher spending at Otis (1%) resulting from higher labor and information technology costs; an increase in expenses resulting from recent acquisitions (1%) and an increase in general corporate expenses primarily driven by employee compensation related expenses.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389</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Other income, net includes equity earnings in unconsolidated entities, royalty income, foreign exchange gains and losses, as well as other ongoing and nonrecurring items. The year-over-year increase in other income, net (6%) in the quarter ended June 30, 2017 is primarily driven by a gain on the sale of our investment in a UTC Climate, Controls &amp; Security joint venture (9%) partially offset by the net unfavorable impact resulting from the absence of prior year contract settlements and transactional items, primarily at Pratt &amp; Whitney.</w:t>
      </w:r>
    </w:p>
    <w:p>
      <w:pPr>
        <w:spacing w:after="0" w:line="7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year-over-year increase in other income, net ($456 million, 117%) in the six months ended June 30, 2017 is primarily driven by $379 million of gains resulting from the sale of UTC Climate, Controls &amp; Security's investments in Watsco, Inc.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00"/>
              <w:spacing w:after="0"/>
              <w:rPr>
                <w:sz w:val="20"/>
                <w:szCs w:val="20"/>
                <w:color w:val="auto"/>
              </w:rPr>
            </w:pPr>
            <w:r>
              <w:rPr>
                <w:rFonts w:ascii="Arial" w:cs="Arial" w:eastAsia="Arial" w:hAnsi="Arial"/>
                <w:sz w:val="14"/>
                <w:szCs w:val="14"/>
                <w:b w:val="1"/>
                <w:bCs w:val="1"/>
                <w:color w:val="auto"/>
              </w:rPr>
              <w:t>Quarter Ended June 30,</w:t>
            </w: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4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489</w:t>
            </w:r>
          </w:p>
        </w:tc>
      </w:tr>
      <w:tr>
        <w:trPr>
          <w:trHeight w:val="243"/>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448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42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21"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Interest expense was up (1%) for the quarter ended June 30, 2017 and essentially flat for the six months ended June 30, 2017 relative to the prior year. The unfavorable impact of the May 4, 2017 and November 1, 2016 issuance of notes representing $8 billion in aggregate principal was largely offset by the favorable impact of the significantly lower interest rates on these notes as compared to the 5.375% and 6.125% notes redeemed on December 1, 2016, representing $2.25 billion in aggregate principal, and the favorable impact of these early redemptions and the repayment at maturity of our 1.800% notes due 2017, representing $1.5 billion in aggregate principal. The average maturity of our long-term debt at June 30, 2017 is approximately twelve years.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r>
      <w:tr>
        <w:trPr>
          <w:trHeight w:val="243"/>
        </w:trPr>
        <w:tc>
          <w:tcPr>
            <w:tcW w:w="6320" w:type="dxa"/>
            <w:vAlign w:val="bottom"/>
            <w:gridSpan w:val="2"/>
            <w:shd w:val="clear" w:color="auto" w:fill="CCEEFF"/>
          </w:tcPr>
          <w:p>
            <w:pPr>
              <w:jc w:val="right"/>
              <w:ind w:right="4968"/>
              <w:spacing w:after="0"/>
              <w:rPr>
                <w:sz w:val="20"/>
                <w:szCs w:val="20"/>
                <w:color w:val="auto"/>
              </w:rPr>
            </w:pPr>
            <w:r>
              <w:rPr>
                <w:rFonts w:ascii="Arial" w:cs="Arial" w:eastAsia="Arial" w:hAnsi="Arial"/>
                <w:sz w:val="18"/>
                <w:szCs w:val="18"/>
                <w:color w:val="auto"/>
                <w:w w:val="93"/>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The decrease in the effective tax rate for the quarter ended June 30, 2017 is primarily due to an increase in the tax benefits associated with equity compensation and the impact of incremental tax benefits related to a claim based on the outcome of a favorable Federal Court decision of another taxpayer.</w:t>
      </w:r>
    </w:p>
    <w:p>
      <w:pPr>
        <w:spacing w:after="0" w:line="124"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The decrease in the effective tax rate for the six months ended June 30, 2017 is primarily related to the tax benefits described above, partially offset by the unfavorable impact of the first quarter gain on the sale of UTC Climate, Controls &amp; Security's investments in Watsco, Inc.</w:t>
      </w:r>
    </w:p>
    <w:p>
      <w:pPr>
        <w:spacing w:after="0" w:line="14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shown in the table above, the effective tax rate for the six months ended June 30, 2017 is 27.1%. We estimate our full year 2017 annual effective income tax rate to be approximately 27%, excluding restructuring and non-operational nonrecurring items.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from Continuing Operations Attributable to Common Shareowners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Net income from continuing operations attributable to common shareowners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1,439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2,598</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3.12</w:t>
            </w:r>
          </w:p>
        </w:tc>
      </w:tr>
    </w:tbl>
    <w:p>
      <w:pPr>
        <w:spacing w:after="0" w:line="121"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Net income from continuing operations attributable to common shareowners for the quarter ended June 30, 2017 includes restructuring charges, net of tax benefit, of $40 million. The effect of restructuring charges on diluted earnings per share for the quarter ended June 30, 2017 was $0.05 per share while the effect of foreign currency translation and Pratt &amp;Whitney Canada hedging generated a favorable impact of $0.03 per diluted share.</w:t>
      </w:r>
    </w:p>
    <w:p>
      <w:pPr>
        <w:spacing w:after="0" w:line="166"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Net income from continuing operations attributable to common shareowners for the quarter ended June 30, 2016 includes restructuring charges, net of tax benefit, of $78 million as well as significant non-operational and/or nonrecurring items, net of tax, of $10 million. The effect of restructuring charges and nonrecurring items on diluted earnings per share for the quarter ended June 30, 2016 was $0.11 per share while the effect of foreign currency translation and hedging generated an unfavorable effect of $0.01 per diluted share.</w:t>
      </w:r>
    </w:p>
    <w:p>
      <w:pPr>
        <w:spacing w:after="0" w:line="187"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Net income from continuing operations attributable to common shareowners for the six months ended June 30, 2017 includes restructuring charges, net of tax benefit, of $74 million as well as the net favorable impact of significant non-operational and/or nonrecurring items, net of tax, of $238 million. The effect of restructuring charges and nonrecurring items on diluted earnings per share for the six months ended June 30, 2017 was $0.20 per share while the effect of foreign currency translation and Pratt &amp;Whitney Canada hedging generated a favorable impact of $0.06 per diluted share.</w:t>
      </w:r>
    </w:p>
    <w:p>
      <w:pPr>
        <w:spacing w:after="0" w:line="15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Net income from continuing operations attributable to common shareowners for the six months ended June 30, 2016 includes restructuring charges, net of tax benefit, of $120 million as well as significant non-operational and/or nonrecurring items, net of tax, of $10 million. The effect of restructuring charges and nonrecurring items on diluted earnings per share for the six months ended June 30, 2016 was $0.16 per share. The effect of foreign currency translation and hedging did not materially impact earnings per diluted share.</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i w:val="1"/>
          <w:iCs w:val="1"/>
          <w:u w:val="single" w:color="auto"/>
          <w:color w:val="auto"/>
        </w:rPr>
        <w:t>Net Loss from Discontinued Operations Attributable to Common Shareowners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Quarter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 except per share amounts)</w:t>
            </w: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3"/>
              </w:rPr>
              <w:t>Net loss from discontinued operations attributable to common shareowners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Diluted loss per share from discontinued operations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(0.06)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r>
    </w:tbl>
    <w:p>
      <w:pPr>
        <w:spacing w:after="0" w:line="121"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Net loss from discontinued operations attributable to common shareowners for the quarter and six months ended June 30, 2016 primarily reflects additional tax provision associated with the net gain realized on the sale of Sikorsky to Lockheed Martin Corp. in November 2015.</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6"/>
                <w:szCs w:val="16"/>
                <w:color w:val="auto"/>
              </w:rPr>
            </w:pP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Restructuring actions are an essential component of our operating margin improvement efforts and relate to both existing operations and those recently acquired. Charges generally arise from severance related to workforce reductions, facility exit and lease termination costs associated with the consolidation of field and manufacturing operations and costs to exit legacy programs. We expect to incur restructuring costs in 2017 of approximately $300 million, including trailing costs related to prior actions associated with our continuing cost reduction efforts and the integration of acquisitions. We continue to closely monitor the economic environment and may undertake further restructuring actions to keep our cost structure aligned with the demands of the prevailing market conditions.</w:t>
      </w:r>
    </w:p>
    <w:p>
      <w:pPr>
        <w:spacing w:after="0" w:line="189"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b w:val="1"/>
          <w:bCs w:val="1"/>
          <w:color w:val="auto"/>
        </w:rPr>
        <w:t xml:space="preserve">2017 Actions. </w:t>
      </w:r>
      <w:r>
        <w:rPr>
          <w:rFonts w:ascii="Arial" w:cs="Arial" w:eastAsia="Arial" w:hAnsi="Arial"/>
          <w:sz w:val="16"/>
          <w:szCs w:val="16"/>
          <w:color w:val="auto"/>
        </w:rPr>
        <w:t>During the six months ended June 30, 2017, we recorded net pre-tax restructuring charges of $63 million relating to ongoing cost reduction</w:t>
      </w:r>
      <w:r>
        <w:rPr>
          <w:rFonts w:ascii="Arial" w:cs="Arial" w:eastAsia="Arial" w:hAnsi="Arial"/>
          <w:sz w:val="16"/>
          <w:szCs w:val="16"/>
          <w:b w:val="1"/>
          <w:bCs w:val="1"/>
          <w:color w:val="auto"/>
        </w:rPr>
        <w:t xml:space="preserve"> </w:t>
      </w:r>
      <w:r>
        <w:rPr>
          <w:rFonts w:ascii="Arial" w:cs="Arial" w:eastAsia="Arial" w:hAnsi="Arial"/>
          <w:sz w:val="16"/>
          <w:szCs w:val="16"/>
          <w:color w:val="auto"/>
        </w:rPr>
        <w:t>actions initiated in 2017. We expect to incur additional restructuring charges of $65 million to complete these actions. We are targeting to complete in 2017 and 2018 the majority of the remaining workforce and facility related cost reduction actions initiated in 2017. We expect recurring pre-tax savings in continuing operations to increase over the two-year period subsequent to initiating the actions to approximately $55 million annually. Approximately 70% of the total expected pre-tax charges will require cash payments, which we have funded and expect to continue to fund with cash generated from operations. During the six months ended June 30, 2017, we had cash outflows of approximately $18 million related to the 2017 actions.</w:t>
      </w:r>
    </w:p>
    <w:p>
      <w:pPr>
        <w:spacing w:after="0" w:line="1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2016 Actions. </w:t>
      </w:r>
      <w:r>
        <w:rPr>
          <w:rFonts w:ascii="Arial" w:cs="Arial" w:eastAsia="Arial" w:hAnsi="Arial"/>
          <w:sz w:val="17"/>
          <w:szCs w:val="17"/>
          <w:color w:val="auto"/>
        </w:rPr>
        <w:t>During the six months ended June 30, 2017 and 2016, we recorded net pre-tax restructuring charges of $40 million and $113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for actions initiated in 2016. We expect to incur additional restructuring charges of $59 million to complete these actions. We are targeting to complete in 2017 the majority of the remaining workforce and facility related cost reduction actions initiated in 2016. We expect recurring pre-tax savings in continuing operations to increase over the two-year period subsequent to initiating the actions to approximately $180 million annually, of which, approximately $46 million was realized during the six months ended June 30, 2017. Approximately 65% of the total expected pre-tax charge will require cash payments, which we have and expect to continue to fund with cash generated from operations. During the six months ended June 30, 2017, we had cash outflows of approximately $55 million related to the 2016 actions.</w:t>
      </w:r>
    </w:p>
    <w:p>
      <w:pPr>
        <w:spacing w:after="0" w:line="17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In addition, during the six months ended June 30, 2017, we recorded net pre-tax restructuring costs totaling $9 million for restructuring actions initiated in 2015 and prior. For additional discussion of restructuring, see Note 8 to the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six months ended June 30, 2017 and 2016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225"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At constant currency and excluding the effect of acquisitions and divestitures, UTC Climate, Controls &amp; Security equipment orders in the quarter ended June 30, 2017 increased 11% in comparison to the same period of the prior year driven by increases in transport refrigeration (38%), global commercial HVAC (4%) and North America residential HVAC orders (16%). At constant currency, within the Otis segment, new equipment orders in the quarter were flat in comparison to the prior year as order growth in the Middle East (24%), the Americas (5%) and China (3%) was offset by order declines in Europe (14%).</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quarters ended June 30, 2017 and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Otis</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jc w:val="right"/>
              <w:ind w:right="673"/>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20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2,085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120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commercial businesses for the six months ended June 30, 2017 and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Otis</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right"/>
              <w:ind w:right="728"/>
              <w:spacing w:after="0"/>
              <w:rPr>
                <w:sz w:val="20"/>
                <w:szCs w:val="20"/>
                <w:color w:val="auto"/>
              </w:rPr>
            </w:pPr>
            <w:r>
              <w:rPr>
                <w:rFonts w:ascii="Arial" w:cs="Arial" w:eastAsia="Arial" w:hAnsi="Arial"/>
                <w:sz w:val="14"/>
                <w:szCs w:val="14"/>
                <w:b w:val="1"/>
                <w:bCs w:val="1"/>
                <w:color w:val="auto"/>
              </w:rPr>
              <w:t>UTC Climate, Controls &amp; Security</w:t>
            </w:r>
          </w:p>
        </w:tc>
      </w:tr>
      <w:tr>
        <w:trPr>
          <w:trHeight w:val="229"/>
        </w:trPr>
        <w:tc>
          <w:tcPr>
            <w:tcW w:w="38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260" w:type="dxa"/>
            <w:vAlign w:val="bottom"/>
          </w:tcPr>
          <w:p>
            <w:pPr>
              <w:jc w:val="right"/>
              <w:ind w:right="328"/>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8,187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4,114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3,947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6,036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5,641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84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818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1,068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1,047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Operating Profit Margins</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16.8%</w:t>
            </w:r>
          </w:p>
        </w:tc>
        <w:tc>
          <w:tcPr>
            <w:tcW w:w="1320" w:type="dxa"/>
            <w:vAlign w:val="bottom"/>
          </w:tcPr>
          <w:p>
            <w:pPr>
              <w:jc w:val="right"/>
              <w:ind w:right="138"/>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402"/>
              <w:spacing w:after="0"/>
              <w:rPr>
                <w:sz w:val="20"/>
                <w:szCs w:val="20"/>
                <w:color w:val="auto"/>
              </w:rPr>
            </w:pPr>
            <w:r>
              <w:rPr>
                <w:rFonts w:ascii="Arial" w:cs="Arial" w:eastAsia="Arial" w:hAnsi="Arial"/>
                <w:sz w:val="18"/>
                <w:szCs w:val="18"/>
                <w:color w:val="auto"/>
              </w:rPr>
              <w:t>21.3%</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18.1%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Otis –</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Quarter Ended June 30, 2017 Compared with Quarter Ended June 30, 2016</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3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5"/>
          </w:tcPr>
          <w:p>
            <w:pPr>
              <w:jc w:val="right"/>
              <w:ind w:right="622"/>
              <w:spacing w:after="0"/>
              <w:rPr>
                <w:sz w:val="20"/>
                <w:szCs w:val="20"/>
                <w:color w:val="auto"/>
              </w:rPr>
            </w:pPr>
            <w:r>
              <w:rPr>
                <w:rFonts w:ascii="Arial" w:cs="Arial" w:eastAsia="Arial" w:hAnsi="Arial"/>
                <w:sz w:val="14"/>
                <w:szCs w:val="14"/>
                <w:b w:val="1"/>
                <w:bCs w:val="1"/>
                <w:color w:val="auto"/>
              </w:rPr>
              <w:t>Factors Contributing to Total % Change</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FX</w:t>
            </w:r>
          </w:p>
        </w:tc>
        <w:tc>
          <w:tcPr>
            <w:tcW w:w="16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2020" w:type="dxa"/>
            <w:vAlign w:val="bottom"/>
            <w:gridSpan w:val="4"/>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b w:val="1"/>
                <w:bCs w:val="1"/>
                <w:color w:val="auto"/>
                <w:w w:val="87"/>
              </w:rPr>
              <w:t>Costs</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 organic sales increase of 1% primarily reflects higher service sales (1%), driven by growth in North America and Asia. New equipment sales growth in North America (1%) and Europe (1%) was offset by a decline in China (2%).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7% was driven by:</w:t>
      </w:r>
    </w:p>
    <w:p>
      <w:pPr>
        <w:spacing w:after="0" w:line="23"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price and mix (13%), primarily in China</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(1%), including higher labor and information technology costs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research and development spending (1%)</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favorable productivity (5%)</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with Six Months Ended June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3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organic sales increase of 2% reflects an increase in both service (2%) and new equipment sales (1%). The increase in service sales was primarily driven by growth in North America (1%) and Asia (1%), while the increase in new equipment sales was driven largely by growth in North America (1%) and Europe (1%), partially offset by a decline in China (2%).</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6% was driven by:</w:t>
      </w:r>
    </w:p>
    <w:p>
      <w:pPr>
        <w:spacing w:after="0" w:line="23"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price and mix (11%), primarily in China</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(3%), primarily labor and information technology costs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research and development spending (1%)</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favorable productivity (5%)</w:t>
      </w:r>
    </w:p>
    <w:p>
      <w:pPr>
        <w:spacing w:after="0" w:line="9"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profit contribution from the higher sales volumes noted above (4%)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Climate, Controls &amp; Security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2017 Compared with Quarter Ended June 30,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3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organic sales increase of 5% was driven by growth in North America residential HVAC (2%), global commercial HVAC (1%) and commercial refrigeration (1%).</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5% operational profit decrease was primarily driven by:</w:t>
      </w:r>
    </w:p>
    <w:p>
      <w:pPr>
        <w:spacing w:after="0" w:line="23"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unfavorable contract adjustment related to a large commercial project (4%)</w:t>
      </w:r>
    </w:p>
    <w:p>
      <w:pPr>
        <w:spacing w:after="0" w:line="9" w:lineRule="exact"/>
        <w:rPr>
          <w:rFonts w:ascii="Arial" w:cs="Arial" w:eastAsia="Arial" w:hAnsi="Arial"/>
          <w:sz w:val="18"/>
          <w:szCs w:val="18"/>
          <w:color w:val="auto"/>
        </w:rPr>
      </w:pPr>
    </w:p>
    <w:p>
      <w:pPr>
        <w:ind w:left="900" w:right="80" w:hanging="244"/>
        <w:spacing w:after="0" w:line="261"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mix and pricing across all businesses except North America residential HVAC, partially offset by profit contribution from the higher sales volumes noted above (net, 1%)</w:t>
      </w:r>
    </w:p>
    <w:p>
      <w:pPr>
        <w:spacing w:after="0" w:line="18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 5% increase in “Other” primarily reflects a gain on the sale of our investment in a joint venture and the absence of prior year acquisition and integration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with Six Months Ended June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Factors Contributing to Total % Change</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ind w:left="360"/>
              <w:spacing w:after="0" w:line="153" w:lineRule="exact"/>
              <w:rPr>
                <w:sz w:val="20"/>
                <w:szCs w:val="20"/>
                <w:color w:val="auto"/>
              </w:rPr>
            </w:pPr>
            <w:r>
              <w:rPr>
                <w:rFonts w:ascii="Arial" w:cs="Arial" w:eastAsia="Arial" w:hAnsi="Arial"/>
                <w:sz w:val="14"/>
                <w:szCs w:val="14"/>
                <w:b w:val="1"/>
                <w:bCs w:val="1"/>
                <w:color w:val="auto"/>
              </w:rPr>
              <w:t>Acquisitions /</w:t>
            </w:r>
          </w:p>
        </w:tc>
        <w:tc>
          <w:tcPr>
            <w:tcW w:w="13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Restructuring</w:t>
            </w:r>
          </w:p>
        </w:tc>
        <w:tc>
          <w:tcPr>
            <w:tcW w:w="14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7"/>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organic sales increase of 3% was driven by growth in North America residential HVAC and global commercial HVAC (combined 2%) and commercial refrigeration (1%).</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5% operational profit decrease was primarily driven by:</w:t>
      </w:r>
    </w:p>
    <w:p>
      <w:pPr>
        <w:spacing w:after="0" w:line="23"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contract adjustments related to a large commercial project (4%)</w:t>
      </w:r>
    </w:p>
    <w:p>
      <w:pPr>
        <w:spacing w:after="0" w:line="9" w:lineRule="exact"/>
        <w:rPr>
          <w:rFonts w:ascii="Arial" w:cs="Arial" w:eastAsia="Arial" w:hAnsi="Arial"/>
          <w:sz w:val="18"/>
          <w:szCs w:val="18"/>
          <w:color w:val="auto"/>
        </w:rPr>
      </w:pPr>
    </w:p>
    <w:p>
      <w:pPr>
        <w:ind w:left="900" w:right="40" w:hanging="244"/>
        <w:spacing w:after="0" w:line="26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mix and pricing, across all businesses except North America residential HVAC, partially offset by profit contribution from the higher sales volumes noted above (net, 2%)</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29% increase in “Other” primarily reflects a gain on the sale of investments in Watsco,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6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continue to see growth in a strong commercial airline industry which is benefiting from traffic growth, lower airfares, and stronger economic conditions. Airline traffic, as measured by RPMs, grew approximately 8% in the first five months of 2017.</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commercial aftermarket businesses continue to evolve as an increasing proportion of our aerospace businesses' customers are covered under Fleet Management Programs (FMPs) at Pratt &amp; Whitney and long-term aftermarket service agreements at UTC Aerospace Systems. FMPs are comprehensive long-term spare part and service agreements with our customers. We expect a continued shift to FMPs and long-term aftermarket service agreements in lieu of transactional spare part sales as new aerospace product offerings enter our customers' fleets under long-term service agreements and legacy fleets are retired. For the first six months of 2017, as compared with 2016, total commercial aerospace aftermarket sales increased 9% at UTC Aerospace Systems and 5% at Pratt &amp; Whitney.</w:t>
      </w:r>
    </w:p>
    <w:p>
      <w:pPr>
        <w:spacing w:after="0" w:line="19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record changes in contract estimates using the cumulative catch-up method in accordance with the Revenue Recognition Topic of the FASB ASC. Operating profit in the quarter ended June 30, 2017 included significant changes in aerospace contract estimates totaling $1 million, as favorable net contract adjustments recorded at UTC Aerospace Systems, were largely offset by unfavorable net contract adjustments recorded at Pratt &amp; Whitney. Operating profit in the six months ended June 30, 2017 included significant net unfavorable changes in aerospace contract estimates of $29 million, primarily representing unfavorable contract adjustments recorded at Pratt &amp; Whitney. For both the quarter and six months ended June 30, 2016, operating profit included significant net favorable changes in aerospace contract estimates of $4 million, primarily representing favorable contract adjustments recorded at UTC Aerospace Systems.</w:t>
      </w:r>
    </w:p>
    <w:p>
      <w:pPr>
        <w:spacing w:after="0" w:line="189"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As previously disclosed, Pratt &amp; Whitney's PurePower PW1500G engine models have been selected by Bombardier to power the new CSeries passenger aircraft, which entered into service on July 15, 2016. There have been multi-year delays in the development of the CSeries aircraft. Notwithstanding these delays, Bombardier reports that they have received over 300 orders for the aircraft and that both the CS100 and CS300 aircraft models have been certified and have entered into revenue service. We have made various investments in support of the production and delivery of our PW1500G engines and systems for the CSeries program, which we currently expect to recover through future deliveries of PW1500G powered CSeries aircraft. We will continue to monitor the progress of the program and our ability to recover our investments.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quarters ended June 30, 2017 and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Pratt &amp; Whitney</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2"/>
              </w:rPr>
              <w:t>UTC Aerospace Systems</w:t>
            </w:r>
          </w:p>
        </w:tc>
        <w:tc>
          <w:tcPr>
            <w:tcW w:w="1000" w:type="dxa"/>
            <w:vAlign w:val="bottom"/>
            <w:tcBorders>
              <w:bottom w:val="single" w:sz="8" w:color="auto"/>
            </w:tcBorders>
          </w:tcPr>
          <w:p>
            <w:pPr>
              <w:spacing w:after="0"/>
              <w:rPr>
                <w:sz w:val="16"/>
                <w:szCs w:val="16"/>
                <w:color w:val="auto"/>
              </w:rPr>
            </w:pPr>
          </w:p>
        </w:tc>
      </w:tr>
      <w:tr>
        <w:trPr>
          <w:trHeight w:val="229"/>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9"/>
                <w:szCs w:val="19"/>
                <w:color w:val="auto"/>
              </w:rPr>
            </w:pPr>
          </w:p>
        </w:tc>
        <w:tc>
          <w:tcPr>
            <w:tcW w:w="820" w:type="dxa"/>
            <w:vAlign w:val="bottom"/>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24"/>
                <w:szCs w:val="2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15.7%</w:t>
            </w:r>
          </w:p>
        </w:tc>
        <w:tc>
          <w:tcPr>
            <w:tcW w:w="1000" w:type="dxa"/>
            <w:vAlign w:val="bottom"/>
          </w:tcPr>
          <w:p>
            <w:pPr>
              <w:spacing w:after="0"/>
              <w:rPr>
                <w:sz w:val="24"/>
                <w:szCs w:val="24"/>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performance for each of the aerospace businesses for the six months ended June 30, 2017 and 2016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Pratt &amp; Whitney</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4"/>
              </w:rPr>
              <w:t>UTC Aerospace Systems</w:t>
            </w: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4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9"/>
                <w:szCs w:val="19"/>
                <w:color w:val="auto"/>
              </w:rPr>
            </w:pPr>
          </w:p>
        </w:tc>
        <w:tc>
          <w:tcPr>
            <w:tcW w:w="660" w:type="dxa"/>
            <w:vAlign w:val="bottom"/>
          </w:tcPr>
          <w:p>
            <w:pPr>
              <w:jc w:val="right"/>
              <w:ind w:right="274"/>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5,295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Operating Profit Margins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10.8%</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24"/>
                <w:szCs w:val="2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15.5%</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Pratt &amp; Whitney –</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13"/>
          </w:tcPr>
          <w:p>
            <w:pPr>
              <w:spacing w:after="0"/>
              <w:rPr>
                <w:sz w:val="20"/>
                <w:szCs w:val="20"/>
                <w:color w:val="auto"/>
              </w:rPr>
            </w:pPr>
            <w:r>
              <w:rPr>
                <w:rFonts w:ascii="Arial" w:cs="Arial" w:eastAsia="Arial" w:hAnsi="Arial"/>
                <w:sz w:val="18"/>
                <w:szCs w:val="18"/>
                <w:b w:val="1"/>
                <w:bCs w:val="1"/>
                <w:i w:val="1"/>
                <w:iCs w:val="1"/>
                <w:color w:val="auto"/>
              </w:rPr>
              <w:t>Quarter Ended June 30, 2017 Compared with Quarter Ended June 30, 2016</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right"/>
              <w:ind w:right="14"/>
              <w:spacing w:after="0"/>
              <w:rPr>
                <w:sz w:val="20"/>
                <w:szCs w:val="20"/>
                <w:color w:val="auto"/>
              </w:rPr>
            </w:pPr>
            <w:r>
              <w:rPr>
                <w:rFonts w:ascii="Arial" w:cs="Arial" w:eastAsia="Arial" w:hAnsi="Arial"/>
                <w:sz w:val="14"/>
                <w:szCs w:val="14"/>
                <w:b w:val="1"/>
                <w:bCs w:val="1"/>
                <w:color w:val="auto"/>
              </w:rPr>
              <w:t>Factors Contributing to Total % Change</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780" w:type="dxa"/>
            <w:vAlign w:val="bottom"/>
            <w:gridSpan w:val="6"/>
          </w:tcPr>
          <w:p>
            <w:pPr>
              <w:jc w:val="right"/>
              <w:ind w:right="700"/>
              <w:spacing w:after="0" w:line="153" w:lineRule="exact"/>
              <w:rPr>
                <w:sz w:val="20"/>
                <w:szCs w:val="20"/>
                <w:color w:val="auto"/>
              </w:rPr>
            </w:pPr>
            <w:r>
              <w:rPr>
                <w:rFonts w:ascii="Arial" w:cs="Arial" w:eastAsia="Arial" w:hAnsi="Arial"/>
                <w:sz w:val="14"/>
                <w:szCs w:val="14"/>
                <w:b w:val="1"/>
                <w:bCs w:val="1"/>
                <w:color w:val="auto"/>
              </w:rPr>
              <w:t>Organic /</w:t>
            </w:r>
          </w:p>
        </w:tc>
        <w:tc>
          <w:tcPr>
            <w:tcW w:w="180" w:type="dxa"/>
            <w:vAlign w:val="bottom"/>
          </w:tcPr>
          <w:p>
            <w:pPr>
              <w:spacing w:after="0"/>
              <w:rPr>
                <w:sz w:val="13"/>
                <w:szCs w:val="13"/>
                <w:color w:val="auto"/>
              </w:rPr>
            </w:pPr>
          </w:p>
        </w:tc>
        <w:tc>
          <w:tcPr>
            <w:tcW w:w="1300" w:type="dxa"/>
            <w:vAlign w:val="bottom"/>
            <w:gridSpan w:val="3"/>
          </w:tcPr>
          <w:p>
            <w:pPr>
              <w:jc w:val="right"/>
              <w:ind w:right="720"/>
              <w:spacing w:after="0" w:line="153" w:lineRule="exact"/>
              <w:rPr>
                <w:sz w:val="20"/>
                <w:szCs w:val="20"/>
                <w:color w:val="auto"/>
              </w:rPr>
            </w:pPr>
            <w:r>
              <w:rPr>
                <w:rFonts w:ascii="Arial" w:cs="Arial" w:eastAsia="Arial" w:hAnsi="Arial"/>
                <w:sz w:val="14"/>
                <w:szCs w:val="14"/>
                <w:b w:val="1"/>
                <w:bCs w:val="1"/>
                <w:color w:val="auto"/>
              </w:rPr>
              <w:t>FX</w:t>
            </w:r>
          </w:p>
        </w:tc>
        <w:tc>
          <w:tcPr>
            <w:tcW w:w="1480" w:type="dxa"/>
            <w:vAlign w:val="bottom"/>
            <w:gridSpan w:val="3"/>
          </w:tcPr>
          <w:p>
            <w:pPr>
              <w:jc w:val="right"/>
              <w:ind w:right="210"/>
              <w:spacing w:after="0" w:line="153" w:lineRule="exact"/>
              <w:rPr>
                <w:sz w:val="20"/>
                <w:szCs w:val="20"/>
                <w:color w:val="auto"/>
              </w:rPr>
            </w:pPr>
            <w:r>
              <w:rPr>
                <w:rFonts w:ascii="Arial" w:cs="Arial" w:eastAsia="Arial" w:hAnsi="Arial"/>
                <w:sz w:val="14"/>
                <w:szCs w:val="14"/>
                <w:b w:val="1"/>
                <w:bCs w:val="1"/>
                <w:color w:val="auto"/>
              </w:rPr>
              <w:t>Acquisitions /</w:t>
            </w:r>
          </w:p>
        </w:tc>
        <w:tc>
          <w:tcPr>
            <w:tcW w:w="2300" w:type="dxa"/>
            <w:vAlign w:val="bottom"/>
            <w:gridSpan w:val="7"/>
          </w:tcPr>
          <w:p>
            <w:pPr>
              <w:jc w:val="center"/>
              <w:ind w:right="480"/>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10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7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Operational</w:t>
            </w:r>
          </w:p>
        </w:tc>
        <w:tc>
          <w:tcPr>
            <w:tcW w:w="180" w:type="dxa"/>
            <w:vAlign w:val="bottom"/>
          </w:tcPr>
          <w:p>
            <w:pPr>
              <w:spacing w:after="0"/>
              <w:rPr>
                <w:sz w:val="16"/>
                <w:szCs w:val="16"/>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Translation*</w:t>
            </w:r>
          </w:p>
        </w:tc>
        <w:tc>
          <w:tcPr>
            <w:tcW w:w="14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Divestitures, net</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Costs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organic sales increase of 6% primarily reflects higher military sales (7%) and higher commercial aftermarket sales (5%), partially offset by the absence of prior year contract settlements (2%), unfavorable year-over-year sales of legacy hardware (1%) and lower commercial engines volume at Pratt &amp; Whitney Canada (1%).</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11% was primarily driven by:</w:t>
      </w:r>
    </w:p>
    <w:p>
      <w:pPr>
        <w:spacing w:after="0" w:line="23"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absence of a prior year favorable contract settlement (12%)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unfavorable year-over-year sales of legacy hardware (8%)</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research and development costs, and other ramp-related costs (8%)</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lower profit contribution from commercial engines (5%) reflecting lower volume at Pratt &amp; Whitney Canada and higher negative engine margin</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profit contribution from the higher military sales noted above (15%)</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profit contribution from commercial aftermarket sales (9%)</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10% decrease in "Other" primarily represents the absence of the favorable impact of a prior year program termination.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with Six Months Ended June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gridSpan w:val="3"/>
          </w:tcPr>
          <w:p>
            <w:pPr>
              <w:jc w:val="right"/>
              <w:ind w:right="1377"/>
              <w:spacing w:after="0"/>
              <w:rPr>
                <w:sz w:val="20"/>
                <w:szCs w:val="20"/>
                <w:color w:val="auto"/>
              </w:rPr>
            </w:pPr>
            <w:r>
              <w:rPr>
                <w:rFonts w:ascii="Arial" w:cs="Arial" w:eastAsia="Arial" w:hAnsi="Arial"/>
                <w:sz w:val="14"/>
                <w:szCs w:val="14"/>
                <w:b w:val="1"/>
                <w:bCs w:val="1"/>
                <w:color w:val="auto"/>
              </w:rPr>
              <w:t>Factors Contributing to Total % Change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Organic /</w:t>
            </w:r>
          </w:p>
        </w:tc>
        <w:tc>
          <w:tcPr>
            <w:tcW w:w="1660" w:type="dxa"/>
            <w:vAlign w:val="bottom"/>
          </w:tcPr>
          <w:p>
            <w:pPr>
              <w:jc w:val="right"/>
              <w:ind w:right="719"/>
              <w:spacing w:after="0" w:line="153" w:lineRule="exact"/>
              <w:rPr>
                <w:sz w:val="20"/>
                <w:szCs w:val="20"/>
                <w:color w:val="auto"/>
              </w:rPr>
            </w:pPr>
            <w:r>
              <w:rPr>
                <w:rFonts w:ascii="Arial" w:cs="Arial" w:eastAsia="Arial" w:hAnsi="Arial"/>
                <w:sz w:val="14"/>
                <w:szCs w:val="14"/>
                <w:b w:val="1"/>
                <w:bCs w:val="1"/>
                <w:color w:val="auto"/>
              </w:rPr>
              <w:t>FX</w:t>
            </w:r>
          </w:p>
        </w:tc>
        <w:tc>
          <w:tcPr>
            <w:tcW w:w="162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800" w:type="dxa"/>
            <w:vAlign w:val="bottom"/>
          </w:tcPr>
          <w:p>
            <w:pPr>
              <w:jc w:val="right"/>
              <w:ind w:right="597"/>
              <w:spacing w:after="0" w:line="153" w:lineRule="exact"/>
              <w:rPr>
                <w:sz w:val="20"/>
                <w:szCs w:val="20"/>
                <w:color w:val="auto"/>
              </w:rPr>
            </w:pPr>
            <w:r>
              <w:rPr>
                <w:rFonts w:ascii="Arial" w:cs="Arial" w:eastAsia="Arial" w:hAnsi="Arial"/>
                <w:sz w:val="14"/>
                <w:szCs w:val="14"/>
                <w:b w:val="1"/>
                <w:bCs w:val="1"/>
                <w:color w:val="auto"/>
              </w:rPr>
              <w:t>Restructuring</w:t>
            </w:r>
          </w:p>
        </w:tc>
        <w:tc>
          <w:tcPr>
            <w:tcW w:w="13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Operational</w:t>
            </w:r>
          </w:p>
        </w:tc>
        <w:tc>
          <w:tcPr>
            <w:tcW w:w="1660" w:type="dxa"/>
            <w:vAlign w:val="bottom"/>
          </w:tcPr>
          <w:p>
            <w:pPr>
              <w:jc w:val="right"/>
              <w:ind w:right="439"/>
              <w:spacing w:after="0"/>
              <w:rPr>
                <w:sz w:val="20"/>
                <w:szCs w:val="20"/>
                <w:color w:val="auto"/>
              </w:rPr>
            </w:pPr>
            <w:r>
              <w:rPr>
                <w:rFonts w:ascii="Arial" w:cs="Arial" w:eastAsia="Arial" w:hAnsi="Arial"/>
                <w:sz w:val="14"/>
                <w:szCs w:val="14"/>
                <w:b w:val="1"/>
                <w:bCs w:val="1"/>
                <w:color w:val="auto"/>
              </w:rPr>
              <w:t>Translation*</w:t>
            </w:r>
          </w:p>
        </w:tc>
        <w:tc>
          <w:tcPr>
            <w:tcW w:w="162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Divestitures, net</w:t>
            </w:r>
          </w:p>
        </w:tc>
        <w:tc>
          <w:tcPr>
            <w:tcW w:w="1800" w:type="dxa"/>
            <w:vAlign w:val="bottom"/>
          </w:tcPr>
          <w:p>
            <w:pPr>
              <w:jc w:val="right"/>
              <w:ind w:right="857"/>
              <w:spacing w:after="0"/>
              <w:rPr>
                <w:sz w:val="20"/>
                <w:szCs w:val="20"/>
                <w:color w:val="auto"/>
              </w:rPr>
            </w:pPr>
            <w:r>
              <w:rPr>
                <w:rFonts w:ascii="Arial" w:cs="Arial" w:eastAsia="Arial" w:hAnsi="Arial"/>
                <w:sz w:val="14"/>
                <w:szCs w:val="14"/>
                <w:b w:val="1"/>
                <w:bCs w:val="1"/>
                <w:color w:val="auto"/>
              </w:rPr>
              <w:t>Costs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w:t>
            </w:r>
          </w:p>
        </w:tc>
        <w:tc>
          <w:tcPr>
            <w:tcW w:w="1620" w:type="dxa"/>
            <w:vAlign w:val="bottom"/>
            <w:tcBorders>
              <w:top w:val="single" w:sz="8" w:color="auto"/>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CCEEFF"/>
            </w:tcBorders>
            <w:shd w:val="clear" w:color="auto" w:fill="CCEEFF"/>
          </w:tcPr>
          <w:p>
            <w:pPr>
              <w:jc w:val="right"/>
              <w:ind w:right="497"/>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66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620" w:type="dxa"/>
            <w:vAlign w:val="bottom"/>
          </w:tcPr>
          <w:p>
            <w:pPr>
              <w:ind w:left="120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77"/>
              <w:spacing w:after="0"/>
              <w:rPr>
                <w:sz w:val="20"/>
                <w:szCs w:val="20"/>
                <w:color w:val="auto"/>
              </w:rPr>
            </w:pPr>
            <w:r>
              <w:rPr>
                <w:rFonts w:ascii="Arial" w:cs="Arial" w:eastAsia="Arial" w:hAnsi="Arial"/>
                <w:sz w:val="18"/>
                <w:szCs w:val="18"/>
                <w:color w:val="auto"/>
              </w:rPr>
              <w:t>(1)%</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w:t>
            </w:r>
          </w:p>
        </w:tc>
        <w:tc>
          <w:tcPr>
            <w:tcW w:w="16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8 %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73" w:lineRule="auto"/>
        <w:tabs>
          <w:tab w:leader="none" w:pos="1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6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organic sales increase of 5% primarily reflects higher commercial aftermarket sales (5%) and higher military sales (4%), partially offset by the absence of prior year contract settlements (2%), unfavorable year-over-year sales of legacy hardware (1%) and lower commercial engines volume at Pratt &amp; Whitney Canada (1%).</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13% was primarily driven by:</w:t>
      </w:r>
    </w:p>
    <w:p>
      <w:pPr>
        <w:spacing w:after="0" w:line="23" w:lineRule="exact"/>
        <w:rPr>
          <w:sz w:val="20"/>
          <w:szCs w:val="20"/>
          <w:color w:val="auto"/>
        </w:rPr>
      </w:pPr>
    </w:p>
    <w:p>
      <w:pPr>
        <w:ind w:left="900" w:hanging="244"/>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lower profit contribution from commercial engines (11%) reflecting lower volume at Pratt &amp; Whitney Canada and higher negative engine margin</w:t>
      </w:r>
    </w:p>
    <w:p>
      <w:pPr>
        <w:spacing w:after="0" w:line="32" w:lineRule="exact"/>
        <w:rPr>
          <w:rFonts w:ascii="Arial" w:cs="Arial" w:eastAsia="Arial" w:hAnsi="Arial"/>
          <w:sz w:val="16"/>
          <w:szCs w:val="16"/>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unfavorable year-over-year contract settlements (10%)</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unfavorable year-over-year sales of legacy hardware (5%)</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research and development costs, and other ramp-related costs (5%)</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profit contribution from commercial aftermarket sales (14%)</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profit contribution from the higher military sales noted above (6%)</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5% decrease in "Other" primarily represents the absence of the favorable impact of a prior year program termination.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UTC Aerospace Systems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June 30, 2017 Compared with Quarter Ended June 30,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3"/>
          </w:tcPr>
          <w:p>
            <w:pPr>
              <w:jc w:val="center"/>
              <w:ind w:right="1357"/>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6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5"/>
              </w:rPr>
              <w:t>Organic /</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308"/>
              <w:spacing w:after="0" w:line="153" w:lineRule="exact"/>
              <w:rPr>
                <w:sz w:val="20"/>
                <w:szCs w:val="20"/>
                <w:color w:val="auto"/>
              </w:rPr>
            </w:pPr>
            <w:r>
              <w:rPr>
                <w:rFonts w:ascii="Arial" w:cs="Arial" w:eastAsia="Arial" w:hAnsi="Arial"/>
                <w:sz w:val="14"/>
                <w:szCs w:val="14"/>
                <w:b w:val="1"/>
                <w:bCs w:val="1"/>
                <w:color w:val="auto"/>
              </w:rPr>
              <w:t>FX</w:t>
            </w:r>
          </w:p>
        </w:tc>
        <w:tc>
          <w:tcPr>
            <w:tcW w:w="580" w:type="dxa"/>
            <w:vAlign w:val="bottom"/>
          </w:tcPr>
          <w:p>
            <w:pPr>
              <w:spacing w:after="0"/>
              <w:rPr>
                <w:sz w:val="13"/>
                <w:szCs w:val="13"/>
                <w:color w:val="auto"/>
              </w:rPr>
            </w:pPr>
          </w:p>
        </w:tc>
        <w:tc>
          <w:tcPr>
            <w:tcW w:w="1720" w:type="dxa"/>
            <w:vAlign w:val="bottom"/>
          </w:tcPr>
          <w:p>
            <w:pPr>
              <w:jc w:val="center"/>
              <w:ind w:right="217"/>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760" w:type="dxa"/>
            <w:vAlign w:val="bottom"/>
          </w:tcPr>
          <w:p>
            <w:pPr>
              <w:jc w:val="right"/>
              <w:ind w:right="577"/>
              <w:spacing w:after="0" w:line="153" w:lineRule="exact"/>
              <w:rPr>
                <w:sz w:val="20"/>
                <w:szCs w:val="20"/>
                <w:color w:val="auto"/>
              </w:rPr>
            </w:pPr>
            <w:r>
              <w:rPr>
                <w:rFonts w:ascii="Arial" w:cs="Arial" w:eastAsia="Arial" w:hAnsi="Arial"/>
                <w:sz w:val="14"/>
                <w:szCs w:val="14"/>
                <w:b w:val="1"/>
                <w:bCs w:val="1"/>
                <w:color w:val="auto"/>
              </w:rPr>
              <w:t>Restructuring</w:t>
            </w:r>
          </w:p>
        </w:tc>
        <w:tc>
          <w:tcPr>
            <w:tcW w:w="12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Operational</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5"/>
              </w:rPr>
              <w:t>Translation</w:t>
            </w: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Divestitures, net</w:t>
            </w:r>
          </w:p>
        </w:tc>
        <w:tc>
          <w:tcPr>
            <w:tcW w:w="176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Costs</w:t>
            </w: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(1)%</w:t>
            </w:r>
          </w:p>
        </w:tc>
        <w:tc>
          <w:tcPr>
            <w:tcW w:w="176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jc w:val="right"/>
              <w:ind w:right="294"/>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77"/>
              <w:spacing w:after="0"/>
              <w:rPr>
                <w:sz w:val="20"/>
                <w:szCs w:val="20"/>
                <w:color w:val="auto"/>
              </w:rPr>
            </w:pPr>
            <w:r>
              <w:rPr>
                <w:rFonts w:ascii="Arial" w:cs="Arial" w:eastAsia="Arial" w:hAnsi="Arial"/>
                <w:sz w:val="18"/>
                <w:szCs w:val="18"/>
                <w:color w:val="auto"/>
              </w:rPr>
              <w:t>(1)%</w:t>
            </w:r>
          </w:p>
        </w:tc>
        <w:tc>
          <w:tcPr>
            <w:tcW w:w="1760" w:type="dxa"/>
            <w:vAlign w:val="bottom"/>
          </w:tcPr>
          <w:p>
            <w:pPr>
              <w:jc w:val="right"/>
              <w:ind w:right="47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172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organic sales decrease (1%) primarily reflects lower commercial aerospace OEM sales volume (4%) driven by Boeing 777 landing gear re-sourcing and legacy program rate reductions, partially offset by an increase in commercial aftermarket and military aftermarket volumes (combined, 3%).</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3% operational profit decrease primarily reflects:</w:t>
      </w:r>
    </w:p>
    <w:p>
      <w:pPr>
        <w:spacing w:after="0" w:line="23" w:lineRule="exact"/>
        <w:rPr>
          <w:sz w:val="20"/>
          <w:szCs w:val="20"/>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commercial aerospace OEM profit contribution (14%), driven by adverse mix</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the favorable prior year impact from licensing agreements (3%)</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commercial and military aftermarket contribution (13%), driven by the volume increases noted above</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pension expense (2%)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Compared with Six Months Ended June 30,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4"/>
          </w:tcPr>
          <w:p>
            <w:pPr>
              <w:jc w:val="center"/>
              <w:ind w:right="1337"/>
              <w:spacing w:after="0"/>
              <w:rPr>
                <w:sz w:val="20"/>
                <w:szCs w:val="20"/>
                <w:color w:val="auto"/>
              </w:rPr>
            </w:pPr>
            <w:r>
              <w:rPr>
                <w:rFonts w:ascii="Arial" w:cs="Arial" w:eastAsia="Arial" w:hAnsi="Arial"/>
                <w:sz w:val="14"/>
                <w:szCs w:val="14"/>
                <w:b w:val="1"/>
                <w:bCs w:val="1"/>
                <w:color w:val="auto"/>
                <w:w w:val="94"/>
              </w:rPr>
              <w:t>Factors Contributing to Total % Change</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180" w:type="dxa"/>
            <w:vAlign w:val="bottom"/>
          </w:tcPr>
          <w:p>
            <w:pPr>
              <w:jc w:val="center"/>
              <w:ind w:left="248"/>
              <w:spacing w:after="0" w:line="153" w:lineRule="exact"/>
              <w:rPr>
                <w:sz w:val="20"/>
                <w:szCs w:val="20"/>
                <w:color w:val="auto"/>
              </w:rPr>
            </w:pPr>
            <w:r>
              <w:rPr>
                <w:rFonts w:ascii="Arial" w:cs="Arial" w:eastAsia="Arial" w:hAnsi="Arial"/>
                <w:sz w:val="14"/>
                <w:szCs w:val="14"/>
                <w:b w:val="1"/>
                <w:bCs w:val="1"/>
                <w:color w:val="auto"/>
                <w:w w:val="95"/>
              </w:rPr>
              <w:t>Organic /</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rPr>
              <w:t>FX</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1760" w:type="dxa"/>
            <w:vAlign w:val="bottom"/>
          </w:tcPr>
          <w:p>
            <w:pPr>
              <w:jc w:val="right"/>
              <w:ind w:right="577"/>
              <w:spacing w:after="0" w:line="153" w:lineRule="exact"/>
              <w:rPr>
                <w:sz w:val="20"/>
                <w:szCs w:val="20"/>
                <w:color w:val="auto"/>
              </w:rPr>
            </w:pPr>
            <w:r>
              <w:rPr>
                <w:rFonts w:ascii="Arial" w:cs="Arial" w:eastAsia="Arial" w:hAnsi="Arial"/>
                <w:sz w:val="14"/>
                <w:szCs w:val="14"/>
                <w:b w:val="1"/>
                <w:bCs w:val="1"/>
                <w:color w:val="auto"/>
              </w:rPr>
              <w:t>Restructuring</w:t>
            </w:r>
          </w:p>
        </w:tc>
        <w:tc>
          <w:tcPr>
            <w:tcW w:w="12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7"/>
              </w:rPr>
              <w:t>Operational</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Divestitures, net</w:t>
            </w:r>
          </w:p>
        </w:tc>
        <w:tc>
          <w:tcPr>
            <w:tcW w:w="1760" w:type="dxa"/>
            <w:vAlign w:val="bottom"/>
            <w:tcBorders>
              <w:bottom w:val="single" w:sz="8" w:color="auto"/>
            </w:tcBorders>
          </w:tcPr>
          <w:p>
            <w:pPr>
              <w:jc w:val="right"/>
              <w:ind w:right="837"/>
              <w:spacing w:after="0"/>
              <w:rPr>
                <w:sz w:val="20"/>
                <w:szCs w:val="20"/>
                <w:color w:val="auto"/>
              </w:rPr>
            </w:pPr>
            <w:r>
              <w:rPr>
                <w:rFonts w:ascii="Arial" w:cs="Arial" w:eastAsia="Arial" w:hAnsi="Arial"/>
                <w:sz w:val="14"/>
                <w:szCs w:val="14"/>
                <w:b w:val="1"/>
                <w:bCs w:val="1"/>
                <w:color w:val="auto"/>
              </w:rPr>
              <w:t>Costs</w:t>
            </w: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(1)%</w:t>
            </w:r>
          </w:p>
        </w:tc>
        <w:tc>
          <w:tcPr>
            <w:tcW w:w="1760" w:type="dxa"/>
            <w:vAlign w:val="bottom"/>
            <w:tcBorders>
              <w:bottom w:val="single" w:sz="8" w:color="CCEEFF"/>
            </w:tcBorders>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1"/>
                <w:szCs w:val="21"/>
                <w:color w:val="auto"/>
              </w:rPr>
            </w:pPr>
          </w:p>
        </w:tc>
        <w:tc>
          <w:tcPr>
            <w:tcW w:w="1800" w:type="dxa"/>
            <w:vAlign w:val="bottom"/>
          </w:tcPr>
          <w:p>
            <w:pPr>
              <w:jc w:val="right"/>
              <w:ind w:right="177"/>
              <w:spacing w:after="0"/>
              <w:rPr>
                <w:sz w:val="20"/>
                <w:szCs w:val="20"/>
                <w:color w:val="auto"/>
              </w:rPr>
            </w:pPr>
            <w:r>
              <w:rPr>
                <w:rFonts w:ascii="Arial" w:cs="Arial" w:eastAsia="Arial" w:hAnsi="Arial"/>
                <w:sz w:val="18"/>
                <w:szCs w:val="18"/>
                <w:color w:val="auto"/>
              </w:rPr>
              <w:t>(1)%</w:t>
            </w:r>
          </w:p>
        </w:tc>
        <w:tc>
          <w:tcPr>
            <w:tcW w:w="1760" w:type="dxa"/>
            <w:vAlign w:val="bottom"/>
          </w:tcPr>
          <w:p>
            <w:pPr>
              <w:jc w:val="right"/>
              <w:ind w:right="477"/>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organic sales growth of 2% primarily reflects an increase in commercial aerospace aftermarket sales (3%) partially offset by lower commercial aerospace OEM sales volume (1%).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organic operating profit of 2% primarily reflects:</w:t>
      </w:r>
    </w:p>
    <w:p>
      <w:pPr>
        <w:spacing w:after="0" w:line="23" w:lineRule="exact"/>
        <w:rPr>
          <w:sz w:val="20"/>
          <w:szCs w:val="20"/>
          <w:color w:val="auto"/>
        </w:rPr>
      </w:pPr>
    </w:p>
    <w:p>
      <w:pPr>
        <w:ind w:left="900" w:right="600" w:hanging="244"/>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commercial aerospace profit contribution (5%), driven by the commercial aftermarket sales growth noted above, partially offset by adverse commercial aerospace OEM mix</w:t>
      </w: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pension expense (2%)</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of the favorable prior year impact from licensing agreements (2%)</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 –</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4"/>
              </w:rPr>
              <w:t>Operating Profits</w:t>
            </w:r>
          </w:p>
        </w:tc>
        <w:tc>
          <w:tcPr>
            <w:tcW w:w="52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4"/>
              </w:rPr>
              <w:t>Quarter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482"/>
              <w:spacing w:after="0"/>
              <w:rPr>
                <w:sz w:val="20"/>
                <w:szCs w:val="20"/>
                <w:color w:val="auto"/>
              </w:rPr>
            </w:pPr>
            <w:r>
              <w:rPr>
                <w:rFonts w:ascii="Arial" w:cs="Arial" w:eastAsia="Arial" w:hAnsi="Arial"/>
                <w:sz w:val="14"/>
                <w:szCs w:val="14"/>
                <w:b w:val="1"/>
                <w:bCs w:val="1"/>
                <w:color w:val="auto"/>
                <w:w w:val="95"/>
              </w:rPr>
              <w:t>Quarter Ended June 30,</w:t>
            </w:r>
          </w:p>
        </w:tc>
        <w:tc>
          <w:tcPr>
            <w:tcW w:w="520" w:type="dxa"/>
            <w:vAlign w:val="bottom"/>
            <w:tcBorders>
              <w:bottom w:val="single" w:sz="8" w:color="auto"/>
            </w:tcBorders>
          </w:tcPr>
          <w:p>
            <w:pPr>
              <w:spacing w:after="0"/>
              <w:rPr>
                <w:sz w:val="21"/>
                <w:szCs w:val="2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2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19"/>
              <w:spacing w:after="0"/>
              <w:rPr>
                <w:sz w:val="20"/>
                <w:szCs w:val="20"/>
                <w:color w:val="auto"/>
              </w:rPr>
            </w:pPr>
            <w:r>
              <w:rPr>
                <w:rFonts w:ascii="Arial" w:cs="Arial" w:eastAsia="Arial" w:hAnsi="Arial"/>
                <w:sz w:val="14"/>
                <w:szCs w:val="14"/>
                <w:b w:val="1"/>
                <w:bCs w:val="1"/>
                <w:color w:val="auto"/>
                <w:w w:val="94"/>
              </w:rPr>
              <w:t>Operating Profits</w:t>
            </w:r>
          </w:p>
        </w:tc>
        <w:tc>
          <w:tcPr>
            <w:tcW w:w="520" w:type="dxa"/>
            <w:vAlign w:val="bottom"/>
            <w:tcBorders>
              <w:bottom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58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2"/>
              </w:rPr>
              <w:t>Six Months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tcBorders>
              <w:bottom w:val="single" w:sz="8" w:color="auto"/>
            </w:tcBorders>
            <w:gridSpan w:val="4"/>
          </w:tcPr>
          <w:p>
            <w:pPr>
              <w:jc w:val="center"/>
              <w:ind w:left="462"/>
              <w:spacing w:after="0"/>
              <w:rPr>
                <w:sz w:val="20"/>
                <w:szCs w:val="20"/>
                <w:color w:val="auto"/>
              </w:rPr>
            </w:pPr>
            <w:r>
              <w:rPr>
                <w:rFonts w:ascii="Arial" w:cs="Arial" w:eastAsia="Arial" w:hAnsi="Arial"/>
                <w:sz w:val="14"/>
                <w:szCs w:val="14"/>
                <w:b w:val="1"/>
                <w:bCs w:val="1"/>
                <w:color w:val="auto"/>
                <w:w w:val="92"/>
              </w:rPr>
              <w:t>Six Months Ended June 30,</w:t>
            </w:r>
          </w:p>
        </w:tc>
        <w:tc>
          <w:tcPr>
            <w:tcW w:w="520" w:type="dxa"/>
            <w:vAlign w:val="bottom"/>
            <w:tcBorders>
              <w:bottom w:val="single" w:sz="8" w:color="auto"/>
            </w:tcBorders>
          </w:tcPr>
          <w:p>
            <w:pPr>
              <w:spacing w:after="0"/>
              <w:rPr>
                <w:sz w:val="21"/>
                <w:szCs w:val="2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98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w:t>
            </w:r>
          </w:p>
        </w:tc>
      </w:tr>
    </w:tbl>
    <w:p>
      <w:pPr>
        <w:spacing w:after="0" w:line="121"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Eliminations and other reflects the elimination of sales, other income and operating profit transacted between segments, as well as the operating results of certain smaller businesses. The year-over-year decrease in sales and operating profits for the quarter and six months ended June 30, 2017, as compared to the same periods of 2016, reflects an increase in the amount of inter-segment eliminations, principally between our aerospace businesses, and the unfavorable impact of a reallocation of pension benefit to the business segments. The year-over-year increase in general corporate expenses for the quarter and six months ended June 30, 2017, as compared to the same periods of 2016, primarily reflects an increase in employee compensation related expenses.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4"/>
                <w:szCs w:val="14"/>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2017</w:t>
            </w: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280" w:type="dxa"/>
            <w:vAlign w:val="bottom"/>
          </w:tcPr>
          <w:p>
            <w:pPr>
              <w:jc w:val="right"/>
              <w:ind w:right="474"/>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4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574"/>
              <w:spacing w:after="0" w:line="158"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Pr>
          <w:p>
            <w:pPr>
              <w:jc w:val="right"/>
              <w:ind w:right="574"/>
              <w:spacing w:after="0" w:line="158"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26,626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23,901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22,537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30,155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29,169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30,648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(debt plus equity)</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capitalization (debt plus equity less cash and cash equivalents)</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47,436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45,913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46,400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 to total capitalization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24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560" w:firstLine="567"/>
        <w:spacing w:after="0" w:line="27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of continuing operations, which, after netting out capital expenditures,</w:t>
      </w:r>
    </w:p>
    <w:p>
      <w:pPr>
        <w:sectPr>
          <w:pgSz w:w="11900" w:h="16838" w:orient="portrait"/>
          <w:cols w:equalWidth="0" w:num="1">
            <w:col w:w="11420"/>
          </w:cols>
          <w:pgMar w:left="240" w:top="12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generally target to approximate net income from continuing operations attributable to common shareowners. For 2017, we expect this to approximate 90% to 100% of net income from continuing operations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188" w:lineRule="exact"/>
        <w:rPr>
          <w:sz w:val="20"/>
          <w:szCs w:val="20"/>
          <w:color w:val="auto"/>
        </w:rPr>
      </w:pPr>
    </w:p>
    <w:p>
      <w:pPr>
        <w:ind w:right="160" w:firstLine="567"/>
        <w:spacing w:after="0" w:line="255" w:lineRule="auto"/>
        <w:rPr>
          <w:sz w:val="20"/>
          <w:szCs w:val="20"/>
          <w:color w:val="auto"/>
        </w:rPr>
      </w:pPr>
      <w:r>
        <w:rPr>
          <w:rFonts w:ascii="Arial" w:cs="Arial" w:eastAsia="Arial" w:hAnsi="Arial"/>
          <w:sz w:val="18"/>
          <w:szCs w:val="18"/>
          <w:color w:val="auto"/>
        </w:rPr>
        <w:t>Our domestic pension funds experienced a positive return on assets of 8.1% during the first six months of 2017. Approximately 89% of these domestic pension plans' funds are invested in readily-liquid investments, including equity, fixed income, asset-backed receivables and structured products. The balance of these domestic pension plans' funds (11%) is invested in less-liquid but market-valued investments, including real estate and private equity. Across our global pension plans, the impact of the continued recognition of prior pension investment gains, 2016 actual returns on plan assets and lower discount rates for interest costs, offset by the lower discount rates for pension obligations, will result in a net periodic pension benefit in 2017 that is slightly favorable to 2016 amounts.</w:t>
      </w:r>
    </w:p>
    <w:p>
      <w:pPr>
        <w:spacing w:after="0" w:line="193" w:lineRule="exact"/>
        <w:rPr>
          <w:sz w:val="20"/>
          <w:szCs w:val="20"/>
          <w:color w:val="auto"/>
        </w:rPr>
      </w:pPr>
    </w:p>
    <w:p>
      <w:pPr>
        <w:ind w:right="60" w:firstLine="567"/>
        <w:spacing w:after="0" w:line="293" w:lineRule="auto"/>
        <w:rPr>
          <w:sz w:val="20"/>
          <w:szCs w:val="20"/>
          <w:color w:val="auto"/>
        </w:rPr>
      </w:pPr>
      <w:r>
        <w:rPr>
          <w:rFonts w:ascii="Arial" w:cs="Arial" w:eastAsia="Arial" w:hAnsi="Arial"/>
          <w:sz w:val="16"/>
          <w:szCs w:val="16"/>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Our debt-to-total-capitalization increased to 47% at June 30, 2017, primarily reflecting additional borrowings in 2017 to fund share repurchases and other general corporate purposes.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165" w:lineRule="exact"/>
        <w:rPr>
          <w:sz w:val="20"/>
          <w:szCs w:val="20"/>
          <w:color w:val="auto"/>
        </w:rPr>
      </w:pPr>
    </w:p>
    <w:p>
      <w:pPr>
        <w:jc w:val="both"/>
        <w:ind w:right="160" w:firstLine="567"/>
        <w:spacing w:after="0" w:line="302" w:lineRule="auto"/>
        <w:rPr>
          <w:sz w:val="20"/>
          <w:szCs w:val="20"/>
          <w:color w:val="auto"/>
        </w:rPr>
      </w:pPr>
      <w:r>
        <w:rPr>
          <w:rFonts w:ascii="Arial" w:cs="Arial" w:eastAsia="Arial" w:hAnsi="Arial"/>
          <w:sz w:val="16"/>
          <w:szCs w:val="16"/>
          <w:color w:val="auto"/>
        </w:rPr>
        <w:t>At June 30, 2017, we had revolving credit agreements with various banks permitting aggregate borrowings of up to $4.35 billion pursuant to a $2.20 billion revolving credit agreement and a $2.15 billion multicurrency revolving credit agreement, both of which expire in August 2021. As of June 30, 2017, there were no borrowings under these revolving credit agreements. The undrawn portions of these revolving credit agreements are also available to serve as backup facilities for the issuance of commercial paper. As of June 30, 2017, our maximum commercial paper borrowing limit was $4.35 billion.</w:t>
      </w:r>
    </w:p>
    <w:p>
      <w:pPr>
        <w:spacing w:after="0" w:line="46"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On May 4, 2017, we issued $1.0 billion aggregate principal amount of 1.900% notes due 2020, $500 million aggregate principal amount of 2.300% notes due 2022, $800 million aggregate principal amount of 2.800% notes due 2024, $1.1 billion aggregate principal amount of 3.125% notes due 2027 and $600 million aggregate principal amount of 4.050% notes due 2047. The net proceeds received from these debt issuances were used to fund: the repayment at maturity of our 1.800% notes due 2017, representing $1.5 billion in aggregate principal; the repayment of commercial paper; and other general corporate purposes.</w:t>
      </w:r>
    </w:p>
    <w:p>
      <w:pPr>
        <w:spacing w:after="0" w:line="80" w:lineRule="exact"/>
        <w:rPr>
          <w:sz w:val="20"/>
          <w:szCs w:val="20"/>
          <w:color w:val="auto"/>
        </w:rPr>
      </w:pPr>
    </w:p>
    <w:p>
      <w:pPr>
        <w:ind w:right="200" w:firstLine="567"/>
        <w:spacing w:after="0" w:line="264" w:lineRule="auto"/>
        <w:rPr>
          <w:sz w:val="20"/>
          <w:szCs w:val="20"/>
          <w:color w:val="auto"/>
        </w:rPr>
      </w:pPr>
      <w:r>
        <w:rPr>
          <w:rFonts w:ascii="Arial" w:cs="Arial" w:eastAsia="Arial" w:hAnsi="Arial"/>
          <w:sz w:val="18"/>
          <w:szCs w:val="18"/>
          <w:color w:val="auto"/>
        </w:rPr>
        <w:t>On February 22, 2016, we issued €950 million aggregate principal amount of 1.125% notes due 2021, €500 million aggregate principal amount of 1.875% notes due 2026 and €750 million aggregate principal amount of floating rate notes due 2018. The net proceeds from these debt issuances were used for general corporate purposes.</w:t>
      </w:r>
    </w:p>
    <w:p>
      <w:pPr>
        <w:spacing w:after="0" w:line="181" w:lineRule="exact"/>
        <w:rPr>
          <w:sz w:val="20"/>
          <w:szCs w:val="20"/>
          <w:color w:val="auto"/>
        </w:rPr>
      </w:pPr>
    </w:p>
    <w:p>
      <w:pPr>
        <w:ind w:right="60" w:firstLine="567"/>
        <w:spacing w:after="0" w:line="272" w:lineRule="auto"/>
        <w:rPr>
          <w:sz w:val="20"/>
          <w:szCs w:val="20"/>
          <w:color w:val="auto"/>
        </w:rPr>
      </w:pPr>
      <w:r>
        <w:rPr>
          <w:rFonts w:ascii="Arial" w:cs="Arial" w:eastAsia="Arial" w:hAnsi="Arial"/>
          <w:sz w:val="17"/>
          <w:szCs w:val="17"/>
          <w:color w:val="auto"/>
        </w:rPr>
        <w:t>On November 6, 2015, we completed the sale of Sikorsky to Lockheed Martin Corp. for approximately $9.1 billion in cash. In connection with the sale of Sikorsky, we made tax payments of approximately $2.5 billion in 2016, primarily during the six months ended June 30, 2016. On November 11, 2015, we entered into ASR agreements to repurchase an aggregate of $6 billion of our common stock utilizing the net after-tax proceeds from the sale of Sikorsky. Under the terms of the ASR agreements, we made the aggregate payments and received an initial delivery of approximately 51.9 million shares of our common stock, representing approximately 85% of the shares expected to be repurchased. The shares associated with the remaining portion of the aggregate purchase were settled upon final delivery to us of approximately 2.1 million additional shares of common stock in the quarter ended March 31, 2016 and approximately 8.0 million additional shares of common stock in the quarter ended September 30, 2016.</w:t>
      </w:r>
    </w:p>
    <w:p>
      <w:pPr>
        <w:spacing w:after="0" w:line="178" w:lineRule="exact"/>
        <w:rPr>
          <w:sz w:val="20"/>
          <w:szCs w:val="20"/>
          <w:color w:val="auto"/>
        </w:rPr>
      </w:pPr>
    </w:p>
    <w:p>
      <w:pPr>
        <w:ind w:right="80" w:firstLine="567"/>
        <w:spacing w:after="0" w:line="273" w:lineRule="auto"/>
        <w:rPr>
          <w:sz w:val="20"/>
          <w:szCs w:val="20"/>
          <w:color w:val="auto"/>
        </w:rPr>
      </w:pPr>
      <w:r>
        <w:rPr>
          <w:rFonts w:ascii="Arial" w:cs="Arial" w:eastAsia="Arial" w:hAnsi="Arial"/>
          <w:sz w:val="17"/>
          <w:szCs w:val="17"/>
          <w:color w:val="auto"/>
        </w:rPr>
        <w:t>At June 30, 2017, approximately 79% of our cash was held by UTC's foreign subsidiaries due to our extensive international operations.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78" w:lineRule="exact"/>
        <w:rPr>
          <w:sz w:val="20"/>
          <w:szCs w:val="20"/>
          <w:color w:val="auto"/>
        </w:rPr>
      </w:pPr>
    </w:p>
    <w:p>
      <w:pPr>
        <w:ind w:right="600" w:firstLine="567"/>
        <w:spacing w:after="0" w:line="277" w:lineRule="auto"/>
        <w:rPr>
          <w:sz w:val="20"/>
          <w:szCs w:val="20"/>
          <w:color w:val="auto"/>
        </w:rPr>
      </w:pPr>
      <w:r>
        <w:rPr>
          <w:rFonts w:ascii="Arial" w:cs="Arial" w:eastAsia="Arial" w:hAnsi="Arial"/>
          <w:sz w:val="18"/>
          <w:szCs w:val="18"/>
          <w:color w:val="auto"/>
        </w:rPr>
        <w:t>We continue to be involved in litigation with the German Tax Office in the German Tax Court with respect to certain tax benefits that we have claimed related to a 1998 reorganization of the corporate structure of Otis operations in Germany. We do</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 expect to make significant additional tax or interest payments pending final resolution of this matter. See Note 15 to the Condensed Consolidated Financial Statements for a further discussion of this German tax litigation.</w:t>
      </w:r>
    </w:p>
    <w:p>
      <w:pPr>
        <w:spacing w:after="0" w:line="170" w:lineRule="exact"/>
        <w:rPr>
          <w:sz w:val="20"/>
          <w:szCs w:val="20"/>
          <w:color w:val="auto"/>
        </w:rPr>
      </w:pPr>
    </w:p>
    <w:p>
      <w:pPr>
        <w:ind w:firstLine="567"/>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June 30, 2017 and December 31, 2016, the amount of such restricted cash was approximately $36 million and $32 million, respectively.</w:t>
      </w:r>
    </w:p>
    <w:p>
      <w:pPr>
        <w:spacing w:after="0" w:line="181" w:lineRule="exact"/>
        <w:rPr>
          <w:sz w:val="20"/>
          <w:szCs w:val="20"/>
          <w:color w:val="auto"/>
        </w:rPr>
      </w:pPr>
    </w:p>
    <w:p>
      <w:pPr>
        <w:ind w:right="260" w:firstLine="567"/>
        <w:spacing w:after="0" w:line="342" w:lineRule="auto"/>
        <w:rPr>
          <w:sz w:val="20"/>
          <w:szCs w:val="20"/>
          <w:color w:val="auto"/>
        </w:rPr>
      </w:pPr>
      <w:r>
        <w:rPr>
          <w:rFonts w:ascii="Arial" w:cs="Arial" w:eastAsia="Arial" w:hAnsi="Arial"/>
          <w:sz w:val="16"/>
          <w:szCs w:val="16"/>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3,139</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2,606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567"/>
        <w:spacing w:after="0" w:line="288" w:lineRule="auto"/>
        <w:rPr>
          <w:sz w:val="20"/>
          <w:szCs w:val="20"/>
          <w:color w:val="auto"/>
        </w:rPr>
      </w:pPr>
      <w:r>
        <w:rPr>
          <w:rFonts w:ascii="Arial" w:cs="Arial" w:eastAsia="Arial" w:hAnsi="Arial"/>
          <w:sz w:val="16"/>
          <w:szCs w:val="16"/>
          <w:color w:val="auto"/>
        </w:rPr>
        <w:t>Cash generated from operating activities of continuing operations in the six months ended June 30, 2017 was $533 million higher than the same period in 2016. Cash outflows for working capital improved by $42 million in the six months ended June 30, 2017 over the prior year period. In the six months ended June 30, 2017, inventories increased approximately $1.1 billion, primarily in our aerospace businesses supporting an increase in forecasted OEM deliveries and related aftermarket demand, and in our commercial businesses primarily driven by seasonal demand in our North American HVAC business and installation projects in process in our refrigeration businesses. These increases were largely offset by increases in accounts payable and accrued liabilities, primarily at Pratt &amp; Whitney, with other increases at UTC Climate, Controls &amp; Security attributable to higher seasonal demand in our North American HVAC business. Accounts receivable increased primarily in our aerospace businesses, and were partially offset by increased customer advances at Pratt &amp; Whitney and Otis. Factoring activity provided an increase of approximately $400 million in cash generated from operating activities of continuing operations in the six months ended June 30, 2017, as compared to the prior year period. This increase in factoring was driven largely by Pratt &amp; Whitney's temporary extension of contractual payment terms with certain commercial aerospace customers.</w:t>
      </w:r>
    </w:p>
    <w:p>
      <w:pPr>
        <w:spacing w:after="0" w:line="169"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For the six months ended June 30, 2016, accounts receivable increased approximately $679 million, primarily in our aerospace businesses, due to the growth in commercial aerospace OEM and aftermarket sales in the period, and at UTC Climate, Controls &amp; Security, primarily reflecting seasonal volumes in the North American HVAC business and other growth in the refrigeration business. Increases in inventories were primarily in our aerospace businesses supporting an increase in customers' platform deliveries and related aftermarket demand, which were more than offset by increased customer advances at Pratt &amp; Whitney and Otis, and increased accounts payable across all businesses.</w:t>
      </w:r>
    </w:p>
    <w:p>
      <w:pPr>
        <w:spacing w:after="0" w:line="173"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Our domestic defined benefit pension plans are approximately 91% funded on a projected benefit obligation basis as of June 30, 2017, and we are not required to make additional contributions through the end of 2021. 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six months ended June 30, 2017 and 2016 were $79 million and $107 million, respectively. Contributions to our global defined benefit pension plans in 2017 are expected to meet or exceed current funding requirements. Management is evaluating making voluntary discretionary contributions, which may be significant, to our global defined benefit pension plans in 2017. The amount and timing of any such contributions will be based on management’s assessment of cash flow and other factors, including our long-term strategy to de-risk our defined benefit pension plans.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jc w:val="right"/>
              <w:ind w:right="2"/>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(1,380)</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567"/>
        <w:spacing w:after="0" w:line="259" w:lineRule="auto"/>
        <w:rPr>
          <w:sz w:val="20"/>
          <w:szCs w:val="20"/>
          <w:color w:val="auto"/>
        </w:rPr>
      </w:pPr>
      <w:r>
        <w:rPr>
          <w:rFonts w:ascii="Arial" w:cs="Arial" w:eastAsia="Arial" w:hAnsi="Arial"/>
          <w:sz w:val="18"/>
          <w:szCs w:val="18"/>
          <w:color w:val="auto"/>
        </w:rPr>
        <w:t>Cash flows used in investing activities of continuing operations for the six months ended June 30, 2017 and 2016 primarily reflect capital expenditures, cash investments in businesses, and payments related to our collaboration intangible assets and contractual rights to provide product on new aircraft platforms. In the six months ended June 30, 2017, we realized net proceeds of $596 million from the sale of UTC Climate, Controls &amp; Security's investments in Watsco, Inc.</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During the six months ended June 30, 2017, our collaboration intangible assets increased by approximately $195 million, of which $164 million resulted from payments made under our 2012 agreement to acquire Rolls-Royce's collaboration interest in IAE. Capital expenditures for the six months ended June 30, 2017 ($771 million) primarily relate to investments in production capacity at Pratt &amp; Whitney and UTC Aerospace Systems, as well as new facilities at Pratt &amp; Whitney and UTC Climate, Controls &amp; Security.</w:t>
      </w:r>
    </w:p>
    <w:p>
      <w:pPr>
        <w:spacing w:after="0" w:line="187" w:lineRule="exact"/>
        <w:rPr>
          <w:sz w:val="20"/>
          <w:szCs w:val="20"/>
          <w:color w:val="auto"/>
        </w:rPr>
      </w:pPr>
    </w:p>
    <w:p>
      <w:pPr>
        <w:ind w:right="300" w:firstLine="540"/>
        <w:spacing w:after="0" w:line="259" w:lineRule="auto"/>
        <w:rPr>
          <w:sz w:val="20"/>
          <w:szCs w:val="20"/>
          <w:color w:val="auto"/>
        </w:rPr>
      </w:pPr>
      <w:r>
        <w:rPr>
          <w:rFonts w:ascii="Arial" w:cs="Arial" w:eastAsia="Arial" w:hAnsi="Arial"/>
          <w:sz w:val="18"/>
          <w:szCs w:val="18"/>
          <w:color w:val="auto"/>
        </w:rPr>
        <w:t>Cash investments in businesses in the six months ended June 30, 2017 ($168 million) consisted of a number of small acquisitions, primarily in our commercial businesses. We expect total cash investments for acquisitions in 2017 to be approximately $1 billion to $2 billion, including acquisitions completed during the six months ended June 30, 2017. However, actual acquisition spending may vary depending upon the timing, availability and appropriate value of acquisition opportunities.</w:t>
      </w:r>
    </w:p>
    <w:p>
      <w:pPr>
        <w:spacing w:after="0" w:line="187" w:lineRule="exact"/>
        <w:rPr>
          <w:sz w:val="20"/>
          <w:szCs w:val="20"/>
          <w:color w:val="auto"/>
        </w:rPr>
      </w:pPr>
    </w:p>
    <w:p>
      <w:pPr>
        <w:ind w:right="60" w:firstLine="540"/>
        <w:spacing w:after="0" w:line="255" w:lineRule="auto"/>
        <w:rPr>
          <w:sz w:val="20"/>
          <w:szCs w:val="20"/>
          <w:color w:val="auto"/>
        </w:rPr>
      </w:pPr>
      <w:r>
        <w:rPr>
          <w:rFonts w:ascii="Arial" w:cs="Arial" w:eastAsia="Arial" w:hAnsi="Arial"/>
          <w:sz w:val="18"/>
          <w:szCs w:val="18"/>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six months ended June 30, 2017 and 2016, we had net cash payments of approximately $294 million and net cash receipts of approximately $86 million, respectively, from the settlement of these derivative instruments.</w:t>
      </w:r>
    </w:p>
    <w:p>
      <w:pPr>
        <w:spacing w:after="0" w:line="189"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Customer financing activities were a net use of cash of $240 million, primarily driven by additional Geared Turbofan engines to support customer fleets, and $55 million for the six months ended June 30, 2017 and 2016, respectively. While we expect that 2017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$13.8 billion at June 30, 2017 related to commercial aircraft and certain contractual rights to provide product on new aircraft platforms, of which up to $0.7 billion may be required to be disbursed during the remainder of 2017. We had commercial aerospace financing and other contractual commitments of approximately $14.4 billion at December 31, 2016.</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 of Continuing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provided by financing activities of continuing operations</w:t>
            </w:r>
          </w:p>
        </w:tc>
        <w:tc>
          <w:tcPr>
            <w:tcW w:w="102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timing and levels of certain cash flow activities, such as acquisitions and repurchases of our stock, have resulted in the issuance of both long-term and short-term debt, including approximately $2.4 billion and $2.3 billion of net long-term debt issuances in the six months ended June 30, 2017 and 2016, respectively. Commercial paper borrowings and revolving credit facilities provide short-term liquidity to supplement operating cash flows and are used for general corporate purposes, including the funding of potential acquisitions and repurchases of our stock. We had approximately $0.6 billion of outstanding commercial paper at June 30, 2017.</w:t>
      </w:r>
    </w:p>
    <w:p>
      <w:pPr>
        <w:spacing w:after="0" w:line="188" w:lineRule="exact"/>
        <w:rPr>
          <w:sz w:val="20"/>
          <w:szCs w:val="20"/>
          <w:color w:val="auto"/>
        </w:rPr>
      </w:pPr>
    </w:p>
    <w:p>
      <w:pPr>
        <w:ind w:right="120" w:firstLine="567"/>
        <w:spacing w:after="0" w:line="254" w:lineRule="auto"/>
        <w:rPr>
          <w:sz w:val="20"/>
          <w:szCs w:val="20"/>
          <w:color w:val="auto"/>
        </w:rPr>
      </w:pPr>
      <w:r>
        <w:rPr>
          <w:rFonts w:ascii="Arial" w:cs="Arial" w:eastAsia="Arial" w:hAnsi="Arial"/>
          <w:sz w:val="18"/>
          <w:szCs w:val="18"/>
          <w:color w:val="auto"/>
        </w:rPr>
        <w:t>At June 30, 2017, management had remaining authority to repurchase approximately $2.4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We made cash payments of approximately $1,370 million to repurchase approximately 12.2 million shares of our common stock during the six months ended June 30, 2017. We expect 2017 full year share repurchases to be approximately $3.5 billion, which we expect to fund with cash generated from operating activities of continuing operations as well as additional borrowings. Our share repurchase levels are influenced by various factors, including the level of other investing activities.</w:t>
      </w:r>
    </w:p>
    <w:p>
      <w:pPr>
        <w:spacing w:after="0" w:line="192" w:lineRule="exact"/>
        <w:rPr>
          <w:sz w:val="20"/>
          <w:szCs w:val="20"/>
          <w:color w:val="auto"/>
        </w:rPr>
      </w:pPr>
    </w:p>
    <w:p>
      <w:pPr>
        <w:ind w:firstLine="567"/>
        <w:spacing w:after="0" w:line="264" w:lineRule="auto"/>
        <w:rPr>
          <w:sz w:val="20"/>
          <w:szCs w:val="20"/>
          <w:color w:val="auto"/>
        </w:rPr>
      </w:pPr>
      <w:r>
        <w:rPr>
          <w:rFonts w:ascii="Arial" w:cs="Arial" w:eastAsia="Arial" w:hAnsi="Arial"/>
          <w:sz w:val="18"/>
          <w:szCs w:val="18"/>
          <w:color w:val="auto"/>
        </w:rPr>
        <w:t>We paid dividends on common stock of $0.66 per share in both the first quarter and second quarter of 2017, totaling approximately $1,008 million in the aggregate for the six months ended June 30, 2017. On June 14, 2017, the Board of Directors declared a dividend of $0.70 per share payable September 10, 2017 to shareowners of record at the close of business on August 18, 2017.</w:t>
      </w:r>
    </w:p>
    <w:p>
      <w:pPr>
        <w:spacing w:after="0" w:line="181" w:lineRule="exact"/>
        <w:rPr>
          <w:sz w:val="20"/>
          <w:szCs w:val="20"/>
          <w:color w:val="auto"/>
        </w:rPr>
      </w:pPr>
    </w:p>
    <w:p>
      <w:pPr>
        <w:ind w:right="400" w:firstLine="567"/>
        <w:spacing w:after="0" w:line="277"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6300" w:type="dxa"/>
            <w:vAlign w:val="bottom"/>
            <w:gridSpan w:val="4"/>
          </w:tcPr>
          <w:p>
            <w:pPr>
              <w:jc w:val="right"/>
              <w:ind w:right="2968"/>
              <w:spacing w:after="0"/>
              <w:rPr>
                <w:sz w:val="20"/>
                <w:szCs w:val="20"/>
                <w:color w:val="auto"/>
              </w:rPr>
            </w:pPr>
            <w:r>
              <w:rPr>
                <w:rFonts w:ascii="Arial" w:cs="Arial" w:eastAsia="Arial" w:hAnsi="Arial"/>
                <w:sz w:val="18"/>
                <w:szCs w:val="18"/>
                <w:b w:val="1"/>
                <w:bCs w:val="1"/>
                <w:i w:val="1"/>
                <w:iCs w:val="1"/>
                <w:color w:val="auto"/>
              </w:rPr>
              <w:t>Cash Flow - Discontinued Operations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3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 June</w:t>
            </w: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jc w:val="right"/>
              <w:ind w:right="459"/>
              <w:spacing w:after="0" w:line="158" w:lineRule="exact"/>
              <w:rPr>
                <w:sz w:val="20"/>
                <w:szCs w:val="20"/>
                <w:color w:val="auto"/>
              </w:rPr>
            </w:pPr>
            <w:r>
              <w:rPr>
                <w:rFonts w:ascii="Arial" w:cs="Arial" w:eastAsia="Arial" w:hAnsi="Arial"/>
                <w:sz w:val="14"/>
                <w:szCs w:val="14"/>
                <w:b w:val="1"/>
                <w:bCs w:val="1"/>
                <w:color w:val="auto"/>
              </w:rPr>
              <w:t>30, 2016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3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6300" w:type="dxa"/>
            <w:vAlign w:val="bottom"/>
            <w:gridSpan w:val="4"/>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Cash flows used in discontinued operations for the six months ended June 30, 2016 primarily reflect the payment of taxes associated with the net gain realized on the sale of Sikorsky to Lockheed Martin Corp. in November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our 2016 Annual Report, incorporated by reference in our 2016 Form 10-K, we disclosed our off-balance sheet arrangements and contractual obligations. As of June 30, 2017, there have been no material changes to these off-balance sheet arrangements and contractual obligations outside the ordinary course of business.</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There has been no significant change in our exposure to market risk during the six months ended June 30, 2017. For discussion of our exposure to market risk, refer to Part II, Item 7A, "Quantitative and Qualitative Disclosures About Market Risk," contained in our 2016 Form 10-K.</w:t>
      </w: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Chairman, President and Chief Executive Officer (CEO), the Executive Vice President &amp; Chief Financial Officer (CFO) and the Corporate Vice President, Controller (Controller), of the effectiveness of the design and operation of our disclosure controls and procedures as of June 30, 2017.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2017,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7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six months ended June 30, 2017,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share repurchases and other measures of financial performance or potential future plans, strategies or transactions.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75" w:lineRule="exact"/>
        <w:rPr>
          <w:sz w:val="20"/>
          <w:szCs w:val="20"/>
          <w:color w:val="auto"/>
        </w:rPr>
      </w:pPr>
    </w:p>
    <w:p>
      <w:pPr>
        <w:ind w:left="740" w:right="160" w:hanging="327"/>
        <w:spacing w:after="0" w:line="302"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46" w:lineRule="exact"/>
        <w:rPr>
          <w:rFonts w:ascii="Arial" w:cs="Arial" w:eastAsia="Arial" w:hAnsi="Arial"/>
          <w:sz w:val="16"/>
          <w:szCs w:val="16"/>
          <w:color w:val="auto"/>
        </w:rPr>
      </w:pPr>
    </w:p>
    <w:p>
      <w:pPr>
        <w:ind w:left="740" w:right="60" w:hanging="327"/>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of advanced technologies and new products and services;</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 research and development spending;</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17" w:lineRule="exact"/>
        <w:rPr>
          <w:rFonts w:ascii="Arial" w:cs="Arial" w:eastAsia="Arial" w:hAnsi="Arial"/>
          <w:sz w:val="18"/>
          <w:szCs w:val="18"/>
          <w:color w:val="auto"/>
        </w:rPr>
      </w:pPr>
    </w:p>
    <w:p>
      <w:pPr>
        <w:ind w:left="740" w:right="320" w:hanging="327"/>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scope of future repurchases of our common stoc</w:t>
      </w:r>
      <w:r>
        <w:rPr>
          <w:rFonts w:ascii="Arial" w:cs="Arial" w:eastAsia="Arial" w:hAnsi="Arial"/>
          <w:sz w:val="16"/>
          <w:szCs w:val="16"/>
          <w:color w:val="auto"/>
        </w:rPr>
        <w:t>k,</w:t>
      </w:r>
      <w:r>
        <w:rPr>
          <w:rFonts w:ascii="Arial" w:cs="Arial" w:eastAsia="Arial" w:hAnsi="Arial"/>
          <w:sz w:val="18"/>
          <w:szCs w:val="18"/>
          <w:color w:val="auto"/>
        </w:rPr>
        <w:t xml:space="preserve"> which may be suspended at any time due to various factors, including market conditions and the level of other investing activities and uses of cash;</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w:t>
      </w:r>
    </w:p>
    <w:p>
      <w:pPr>
        <w:spacing w:after="0" w:line="117" w:lineRule="exact"/>
        <w:rPr>
          <w:rFonts w:ascii="Arial" w:cs="Arial" w:eastAsia="Arial" w:hAnsi="Arial"/>
          <w:sz w:val="18"/>
          <w:szCs w:val="18"/>
          <w:color w:val="auto"/>
        </w:rPr>
      </w:pPr>
    </w:p>
    <w:p>
      <w:pPr>
        <w:ind w:left="740" w:right="80" w:hanging="327"/>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integration of acquired businesses into our existing businesses and realization of synergies and opportunities for growth and innovation;</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17" w:lineRule="exact"/>
        <w:rPr>
          <w:rFonts w:ascii="Arial" w:cs="Arial" w:eastAsia="Arial" w:hAnsi="Arial"/>
          <w:sz w:val="18"/>
          <w:szCs w:val="18"/>
          <w:color w:val="auto"/>
        </w:rPr>
      </w:pPr>
    </w:p>
    <w:p>
      <w:pPr>
        <w:ind w:left="740" w:right="40" w:hanging="327"/>
        <w:spacing w:after="0" w:line="26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operate, including the effect of changes in U.S. trade policies or the U.K.'s pending withdrawal from the EU, on general market conditions, global trade policies and currency exchange rates in the near term and beyond; and</w:t>
      </w:r>
    </w:p>
    <w:p>
      <w:pPr>
        <w:spacing w:after="0" w:line="73" w:lineRule="exact"/>
        <w:rPr>
          <w:rFonts w:ascii="Arial" w:cs="Arial" w:eastAsia="Arial" w:hAnsi="Arial"/>
          <w:sz w:val="18"/>
          <w:szCs w:val="18"/>
          <w:color w:val="auto"/>
        </w:rPr>
      </w:pPr>
    </w:p>
    <w:p>
      <w:pPr>
        <w:ind w:left="740" w:right="20" w:hanging="327"/>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changes in tax, environmental, regulatory (including among other things import/export) and other laws and regulations in the U.S. and other countries in which we operate.</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122" w:right="3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w:t>
      </w:r>
    </w:p>
    <w:p>
      <w:pPr>
        <w:ind w:right="40" w:firstLine="8"/>
        <w:spacing w:after="0" w:line="268" w:lineRule="auto"/>
        <w:tabs>
          <w:tab w:leader="none" w:pos="2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Contingent Liabilities," the section titled "Management's Discussion and Analysis of Financial Condition and Results of Operations" under the headings "Business Overview," "Results of Operations," "Liquidity and Financial Condition," and "Critical Accounting Estimates," and the sections titled "Legal Proceedings" and "Risk Factors" in this Form 10-Q and in our 2016 Annual Report and 2016 Form 10-K. Additional important information as to these factors is included in our 2016 Annual Report in the section titled "Management's Discussion and Analysis of Financial Condition and Results of Operations" under the headings "Restructuring Costs," "Environmental Matters" and "Governmental Matters" and in our 2016 Form 10-K in the "Business" section under the headings "General," "Description of Business by Segment" and "Other Matters Relating to Our Business as a Whole."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Export Violations</w:t>
      </w:r>
    </w:p>
    <w:p>
      <w:pPr>
        <w:spacing w:after="0" w:line="158"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As previously disclosed, in June 2012, the U.S. State Department’s Office of Defense Trade Controls Compliance (DTCC) imposed a partial statutory debarment on Pratt &amp; Whitney Canada (P&amp;WC) following P&amp;WC’s guilty plea to criminal violation of the U.S. Arms Export Control Act and the International Traffic in Arms Regulations (ITAR). On July 13, 2017, DTCC rescinded the statutory debarment and fully reinstated P&amp;WC’s ITAR privileges based on its determination that P&amp;WC demonstrated effective action, established and implemented an enhanced export compliance program, and demonstrated that its enhance compliance procedures are capable of addressing and preventing recurrence of the causes that resulted in P&amp;WC’s guilty plea conviction and subsequent debarment.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Securities Laws Litigation</w:t>
      </w:r>
    </w:p>
    <w:p>
      <w:pPr>
        <w:spacing w:after="0" w:line="158"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On May 12, 2017, a purported shareowner filed a complaint in the United States District Court for the Southern District of New York under the federal securities laws against the Company, its President and Chief Executive Officer, and Chief Financial Officer (</w:t>
      </w:r>
      <w:r>
        <w:rPr>
          <w:rFonts w:ascii="Arial" w:cs="Arial" w:eastAsia="Arial" w:hAnsi="Arial"/>
          <w:sz w:val="17"/>
          <w:szCs w:val="17"/>
          <w:i w:val="1"/>
          <w:iCs w:val="1"/>
          <w:color w:val="auto"/>
        </w:rPr>
        <w:t>Frankfurt-Trust Investment Luxemburg AG v.</w:t>
      </w:r>
      <w:r>
        <w:rPr>
          <w:rFonts w:ascii="Arial" w:cs="Arial" w:eastAsia="Arial" w:hAnsi="Arial"/>
          <w:sz w:val="17"/>
          <w:szCs w:val="17"/>
          <w:color w:val="auto"/>
        </w:rPr>
        <w:t xml:space="preserve"> </w:t>
      </w:r>
      <w:r>
        <w:rPr>
          <w:rFonts w:ascii="Arial" w:cs="Arial" w:eastAsia="Arial" w:hAnsi="Arial"/>
          <w:sz w:val="17"/>
          <w:szCs w:val="17"/>
          <w:i w:val="1"/>
          <w:iCs w:val="1"/>
          <w:color w:val="auto"/>
        </w:rPr>
        <w:t>United Technologies Corporation et al.)</w:t>
      </w:r>
      <w:r>
        <w:rPr>
          <w:rFonts w:ascii="Arial" w:cs="Arial" w:eastAsia="Arial" w:hAnsi="Arial"/>
          <w:sz w:val="17"/>
          <w:szCs w:val="17"/>
          <w:color w:val="auto"/>
        </w:rPr>
        <w:t>. The plaintiff purports to represent a class of shareowners who purchased the Company’s stock between April 21,</w:t>
      </w:r>
      <w:r>
        <w:rPr>
          <w:rFonts w:ascii="Arial" w:cs="Arial" w:eastAsia="Arial" w:hAnsi="Arial"/>
          <w:sz w:val="17"/>
          <w:szCs w:val="17"/>
          <w:i w:val="1"/>
          <w:iCs w:val="1"/>
          <w:color w:val="auto"/>
        </w:rPr>
        <w:t xml:space="preserve"> </w:t>
      </w:r>
      <w:r>
        <w:rPr>
          <w:rFonts w:ascii="Arial" w:cs="Arial" w:eastAsia="Arial" w:hAnsi="Arial"/>
          <w:sz w:val="17"/>
          <w:szCs w:val="17"/>
          <w:color w:val="auto"/>
        </w:rPr>
        <w:t>2015 and July 20, 2015. The complaint alleges violations of Sections 10(b) and 20(a) of the Securities Exchange Act of 1934, and Rule 10b-5 thereunder, related to alleged false and misleading statements and omissions of material fact made in connection with the Company’s 2015 earnings expectations. The Company has not yet responded to the lawsuit. This action is in a preliminary stage and the Company is unable to predict the outcome, or the possible loss or range of loss, if any, which could result from this action.</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15, Contingent Liabilities, for discussion regarding other legal proceedings.</w:t>
      </w:r>
    </w:p>
    <w:p>
      <w:pPr>
        <w:spacing w:after="0" w:line="225"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Except as otherwise noted above, there have been no material developments in legal proceedings. For previously reported information about legal proceedings refer to Part I, Item 3, "Legal Proceedings," of our 2016 Form 10-K and Part II, Item 1 "Legal Proceedings" of our 2017 Form 10-Q (Q1).</w:t>
      </w:r>
    </w:p>
    <w:p>
      <w:pPr>
        <w:spacing w:after="0" w:line="2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in the Company's risk factors from those disclosed in Part I, Item 1A, Risk Factors, in our 2016 Form 10-K.</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June 30, 2017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3,515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113.63</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3,515</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May 1 - May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119.99</w:t>
            </w:r>
          </w:p>
        </w:tc>
        <w:tc>
          <w:tcPr>
            <w:tcW w:w="22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257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9"/>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 June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121.41</w:t>
            </w:r>
          </w:p>
        </w:tc>
        <w:tc>
          <w:tcPr>
            <w:tcW w:w="2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57"/>
        </w:trPr>
        <w:tc>
          <w:tcPr>
            <w:tcW w:w="32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3,832</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114.18</w:t>
            </w:r>
          </w:p>
        </w:tc>
        <w:tc>
          <w:tcPr>
            <w:tcW w:w="2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3,832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On October 14, 2015, our Board of Directors authorized a share repurchase program for up to $12 billion of our common stock, replacing the program announced on July 19, 2015. At June 30, 2017, the maximum dollar value of shares that may yet be purchased under this current program was approximately $2,376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No shares were reacquired in transactions outside the program during the quarter ended June 30, 2017.</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88"/>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0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80" w:hanging="1010"/>
        <w:spacing w:after="0"/>
        <w:tabs>
          <w:tab w:leader="none" w:pos="1180" w:val="left"/>
        </w:tabs>
        <w:numPr>
          <w:ilvl w:val="0"/>
          <w:numId w:val="23"/>
        </w:numPr>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Statement re: computation of ratio of earnings to fixed charges.*</w:t>
        </w:r>
      </w:hyperlink>
    </w:p>
    <w:p>
      <w:pPr>
        <w:spacing w:after="0" w:line="185" w:lineRule="exact"/>
        <w:rPr>
          <w:sz w:val="20"/>
          <w:szCs w:val="20"/>
          <w:color w:val="auto"/>
        </w:rPr>
      </w:pPr>
    </w:p>
    <w:p>
      <w:pPr>
        <w:ind w:left="1180" w:hanging="1010"/>
        <w:spacing w:after="0"/>
        <w:tabs>
          <w:tab w:leader="none" w:pos="1180" w:val="left"/>
        </w:tabs>
        <w:numPr>
          <w:ilvl w:val="0"/>
          <w:numId w:val="24"/>
        </w:numPr>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Letter re: unaudited interim financial information.*</w:t>
        </w:r>
      </w:hyperlink>
    </w:p>
    <w:p>
      <w:pPr>
        <w:spacing w:after="0" w:line="16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31.1</w:t>
            </w:r>
          </w:p>
        </w:tc>
        <w:tc>
          <w:tcPr>
            <w:tcW w:w="2940" w:type="dxa"/>
            <w:vAlign w:val="bottom"/>
            <w:tcBorders>
              <w:bottom w:val="single" w:sz="8" w:color="0000EE"/>
            </w:tcBorders>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31.2</w:t>
            </w:r>
          </w:p>
        </w:tc>
        <w:tc>
          <w:tcPr>
            <w:tcW w:w="2940" w:type="dxa"/>
            <w:vAlign w:val="bottom"/>
            <w:tcBorders>
              <w:bottom w:val="single" w:sz="8" w:color="0000EE"/>
            </w:tcBorders>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Rule 13a-14(a)/15d-14(a) Certification.*</w:t>
              </w:r>
            </w:hyperlink>
          </w:p>
        </w:tc>
      </w:tr>
      <w:tr>
        <w:trPr>
          <w:trHeight w:val="372"/>
        </w:trPr>
        <w:tc>
          <w:tcPr>
            <w:tcW w:w="1000" w:type="dxa"/>
            <w:vAlign w:val="bottom"/>
          </w:tcPr>
          <w:p>
            <w:pPr>
              <w:jc w:val="right"/>
              <w:ind w:right="610"/>
              <w:spacing w:after="0"/>
              <w:rPr>
                <w:sz w:val="20"/>
                <w:szCs w:val="20"/>
                <w:color w:val="auto"/>
              </w:rPr>
            </w:pPr>
            <w:r>
              <w:rPr>
                <w:rFonts w:ascii="Arial" w:cs="Arial" w:eastAsia="Arial" w:hAnsi="Arial"/>
                <w:sz w:val="18"/>
                <w:szCs w:val="18"/>
                <w:color w:val="auto"/>
                <w:w w:val="79"/>
              </w:rPr>
              <w:t>31.3</w:t>
            </w:r>
          </w:p>
        </w:tc>
        <w:tc>
          <w:tcPr>
            <w:tcW w:w="2940" w:type="dxa"/>
            <w:vAlign w:val="bottom"/>
            <w:tcBorders>
              <w:bottom w:val="single" w:sz="8" w:color="0000EE"/>
            </w:tcBorders>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Rule 13a-14(a)/15d-14(a) Certification.*</w:t>
              </w:r>
            </w:hyperlink>
          </w:p>
        </w:tc>
      </w:tr>
    </w:tbl>
    <w:p>
      <w:pPr>
        <w:spacing w:after="0" w:line="188" w:lineRule="exact"/>
        <w:rPr>
          <w:sz w:val="20"/>
          <w:szCs w:val="20"/>
          <w:color w:val="auto"/>
        </w:rPr>
      </w:pPr>
    </w:p>
    <w:p>
      <w:pPr>
        <w:ind w:left="1180" w:hanging="1010"/>
        <w:spacing w:after="0"/>
        <w:tabs>
          <w:tab w:leader="none" w:pos="1180" w:val="left"/>
        </w:tabs>
        <w:numPr>
          <w:ilvl w:val="0"/>
          <w:numId w:val="25"/>
        </w:numPr>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Section 1350 Certifications.*</w:t>
        </w:r>
      </w:hyperlink>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48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utx-20170630.xml)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utx-20170630.xsd)</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486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utx-20170630_cal.xml)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4860" w:type="dxa"/>
            <w:vAlign w:val="bottom"/>
          </w:tcPr>
          <w:p>
            <w:pPr>
              <w:ind w:left="2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utx-20170630_def.xml)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48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utx-20170630_lab.xml)</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4860" w:type="dxa"/>
            <w:vAlign w:val="bottom"/>
          </w:tcPr>
          <w:p>
            <w:pPr>
              <w:ind w:left="240"/>
              <w:spacing w:after="0"/>
              <w:rPr>
                <w:sz w:val="20"/>
                <w:szCs w:val="20"/>
                <w:color w:val="auto"/>
              </w:rPr>
            </w:pPr>
            <w:r>
              <w:rPr>
                <w:rFonts w:ascii="Arial" w:cs="Arial" w:eastAsia="Arial" w:hAnsi="Arial"/>
                <w:sz w:val="18"/>
                <w:szCs w:val="18"/>
                <w:color w:val="auto"/>
                <w:w w:val="91"/>
              </w:rPr>
              <w:t>XBRL Taxonomy Extension Presentation Linkbase Document.*</w:t>
            </w:r>
          </w:p>
        </w:tc>
      </w:tr>
      <w:tr>
        <w:trPr>
          <w:trHeight w:val="230"/>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Arial" w:cs="Arial" w:eastAsia="Arial" w:hAnsi="Arial"/>
                <w:sz w:val="18"/>
                <w:szCs w:val="18"/>
                <w:color w:val="auto"/>
              </w:rPr>
              <w:t>(File name: utx-20170630_pre.xml)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Operations for the quarters and six months ended June 30, 2017 and 2016, (ii)</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Condensed Consolidated Statements of Comprehensive Income for the quarters and six months ended June 30, 2017 and 2016, (iii) Condensed Consolidated Balance Sheets as of June 30, 2017 and December 31, 2016, (iv) Condensed Consolidated Statements of Cash Flows for the six months ended June 30, 2017 and 2016, and (v) Notes to Condensed Consolidated Financial Statements.</w:t>
      </w: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00"/>
          </w:cols>
          <w:pgMar w:left="240" w:top="122" w:right="3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(Registrant)</w:t>
      </w:r>
    </w:p>
    <w:p>
      <w:pPr>
        <w:spacing w:after="0" w:line="170"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KHIL</w:t>
      </w:r>
      <w:r>
        <w:rPr>
          <w:rFonts w:ascii="Arial" w:cs="Arial" w:eastAsia="Arial" w:hAnsi="Arial"/>
          <w:sz w:val="18"/>
          <w:szCs w:val="18"/>
          <w:color w:val="auto"/>
        </w:rPr>
        <w:t xml:space="preserve"> J</w:t>
      </w:r>
      <w:r>
        <w:rPr>
          <w:rFonts w:ascii="Arial" w:cs="Arial" w:eastAsia="Arial" w:hAnsi="Arial"/>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Executive Vice President &amp; Chief Financial Officer</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383" w:lineRule="exact"/>
        <w:rPr>
          <w:sz w:val="20"/>
          <w:szCs w:val="20"/>
          <w:color w:val="auto"/>
        </w:rPr>
      </w:pPr>
    </w:p>
    <w:p>
      <w:pPr>
        <w:ind w:left="40"/>
        <w:spacing w:after="0"/>
        <w:tabs>
          <w:tab w:leader="none" w:pos="820" w:val="left"/>
          <w:tab w:leader="none" w:pos="4940" w:val="left"/>
          <w:tab w:leader="none" w:pos="76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8"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Robert J. Bailey</w:t>
      </w:r>
    </w:p>
    <w:p>
      <w:pPr>
        <w:spacing w:after="0" w:line="96"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Corporate Vice President, Controller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122" w:right="339" w:bottom="1440" w:gutter="0" w:footer="0" w:header="0"/>
        </w:sectPr>
      </w:pPr>
    </w:p>
    <w:bookmarkStart w:id="47" w:name="page48"/>
    <w:bookmarkEnd w:id="47"/>
    <w:p>
      <w:pPr>
        <w:ind w:left="10620"/>
        <w:spacing w:after="0"/>
        <w:rPr>
          <w:sz w:val="20"/>
          <w:szCs w:val="20"/>
          <w:color w:val="auto"/>
        </w:rPr>
      </w:pPr>
      <w:r>
        <w:rPr>
          <w:rFonts w:ascii="Arial" w:cs="Arial" w:eastAsia="Arial" w:hAnsi="Arial"/>
          <w:sz w:val="16"/>
          <w:szCs w:val="16"/>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Pr>
          <w:p>
            <w:pPr>
              <w:spacing w:after="0"/>
              <w:rPr>
                <w:sz w:val="19"/>
                <w:szCs w:val="19"/>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Arial" w:cs="Arial" w:eastAsia="Arial" w:hAnsi="Arial"/>
                <w:sz w:val="18"/>
                <w:szCs w:val="18"/>
                <w:color w:val="auto"/>
              </w:rPr>
              <w:t xml:space="preserve">One-third of rents </w:t>
            </w:r>
            <w:r>
              <w:rPr>
                <w:rFonts w:ascii="Arial" w:cs="Arial" w:eastAsia="Arial" w:hAnsi="Arial"/>
                <w:sz w:val="25"/>
                <w:szCs w:val="25"/>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fixed charges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Fixed charges per above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interest capitalized</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earnings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4,677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140" w:hanging="332"/>
        <w:spacing w:after="0" w:line="232"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Pursuant to the guidance in the Income Taxes Topic of the Financial Accounting Standards Board Accounting Standards Codification, interest related to unrecognized tax benefits recorded was approximately $7 million and $10 million for the six months ended June 30, 2017 and 2016, respectively. The ratio of earnings to fixed charges would have been 8.31 and 7.86 for the six months ended June 30, 2017 and 2016, respectively, if such interest were excluded from the calculation.</w:t>
      </w:r>
    </w:p>
    <w:p>
      <w:pPr>
        <w:spacing w:after="0" w:line="9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July 28,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3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aware that our report dated July 28, 2017 on our review of interim financial information of United Technologies Corporation (the "Corporation") for the three-month and six-month periods ended June 30, 2017 and 2016 and included in the Corporation's quarterly report on Form 10-Q for the quarter ended June 30, 2017 is incorporated by reference in its Registration Statement on Form S-3 (No. 333-211035) and in its Registration Statements on Form S-8 (Nos. 333-207193, 333-197704, 333-183123, 333-177517, 333-175781, 333-150643, 333-125293, 333-110020, 333-100724, 333-100723, 333-100718 and 033-51385).</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24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July 28, 2017</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July 28, 2017</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&amp; Chief Financial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J. Bailey, certify that:</w:t>
      </w:r>
    </w:p>
    <w:p>
      <w:pPr>
        <w:spacing w:after="0" w:line="17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640"/>
        <w:spacing w:after="0" w:line="286" w:lineRule="auto"/>
        <w:tabs>
          <w:tab w:leader="none" w:pos="1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6640" w:val="left"/>
        </w:tabs>
        <w:rPr>
          <w:sz w:val="20"/>
          <w:szCs w:val="20"/>
          <w:color w:val="auto"/>
        </w:rPr>
      </w:pPr>
      <w:r>
        <w:rPr>
          <w:rFonts w:ascii="Arial" w:cs="Arial" w:eastAsia="Arial" w:hAnsi="Arial"/>
          <w:sz w:val="18"/>
          <w:szCs w:val="18"/>
          <w:color w:val="auto"/>
        </w:rPr>
        <w:t>Date:</w:t>
        <w:tab/>
        <w:t>July 28, 2017</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Corporate Vice President, Controller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Quarterly Report on Form 10-Q for the quarter ended June 30, 2017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28, 2017</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28, 2017</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28, 2017</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Corporate Vice President,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bullet"/>
      <w:start w:val="1"/>
    </w:lvl>
  </w:abstractNum>
  <w:abstractNum w:abstractNumId="3">
    <w:nsid w:val="519B500D"/>
    <w:multiLevelType w:val="hybridMultilevel"/>
    <w:lvl w:ilvl="0">
      <w:lvlJc w:val="left"/>
      <w:lvlText w:val="2"/>
      <w:numFmt w:val="bullet"/>
      <w:start w:val="1"/>
    </w:lvl>
  </w:abstractNum>
  <w:abstractNum w:abstractNumId="4">
    <w:nsid w:val="431BD7B7"/>
    <w:multiLevelType w:val="hybridMultilevel"/>
    <w:lvl w:ilvl="0">
      <w:lvlJc w:val="left"/>
      <w:lvlText w:val="3"/>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5"/>
    </w:lvl>
  </w:abstractNum>
  <w:abstractNum w:abstractNumId="22">
    <w:nsid w:val="54E49EB4"/>
    <w:multiLevelType w:val="hybridMultilevel"/>
    <w:lvl w:ilvl="0">
      <w:lvlJc w:val="left"/>
      <w:lvlText w:val="%1"/>
      <w:numFmt w:val="decimal"/>
      <w:start w:val="12"/>
    </w:lvl>
  </w:abstractNum>
  <w:abstractNum w:abstractNumId="23">
    <w:nsid w:val="71F32454"/>
    <w:multiLevelType w:val="hybridMultilevel"/>
    <w:lvl w:ilvl="0">
      <w:lvlJc w:val="left"/>
      <w:lvlText w:val="%1"/>
      <w:numFmt w:val="decimal"/>
      <w:start w:val="15"/>
    </w:lvl>
  </w:abstractNum>
  <w:abstractNum w:abstractNumId="24">
    <w:nsid w:val="2CA88611"/>
    <w:multiLevelType w:val="hybridMultilevel"/>
    <w:lvl w:ilvl="0">
      <w:lvlJc w:val="left"/>
      <w:lvlText w:val="%1"/>
      <w:numFmt w:val="decimal"/>
      <w:start w:val="32"/>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bullet"/>
      <w:start w:val="1"/>
    </w:lvl>
  </w:abstractNum>
  <w:abstractNum w:abstractNumId="27">
    <w:nsid w:val="3A95F874"/>
    <w:multiLevelType w:val="hybridMultilevel"/>
    <w:lvl w:ilvl="0">
      <w:lvlJc w:val="left"/>
      <w:lvlText w:val="2"/>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2019-12-29T04:40:16Z</dcterms:created>
  <dcterms:modified xsi:type="dcterms:W3CDTF">2019-12-29T04:40:16Z</dcterms:modified>
</cp:coreProperties>
</file>