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187960</wp:posOffset>
            </wp:positionV>
            <wp:extent cx="1594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147955</wp:posOffset>
            </wp:positionV>
            <wp:extent cx="1594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32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RTX CORPORATION</w:t>
      </w:r>
    </w:p>
    <w:p>
      <w:pPr>
        <w:spacing w:after="0" w:line="1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40"/>
          </w:cols>
          <w:pgMar w:left="320" w:top="1091" w:right="839" w:bottom="1440" w:gutter="0" w:footer="0" w:header="0"/>
        </w:sectPr>
      </w:pPr>
    </w:p>
    <w:p>
      <w:pPr>
        <w:spacing w:after="0" w:line="15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001-00812</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06-0570975</w:t>
      </w:r>
    </w:p>
    <w:p>
      <w:pPr>
        <w:spacing w:after="0" w:line="31" w:lineRule="exact"/>
        <w:rPr>
          <w:sz w:val="24"/>
          <w:szCs w:val="24"/>
          <w:color w:val="auto"/>
        </w:rPr>
      </w:pPr>
    </w:p>
    <w:p>
      <w:pPr>
        <w:sectPr>
          <w:pgSz w:w="11900" w:h="16838" w:orient="portrait"/>
          <w:cols w:equalWidth="0" w:num="3">
            <w:col w:w="4500" w:space="720"/>
            <w:col w:w="2980" w:space="720"/>
            <w:col w:w="1820"/>
          </w:cols>
          <w:pgMar w:left="320" w:top="1091" w:right="8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800" w:space="720"/>
            <w:col w:w="2440"/>
          </w:cols>
          <w:pgMar w:left="320" w:top="1091" w:right="839" w:bottom="1440" w:gutter="0" w:footer="0" w:header="0"/>
          <w:type w:val="continuous"/>
        </w:sectPr>
      </w:pPr>
    </w:p>
    <w:p>
      <w:pPr>
        <w:spacing w:after="0" w:line="2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1000 Wilson Boulevard, Arlington, Virginia 22209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0740"/>
          </w:cols>
          <w:pgMar w:left="320" w:top="1091" w:right="839" w:bottom="1440" w:gutter="0" w:footer="0" w:header="0"/>
          <w:type w:val="continuous"/>
        </w:sectPr>
      </w:pPr>
    </w:p>
    <w:p>
      <w:pPr>
        <w:spacing w:after="0" w:line="21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Ramsaran Maharajh, Jr.</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Executive Vice President and General Counsel</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54"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740"/>
          </w:cols>
          <w:pgMar w:left="320" w:top="1091" w:right="839" w:bottom="1440" w:gutter="0" w:footer="0" w:header="0"/>
          <w:type w:val="continuous"/>
        </w:sectPr>
      </w:pPr>
    </w:p>
    <w:bookmarkStart w:id="1" w:name="page2"/>
    <w:bookmarkEnd w:id="1"/>
    <w:p>
      <w:pPr>
        <w:ind w:right="180"/>
        <w:spacing w:after="0" w:line="260" w:lineRule="auto"/>
        <w:rPr>
          <w:sz w:val="20"/>
          <w:szCs w:val="20"/>
          <w:color w:val="auto"/>
        </w:rPr>
      </w:pPr>
      <w:r>
        <w:rPr>
          <w:rFonts w:ascii="Times New Roman" w:cs="Times New Roman" w:eastAsia="Times New Roman" w:hAnsi="Times New Roman"/>
          <w:sz w:val="17"/>
          <w:szCs w:val="17"/>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websites in this Form SD are provided for convenience only. Information available through these websites is not incorporated by reference into this Form SD. The terms “we,” “us,” “our,” the “Company”, and “RTX” mean RTX Corporation and its subsidiaries, unless the context indicates another meaning.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RTX Conflict Minerals Reports for the calendar year ended December 31, 2025 is filed as Exhibit 1.01 hereto and is publicly available through the Investors section of RTX’s website (http://www.rtx.com).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RTX Conflict Minerals Report required by Item 1.01 is filed as Exhibits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RTX Conflict Minerals Report</w:t>
      </w:r>
    </w:p>
    <w:p>
      <w:pPr>
        <w:sectPr>
          <w:pgSz w:w="11900" w:h="16838" w:orient="portrait"/>
          <w:cols w:equalWidth="0" w:num="1">
            <w:col w:w="11240"/>
          </w:cols>
          <w:pgMar w:left="320" w:top="87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00"/>
        <w:spacing w:after="0" w:line="34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RTX CORPORATION</w:t>
            </w:r>
          </w:p>
        </w:tc>
      </w:tr>
      <w:tr>
        <w:trPr>
          <w:trHeight w:val="238"/>
        </w:trPr>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RAMSARAN MAHARAJH, JR.</w:t>
            </w:r>
          </w:p>
        </w:tc>
      </w:tr>
      <w:tr>
        <w:trPr>
          <w:trHeight w:val="228"/>
        </w:trPr>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Ramsaran Maharajh, Jr.</w:t>
            </w:r>
          </w:p>
        </w:tc>
      </w:tr>
      <w:tr>
        <w:trPr>
          <w:trHeight w:val="252"/>
        </w:trPr>
        <w:tc>
          <w:tcPr>
            <w:tcW w:w="3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48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PAOLO DAL CIN</w:t>
            </w:r>
          </w:p>
        </w:tc>
      </w:tr>
      <w:tr>
        <w:trPr>
          <w:trHeight w:val="218"/>
        </w:trPr>
        <w:tc>
          <w:tcPr>
            <w:tcW w:w="3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Paolo Dal Cin</w:t>
            </w:r>
          </w:p>
        </w:tc>
      </w:tr>
      <w:tr>
        <w:trPr>
          <w:trHeight w:val="234"/>
        </w:trPr>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 Vice President, Operations &amp; Supply Chain</w:t>
            </w:r>
          </w:p>
        </w:tc>
      </w:tr>
    </w:tbl>
    <w:p>
      <w:pPr>
        <w:sectPr>
          <w:pgSz w:w="11900" w:h="16838" w:orient="portrait"/>
          <w:cols w:equalWidth="0" w:num="1">
            <w:col w:w="11140"/>
          </w:cols>
          <w:pgMar w:left="320" w:top="887" w:right="4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6"/>
                <w:szCs w:val="16"/>
                <w:color w:val="auto"/>
              </w:rPr>
            </w:pPr>
          </w:p>
        </w:tc>
        <w:tc>
          <w:tcPr>
            <w:tcW w:w="1010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0000FF"/>
              </w:rPr>
              <w:t>RTX Conflict Minerals Report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60" w:top="115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158"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RTX Corporation (“RTX”) has prepared this Conflict Minerals Report (the “Report”) for the calendar year ended December 31, 2025, as required by Rule 13p-1 under the Securities Exchange Act of 1934 (the “Rule”). Terms used and not defined in this Report have the meanings ascribed in Form SD, as adopted by the Securities and Exchange Commission (“SEC”) pursuant to the Rule. References in this Report to internet websites and certain RTX internal policies and procedures are provided for convenience only. The referenced documents and information available through these websites are not incorporated by reference into this Report.</w:t>
      </w:r>
    </w:p>
    <w:p>
      <w:pPr>
        <w:spacing w:after="0" w:line="7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right="200"/>
        <w:spacing w:after="0" w:line="325" w:lineRule="auto"/>
        <w:rPr>
          <w:sz w:val="20"/>
          <w:szCs w:val="20"/>
          <w:color w:val="auto"/>
        </w:rPr>
      </w:pPr>
      <w:r>
        <w:rPr>
          <w:rFonts w:ascii="Times New Roman" w:cs="Times New Roman" w:eastAsia="Times New Roman" w:hAnsi="Times New Roman"/>
          <w:sz w:val="17"/>
          <w:szCs w:val="17"/>
          <w:color w:val="auto"/>
        </w:rPr>
        <w:t>RTX manufactures and contracts to manufacture products that contain tin, tantalum, tungsten, and gold (“3TG” or “Conflict Minerals”) necessary to the functionality or production of such products (“Necessary 3TG”). RTX is an aerospace and defense company that provides advanced systems and services for commercial, military and government customers worldwide. RTX was incorporated in Delaware in 1934. Our operations are classified into three principal business segments: Collins Aerospace (Collins), Pratt &amp; Whitney, and Raytheon, with each segment comprised of groups of similar operations.</w:t>
      </w:r>
    </w:p>
    <w:p>
      <w:pPr>
        <w:spacing w:after="0" w:line="6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Collins is a leading global provider of technologically advanced aerospace and defense products. Collins’ solutions include aftermarket services for civil and military aircraft manufacturers, commercial airlines, and regional, business, and general aviation, as well as for defense and commercial space operations. Aftermarket services include spare parts, overhaul and repair, engineering and technical support, training and fleet management solutions, asset management services, and information management services. Collins designs, manufactures, and supplies electric power generation, management and distribution systems, environmental control systems, flight control systems, air data and aircraft sensing systems, engine control systems, engine components, engine nacelle systems, including thrust reversers and mounting pylons, interior and exterior aircraft lighting, aircraft cargo systems, evacuation systems, landing systems (including landing gear, wheels, and braking systems), communication, navigation, surveillance systems, fire and ice detection and protection systems, integrated avionics, and propeller systems. Collins also designs, manufactures, and supports complete cabin interiors, including seating, oxygen systems, food and beverage preparation, storage and galley systems, lavatory, and wastewater management systems. Collins’ solutions support human space exploration with environmental control and power systems and extravehicular activity suits. Collins also provides connected aviation solutions and services through worldwide voice and data communication networks, airport systems and integrations, and air traffic management solutions. Collins supports government and defense customer missions by providing systems solutions for connected battlespace, test and training range systems, crew escape systems, and simulation and training.</w:t>
      </w:r>
    </w:p>
    <w:p>
      <w:pPr>
        <w:spacing w:after="0" w:line="74"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8"/>
          <w:szCs w:val="18"/>
          <w:color w:val="auto"/>
        </w:rPr>
        <w:t>Pratt &amp; Whitney is among the world’s leading suppliers of aircraft engines for commercial, military, business jet, and general aviation customers. Pratt &amp; Whitney designs, manufactures, and services large engines for widebody, narrowbody, and large regional aircraft for commercial customers and for fighter, bomber, tanker, and transport aircraft for military customers. Pratt &amp; Whitney also designs, manufactures, and services small engines powering regional airlines, general and business aviation, and helicopters. Pratt &amp; Whitney produces, sells, and services military and commercial auxiliary power units. Pratt &amp; Whitney provides fleet management services and aftermarket maintenance, repair, and overhaul services in all of these product segments.</w:t>
      </w:r>
    </w:p>
    <w:p>
      <w:pPr>
        <w:spacing w:after="0" w:line="6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Raytheon is a leading provider of defensive and offensive threat detection, tracking and mitigation capabilities for U.S. and foreign government and commercial customers. Raytheon designs, develops, and provides advanced capabilities in integrated air and missile defense, smart weapons, missiles, advanced sensors and radars, interceptors, space-based systems, hypersonics, and missile defense across land, air, sea, and space. Raytheon provides air-to-air and air-to-ground sensors, command and control and weapons including the Advanced Medium Range Air-to-Air Missile (AMRAAM), StormBreaker smart weapon, Long Range Stand Off Weapon (LRSO), and the Early Warning Radar. Raytheon also provides advanced naval sensors,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14" w:right="339" w:bottom="1440" w:gutter="0" w:footer="0" w:header="0"/>
        </w:sectPr>
      </w:pPr>
    </w:p>
    <w:bookmarkStart w:id="5" w:name="page6"/>
    <w:bookmarkEnd w:id="5"/>
    <w:p>
      <w:pPr>
        <w:spacing w:after="0" w:line="293" w:lineRule="auto"/>
        <w:rPr>
          <w:sz w:val="20"/>
          <w:szCs w:val="20"/>
          <w:color w:val="auto"/>
        </w:rPr>
      </w:pPr>
      <w:r>
        <w:rPr>
          <w:rFonts w:ascii="Times New Roman" w:cs="Times New Roman" w:eastAsia="Times New Roman" w:hAnsi="Times New Roman"/>
          <w:sz w:val="18"/>
          <w:szCs w:val="18"/>
          <w:color w:val="auto"/>
        </w:rPr>
        <w:t>command and control and weapons including classified naval radars, the Next Generation Jammer (NGJ), shipboard missiles including the Tomahawk and Standard Missile 6 (SM-6), air-to-air missiles such as the AIM-9X SIDEWINDER missile, and integrated systems such as the SPY-6 radar. In addition, Raytheon provides advanced systems and products that span layered land and integrated air and missile defense, including the Patriot air and missile defense system, the Lower Tier Air and Missile Defense Sensor (LTAMDS), the National Advanced Surface-to-Air Missile System (NASAMS), Javelin, Excalibur, Stinger, and High-Energy Lasers. Raytheon also provides technologically advanced sensors, satellites, and interceptors, including the AN/TPY-2 radar, and Standard Missile 3 (SM-3). Raytheon delivers integrated space solutions including sensors, mission orchestration, satellite control, and software. Raytheon also focuses on the development and early introduction of next-generation technologies and systems, including hypersonics, counter-hypersonics, next-generation radars, sensor experimentation, and electro-optical/infrared (EO/IR) advancements, and aligns products that use shared technologies, including fire control radars, surveillance radars, EO/IR, space-qualified satellite components, and electronics.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RTX and our business segments is included in RTX’s Annual Report on Form 10-K for the year ended December 31, 2025.</w:t>
      </w:r>
    </w:p>
    <w:p>
      <w:pPr>
        <w:spacing w:after="0" w:line="15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 Description</w:t>
      </w:r>
    </w:p>
    <w:p>
      <w:pPr>
        <w:spacing w:after="0" w:line="148"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8"/>
          <w:szCs w:val="18"/>
          <w:color w:val="auto"/>
        </w:rPr>
        <w:t>RTX is a large and complex organization with thousands of globally dispersed suppliers. There are multiple tiers of suppliers between RTX’s business segments and the 3TG mines. Therefore, we rely on our first-tier suppliers to work with their upstream suppliers to provide us with accurate information (e.g., through the reasonable country of origin inquiry described below) about the origin of 3TG contained in the materials, components, parts, subassemblies, and products contracted to be manufactured (collectively “Components”) we purchase.</w:t>
      </w:r>
    </w:p>
    <w:p>
      <w:pPr>
        <w:spacing w:after="0" w:line="7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 (“RCOI”)</w:t>
      </w:r>
    </w:p>
    <w:p>
      <w:pPr>
        <w:spacing w:after="0" w:line="148"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18"/>
          <w:szCs w:val="18"/>
          <w:color w:val="auto"/>
        </w:rPr>
        <w:t>The elements of our RCOI were: (i) identification of suppliers to survey, (ii) data collection, and (iii) assessment of data to determine whether further due diligence is required.</w:t>
      </w:r>
    </w:p>
    <w:p>
      <w:pPr>
        <w:spacing w:after="0" w:line="4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For this reporting period, each business segment identified a list of suppliers to survey for purposes of the RCOI (“Surveyed Suppliers”). The criteria for selecting the suppliers to include in the survey varied to account for each business segment’s unique circumstances, but generally considered the likelihood of 3TG content in the supplied Components, the amount paid to suppliers believed likely to incorporate 3TG in the supplied Components, and the business segment’s information technology infrastructure capabilities. For this reporting period, RTX’s business segments sent 1,394 surveys to suppliers, estimated to represent approximately $13.5 billion in spending by our business segments during 2025.</w:t>
      </w:r>
    </w:p>
    <w:p>
      <w:pPr>
        <w:spacing w:after="0" w:line="83"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We collected information from the Surveyed Suppliers using the Conflict Minerals Reporting Template (“CMRT”), or a tool based on the CMRT. The survey included questions regarding whether the supplier’s products contain 3TG, its policy with respect to the responsible sourcing of 3TG, the supplier’s due diligence process, and information about the supplier’s supply chain, such as the names of the smelters or refiners that processed 3TG in the supplier’s products, and the origin of 3TG used by those facilities.</w:t>
      </w:r>
    </w:p>
    <w:p>
      <w:pPr>
        <w:spacing w:after="0" w:line="82" w:lineRule="exact"/>
        <w:rPr>
          <w:sz w:val="20"/>
          <w:szCs w:val="20"/>
          <w:color w:val="auto"/>
        </w:rPr>
      </w:pPr>
    </w:p>
    <w:p>
      <w:pPr>
        <w:jc w:val="both"/>
        <w:ind w:right="100"/>
        <w:spacing w:after="0" w:line="305" w:lineRule="auto"/>
        <w:rPr>
          <w:sz w:val="20"/>
          <w:szCs w:val="20"/>
          <w:color w:val="auto"/>
        </w:rPr>
      </w:pPr>
      <w:r>
        <w:rPr>
          <w:rFonts w:ascii="Times New Roman" w:cs="Times New Roman" w:eastAsia="Times New Roman" w:hAnsi="Times New Roman"/>
          <w:sz w:val="18"/>
          <w:szCs w:val="18"/>
          <w:color w:val="auto"/>
        </w:rPr>
        <w:t>Based on the RCOI for this reporting period, RTX has reason to believe that at least a portion of its Necessary 3TG may have originated from the Covered Countries, and that this portion of the Necessary 3TG may not be from recycled or scrap sources. Accordingly, we conducted the due diligence described below on the source and chain of custody of the Necessary 3TG in our products.</w:t>
      </w:r>
    </w:p>
    <w:p>
      <w:pPr>
        <w:spacing w:after="0" w:line="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w:t>
      </w:r>
    </w:p>
    <w:p>
      <w:pPr>
        <w:spacing w:after="0" w:line="1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Due Diligence Framework</w:t>
      </w:r>
    </w:p>
    <w:p>
      <w:pPr>
        <w:spacing w:after="0" w:line="16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 xml:space="preserve">Our due diligence measures have been designed to conform, in all material respects, with the internationally recognized due diligence framework presented by the Organisation for Economic Co-operation and Development (“OECD”) in the publication </w:t>
      </w:r>
      <w:r>
        <w:rPr>
          <w:rFonts w:ascii="Times New Roman" w:cs="Times New Roman" w:eastAsia="Times New Roman" w:hAnsi="Times New Roman"/>
          <w:sz w:val="18"/>
          <w:szCs w:val="18"/>
          <w:i w:val="1"/>
          <w:iCs w:val="1"/>
          <w:color w:val="auto"/>
        </w:rPr>
        <w:t>OECD Due Diligence Guidance for Responsible Supply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Chains of Minerals from Conflict-Affected and High-Risk Areas: Third Edition (2016), OECD Publishing </w:t>
      </w:r>
      <w:r>
        <w:rPr>
          <w:rFonts w:ascii="Times New Roman" w:cs="Times New Roman" w:eastAsia="Times New Roman" w:hAnsi="Times New Roman"/>
          <w:sz w:val="18"/>
          <w:szCs w:val="18"/>
          <w:color w:val="auto"/>
        </w:rPr>
        <w:t>and related supplements for gold, tin, tantalum,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tungsten.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026" w:right="359" w:bottom="1440" w:gutter="0" w:footer="0" w:header="0"/>
        </w:sectPr>
      </w:pPr>
    </w:p>
    <w:bookmarkStart w:id="6" w:name="page7"/>
    <w:bookmarkEnd w:id="6"/>
    <w:p>
      <w:pPr>
        <w:ind w:left="6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B.</w:t>
        <w:tab/>
        <w:t>Due Diligence Measures Undertaken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performed the due diligence steps set forth below according to the OECD’s five-step framework: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1: Establish Company Management Systems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Policy</w:t>
      </w:r>
    </w:p>
    <w:p>
      <w:pPr>
        <w:spacing w:after="0" w:line="16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RTX has a corporate policy regarding the sourcing of Conflict Minerals. A copy of this policy is available through the Suppliers section of our website (https://www.rtx.com) under the heading “Suppliers.” Among other things, under our corporate policy, suppliers are expected to comply with the Rule and to support RTX in fulfilling its obligations under the Rule. The policy also expresses RTX’s preference to source 3TG originating in any of the Covered Countries from a smelter or refiner validated as conflict-free by an independent third-party – such as the Responsible Mineral Initiative’s (“RMI”) Responsible Minerals Assurance Process (“RMAP”) (formerly known as the Conflict-Free Sourcing Initiative’s Conflict-Free Smelter Program). The policy also expresses RTX’s commitment to continue to support initiatives that enable the sourcing of conflict-free minerals. In the event we identify non-compliance with our corporate policy on the sourcing of Conflict Minerals, our business segments will attempt to work with the supplier to correct the situation. If a supplier remains non-compliant, the business segment may evaluate its options, including but not limited to reassessing the relationship with the supplier.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Team</w:t>
      </w:r>
    </w:p>
    <w:p>
      <w:pPr>
        <w:spacing w:after="0" w:line="146"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RTX established a cross-functional team to develop and implement its Conflict Minerals compliance program. The Conflict Minerals team is comprised of representatives from RTX’s Corporate Office and each business segment, with representation from functions such as supply chain management, legal, and corporate responsibility. The Conflict Minerals team is supported by a steering committee comprised of supply chain executives from RTX’s Corporate Office and each business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Controls and Transparency</w:t>
      </w:r>
    </w:p>
    <w:p>
      <w:pPr>
        <w:spacing w:after="0" w:line="16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auto"/>
        </w:rPr>
        <w:t>RTX participates in industry-wide initiatives that raise awareness for responsible sourcing of 3TG and provide resources to improve disclosures regarding the origin of 3TG in supply chains. For example, RTX is a member of the RMI (member code: RAYT). The RMI’s flagship program is the RMAP, which uses specially trained third-party auditors to independently verify whether identified smelters and refiners have systems in place to responsibly source minerals in conformance with the RMAP standards. The audit standards are developed according to global standards including the OECD Due Diligence Guidance for Responsible Supply Chains of Minerals from Conflict-Affected and High-Risk Areas. Another RMI program is the development and publication of the Conflict Minerals Reporting Template (“CMRT”), a free, standardized reporting template that facilitates the transfer of information through the supply chain regarding 3TG country of origin as well as the smelters and refiners that process such 3TG.</w:t>
      </w:r>
    </w:p>
    <w:p>
      <w:pPr>
        <w:spacing w:after="0" w:line="75" w:lineRule="exact"/>
        <w:rPr>
          <w:sz w:val="20"/>
          <w:szCs w:val="20"/>
          <w:color w:val="auto"/>
        </w:rPr>
      </w:pPr>
    </w:p>
    <w:p>
      <w:pPr>
        <w:ind w:right="140"/>
        <w:spacing w:after="0" w:line="330" w:lineRule="auto"/>
        <w:rPr>
          <w:sz w:val="20"/>
          <w:szCs w:val="20"/>
          <w:color w:val="auto"/>
        </w:rPr>
      </w:pPr>
      <w:r>
        <w:rPr>
          <w:rFonts w:ascii="Times New Roman" w:cs="Times New Roman" w:eastAsia="Times New Roman" w:hAnsi="Times New Roman"/>
          <w:sz w:val="17"/>
          <w:szCs w:val="17"/>
          <w:color w:val="auto"/>
        </w:rPr>
        <w:t>Additionally, RTX is a member of the Aerospace Industries Association (“AIA”) conflict minerals working group. The AIA, on behalf of its member companies, sent a letter through the RMI to smelters not yet participating in the RMAP. The letter urged these smelters to conduct due diligence on the origin of 3TG in their supply chains, and to become validated as a conformant smelter or refiner utilizing the RMAP, or another OECD-aligned program.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Engagement and Training</w:t>
      </w:r>
    </w:p>
    <w:p>
      <w:pPr>
        <w:spacing w:after="0" w:line="16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As mentioned above, we posted a position statement on our website to communicate our expectations regarding the responsible sourcing of Conflict Minerals. The language in our standard contract terms and conditions includes a conflict minerals provision requiring our suppliers to, among other things, conduct a reasonable country of origin inquiry and due diligence on the source of 3TG originating from the Covered Countries. We also provided the Surveyed Suppliers with a message from RTX’s leadership about the Rule and our expectations of how our suppliers will help us to comply with this law. RTX provided Surveyed Suppliers training regarding the requirements of the Rule, our obligations under the Rule, instructions for responding to our survey, and an e-mail address for assistance interpreting and completing our business segments’ survey.</w:t>
      </w:r>
    </w:p>
    <w:p>
      <w:pPr>
        <w:spacing w:after="0" w:line="85"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We advised Surveyed Suppliers that we do not discourage the sourcing of 3TG from the Covered Countries; rather, we encourage our suppliers to source such 3TG from a smelter or refiner verified as compliant with the RMAP or a similar program. We also asked Surveyed Suppliers, to the extent they believed the products delivered to RTX’s business segments may have contained 3TG originating from one of the Covered Countries, to provide 3TG information specific to such products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1022" w:right="419" w:bottom="1440" w:gutter="0" w:footer="0" w:header="0"/>
        </w:sectPr>
      </w:pPr>
    </w:p>
    <w:bookmarkStart w:id="7" w:name="page8"/>
    <w:bookmarkEnd w:id="7"/>
    <w:p>
      <w:pPr>
        <w:ind w:right="600"/>
        <w:spacing w:after="0" w:line="414" w:lineRule="auto"/>
        <w:rPr>
          <w:sz w:val="20"/>
          <w:szCs w:val="20"/>
          <w:color w:val="auto"/>
        </w:rPr>
      </w:pPr>
      <w:r>
        <w:rPr>
          <w:rFonts w:ascii="Times New Roman" w:cs="Times New Roman" w:eastAsia="Times New Roman" w:hAnsi="Times New Roman"/>
          <w:sz w:val="18"/>
          <w:szCs w:val="18"/>
          <w:color w:val="auto"/>
        </w:rPr>
        <w:t xml:space="preserve">(i.e., a “product-level” CMRT declaration and documentation substantiating the potential connection between such 3TG and the product furnished). </w:t>
      </w:r>
      <w:r>
        <w:rPr>
          <w:rFonts w:ascii="Times New Roman" w:cs="Times New Roman" w:eastAsia="Times New Roman" w:hAnsi="Times New Roman"/>
          <w:sz w:val="18"/>
          <w:szCs w:val="18"/>
          <w:i w:val="1"/>
          <w:iCs w:val="1"/>
          <w:color w:val="auto"/>
        </w:rPr>
        <w:t>Internal Training</w:t>
      </w:r>
    </w:p>
    <w:p>
      <w:pPr>
        <w:spacing w:after="0" w:line="1"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auto"/>
        </w:rPr>
        <w:t>RTX developed training and reference materials for its employees about Conflict Minerals, including a training module summarizing the relevant requirements of the Rule, RTX’s obligations under the Rule, and RTX’s processes for evaluating and responding to the risk, if any, of Necessary 3TG in its supply chain that directly or indirectly financed or benefited armed groups in the Covered Countries.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Maintain Records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RTX has adopted a policy to retain relevant documentation.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Grievance Mechanism</w:t>
      </w:r>
    </w:p>
    <w:p>
      <w:pPr>
        <w:spacing w:after="0" w:line="16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General questions regarding RTX’s conflict minerals compliance program can be directed to RTX’s Conflict Minerals Compliance Program Manager at </w:t>
      </w:r>
      <w:r>
        <w:rPr>
          <w:rFonts w:ascii="Times New Roman" w:cs="Times New Roman" w:eastAsia="Times New Roman" w:hAnsi="Times New Roman"/>
          <w:sz w:val="18"/>
          <w:szCs w:val="18"/>
          <w:color w:val="0000FF"/>
        </w:rPr>
        <w:t>cminfo@rtx.com</w:t>
      </w:r>
      <w:r>
        <w:rPr>
          <w:rFonts w:ascii="Times New Roman" w:cs="Times New Roman" w:eastAsia="Times New Roman" w:hAnsi="Times New Roman"/>
          <w:sz w:val="18"/>
          <w:szCs w:val="18"/>
          <w:color w:val="000000"/>
        </w:rPr>
        <w:t>. Employees or third parties wishing to raise a concern or report a possible violation of RTX’s corporate policy with respect to the sourcing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Conflict Minerals may do so, confidentially or anonymously if desired, using the resources listed on the “Ethics and Compliance” section of our website (https://www.rtx.com/) under the heading “Who We Are - Corporate Governance.”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2: Identify and Assess Risks in the Supply Chain</w:t>
      </w:r>
    </w:p>
    <w:p>
      <w:pPr>
        <w:spacing w:after="0" w:line="158" w:lineRule="exact"/>
        <w:rPr>
          <w:sz w:val="20"/>
          <w:szCs w:val="20"/>
          <w:color w:val="auto"/>
        </w:rPr>
      </w:pPr>
    </w:p>
    <w:p>
      <w:pPr>
        <w:ind w:right="480"/>
        <w:spacing w:after="0" w:line="313" w:lineRule="auto"/>
        <w:rPr>
          <w:sz w:val="20"/>
          <w:szCs w:val="20"/>
          <w:color w:val="auto"/>
        </w:rPr>
      </w:pPr>
      <w:r>
        <w:rPr>
          <w:rFonts w:ascii="Times New Roman" w:cs="Times New Roman" w:eastAsia="Times New Roman" w:hAnsi="Times New Roman"/>
          <w:sz w:val="18"/>
          <w:szCs w:val="18"/>
          <w:color w:val="auto"/>
        </w:rPr>
        <w:t>Our business segments conducted a supply chain survey using the Conflict Minerals Reporting Template (“CMRT”), or a tool based on the CMRT, to investigate the origin of Necessary 3TG in our products.</w:t>
      </w:r>
    </w:p>
    <w:p>
      <w:pPr>
        <w:spacing w:after="0" w:line="68"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We followed up with suppliers who did not respond to our business segments’ survey within the requested timeframe and reminded them to submit their survey response.</w:t>
      </w:r>
    </w:p>
    <w:p>
      <w:pPr>
        <w:spacing w:after="0" w:line="6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Members of the RTX Conflict Minerals team or business segment representatives reviewed the Surveyed Suppliers’ responses against an established set of criteria to determine whether further engagement was necessary. For example, if a supplier furnished Components containing 3TG from any of the Covered Countries, our business segments compared the smelters and refiners identified in a supplier’s survey response to the RMI’s published list of facilities that conform to the RMAP assessment protocols.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3: Design and Implement a Strategy to Respond to Risks</w:t>
      </w:r>
    </w:p>
    <w:p>
      <w:pPr>
        <w:spacing w:after="0" w:line="14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RTX designed and implemented a risk management plan to evaluate and respond to risks identified in our supply chain. If we identify non-compliance with our corporate policy on the sourcing of Conflict Minerals, our business segments will attempt to work with the supplier to correct the situation. A supplier’s failure to take corrective actions may lead to additional actions, including the reassessment of the supplier relationship. Risk assessment findings based on the supply chain survey and due diligence are reported to senior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4: Carry out Independent Third-Party Audit of Smelter’s and Refiner’s Due Diligence Practices</w:t>
      </w:r>
    </w:p>
    <w:p>
      <w:pPr>
        <w:spacing w:after="0" w:line="158"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8"/>
          <w:szCs w:val="18"/>
          <w:color w:val="auto"/>
        </w:rPr>
        <w:t>We indirectly support audits of smelters and refiners through our participation in, and financial support of, the RMI. The RMI’s flagship program is the RMAP which uses independent third-party auditors to identify smelters and refiners that have systems in place to produce responsibly sourced materials. We do not perform direct audits of these entities within our supply chain.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5: Report Annually on Supply Chain Due Diligence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Report and RTX’s associated Form SD are available on our website (https://www.rtx.com/) under the heading “Investors.”</w:t>
      </w:r>
    </w:p>
    <w:p>
      <w:pPr>
        <w:spacing w:after="0" w:line="15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Efforts to Determine Mine or Country of Origin</w:t>
      </w:r>
    </w:p>
    <w:p>
      <w:pPr>
        <w:spacing w:after="0" w:line="148"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Our supply chain survey included questions that asked the Surveyed Suppliers for the name of the smelter(s) in their supply chain, the name of the mine(s), and the location of the mine(s) from where 3TG in their supply chain originated. The survey’s cover letter instructed suppliers, to the extent they had determined the products delivered to RTX’s business segments contained 3TG originating from one of the Covered Countries, to provide a “product-level” declaration with information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specific to such products (e.g., the name of the mine, country of origin, and/or the name of the smelter or refiner who processed 3TG in such products).</w:t>
      </w:r>
    </w:p>
    <w:p>
      <w:pPr>
        <w:spacing w:after="0" w:line="140"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RCOI and Due Diligence Results</w:t>
      </w:r>
    </w:p>
    <w:p>
      <w:pPr>
        <w:spacing w:after="0" w:line="158"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A.</w:t>
        <w:tab/>
        <w:t>Survey Responses</w:t>
      </w:r>
    </w:p>
    <w:p>
      <w:pPr>
        <w:spacing w:after="0" w:line="148" w:lineRule="exact"/>
        <w:rPr>
          <w:sz w:val="20"/>
          <w:szCs w:val="20"/>
          <w:color w:val="auto"/>
        </w:rPr>
      </w:pPr>
    </w:p>
    <w:p>
      <w:pPr>
        <w:ind w:right="220"/>
        <w:spacing w:after="0" w:line="329" w:lineRule="auto"/>
        <w:rPr>
          <w:sz w:val="20"/>
          <w:szCs w:val="20"/>
          <w:color w:val="auto"/>
        </w:rPr>
      </w:pPr>
      <w:r>
        <w:rPr>
          <w:rFonts w:ascii="Times New Roman" w:cs="Times New Roman" w:eastAsia="Times New Roman" w:hAnsi="Times New Roman"/>
          <w:sz w:val="18"/>
          <w:szCs w:val="18"/>
          <w:color w:val="auto"/>
        </w:rPr>
        <w:t>We rely on our suppliers to provide information on the origin of 3TG contained in the Components purchased by our business segments. These suppliers are similarly reliant upon information provided by their suppliers.</w:t>
      </w:r>
    </w:p>
    <w:p>
      <w:pPr>
        <w:spacing w:after="0" w:line="40"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18"/>
          <w:szCs w:val="18"/>
          <w:color w:val="auto"/>
        </w:rPr>
        <w:t>In total, RTX’s business segments sent 1,394 suppliers a survey, estimated to represent approximately $13.5 billion in spending by our business segments during 2025.</w:t>
      </w:r>
    </w:p>
    <w:p>
      <w:pPr>
        <w:spacing w:after="0" w:line="40" w:lineRule="exact"/>
        <w:rPr>
          <w:sz w:val="20"/>
          <w:szCs w:val="20"/>
          <w:color w:val="auto"/>
        </w:rPr>
      </w:pPr>
    </w:p>
    <w:p>
      <w:pPr>
        <w:ind w:right="200"/>
        <w:spacing w:after="0" w:line="329" w:lineRule="auto"/>
        <w:rPr>
          <w:sz w:val="20"/>
          <w:szCs w:val="20"/>
          <w:color w:val="auto"/>
        </w:rPr>
      </w:pPr>
      <w:r>
        <w:rPr>
          <w:rFonts w:ascii="Times New Roman" w:cs="Times New Roman" w:eastAsia="Times New Roman" w:hAnsi="Times New Roman"/>
          <w:sz w:val="18"/>
          <w:szCs w:val="18"/>
          <w:color w:val="auto"/>
        </w:rPr>
        <w:t>The Surveyed Suppliers responses identified 331unique facilities identified by the RMI, of which 190 or approximately 57% are validated as conformant with the RMAP.</w:t>
      </w:r>
    </w:p>
    <w:p>
      <w:pPr>
        <w:spacing w:after="0" w:line="4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In 401 of the survey responses, the supplier declared it may have sourced 3TG from one of the Covered Countries. For those 401 survey responses, we were unable to link 3TG from the Covered Countries to the Components supplied to our business segments. We were unable to do so because the information was generally at a supplier-company level that described the supplier’s overall potential 3TG sourcing. In one of the survey responses, the supplier declared it sourced 3TG from a smelter who may source from a Covered Country. Based on our review of that survey response and the due diligence measures described above, we have reason to believe our supplier sourced 3TG used in Components supplied to our business segments from the smelter listed on Schedule A. We determined that smelter may have sourced their 3TG from the countries of origin listed on Schedule B. The smelter identified on Schedule A was included on the RMI Conformant Smelter &amp; Refiner List and thus obtained 3TG from sources demonstrated not to support armed conflict. Of the remaining survey responses providing smelter information, the suppliers were unable to verify whether 3TG from those smelters was used in the Components supplied to one of our business segments. For this reason, we have been unable to identify with confidence the specific facilities used to process Necessary 3TG in our products, the country of origin, or the mine or location of origin of the Necessary 3TG in our products.</w:t>
      </w:r>
    </w:p>
    <w:p>
      <w:pPr>
        <w:spacing w:after="0" w:line="88"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B.</w:t>
        <w:tab/>
        <w:t>Continuous Improvement Efforts to Mitigate Risk</w:t>
      </w:r>
    </w:p>
    <w:p>
      <w:pPr>
        <w:spacing w:after="0" w:line="148"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8"/>
          <w:szCs w:val="18"/>
          <w:color w:val="auto"/>
        </w:rPr>
        <w:t>Since December 31, 2025, RTX has taken or intends to take the following steps to improve the due diligence conducted to further mitigate risks that the Necessary 3TG used in our products could benefit armed groups in the Covered Countries. As part of our regularly scheduled compliance program activities, we intend to:</w:t>
      </w:r>
    </w:p>
    <w:p>
      <w:pPr>
        <w:spacing w:after="0" w:line="7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suppliers to our corporate policy with respect to the sourcing of Conflict Minerals;</w:t>
      </w:r>
    </w:p>
    <w:p>
      <w:pPr>
        <w:spacing w:after="0" w:line="144" w:lineRule="exact"/>
        <w:rPr>
          <w:rFonts w:ascii="Times New Roman" w:cs="Times New Roman" w:eastAsia="Times New Roman" w:hAnsi="Times New Roman"/>
          <w:sz w:val="18"/>
          <w:szCs w:val="18"/>
          <w:color w:val="auto"/>
        </w:rPr>
      </w:pPr>
    </w:p>
    <w:p>
      <w:pPr>
        <w:ind w:left="660" w:right="22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who source 3TG from one of the Covered Countries to do so from smelter(s) or refiner(s) validated as conformant with the RMAP (formerly known as the Conflict-Free Smelter Program) or a similar conflict-free program;</w:t>
      </w:r>
    </w:p>
    <w:p>
      <w:pPr>
        <w:spacing w:after="0" w:line="40" w:lineRule="exact"/>
        <w:rPr>
          <w:rFonts w:ascii="Times New Roman" w:cs="Times New Roman" w:eastAsia="Times New Roman" w:hAnsi="Times New Roman"/>
          <w:sz w:val="18"/>
          <w:szCs w:val="18"/>
          <w:color w:val="auto"/>
        </w:rPr>
      </w:pPr>
    </w:p>
    <w:p>
      <w:pPr>
        <w:ind w:left="660" w:right="20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follow-up with suppliers who do not respond to our supply chain survey in an effort to increase our survey response rate and obtain additional information about the sourcing of 3TG in our supply chain; and</w:t>
      </w:r>
    </w:p>
    <w:p>
      <w:pPr>
        <w:spacing w:after="0" w:line="40" w:lineRule="exact"/>
        <w:rPr>
          <w:rFonts w:ascii="Times New Roman" w:cs="Times New Roman" w:eastAsia="Times New Roman" w:hAnsi="Times New Roman"/>
          <w:sz w:val="18"/>
          <w:szCs w:val="18"/>
          <w:color w:val="auto"/>
        </w:rPr>
      </w:pPr>
    </w:p>
    <w:p>
      <w:pPr>
        <w:ind w:left="660" w:right="6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trade association and/or industry-wide initiatives to define and improve best practices for conducting due diligence on supply chains containing 3TG and/or that support the development of conflict-free supply chains.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4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This Report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“intends,” “strategy,” “prospects,” “estimate,” “project,” “target,” “commit,” “commitment,” “anticipate,” “will,” “should,” “see,” “guidance,” “outlook,” “goals,” “objectives,” “confident,” “on track” and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26" w:right="359" w:bottom="1440" w:gutter="0" w:footer="0" w:header="0"/>
        </w:sectPr>
      </w:pPr>
    </w:p>
    <w:bookmarkStart w:id="9" w:name="page10"/>
    <w:bookmarkEnd w:id="9"/>
    <w:p>
      <w:pPr>
        <w:spacing w:after="0" w:line="292" w:lineRule="auto"/>
        <w:rPr>
          <w:sz w:val="20"/>
          <w:szCs w:val="20"/>
          <w:color w:val="auto"/>
        </w:rPr>
      </w:pPr>
      <w:r>
        <w:rPr>
          <w:rFonts w:ascii="Times New Roman" w:cs="Times New Roman" w:eastAsia="Times New Roman" w:hAnsi="Times New Roman"/>
          <w:sz w:val="18"/>
          <w:szCs w:val="18"/>
          <w:color w:val="auto"/>
        </w:rPr>
        <w:t>other words of similar meaning. Forward-looking statements may include, among other things, statements relating to future supply management practices, policies and plans for procurement of materials, risk management practices, supply chain infrastructure and efforts to improve supply chain transparency.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 the ability of the Company, its suppliers, industry groups and supplier organizations to obtain reliable information as to the source of purchased production materials; the timing for the development of infrastructure allowing such information to be compiled and shared with others in a cost effective and efficient manner; the impact of changes in laws and regulations, (including without limitation with respect to tariffs), and the interpretation thereof; the impact of changes in political conditions; the impact of restructuring activities and the reorganizations of our operations; the impact of acquisitions, divestitures, joint ventures and other transactions; and other factors beyond our control.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026" w:right="35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A to Conflict Minerals Report</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8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8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28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RMI ID*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or Refiner Location</w:t>
            </w:r>
          </w:p>
        </w:tc>
      </w:tr>
      <w:tr>
        <w:trPr>
          <w:trHeight w:val="234"/>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CID002044</w:t>
            </w: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2"/>
        </w:trPr>
        <w:tc>
          <w:tcPr>
            <w:tcW w:w="2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smelter or refiner identified above was included on the RMI Conformant Smelters &amp; Refiners List.</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80"/>
          </w:cols>
          <w:pgMar w:left="320" w:top="887" w:right="399" w:bottom="1440" w:gutter="0" w:footer="0" w:header="0"/>
          <w:type w:val="continuous"/>
        </w:sectPr>
      </w:pPr>
    </w:p>
    <w:bookmarkStart w:id="11" w:name="page12"/>
    <w:bookmarkEnd w:id="11"/>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Schedule B to Conflict Minerals Report</w:t>
      </w:r>
    </w:p>
    <w:p>
      <w:pPr>
        <w:spacing w:after="0" w:line="2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u w:val="single" w:color="auto"/>
          <w:color w:val="auto"/>
        </w:rPr>
        <w:t>Possible Countries of Origin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Australia, Austria, Bolivia, Burundi, Brazil, China, Democratic Republic of the Congo, Kazakhstan, Malaysia, Mexico, Mongolia, Myanmar, Nigeria, Portugal, Russia, Rwanda, Spain, Tanzania, Thailand, Uganda, United Kingdom, United Stated of America, Vietnam.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800"/>
      </w:cols>
      <w:pgMar w:left="320" w:top="88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2026-06-01T05:52:16Z</dcterms:created>
  <dcterms:modified xsi:type="dcterms:W3CDTF">2026-06-01T05:52:16Z</dcterms:modified>
</cp:coreProperties>
</file>