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 </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001-00812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RTX CORPORATION</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 </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06-0570975</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964" w:type="dxa"/>
        <w:jc w:val="center"/>
        <w:tblInd w:w="0" w:type="dxa"/>
        <w:tblLayout w:type="fixed"/>
        <w:tblCellMar>
          <w:top w:w="28" w:type="dxa"/>
          <w:left w:w="28" w:type="dxa"/>
          <w:bottom w:w="28" w:type="dxa"/>
          <w:right w:w="28" w:type="dxa"/>
        </w:tblCellMar>
      </w:tblPr>
      <w:tblGrid>
        <w:gridCol w:w="788"/>
        <w:gridCol w:w="692"/>
        <w:gridCol w:w="694"/>
        <w:gridCol w:w="324"/>
        <w:gridCol w:w="324"/>
        <w:gridCol w:w="326"/>
        <w:gridCol w:w="275"/>
        <w:gridCol w:w="275"/>
        <w:gridCol w:w="276"/>
        <w:gridCol w:w="290"/>
        <w:gridCol w:w="290"/>
        <w:gridCol w:w="4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1000 Wilson Boulevard,</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Arlington,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Virginia</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22209</w:t>
            </w:r>
          </w:p>
        </w:tc>
      </w:tr>
      <w:tr>
        <w:trPr/>
        <w:tc>
          <w:tcPr>
            <w:tcW w:w="39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522-3000</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486" w:type="dxa"/>
        <w:jc w:val="center"/>
        <w:tblInd w:w="0" w:type="dxa"/>
        <w:tblLayout w:type="fixed"/>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(CUSIP 75513E 101)</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2.150% Notes due 2030</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RTX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(CUSIP 75513E AB7)</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Times New Roman;sans-serif" w:hAnsi="Times New Roman;sans-serif"/>
          <w:b w:val="false"/>
          <w:color w:val="000000"/>
          <w:sz w:val="20"/>
        </w:rPr>
        <w:t>.    No  </w:t>
      </w:r>
      <w:r>
        <w:rPr>
          <w:color w:val="000000"/>
        </w:rPr>
        <w:t>☐</w:t>
      </w:r>
      <w:r>
        <w:rPr>
          <w:rFonts w:ascii="Times New Roman;sans-serif" w:hAnsi="Times New Roman;sans-serif"/>
          <w:b w:val="false"/>
          <w:color w:val="000000"/>
          <w:sz w:val="20"/>
        </w:rPr>
        <w:t>.</w:t>
      </w:r>
    </w:p>
    <w:p>
      <w:pPr>
        <w:pStyle w:val="TextBody"/>
        <w:bidi w:val="0"/>
        <w:spacing w:lineRule="auto" w:line="288" w:before="18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Times New Roman;sans-serif" w:hAnsi="Times New Roman;sans-serif"/>
          <w:b w:val="false"/>
          <w:color w:val="000000"/>
          <w:sz w:val="20"/>
        </w:rPr>
        <w:t>.    No  </w:t>
      </w:r>
      <w:r>
        <w:rPr>
          <w:color w:val="000000"/>
        </w:rPr>
        <w:t>☐</w:t>
      </w:r>
      <w:r>
        <w:rPr>
          <w:rFonts w:ascii="Times New Roman;sans-serif" w:hAnsi="Times New Roman;sans-serif"/>
          <w:b w:val="false"/>
          <w:color w:val="000000"/>
          <w:sz w:val="20"/>
        </w:rPr>
        <w: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color w:val="000000"/>
        </w:rPr>
      </w:pPr>
      <w:r>
        <w:rPr>
          <w:color w:val="000000"/>
        </w:rPr>
        <w:t>“</w:t>
      </w:r>
      <w:r>
        <w:rPr>
          <w:rFonts w:ascii="Times New Roman;sans-serif" w:hAnsi="Times New Roman;sans-serif"/>
          <w:b w:val="false"/>
          <w:color w:val="000000"/>
          <w:sz w:val="20"/>
        </w:rPr>
        <w:t>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5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w:t>
      </w:r>
      <w:r>
        <w:rPr>
          <w:rFonts w:ascii="Times New Roman;sans-serif" w:hAnsi="Times New Roman;sans-serif"/>
          <w:b w:val="false"/>
          <w:color w:val="000000"/>
          <w:sz w:val="20"/>
        </w:rPr>
        <w:t>.    No  </w:t>
      </w:r>
      <w:r>
        <w:rPr>
          <w:color w:val="000000"/>
        </w:rPr>
        <w:t>☒</w:t>
      </w:r>
      <w:r>
        <w:rPr>
          <w:rFonts w:ascii="Times New Roman;sans-serif" w:hAnsi="Times New Roman;sans-serif"/>
          <w:b w:val="false"/>
          <w:color w:val="000000"/>
          <w:sz w:val="20"/>
        </w:rPr>
        <w: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there were 1,329,506,013 shares of Common Stock outstanding.</w:t>
      </w:r>
    </w:p>
    <w:p>
      <w:pPr>
        <w:pStyle w:val="TextBody"/>
        <w:bidi w:val="0"/>
        <w:spacing w:before="180" w:after="283"/>
        <w:ind w:left="0" w:right="0" w:firstLine="495"/>
        <w:jc w:val="left"/>
        <w:rPr/>
      </w:pPr>
      <w:r>
        <w:rPr/>
      </w:r>
    </w:p>
    <w:p>
      <w:pPr>
        <w:pStyle w:val="TextBody"/>
        <w:bidi w:val="0"/>
        <w:spacing w:before="0" w:after="0"/>
        <w:jc w:val="center"/>
        <w:rPr/>
      </w:pPr>
      <w:r>
        <w:rPr/>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CONTENTS OF QUARTERLY REPORT ON FORM 10-Q</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2024 </w:t>
      </w:r>
    </w:p>
    <w:p>
      <w:pPr>
        <w:pStyle w:val="TextBody"/>
        <w:bidi w:val="0"/>
        <w:spacing w:lineRule="auto" w:line="288" w:before="0" w:after="0"/>
        <w:jc w:val="left"/>
        <w:rPr>
          <w:color w:val="000000"/>
        </w:rPr>
      </w:pPr>
      <w:r>
        <w:rPr>
          <w:color w:val="000000"/>
        </w:rPr>
        <w:t> </w:t>
      </w:r>
    </w:p>
    <w:tbl>
      <w:tblPr>
        <w:tblW w:w="9661" w:type="dxa"/>
        <w:jc w:val="left"/>
        <w:tblInd w:w="0" w:type="dxa"/>
        <w:tblLayout w:type="fixed"/>
        <w:tblCellMar>
          <w:top w:w="28" w:type="dxa"/>
          <w:left w:w="28" w:type="dxa"/>
          <w:bottom w:w="28" w:type="dxa"/>
          <w:right w:w="28" w:type="dxa"/>
        </w:tblCellMar>
      </w:tblPr>
      <w:tblGrid>
        <w:gridCol w:w="3313"/>
        <w:gridCol w:w="2915"/>
        <w:gridCol w:w="2922"/>
        <w:gridCol w:w="149"/>
        <w:gridCol w:w="149"/>
        <w:gridCol w:w="213"/>
      </w:tblGrid>
      <w:tr>
        <w:trPr/>
        <w:tc>
          <w:tcPr>
            <w:tcW w:w="3313"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10">
              <w:r>
                <w:rPr>
                  <w:rStyle w:val="InternetLink"/>
                  <w:rFonts w:ascii="Times New Roman;sans-serif" w:hAnsi="Times New Roman;sans-serif"/>
                  <w:b w:val="false"/>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10">
              <w:r>
                <w:rPr>
                  <w:rStyle w:val="InternetLink"/>
                  <w:rFonts w:ascii="Times New Roman;sans-serif" w:hAnsi="Times New Roman;sans-serif"/>
                  <w:b w:val="false"/>
                  <w:color w:val="0000FF"/>
                  <w:sz w:val="20"/>
                  <w:u w:val="single"/>
                </w:rPr>
                <w:t>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13">
              <w:r>
                <w:rPr>
                  <w:rStyle w:val="InternetLink"/>
                  <w:rFonts w:ascii="Times New Roman;sans-serif" w:hAnsi="Times New Roman;sans-serif"/>
                  <w:b w:val="false"/>
                  <w:color w:val="0000FF"/>
                  <w:sz w:val="20"/>
                  <w:u w:val="single"/>
                </w:rPr>
                <w:t>Item 1. Unaudited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13">
              <w:r>
                <w:rPr>
                  <w:rStyle w:val="InternetLink"/>
                  <w:rFonts w:ascii="Times New Roman;sans-serif" w:hAnsi="Times New Roman;sans-serif"/>
                  <w:b w:val="false"/>
                  <w:color w:val="0000FF"/>
                  <w:sz w:val="20"/>
                  <w:u w:val="single"/>
                </w:rPr>
                <w:t>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16">
              <w:r>
                <w:rPr>
                  <w:rStyle w:val="InternetLink"/>
                  <w:rFonts w:ascii="Times New Roman;sans-serif" w:hAnsi="Times New Roman;sans-serif"/>
                  <w:b w:val="false"/>
                  <w:color w:val="0000FF"/>
                  <w:sz w:val="20"/>
                  <w:u w:val="single"/>
                </w:rPr>
                <w:t>Condensed Consolidated Statement of Operations for the quarters ended March 31,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16">
              <w:r>
                <w:rPr>
                  <w:rStyle w:val="InternetLink"/>
                  <w:rFonts w:ascii="Times New Roman;sans-serif" w:hAnsi="Times New Roman;sans-serif"/>
                  <w:b w:val="false"/>
                  <w:color w:val="0000FF"/>
                  <w:sz w:val="20"/>
                  <w:u w:val="single"/>
                </w:rPr>
                <w:t>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19">
              <w:r>
                <w:rPr>
                  <w:rStyle w:val="InternetLink"/>
                  <w:rFonts w:ascii="Times New Roman;sans-serif" w:hAnsi="Times New Roman;sans-serif"/>
                  <w:b w:val="false"/>
                  <w:color w:val="0000FF"/>
                  <w:sz w:val="20"/>
                  <w:u w:val="single"/>
                </w:rPr>
                <w:t>Condensed Consolidated Statement of Comprehensive Income for the quarters ended March 31,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19">
              <w:r>
                <w:rPr>
                  <w:rStyle w:val="InternetLink"/>
                  <w:rFonts w:ascii="Times New Roman;sans-serif" w:hAnsi="Times New Roman;sans-serif"/>
                  <w:b w:val="false"/>
                  <w:color w:val="0000FF"/>
                  <w:sz w:val="20"/>
                  <w:u w:val="single"/>
                </w:rPr>
                <w:t>5</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2">
              <w:r>
                <w:rPr>
                  <w:rStyle w:val="InternetLink"/>
                  <w:rFonts w:ascii="Times New Roman;sans-serif" w:hAnsi="Times New Roman;sans-serif"/>
                  <w:b w:val="false"/>
                  <w:color w:val="000080"/>
                  <w:sz w:val="20"/>
                  <w:u w:val="single"/>
                </w:rPr>
                <w:t xml:space="preserve">Condensed Consolidated Balance Sheet at </w:t>
              </w:r>
            </w:hyperlink>
            <w:hyperlink w:anchor="i8da253791574420184181abf7fd91be5_22">
              <w:r>
                <w:rPr>
                  <w:rStyle w:val="InternetLink"/>
                  <w:rFonts w:ascii="Times New Roman;sans-serif" w:hAnsi="Times New Roman;sans-serif"/>
                  <w:b w:val="false"/>
                  <w:color w:val="000080"/>
                  <w:sz w:val="20"/>
                  <w:u w:val="single"/>
                </w:rPr>
                <w:t>March</w:t>
              </w:r>
            </w:hyperlink>
            <w:hyperlink w:anchor="i8da253791574420184181abf7fd91be5_22">
              <w:r>
                <w:rPr>
                  <w:rStyle w:val="InternetLink"/>
                  <w:rFonts w:ascii="Times New Roman;sans-serif" w:hAnsi="Times New Roman;sans-serif"/>
                  <w:b w:val="false"/>
                  <w:color w:val="000080"/>
                  <w:sz w:val="20"/>
                  <w:u w:val="single"/>
                </w:rPr>
                <w:t xml:space="preserve"> </w:t>
              </w:r>
            </w:hyperlink>
            <w:hyperlink w:anchor="i8da253791574420184181abf7fd91be5_22">
              <w:r>
                <w:rPr>
                  <w:rStyle w:val="InternetLink"/>
                  <w:rFonts w:ascii="Times New Roman;sans-serif" w:hAnsi="Times New Roman;sans-serif"/>
                  <w:b w:val="false"/>
                  <w:color w:val="000080"/>
                  <w:sz w:val="20"/>
                  <w:u w:val="single"/>
                </w:rPr>
                <w:t>31</w:t>
              </w:r>
            </w:hyperlink>
            <w:hyperlink w:anchor="i8da253791574420184181abf7fd91be5_22">
              <w:r>
                <w:rPr>
                  <w:rStyle w:val="InternetLink"/>
                  <w:rFonts w:ascii="Times New Roman;sans-serif" w:hAnsi="Times New Roman;sans-serif"/>
                  <w:b w:val="false"/>
                  <w:color w:val="000080"/>
                  <w:sz w:val="20"/>
                  <w:u w:val="single"/>
                </w:rPr>
                <w:t>, 202</w:t>
              </w:r>
            </w:hyperlink>
            <w:hyperlink w:anchor="i8da253791574420184181abf7fd91be5_22">
              <w:r>
                <w:rPr>
                  <w:rStyle w:val="InternetLink"/>
                  <w:rFonts w:ascii="Times New Roman;sans-serif" w:hAnsi="Times New Roman;sans-serif"/>
                  <w:b w:val="false"/>
                  <w:color w:val="000080"/>
                  <w:sz w:val="20"/>
                  <w:u w:val="single"/>
                </w:rPr>
                <w:t>4</w:t>
              </w:r>
            </w:hyperlink>
            <w:hyperlink w:anchor="i8da253791574420184181abf7fd91be5_22">
              <w:r>
                <w:rPr>
                  <w:rStyle w:val="InternetLink"/>
                  <w:rFonts w:ascii="Times New Roman;sans-serif" w:hAnsi="Times New Roman;sans-serif"/>
                  <w:b w:val="false"/>
                  <w:color w:val="000080"/>
                  <w:sz w:val="20"/>
                  <w:u w:val="single"/>
                </w:rPr>
                <w:t xml:space="preserve"> and December 31, 202</w:t>
              </w:r>
            </w:hyperlink>
            <w:hyperlink w:anchor="i8da253791574420184181abf7fd91be5_22">
              <w:r>
                <w:rPr>
                  <w:rStyle w:val="InternetLink"/>
                  <w:rFonts w:ascii="Times New Roman;sans-serif" w:hAnsi="Times New Roman;sans-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2">
              <w:r>
                <w:rPr>
                  <w:rStyle w:val="InternetLink"/>
                  <w:rFonts w:ascii="Times New Roman;sans-serif" w:hAnsi="Times New Roman;sans-serif"/>
                  <w:b w:val="false"/>
                  <w:color w:val="0000FF"/>
                  <w:sz w:val="20"/>
                  <w:u w:val="single"/>
                </w:rPr>
                <w:t>6</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5">
              <w:r>
                <w:rPr>
                  <w:rStyle w:val="InternetLink"/>
                  <w:rFonts w:ascii="Times New Roman;sans-serif" w:hAnsi="Times New Roman;sans-serif"/>
                  <w:b w:val="false"/>
                  <w:color w:val="0000FF"/>
                  <w:sz w:val="20"/>
                  <w:u w:val="single"/>
                </w:rPr>
                <w:t>Condensed Consolidated Statement of Cash Flows for the quarters ended March 31,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5">
              <w:r>
                <w:rPr>
                  <w:rStyle w:val="InternetLink"/>
                  <w:rFonts w:ascii="Times New Roman;sans-serif" w:hAnsi="Times New Roman;sans-serif"/>
                  <w:b w:val="false"/>
                  <w:color w:val="0000FF"/>
                  <w:sz w:val="20"/>
                  <w:u w:val="single"/>
                </w:rPr>
                <w:t>7</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8">
              <w:r>
                <w:rPr>
                  <w:rStyle w:val="InternetLink"/>
                  <w:rFonts w:ascii="Times New Roman;sans-serif" w:hAnsi="Times New Roman;sans-serif"/>
                  <w:b w:val="false"/>
                  <w:color w:val="0000FF"/>
                  <w:sz w:val="20"/>
                  <w:u w:val="single"/>
                </w:rPr>
                <w:t>Condensed Consolidated Statement of Changes in Equity for the quarters ended March 31,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8">
              <w:r>
                <w:rPr>
                  <w:rStyle w:val="InternetLink"/>
                  <w:rFonts w:ascii="Times New Roman;sans-serif" w:hAnsi="Times New Roman;sans-serif"/>
                  <w:b w:val="false"/>
                  <w:color w:val="0000FF"/>
                  <w:sz w:val="20"/>
                  <w:u w:val="single"/>
                </w:rPr>
                <w:t>8</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31">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31">
              <w:r>
                <w:rPr>
                  <w:rStyle w:val="InternetLink"/>
                  <w:rFonts w:ascii="Times New Roman;sans-serif" w:hAnsi="Times New Roman;sans-serif"/>
                  <w:b w:val="false"/>
                  <w:color w:val="0000FF"/>
                  <w:sz w:val="20"/>
                  <w:u w:val="single"/>
                </w:rPr>
                <w:t>9</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130">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130">
              <w:r>
                <w:rPr>
                  <w:rStyle w:val="InternetLink"/>
                  <w:rFonts w:ascii="Times New Roman;sans-serif" w:hAnsi="Times New Roman;sans-serif"/>
                  <w:b w:val="false"/>
                  <w:color w:val="0000FF"/>
                  <w:sz w:val="20"/>
                  <w:u w:val="single"/>
                </w:rPr>
                <w:t>27</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136">
              <w:r>
                <w:rPr>
                  <w:rStyle w:val="InternetLink"/>
                  <w:rFonts w:ascii="Times New Roman;sans-serif" w:hAnsi="Times New Roman;sans-serif"/>
                  <w:b w:val="false"/>
                  <w:color w:val="000080"/>
                  <w:sz w:val="20"/>
                  <w:u w:val="single"/>
                </w:rPr>
                <w:t>Item 2. Management</w:t>
              </w:r>
            </w:hyperlink>
            <w:hyperlink w:anchor="i8da253791574420184181abf7fd91be5_136">
              <w:r>
                <w:rPr>
                  <w:rStyle w:val="InternetLink"/>
                  <w:rFonts w:ascii="Times New Roman;sans-serif" w:hAnsi="Times New Roman;sans-serif"/>
                  <w:b w:val="false"/>
                  <w:color w:val="000080"/>
                  <w:sz w:val="20"/>
                  <w:u w:val="single"/>
                </w:rPr>
                <w:t>’</w:t>
              </w:r>
            </w:hyperlink>
            <w:hyperlink w:anchor="i8da253791574420184181abf7fd91be5_136">
              <w:r>
                <w:rPr>
                  <w:rStyle w:val="InternetLink"/>
                  <w:rFonts w:ascii="Times New Roman;sans-serif" w:hAnsi="Times New Roman;sans-serif"/>
                  <w:b w:val="false"/>
                  <w:color w:val="000080"/>
                  <w:sz w:val="20"/>
                  <w:u w:val="single"/>
                </w:rPr>
                <w: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136">
              <w:r>
                <w:rPr>
                  <w:rStyle w:val="InternetLink"/>
                  <w:rFonts w:ascii="Times New Roman;sans-serif" w:hAnsi="Times New Roman;sans-serif"/>
                  <w:b w:val="false"/>
                  <w:color w:val="0000FF"/>
                  <w:sz w:val="20"/>
                  <w:u w:val="single"/>
                </w:rPr>
                <w:t>28</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65">
              <w:r>
                <w:rPr>
                  <w:rStyle w:val="InternetLink"/>
                  <w:rFonts w:ascii="Times New Roman;sans-serif" w:hAnsi="Times New Roman;sans-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65">
              <w:r>
                <w:rPr>
                  <w:rStyle w:val="InternetLink"/>
                  <w:rFonts w:ascii="Times New Roman;sans-serif" w:hAnsi="Times New Roman;sans-serif"/>
                  <w:b w:val="false"/>
                  <w:color w:val="0000FF"/>
                  <w:sz w:val="20"/>
                  <w:u w:val="single"/>
                </w:rPr>
                <w:t>42</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68">
              <w:r>
                <w:rPr>
                  <w:rStyle w:val="InternetLink"/>
                  <w:rFonts w:ascii="Times New Roman;sans-serif" w:hAnsi="Times New Roman;sans-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68">
              <w:r>
                <w:rPr>
                  <w:rStyle w:val="InternetLink"/>
                  <w:rFonts w:ascii="Times New Roman;sans-serif" w:hAnsi="Times New Roman;sans-serif"/>
                  <w:b w:val="false"/>
                  <w:color w:val="0000FF"/>
                  <w:sz w:val="20"/>
                  <w:u w:val="single"/>
                </w:rPr>
                <w:t>42</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74">
              <w:r>
                <w:rPr>
                  <w:rStyle w:val="InternetLink"/>
                  <w:rFonts w:ascii="Times New Roman;sans-serif" w:hAnsi="Times New Roman;sans-serif"/>
                  <w:b w:val="false"/>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74">
              <w:r>
                <w:rPr>
                  <w:rStyle w:val="InternetLink"/>
                  <w:rFonts w:ascii="Times New Roman;sans-serif" w:hAnsi="Times New Roman;sans-serif"/>
                  <w:b w:val="false"/>
                  <w:color w:val="0000FF"/>
                  <w:sz w:val="20"/>
                  <w:u w:val="single"/>
                </w:rPr>
                <w:t>44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77">
              <w:r>
                <w:rPr>
                  <w:rStyle w:val="InternetLink"/>
                  <w:rFonts w:ascii="Times New Roman;sans-serif" w:hAnsi="Times New Roman;sans-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77">
              <w:r>
                <w:rPr>
                  <w:rStyle w:val="InternetLink"/>
                  <w:rFonts w:ascii="Times New Roman;sans-serif" w:hAnsi="Times New Roman;sans-serif"/>
                  <w:b w:val="false"/>
                  <w:color w:val="0000FF"/>
                  <w:sz w:val="20"/>
                  <w:u w:val="single"/>
                </w:rPr>
                <w:t>44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80">
              <w:r>
                <w:rPr>
                  <w:rStyle w:val="InternetLink"/>
                  <w:rFonts w:ascii="Times New Roman;sans-serif" w:hAnsi="Times New Roman;sans-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80">
              <w:r>
                <w:rPr>
                  <w:rStyle w:val="InternetLink"/>
                  <w:rFonts w:ascii="Times New Roman;sans-serif" w:hAnsi="Times New Roman;sans-serif"/>
                  <w:b w:val="false"/>
                  <w:color w:val="0000FF"/>
                  <w:sz w:val="20"/>
                  <w:u w:val="single"/>
                </w:rPr>
                <w:t>45</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83">
              <w:r>
                <w:rPr>
                  <w:rStyle w:val="InternetLink"/>
                  <w:rFonts w:ascii="Times New Roman;sans-serif" w:hAnsi="Times New Roman;sans-serif"/>
                  <w:b w:val="false"/>
                  <w:color w:val="000080"/>
                  <w:sz w:val="20"/>
                  <w:u w:val="single"/>
                </w:rPr>
                <w:t>Item 2. Unregistered Sales of Equity Securities</w:t>
              </w:r>
            </w:hyperlink>
            <w:hyperlink w:anchor="i8da253791574420184181abf7fd91be5_283">
              <w:r>
                <w:rPr>
                  <w:rStyle w:val="InternetLink"/>
                  <w:rFonts w:ascii="Times New Roman;sans-serif" w:hAnsi="Times New Roman;sans-serif"/>
                  <w:b w:val="false"/>
                  <w:color w:val="000080"/>
                  <w:sz w:val="20"/>
                  <w:u w:val="single"/>
                </w:rPr>
                <w:t xml:space="preserve"> and</w:t>
              </w:r>
            </w:hyperlink>
            <w:hyperlink w:anchor="i8da253791574420184181abf7fd91be5_283">
              <w:r>
                <w:rPr>
                  <w:rStyle w:val="InternetLink"/>
                  <w:rFonts w:ascii="Times New Roman;sans-serif" w:hAnsi="Times New Roman;sans-serif"/>
                  <w:b w:val="false"/>
                  <w:color w:val="000080"/>
                  <w:sz w:val="20"/>
                  <w:u w:val="single"/>
                </w:rPr>
                <w:t xml:space="preserve">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83">
              <w:r>
                <w:rPr>
                  <w:rStyle w:val="InternetLink"/>
                  <w:rFonts w:ascii="Times New Roman;sans-serif" w:hAnsi="Times New Roman;sans-serif"/>
                  <w:b w:val="false"/>
                  <w:color w:val="0000FF"/>
                  <w:sz w:val="20"/>
                  <w:u w:val="single"/>
                </w:rPr>
                <w:t>45</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86">
              <w:r>
                <w:rPr>
                  <w:rStyle w:val="InternetLink"/>
                  <w:rFonts w:ascii="Times New Roman;sans-serif" w:hAnsi="Times New Roman;sans-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86">
              <w:r>
                <w:rPr>
                  <w:rStyle w:val="InternetLink"/>
                  <w:rFonts w:ascii="Times New Roman;sans-serif" w:hAnsi="Times New Roman;sans-serif"/>
                  <w:b w:val="false"/>
                  <w:color w:val="0000FF"/>
                  <w:sz w:val="20"/>
                  <w:u w:val="single"/>
                </w:rPr>
                <w:t>45</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89">
              <w:r>
                <w:rPr>
                  <w:rStyle w:val="InternetLink"/>
                  <w:rFonts w:ascii="Times New Roman;sans-serif" w:hAnsi="Times New Roman;sans-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89">
              <w:r>
                <w:rPr>
                  <w:rStyle w:val="InternetLink"/>
                  <w:rFonts w:ascii="Times New Roman;sans-serif" w:hAnsi="Times New Roman;sans-serif"/>
                  <w:b w:val="false"/>
                  <w:color w:val="0000FF"/>
                  <w:sz w:val="20"/>
                  <w:u w:val="single"/>
                </w:rPr>
                <w:t>46</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a253791574420184181abf7fd91be5_292">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a253791574420184181abf7fd91be5_292">
              <w:r>
                <w:rPr>
                  <w:rStyle w:val="InternetLink"/>
                  <w:rFonts w:ascii="Times New Roman;sans-serif" w:hAnsi="Times New Roman;sans-serif"/>
                  <w:b w:val="false"/>
                  <w:color w:val="0000FF"/>
                  <w:sz w:val="20"/>
                  <w:u w:val="single"/>
                </w:rPr>
                <w:t>47</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 OF OPERATIONS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7584" w:type="dxa"/>
        <w:jc w:val="center"/>
        <w:tblInd w:w="0" w:type="dxa"/>
        <w:tblLayout w:type="fixed"/>
        <w:tblCellMar>
          <w:top w:w="28" w:type="dxa"/>
          <w:left w:w="28" w:type="dxa"/>
          <w:bottom w:w="28" w:type="dxa"/>
          <w:right w:w="28" w:type="dxa"/>
        </w:tblCellMar>
      </w:tblPr>
      <w:tblGrid>
        <w:gridCol w:w="1694"/>
        <w:gridCol w:w="1487"/>
        <w:gridCol w:w="1498"/>
        <w:gridCol w:w="211"/>
        <w:gridCol w:w="736"/>
        <w:gridCol w:w="109"/>
        <w:gridCol w:w="109"/>
        <w:gridCol w:w="109"/>
        <w:gridCol w:w="109"/>
        <w:gridCol w:w="211"/>
        <w:gridCol w:w="721"/>
        <w:gridCol w:w="109"/>
        <w:gridCol w:w="109"/>
        <w:gridCol w:w="109"/>
        <w:gridCol w:w="109"/>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net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19,305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 - 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 -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17,807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profit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1,870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expense (income),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Non-service pension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non-operating expense (income),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Noncontrolling interest in subsidiaries’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Per Share attributable to common shareowners: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1.28</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95" w:type="dxa"/>
        <w:jc w:val="left"/>
        <w:tblInd w:w="0" w:type="dxa"/>
        <w:tblLayout w:type="fixed"/>
        <w:tblCellMar>
          <w:top w:w="28" w:type="dxa"/>
          <w:left w:w="28" w:type="dxa"/>
          <w:bottom w:w="28" w:type="dxa"/>
          <w:right w:w="28" w:type="dxa"/>
        </w:tblCellMar>
      </w:tblPr>
      <w:tblGrid>
        <w:gridCol w:w="2176"/>
        <w:gridCol w:w="1908"/>
        <w:gridCol w:w="1916"/>
        <w:gridCol w:w="211"/>
        <w:gridCol w:w="631"/>
        <w:gridCol w:w="109"/>
        <w:gridCol w:w="109"/>
        <w:gridCol w:w="109"/>
        <w:gridCol w:w="109"/>
        <w:gridCol w:w="211"/>
        <w:gridCol w:w="616"/>
        <w:gridCol w:w="109"/>
        <w:gridCol w:w="109"/>
        <w:gridCol w:w="109"/>
        <w:gridCol w:w="109"/>
        <w:gridCol w:w="154"/>
      </w:tblGrid>
      <w:tr>
        <w:trPr/>
        <w:tc>
          <w:tcPr>
            <w:tcW w:w="2176"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plans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cash flow hedging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items of other 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shareowners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10" w:type="dxa"/>
        <w:jc w:val="center"/>
        <w:tblInd w:w="0" w:type="dxa"/>
        <w:tblLayout w:type="fixed"/>
        <w:tblCellMar>
          <w:top w:w="28" w:type="dxa"/>
          <w:left w:w="28" w:type="dxa"/>
          <w:bottom w:w="28" w:type="dxa"/>
          <w:right w:w="28" w:type="dxa"/>
        </w:tblCellMar>
      </w:tblPr>
      <w:tblGrid>
        <w:gridCol w:w="1914"/>
        <w:gridCol w:w="1679"/>
        <w:gridCol w:w="1686"/>
        <w:gridCol w:w="229"/>
        <w:gridCol w:w="913"/>
        <w:gridCol w:w="118"/>
        <w:gridCol w:w="109"/>
        <w:gridCol w:w="109"/>
        <w:gridCol w:w="109"/>
        <w:gridCol w:w="273"/>
        <w:gridCol w:w="1072"/>
        <w:gridCol w:w="199"/>
      </w:tblGrid>
      <w:tr>
        <w:trPr/>
        <w:tc>
          <w:tcPr>
            <w:tcW w:w="191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5,607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10,280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13,104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12,139 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12,386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 current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6,646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48,023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48,417 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financing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2,359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Fixed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31,623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(15,985)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(15,644)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Fixed assets, net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15,638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15,748 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right-of-use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1,639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53,644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34,960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35,399 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3,924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160,187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161,869 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Redeemable Noncontrolling Interest, and Equity</w:t>
            </w:r>
          </w:p>
        </w:tc>
        <w:tc>
          <w:tcPr>
            <w:tcW w:w="12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borrowings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10,522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employee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1,862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15,006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17,119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currently due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45,019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46,761 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42,334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non-current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1,410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Future pension and postretirement benefit obligations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2,320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6,967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98,050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100,424 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16)</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Redeemable noncontrolling interest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Shareowners’ Equity:</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37,108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(27,029)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53,052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Unearned ESOP shares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(2,635)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shareowners’ equity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60,485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59,798 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1,615</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equity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62,100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61,410 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redeemable noncontrolling interest, and equity</w:t>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160,187</w:t>
            </w:r>
            <w:r>
              <w:rPr>
                <w:color w:val="000000"/>
              </w:rPr>
              <w:t>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161,869 </w:t>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CONDENSED CONSOLIDATED STATEMENT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3"/>
        <w:gridCol w:w="2526"/>
        <w:gridCol w:w="2535"/>
        <w:gridCol w:w="211"/>
        <w:gridCol w:w="631"/>
        <w:gridCol w:w="109"/>
        <w:gridCol w:w="109"/>
        <w:gridCol w:w="109"/>
        <w:gridCol w:w="109"/>
        <w:gridCol w:w="211"/>
        <w:gridCol w:w="616"/>
        <w:gridCol w:w="156"/>
      </w:tblGrid>
      <w:tr>
        <w:trPr/>
        <w:tc>
          <w:tcPr>
            <w:tcW w:w="2883"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7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flows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compensation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periodic pension and other postretirement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Cybersecurity, Intelligence and Services business, net of transaction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flows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Dispositions of businesses, net of cash transferred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in other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from settlements of derivative contracts,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flows provided by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commercial paper, net (Note 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other short-term borrowings,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 on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flows (used in)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 cash,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end of period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Restricted cash, included in Other assets, current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5,607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5,893 </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49" w:type="dxa"/>
        <w:jc w:val="center"/>
        <w:tblInd w:w="0" w:type="dxa"/>
        <w:tblLayout w:type="fixed"/>
        <w:tblCellMar>
          <w:top w:w="28" w:type="dxa"/>
          <w:left w:w="28" w:type="dxa"/>
          <w:bottom w:w="28" w:type="dxa"/>
          <w:right w:w="28" w:type="dxa"/>
        </w:tblCellMar>
      </w:tblPr>
      <w:tblGrid>
        <w:gridCol w:w="1754"/>
        <w:gridCol w:w="1542"/>
        <w:gridCol w:w="1548"/>
        <w:gridCol w:w="211"/>
        <w:gridCol w:w="736"/>
        <w:gridCol w:w="109"/>
        <w:gridCol w:w="109"/>
        <w:gridCol w:w="109"/>
        <w:gridCol w:w="109"/>
        <w:gridCol w:w="211"/>
        <w:gridCol w:w="721"/>
        <w:gridCol w:w="109"/>
        <w:gridCol w:w="109"/>
        <w:gridCol w:w="109"/>
        <w:gridCol w:w="109"/>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 shares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Equity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Common Stock</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37,055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plans activity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37,108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Treasury Stock</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(26,977)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(27,029)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Retained Earnings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52,154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attributable to common shareholders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ESOP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53,052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Unearned ESOP Shares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plans activity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Accumulated Other Comprehensive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Noncontrolling Interest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Redeemable noncontrolling interest 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attributable to noncontrolling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Disposition of noncontrolling interest,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Equity at March 31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62,100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8" w:type="dxa"/>
            <w:gridSpan w:val="1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share information</w:t>
            </w:r>
          </w:p>
        </w:tc>
        <w:tc>
          <w:tcPr>
            <w:tcW w:w="481" w:type="dxa"/>
            <w:gridSpan w:val="4"/>
            <w:tcBorders/>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Shares of common stock issued under employee plans,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Shares of common stock repurchased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declared per share of common stock</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0.590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0.550 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RTX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at March 31, 2024 and for the quarters ended March 31, 2024 and 2023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2023 Annual Report on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the terms “we,” “our,” “us,” “the Company,” and “RTX” mean RTX Corporation and its subsidiaries.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immaterial prior period amounts within the Condensed Consolidated Statement of Cash Flows to conform to our current period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 2023, we streamlined the structure of our core businesses to three principal business segments: Collins Aerospace, Pratt &amp; Whitney, and Raytheon. Prior period information has been recast to conform to our current period presentation.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Raytheon follows a 4-4-5 fiscal calendar while Collins Aerospace (Collins) and Pratt &amp; Whitney use a quarter calendar end. Throughout this Quarterly Report on Form 10-Q, when we refer to the quarters ended March 31, 2024 and 2023 with respect to Raytheon, we are referring to their March 31, 2024 and April 2, 2023 fiscal quarter ends, respectively. </w:t>
      </w:r>
    </w:p>
    <w:p>
      <w:pPr>
        <w:pStyle w:val="TextBody"/>
        <w:bidi w:val="0"/>
        <w:spacing w:lineRule="auto" w:line="288" w:before="120" w:after="283"/>
        <w:jc w:val="both"/>
        <w:rPr/>
      </w:pPr>
      <w:r>
        <w:rPr>
          <w:rFonts w:ascii="Times New Roman;sans-serif" w:hAnsi="Times New Roman;sans-serif"/>
          <w:b w:val="false"/>
          <w:i/>
          <w:color w:val="000000"/>
          <w:sz w:val="20"/>
        </w:rPr>
        <w:t xml:space="preserve">Pratt &amp; Whitney Powder Metal Matter. </w:t>
      </w:r>
      <w:r>
        <w:rPr>
          <w:rFonts w:ascii="Times New Roman;sans-serif" w:hAnsi="Times New Roman;sans-serif"/>
          <w:b w:val="false"/>
          <w:color w:val="000000"/>
          <w:sz w:val="20"/>
        </w:rPr>
        <w:t>As previously disclosed, Pratt &amp; Whitney has determined that a rare condition in powder metal used to manufacture certain engine parts requires accelerated inspection of the PW1100G-JM (PW1100) Geared Turbofan (GTF) fleet, which powers the A320neo family of aircraft (A320neo) (herein referred to as the “Powder Metal Matter”). See “Note 16: Commitments and Contingencies”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Russia Sanctions.</w:t>
      </w:r>
      <w:r>
        <w:rPr>
          <w:color w:val="000000"/>
        </w:rPr>
        <w:t xml:space="preserve"> </w:t>
      </w:r>
      <w:r>
        <w:rPr>
          <w:rFonts w:ascii="Times New Roman;sans-serif" w:hAnsi="Times New Roman;sans-serif"/>
          <w:b w:val="false"/>
          <w:color w:val="000000"/>
          <w:sz w:val="20"/>
        </w:rPr>
        <w:t>In response to Russia’s invasion of Ukraine, the U.S. government and the governments of various jurisdictions in which we operate, have imposed broad economic sanctions and export controls targeting specific industries, entities, and individuals in Russia. As a result of the Canadian government’s imposition of sanctions in February 2024, which included U.S.- and German-based Russian-owned entities from which we source titanium for use in our Canadian operations, we recorded charges of $175 million in the first quarter of 2024 within our Collins segment. These charges are primarily related to the recognition of unfavorable purchase commitments and an impairment of contract fulfillment costs that are no longer recoverable as a result of initiating alternative titanium sources. We continue to monitor developments, including additional sanctions and other measures, that could adversely affect the Company and/or our supply chain, business partners, or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Acquisitions and Dispositions</w:t>
      </w:r>
    </w:p>
    <w:p>
      <w:pPr>
        <w:pStyle w:val="TextBody"/>
        <w:bidi w:val="0"/>
        <w:spacing w:lineRule="auto" w:line="288" w:before="120" w:after="283"/>
        <w:jc w:val="both"/>
        <w:rPr/>
      </w:pPr>
      <w:r>
        <w:rPr>
          <w:rFonts w:ascii="Times New Roman;sans-serif" w:hAnsi="Times New Roman;sans-serif"/>
          <w:b/>
          <w:color w:val="000000"/>
          <w:sz w:val="20"/>
        </w:rPr>
        <w:t xml:space="preserve">Dispositions. </w:t>
      </w:r>
      <w:r>
        <w:rPr>
          <w:rFonts w:ascii="Times New Roman;sans-serif" w:hAnsi="Times New Roman;sans-serif"/>
          <w:b w:val="false"/>
          <w:color w:val="000000"/>
          <w:sz w:val="20"/>
        </w:rPr>
        <w:t>On March 29, 2024, we completed the sale of our Cybersecurity, Intelligence and Services (CIS) business within our Raytheon segment for proceeds of approximately $1.3 billion in cash, resulting in an aggregate pre-tax gain, net of transaction and other related costs, of $0.4 billion ($0.2 billion after tax), primarily recognized in Other income, net within the Condensed Consolidated Statement of Operations.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July 20, 2023, we entered into a definitive agreement to sell the actuation and flight control business within our Collins segment to Safran S.A. for gross proceeds of approximately $1.8 billion. The closing of the transaction is subject to regulatory approvals and other customary closing conditions. On November 16, 2023, the Italian government notified RTX that it has denied Safran’s proposed acquisition of the portion of the Collins business conducted by Microtecnica S.r.l. RTX and Safran have both appealed that decision to the relevant regional court in Italy, and continue to evaluate additional options in response to the Italian government’s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Goodwill and Intangible Assets</w:t>
      </w:r>
    </w:p>
    <w:p>
      <w:pPr>
        <w:pStyle w:val="TextBody"/>
        <w:bidi w:val="0"/>
        <w:spacing w:lineRule="auto" w:line="288" w:before="120" w:after="283"/>
        <w:jc w:val="both"/>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Changes in our goodwill balances for the quarter ended March 31, 2024 were as follows:</w:t>
      </w:r>
    </w:p>
    <w:tbl>
      <w:tblPr>
        <w:tblW w:w="10205" w:type="dxa"/>
        <w:jc w:val="left"/>
        <w:tblInd w:w="0" w:type="dxa"/>
        <w:tblLayout w:type="fixed"/>
        <w:tblCellMar>
          <w:top w:w="28" w:type="dxa"/>
          <w:left w:w="28" w:type="dxa"/>
          <w:bottom w:w="28" w:type="dxa"/>
          <w:right w:w="28" w:type="dxa"/>
        </w:tblCellMar>
      </w:tblPr>
      <w:tblGrid>
        <w:gridCol w:w="651"/>
        <w:gridCol w:w="570"/>
        <w:gridCol w:w="492"/>
        <w:gridCol w:w="363"/>
        <w:gridCol w:w="1243"/>
        <w:gridCol w:w="188"/>
        <w:gridCol w:w="109"/>
        <w:gridCol w:w="109"/>
        <w:gridCol w:w="109"/>
        <w:gridCol w:w="461"/>
        <w:gridCol w:w="889"/>
        <w:gridCol w:w="241"/>
        <w:gridCol w:w="109"/>
        <w:gridCol w:w="109"/>
        <w:gridCol w:w="109"/>
        <w:gridCol w:w="109"/>
        <w:gridCol w:w="109"/>
        <w:gridCol w:w="663"/>
        <w:gridCol w:w="1182"/>
        <w:gridCol w:w="343"/>
        <w:gridCol w:w="109"/>
        <w:gridCol w:w="109"/>
        <w:gridCol w:w="109"/>
        <w:gridCol w:w="328"/>
        <w:gridCol w:w="1146"/>
        <w:gridCol w:w="246"/>
      </w:tblGrid>
      <w:tr>
        <w:trPr/>
        <w:tc>
          <w:tcPr>
            <w:tcW w:w="65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and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 March 31, 2024</w:t>
            </w:r>
          </w:p>
        </w:tc>
      </w:tr>
      <w:tr>
        <w:trPr/>
        <w:tc>
          <w:tcPr>
            <w:tcW w:w="1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33,078</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1,563</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18,986</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53,627</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53,699 </w:t>
            </w:r>
          </w:p>
        </w:tc>
        <w:tc>
          <w:tcPr>
            <w:tcW w:w="18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w:t>
            </w:r>
          </w:p>
        </w:tc>
        <w:tc>
          <w:tcPr>
            <w:tcW w:w="3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53,644</w:t>
            </w:r>
            <w:r>
              <w:rPr>
                <w:color w:val="000000"/>
              </w:rPr>
              <w:t> </w:t>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color w:val="000000"/>
          <w:sz w:val="20"/>
        </w:rPr>
        <w:t>Intangible Assets.</w:t>
      </w:r>
      <w:r>
        <w:rPr>
          <w:color w:val="000000"/>
        </w:rPr>
        <w:t xml:space="preserve"> </w:t>
      </w:r>
      <w:r>
        <w:rPr>
          <w:rFonts w:ascii="Times New Roman;sans-serif" w:hAnsi="Times New Roman;sans-serif"/>
          <w:b w:val="false"/>
          <w:color w:val="000000"/>
          <w:sz w:val="20"/>
        </w:rPr>
        <w:t>Identifiable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1005"/>
        <w:gridCol w:w="879"/>
        <w:gridCol w:w="878"/>
        <w:gridCol w:w="230"/>
        <w:gridCol w:w="805"/>
        <w:gridCol w:w="121"/>
        <w:gridCol w:w="109"/>
        <w:gridCol w:w="109"/>
        <w:gridCol w:w="109"/>
        <w:gridCol w:w="387"/>
        <w:gridCol w:w="1464"/>
        <w:gridCol w:w="200"/>
        <w:gridCol w:w="109"/>
        <w:gridCol w:w="109"/>
        <w:gridCol w:w="109"/>
        <w:gridCol w:w="234"/>
        <w:gridCol w:w="800"/>
        <w:gridCol w:w="122"/>
        <w:gridCol w:w="109"/>
        <w:gridCol w:w="109"/>
        <w:gridCol w:w="109"/>
        <w:gridCol w:w="380"/>
        <w:gridCol w:w="1437"/>
        <w:gridCol w:w="282"/>
      </w:tblGrid>
      <w:tr>
        <w:trPr/>
        <w:tc>
          <w:tcPr>
            <w:tcW w:w="100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r>
      <w:tr>
        <w:trPr/>
        <w:tc>
          <w:tcPr>
            <w:tcW w:w="2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assets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5,879</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Exclusivity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1,211</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29,564</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(11,115)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40,170</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(13,867)</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8,657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48,827</w:t>
            </w:r>
            <w:r>
              <w:rPr>
                <w:color w:val="000000"/>
              </w:rPr>
              <w:t> </w:t>
            </w:r>
          </w:p>
        </w:tc>
        <w:tc>
          <w:tcPr>
            <w:tcW w:w="1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(13,867)</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48,757 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Amortization of intangible assets for the quarters ended March 31, 2024 and 2023 was $526 million and $509 million, respectively. The following is the expected amortization of intangible assets for the remainder of 2024 through 2029:</w:t>
      </w:r>
      <w:r>
        <w:rPr>
          <w:color w:val="000000"/>
        </w:rPr>
        <w:t> </w:t>
      </w:r>
    </w:p>
    <w:tbl>
      <w:tblPr>
        <w:tblW w:w="9882" w:type="dxa"/>
        <w:jc w:val="left"/>
        <w:tblInd w:w="0" w:type="dxa"/>
        <w:tblLayout w:type="fixed"/>
        <w:tblCellMar>
          <w:top w:w="28" w:type="dxa"/>
          <w:left w:w="28" w:type="dxa"/>
          <w:bottom w:w="28" w:type="dxa"/>
          <w:right w:w="28" w:type="dxa"/>
        </w:tblCellMar>
      </w:tblPr>
      <w:tblGrid>
        <w:gridCol w:w="691"/>
        <w:gridCol w:w="606"/>
        <w:gridCol w:w="608"/>
        <w:gridCol w:w="109"/>
        <w:gridCol w:w="109"/>
        <w:gridCol w:w="109"/>
        <w:gridCol w:w="291"/>
        <w:gridCol w:w="849"/>
        <w:gridCol w:w="15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r>
      <w:tr>
        <w:trPr/>
        <w:tc>
          <w:tcPr>
            <w:tcW w:w="19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Earnings Per Share</w:t>
      </w:r>
    </w:p>
    <w:tbl>
      <w:tblPr>
        <w:tblW w:w="7374" w:type="dxa"/>
        <w:jc w:val="left"/>
        <w:tblInd w:w="0" w:type="dxa"/>
        <w:tblLayout w:type="fixed"/>
        <w:tblCellMar>
          <w:top w:w="28" w:type="dxa"/>
          <w:left w:w="28" w:type="dxa"/>
          <w:bottom w:w="28" w:type="dxa"/>
          <w:right w:w="28" w:type="dxa"/>
        </w:tblCellMar>
      </w:tblPr>
      <w:tblGrid>
        <w:gridCol w:w="1694"/>
        <w:gridCol w:w="1486"/>
        <w:gridCol w:w="1499"/>
        <w:gridCol w:w="211"/>
        <w:gridCol w:w="631"/>
        <w:gridCol w:w="109"/>
        <w:gridCol w:w="109"/>
        <w:gridCol w:w="109"/>
        <w:gridCol w:w="109"/>
        <w:gridCol w:w="211"/>
        <w:gridCol w:w="616"/>
        <w:gridCol w:w="109"/>
        <w:gridCol w:w="109"/>
        <w:gridCol w:w="109"/>
        <w:gridCol w:w="109"/>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and shares in millions, except per share amounts)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number of shares outstanding</w:t>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1,329.4</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equity units (share equivalent)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number of shares outstanding</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shareowners: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quarters ended March 31, 2024 and 2023, the number of stock awards excluded from the computation was 15.3 million and 4.1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Changes in Contract Estimates at Completion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EAC adjustments had the following impact on our operating results:</w:t>
      </w:r>
    </w:p>
    <w:tbl>
      <w:tblPr>
        <w:tblW w:w="8159" w:type="dxa"/>
        <w:jc w:val="left"/>
        <w:tblInd w:w="0" w:type="dxa"/>
        <w:tblLayout w:type="fixed"/>
        <w:tblCellMar>
          <w:top w:w="28" w:type="dxa"/>
          <w:left w:w="28" w:type="dxa"/>
          <w:bottom w:w="28" w:type="dxa"/>
          <w:right w:w="28" w:type="dxa"/>
        </w:tblCellMar>
      </w:tblPr>
      <w:tblGrid>
        <w:gridCol w:w="1966"/>
        <w:gridCol w:w="1724"/>
        <w:gridCol w:w="1740"/>
        <w:gridCol w:w="109"/>
        <w:gridCol w:w="211"/>
        <w:gridCol w:w="586"/>
        <w:gridCol w:w="109"/>
        <w:gridCol w:w="109"/>
        <w:gridCol w:w="109"/>
        <w:gridCol w:w="109"/>
        <w:gridCol w:w="211"/>
        <w:gridCol w:w="586"/>
        <w:gridCol w:w="109"/>
        <w:gridCol w:w="109"/>
        <w:gridCol w:w="109"/>
        <w:gridCol w:w="109"/>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attributable to common shareowners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Diluted earnings per share attributable to common shareowners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(0.10)</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Amounts reflect a U.S. statutory tax rate of 21%, which approximates our tax rate on our EAC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tbl>
      <w:tblPr>
        <w:tblW w:w="6205" w:type="dxa"/>
        <w:jc w:val="left"/>
        <w:tblInd w:w="0" w:type="dxa"/>
        <w:tblLayout w:type="fixed"/>
        <w:tblCellMar>
          <w:top w:w="28" w:type="dxa"/>
          <w:left w:w="28" w:type="dxa"/>
          <w:bottom w:w="28" w:type="dxa"/>
          <w:right w:w="28" w:type="dxa"/>
        </w:tblCellMar>
      </w:tblPr>
      <w:tblGrid>
        <w:gridCol w:w="1115"/>
        <w:gridCol w:w="978"/>
        <w:gridCol w:w="981"/>
        <w:gridCol w:w="251"/>
        <w:gridCol w:w="878"/>
        <w:gridCol w:w="130"/>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10,600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10,280</w:t>
            </w:r>
            <w:r>
              <w:rPr>
                <w:color w:val="000000"/>
              </w:rPr>
              <w:t>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Contract Assets and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tbl>
      <w:tblPr>
        <w:tblW w:w="5066" w:type="dxa"/>
        <w:jc w:val="left"/>
        <w:tblInd w:w="0" w:type="dxa"/>
        <w:tblLayout w:type="fixed"/>
        <w:tblCellMar>
          <w:top w:w="28" w:type="dxa"/>
          <w:left w:w="28" w:type="dxa"/>
          <w:bottom w:w="28" w:type="dxa"/>
          <w:right w:w="28" w:type="dxa"/>
        </w:tblCellMar>
      </w:tblPr>
      <w:tblGrid>
        <w:gridCol w:w="701"/>
        <w:gridCol w:w="616"/>
        <w:gridCol w:w="618"/>
        <w:gridCol w:w="251"/>
        <w:gridCol w:w="878"/>
        <w:gridCol w:w="130"/>
        <w:gridCol w:w="109"/>
        <w:gridCol w:w="109"/>
        <w:gridCol w:w="109"/>
        <w:gridCol w:w="300"/>
        <w:gridCol w:w="1026"/>
        <w:gridCol w:w="219"/>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(4,015)</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increased $965 million during the quarter ended March 31, 2024 primarily due to sales in excess of billings on certain contracts at Pratt &amp; Whitney and Raytheon. We recognized revenue of $2.6 billion during the quarter ended March 31, 2024, related to contract liabilities as of January 1, 2024 and $1.9 billion during the quarter ended March 31, 2023, related to contract liabilities as of January 1,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Contract liabilities include approximately $405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are net of an allowance for expected credit losses of $194 million and $197 million as of March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Inventory,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 consisted of the following:</w:t>
      </w:r>
    </w:p>
    <w:tbl>
      <w:tblPr>
        <w:tblW w:w="4870" w:type="dxa"/>
        <w:jc w:val="left"/>
        <w:tblInd w:w="0" w:type="dxa"/>
        <w:tblLayout w:type="fixed"/>
        <w:tblCellMar>
          <w:top w:w="28" w:type="dxa"/>
          <w:left w:w="28" w:type="dxa"/>
          <w:bottom w:w="28" w:type="dxa"/>
          <w:right w:w="28" w:type="dxa"/>
        </w:tblCellMar>
      </w:tblPr>
      <w:tblGrid>
        <w:gridCol w:w="631"/>
        <w:gridCol w:w="553"/>
        <w:gridCol w:w="555"/>
        <w:gridCol w:w="251"/>
        <w:gridCol w:w="878"/>
        <w:gridCol w:w="130"/>
        <w:gridCol w:w="109"/>
        <w:gridCol w:w="109"/>
        <w:gridCol w:w="109"/>
        <w:gridCol w:w="300"/>
        <w:gridCol w:w="1026"/>
        <w:gridCol w:w="219"/>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12,386</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Borrowings and Lines of Credit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a revolving credit agreement with various banks permitting aggregate borrowings of up to $5.0 billion, which expires in August 2028. As of March 31, 2024, there were no borrowings outstanding under this agreement.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March 31, 2024, our maximum commercial paper borrowing limit was $5.0 billion as the commercial paper is backed by our $5.0 billion revolving credit agreement. At March 31, 2024 and December 31, 2023, we had no commercial paper borrowings outstanding. During the quarter ended March 31, 2024, we had no new borrowings, and no repayments, of commercial paper with maturities greater than 90 days. During the quarter ended March 31, 2023, we had no new borrowings, and $100 million in repayments, of commercial paper with maturities greater than 90 days.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issuances of long-term debt during the quarter ended March 31, 2024. We had the following issuances of long-term debt during the quarter ended March 31, 2023:</w:t>
      </w:r>
    </w:p>
    <w:tbl>
      <w:tblPr>
        <w:tblW w:w="6873" w:type="dxa"/>
        <w:jc w:val="left"/>
        <w:tblInd w:w="0" w:type="dxa"/>
        <w:tblLayout w:type="fixed"/>
        <w:tblCellMar>
          <w:top w:w="28" w:type="dxa"/>
          <w:left w:w="28" w:type="dxa"/>
          <w:bottom w:w="28" w:type="dxa"/>
          <w:right w:w="28" w:type="dxa"/>
        </w:tblCellMar>
      </w:tblPr>
      <w:tblGrid>
        <w:gridCol w:w="578"/>
        <w:gridCol w:w="509"/>
        <w:gridCol w:w="517"/>
        <w:gridCol w:w="674"/>
        <w:gridCol w:w="674"/>
        <w:gridCol w:w="677"/>
        <w:gridCol w:w="812"/>
        <w:gridCol w:w="1856"/>
        <w:gridCol w:w="422"/>
        <w:gridCol w:w="154"/>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Notes</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Balance (in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notes due 2026</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notes due 2033</w:t>
            </w:r>
          </w:p>
        </w:tc>
        <w:tc>
          <w:tcPr>
            <w:tcW w:w="2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notes due 2053</w:t>
            </w:r>
          </w:p>
        </w:tc>
        <w:tc>
          <w:tcPr>
            <w:tcW w:w="266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42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repayments of long-term debt during the quarter ended March 31, 2023. We made the following repayment of long-term debt during the quarter ended March 31, 2024:</w:t>
      </w:r>
    </w:p>
    <w:tbl>
      <w:tblPr>
        <w:tblW w:w="6569" w:type="dxa"/>
        <w:jc w:val="left"/>
        <w:tblInd w:w="0" w:type="dxa"/>
        <w:tblLayout w:type="fixed"/>
        <w:tblCellMar>
          <w:top w:w="28" w:type="dxa"/>
          <w:left w:w="28" w:type="dxa"/>
          <w:bottom w:w="28" w:type="dxa"/>
          <w:right w:w="28" w:type="dxa"/>
        </w:tblCellMar>
      </w:tblPr>
      <w:tblGrid>
        <w:gridCol w:w="506"/>
        <w:gridCol w:w="447"/>
        <w:gridCol w:w="456"/>
        <w:gridCol w:w="674"/>
        <w:gridCol w:w="674"/>
        <w:gridCol w:w="677"/>
        <w:gridCol w:w="780"/>
        <w:gridCol w:w="1780"/>
        <w:gridCol w:w="575"/>
      </w:tblGrid>
      <w:tr>
        <w:trPr/>
        <w:tc>
          <w:tcPr>
            <w:tcW w:w="5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Balance (in millions)</w:t>
            </w:r>
          </w:p>
        </w:tc>
      </w:tr>
      <w:tr>
        <w:trPr/>
        <w:tc>
          <w:tcPr>
            <w:tcW w:w="14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20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3.200% notes due 2024</w:t>
            </w:r>
          </w:p>
        </w:tc>
        <w:tc>
          <w:tcPr>
            <w:tcW w:w="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950</w:t>
            </w:r>
            <w:r>
              <w:rPr>
                <w:color w:val="000000"/>
              </w:rPr>
              <w:t> </w:t>
            </w:r>
          </w:p>
        </w:tc>
        <w:tc>
          <w:tcPr>
            <w:tcW w:w="5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we repaid $500 million of the 3 Month Secured Overnight Financing Rate (SOFR) plus 1.225% term loan due 2025.</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7887" w:type="dxa"/>
        <w:jc w:val="left"/>
        <w:tblInd w:w="0" w:type="dxa"/>
        <w:tblLayout w:type="fixed"/>
        <w:tblCellMar>
          <w:top w:w="28" w:type="dxa"/>
          <w:left w:w="28" w:type="dxa"/>
          <w:bottom w:w="28" w:type="dxa"/>
          <w:right w:w="28" w:type="dxa"/>
        </w:tblCellMar>
      </w:tblPr>
      <w:tblGrid>
        <w:gridCol w:w="1725"/>
        <w:gridCol w:w="1512"/>
        <w:gridCol w:w="1518"/>
        <w:gridCol w:w="366"/>
        <w:gridCol w:w="705"/>
        <w:gridCol w:w="189"/>
        <w:gridCol w:w="109"/>
        <w:gridCol w:w="109"/>
        <w:gridCol w:w="109"/>
        <w:gridCol w:w="392"/>
        <w:gridCol w:w="866"/>
        <w:gridCol w:w="287"/>
      </w:tblGrid>
      <w:tr>
        <w:trPr/>
        <w:tc>
          <w:tcPr>
            <w:tcW w:w="172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3.200% notes due 2024 </w:t>
            </w:r>
            <w:r>
              <w:rPr>
                <w:rFonts w:ascii="Times New Roman;sans-serif" w:hAnsi="Times New Roman;sans-serif"/>
                <w:b w:val="false"/>
                <w:color w:val="000000"/>
                <w:sz w:val="13"/>
              </w:rPr>
              <w:t>(1)</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3.150% notes due 2024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Month SOFR plus 1.225% term loan due 2025</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3.950% notes due 2025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5.000% notes due 2026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2.650% notes due 2026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Month SOFR plus 1.225% term loan due 2026</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5.750% notes due 2026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3.125% notes due 2027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3.500% notes due 2027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7.200% notes due 2027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7.100% notes due 2027</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6.700% notes due 2028</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7.000% notes due 2028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4.125% notes due 2028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5.750% notes due 2029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7.500% notes due 2029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2.150% notes due 2030 (€500 million principal value)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542</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2.250% notes due 2030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6.000% notes due 2031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1.900% notes due 2031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2.375% notes due 2032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5.150% notes due 2033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6.100% notes due 2034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5.400% notes due 2035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446</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6.050% notes due 2036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6.800% notes due 2036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7.000% notes due 2038</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6.125% notes due 2038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4.450% notes due 2038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5.700% notes due 2040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553</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4.875% notes due 2040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4.700% notes due 2041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4.500% notes due 2042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4.800% notes due 2043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4.200% notes due 2044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4.150% notes due 2045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3.750% notes due 2046 </w:t>
            </w:r>
            <w:r>
              <w:rPr>
                <w:rFonts w:ascii="Times New Roman;sans-serif" w:hAnsi="Times New Roman;sans-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4.050% notes due 2047 </w:t>
            </w:r>
            <w:r>
              <w:rPr>
                <w:rFonts w:ascii="Times New Roman;sans-serif" w:hAnsi="Times New Roman;sans-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tbl>
      <w:tblPr>
        <w:tblW w:w="9413" w:type="dxa"/>
        <w:jc w:val="left"/>
        <w:tblInd w:w="0" w:type="dxa"/>
        <w:tblLayout w:type="fixed"/>
        <w:tblCellMar>
          <w:top w:w="28" w:type="dxa"/>
          <w:left w:w="28" w:type="dxa"/>
          <w:bottom w:w="28" w:type="dxa"/>
          <w:right w:w="28" w:type="dxa"/>
        </w:tblCellMar>
      </w:tblPr>
      <w:tblGrid>
        <w:gridCol w:w="2516"/>
        <w:gridCol w:w="2209"/>
        <w:gridCol w:w="2219"/>
        <w:gridCol w:w="211"/>
        <w:gridCol w:w="736"/>
        <w:gridCol w:w="109"/>
        <w:gridCol w:w="109"/>
        <w:gridCol w:w="109"/>
        <w:gridCol w:w="109"/>
        <w:gridCol w:w="211"/>
        <w:gridCol w:w="721"/>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4.350% notes due 2047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4.625% notes due 2048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3.125% notes due 2050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2.820% notes due 2051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3.030% notes due 2052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5.375% notes due 2053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6.400% notes due 2054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(including finance leases)</w:t>
            </w:r>
            <w:r>
              <w:rPr>
                <w:color w:val="000000"/>
              </w:rPr>
              <w:t xml:space="preserv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long-term debt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(fair market value adjustments, (discounts)/premiums, and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42,334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42,355 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6"/>
        </w:rPr>
        <w:t>(1)</w:t>
      </w:r>
      <w:r>
        <w:rPr>
          <w:color w:val="000000"/>
        </w:rPr>
        <w:t>    </w:t>
      </w:r>
      <w:r>
        <w:rPr>
          <w:rFonts w:ascii="Times New Roman;sans-serif" w:hAnsi="Times New Roman;sans-serif"/>
          <w:b w:val="false"/>
          <w:color w:val="000000"/>
          <w:sz w:val="16"/>
        </w:rPr>
        <w:t>We may redeem these notes, in whole or in part, at our option pursuant to their terms prior to the applicable maturity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maturity of our long-term debt at March 31, 2024 is approximately 13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Employee Benefit Plans</w:t>
      </w:r>
    </w:p>
    <w:p>
      <w:pPr>
        <w:pStyle w:val="TextBody"/>
        <w:bidi w:val="0"/>
        <w:spacing w:lineRule="auto" w:line="288" w:before="120" w:after="283"/>
        <w:jc w:val="both"/>
        <w:rPr/>
      </w:pPr>
      <w:r>
        <w:rPr>
          <w:rFonts w:ascii="Times New Roman;sans-serif" w:hAnsi="Times New Roman;sans-serif"/>
          <w:b/>
          <w:color w:val="000000"/>
          <w:sz w:val="20"/>
        </w:rPr>
        <w:t>Pension and Postretirement Plans.</w:t>
      </w:r>
      <w:r>
        <w:rPr>
          <w:color w:val="000000"/>
        </w:rPr>
        <w:t xml:space="preserve"> </w:t>
      </w:r>
      <w:r>
        <w:rPr>
          <w:rFonts w:ascii="Times New Roman;sans-serif" w:hAnsi="Times New Roman;sans-serif"/>
          <w:b w:val="false"/>
          <w:color w:val="000000"/>
          <w:sz w:val="20"/>
        </w:rPr>
        <w:t xml:space="preserve">We sponsor both funded and unfunded domestic and foreign defined benefit pension and postretirement benefit (PRB) plans and defined contribution plans.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Contributions to our plans were as follows:</w:t>
      </w:r>
    </w:p>
    <w:tbl>
      <w:tblPr>
        <w:tblW w:w="5457" w:type="dxa"/>
        <w:jc w:val="left"/>
        <w:tblInd w:w="0" w:type="dxa"/>
        <w:tblLayout w:type="fixed"/>
        <w:tblCellMar>
          <w:top w:w="28" w:type="dxa"/>
          <w:left w:w="28" w:type="dxa"/>
          <w:bottom w:w="28" w:type="dxa"/>
          <w:right w:w="28" w:type="dxa"/>
        </w:tblCellMar>
      </w:tblPr>
      <w:tblGrid>
        <w:gridCol w:w="1082"/>
        <w:gridCol w:w="949"/>
        <w:gridCol w:w="953"/>
        <w:gridCol w:w="236"/>
        <w:gridCol w:w="455"/>
        <w:gridCol w:w="122"/>
        <w:gridCol w:w="122"/>
        <w:gridCol w:w="122"/>
        <w:gridCol w:w="122"/>
        <w:gridCol w:w="236"/>
        <w:gridCol w:w="455"/>
        <w:gridCol w:w="122"/>
        <w:gridCol w:w="109"/>
        <w:gridCol w:w="109"/>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qualified defined benefit plans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defined benefit plans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PRB plans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plans</w:t>
            </w:r>
          </w:p>
        </w:tc>
        <w:tc>
          <w:tcPr>
            <w:tcW w:w="69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395</w:t>
            </w:r>
            <w:r>
              <w:rPr>
                <w:color w:val="000000"/>
              </w:rPr>
              <w:t> </w:t>
            </w:r>
          </w:p>
        </w:tc>
        <w:tc>
          <w:tcPr>
            <w:tcW w:w="1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in the Condensed Consolidated Balance Sheet consist of:</w:t>
      </w:r>
    </w:p>
    <w:tbl>
      <w:tblPr>
        <w:tblW w:w="9984" w:type="dxa"/>
        <w:jc w:val="left"/>
        <w:tblInd w:w="0" w:type="dxa"/>
        <w:tblLayout w:type="fixed"/>
        <w:tblCellMar>
          <w:top w:w="28" w:type="dxa"/>
          <w:left w:w="28" w:type="dxa"/>
          <w:bottom w:w="28" w:type="dxa"/>
          <w:right w:w="28" w:type="dxa"/>
        </w:tblCellMar>
      </w:tblPr>
      <w:tblGrid>
        <w:gridCol w:w="2486"/>
        <w:gridCol w:w="2179"/>
        <w:gridCol w:w="2189"/>
        <w:gridCol w:w="279"/>
        <w:gridCol w:w="836"/>
        <w:gridCol w:w="144"/>
        <w:gridCol w:w="109"/>
        <w:gridCol w:w="109"/>
        <w:gridCol w:w="109"/>
        <w:gridCol w:w="332"/>
        <w:gridCol w:w="970"/>
        <w:gridCol w:w="242"/>
      </w:tblGrid>
      <w:tr>
        <w:trPr/>
        <w:tc>
          <w:tcPr>
            <w:tcW w:w="248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pension assets (included in Other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1,600</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pension and PRB liabilities (included in Accrued employee compensation)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pension and postretirement benefit obligations</w:t>
            </w:r>
          </w:p>
        </w:tc>
        <w:tc>
          <w:tcPr>
            <w:tcW w:w="1115"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2,320</w:t>
            </w:r>
            <w:r>
              <w:rPr>
                <w:color w:val="000000"/>
              </w:rPr>
              <w:t> </w:t>
            </w:r>
          </w:p>
        </w:tc>
        <w:tc>
          <w:tcPr>
            <w:tcW w:w="14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24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in Future pension and postretirement benefit obligations consist of:</w:t>
      </w:r>
    </w:p>
    <w:tbl>
      <w:tblPr>
        <w:tblW w:w="7615" w:type="dxa"/>
        <w:jc w:val="left"/>
        <w:tblInd w:w="0" w:type="dxa"/>
        <w:tblLayout w:type="fixed"/>
        <w:tblCellMar>
          <w:top w:w="28" w:type="dxa"/>
          <w:left w:w="28" w:type="dxa"/>
          <w:bottom w:w="28" w:type="dxa"/>
          <w:right w:w="28" w:type="dxa"/>
        </w:tblCellMar>
      </w:tblPr>
      <w:tblGrid>
        <w:gridCol w:w="1627"/>
        <w:gridCol w:w="1426"/>
        <w:gridCol w:w="1432"/>
        <w:gridCol w:w="279"/>
        <w:gridCol w:w="836"/>
        <w:gridCol w:w="144"/>
        <w:gridCol w:w="109"/>
        <w:gridCol w:w="109"/>
        <w:gridCol w:w="109"/>
        <w:gridCol w:w="332"/>
        <w:gridCol w:w="970"/>
        <w:gridCol w:w="242"/>
      </w:tblGrid>
      <w:tr>
        <w:trPr/>
        <w:tc>
          <w:tcPr>
            <w:tcW w:w="16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pension liabilities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PRB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PRB related items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pension and postretirement benefit obligations</w:t>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2,320</w:t>
            </w:r>
            <w:r>
              <w:rPr>
                <w:color w:val="000000"/>
              </w:rPr>
              <w:t>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(income) expense for our defined pension and PRB plans were as follows:</w:t>
      </w:r>
    </w:p>
    <w:tbl>
      <w:tblPr>
        <w:tblW w:w="10205" w:type="dxa"/>
        <w:jc w:val="left"/>
        <w:tblInd w:w="0" w:type="dxa"/>
        <w:tblLayout w:type="fixed"/>
        <w:tblCellMar>
          <w:top w:w="28" w:type="dxa"/>
          <w:left w:w="28" w:type="dxa"/>
          <w:bottom w:w="28" w:type="dxa"/>
          <w:right w:w="28" w:type="dxa"/>
        </w:tblCellMar>
      </w:tblPr>
      <w:tblGrid>
        <w:gridCol w:w="2105"/>
        <w:gridCol w:w="1844"/>
        <w:gridCol w:w="1847"/>
        <w:gridCol w:w="211"/>
        <w:gridCol w:w="540"/>
        <w:gridCol w:w="109"/>
        <w:gridCol w:w="109"/>
        <w:gridCol w:w="109"/>
        <w:gridCol w:w="109"/>
        <w:gridCol w:w="211"/>
        <w:gridCol w:w="540"/>
        <w:gridCol w:w="109"/>
        <w:gridCol w:w="109"/>
        <w:gridCol w:w="109"/>
        <w:gridCol w:w="109"/>
        <w:gridCol w:w="232"/>
        <w:gridCol w:w="298"/>
        <w:gridCol w:w="119"/>
        <w:gridCol w:w="119"/>
        <w:gridCol w:w="119"/>
        <w:gridCol w:w="119"/>
        <w:gridCol w:w="232"/>
        <w:gridCol w:w="447"/>
        <w:gridCol w:w="350"/>
      </w:tblGrid>
      <w:tr>
        <w:trPr/>
        <w:tc>
          <w:tcPr>
            <w:tcW w:w="210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Benefits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PRB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w:t>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net (gain)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settlement, curtailment, and special termination benefit (gain)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pension income</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(income) expense</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9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1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tbl>
      <w:tblPr>
        <w:tblW w:w="6087" w:type="dxa"/>
        <w:jc w:val="left"/>
        <w:tblInd w:w="0" w:type="dxa"/>
        <w:tblLayout w:type="fixed"/>
        <w:tblCellMar>
          <w:top w:w="28" w:type="dxa"/>
          <w:left w:w="28" w:type="dxa"/>
          <w:bottom w:w="28" w:type="dxa"/>
          <w:right w:w="28" w:type="dxa"/>
        </w:tblCellMar>
      </w:tblPr>
      <w:tblGrid>
        <w:gridCol w:w="1072"/>
        <w:gridCol w:w="940"/>
        <w:gridCol w:w="943"/>
        <w:gridCol w:w="332"/>
        <w:gridCol w:w="757"/>
        <w:gridCol w:w="171"/>
        <w:gridCol w:w="109"/>
        <w:gridCol w:w="109"/>
        <w:gridCol w:w="109"/>
        <w:gridCol w:w="392"/>
        <w:gridCol w:w="866"/>
        <w:gridCol w:w="287"/>
      </w:tblGrid>
      <w:tr>
        <w:trPr/>
        <w:tc>
          <w:tcPr>
            <w:tcW w:w="10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held in trusts</w:t>
            </w:r>
          </w:p>
        </w:tc>
        <w:tc>
          <w:tcPr>
            <w:tcW w:w="3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w:t>
            </w:r>
            <w:r>
              <w:rPr>
                <w:color w:val="000000"/>
              </w:rPr>
              <w:t> </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quarter ended March 31, 2024 was 5.8%, as compared to 18.4% for the quarter ended March 31, 2023. The lower effective tax rate for the quarter ended March 31, 2024 compared to the quarter ended March 31, 2023 is primarily driven by the $275 million tax benefit recognized as a result of the conclusion of the examination phases of the RTX and Rockwell Collins audits, partially offset by the tax costs related to the sale of the CIS business of $143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Examination Division of the Internal Revenue Service (IRS) has concluded the examination phase of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filed protests with respect to certain IRS proposed adjustments for each exam and will dispute these adjustments at the Appeals Division of the IRS. The timing of any resolution at the Appeals Division is uncertain.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conclusion of the examination phases for RTX and Rockwell Collins during the quarter ended March 31, 2024, the Company recognized a net income benefit of $285 million in the quarter, of which $275 million is within income tax expense. The net income benefit recognized includes the effects of adjusting interest accruals and certain tax related indemnity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 of unrecognized tax benefits may change within a range of a net reduction of $50 million to a net increase of $75 million as a result of the revaluation of uncertain tax positions arising from developments in examinations, in appeals, or in the courts, or the closure of tax statutes.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w:t>
      </w:r>
    </w:p>
    <w:p>
      <w:pPr>
        <w:pStyle w:val="TextBody"/>
        <w:bidi w:val="0"/>
        <w:spacing w:lineRule="auto" w:line="276" w:before="120" w:after="283"/>
        <w:jc w:val="both"/>
        <w:rPr/>
      </w:pPr>
      <w:r>
        <w:rPr>
          <w:rFonts w:ascii="Times New Roman;sans-serif" w:hAnsi="Times New Roman;sans-serif"/>
          <w:b w:val="false"/>
          <w:color w:val="000000"/>
          <w:sz w:val="20"/>
        </w:rPr>
        <w:t>The present value of aggregate notional principal of our outstanding foreign currency hedges</w:t>
      </w:r>
      <w:r>
        <w:rPr>
          <w:color w:val="000000"/>
          <w:shd w:fill="FFFFFF" w:val="clear"/>
        </w:rPr>
        <w:t xml:space="preserve"> </w:t>
      </w:r>
      <w:r>
        <w:rPr>
          <w:rFonts w:ascii="Times New Roman;sans-serif" w:hAnsi="Times New Roman;sans-serif"/>
          <w:b w:val="false"/>
          <w:color w:val="000000"/>
          <w:sz w:val="20"/>
          <w:shd w:fill="FFFFFF" w:val="clear"/>
        </w:rPr>
        <w:t xml:space="preserve">was $14.9 billion </w:t>
      </w:r>
      <w:r>
        <w:rPr>
          <w:rFonts w:ascii="Times New Roman;sans-serif" w:hAnsi="Times New Roman;sans-serif"/>
          <w:b w:val="false"/>
          <w:color w:val="000000"/>
          <w:sz w:val="20"/>
        </w:rPr>
        <w:t>and</w:t>
      </w:r>
      <w:r>
        <w:rPr>
          <w:color w:val="000000"/>
          <w:shd w:fill="FFFFFF" w:val="clear"/>
        </w:rPr>
        <w:t xml:space="preserve"> </w:t>
      </w:r>
      <w:r>
        <w:rPr>
          <w:rFonts w:ascii="Times New Roman;sans-serif" w:hAnsi="Times New Roman;sans-serif"/>
          <w:b w:val="false"/>
          <w:color w:val="000000"/>
          <w:sz w:val="20"/>
          <w:shd w:fill="FFFFFF" w:val="clear"/>
        </w:rPr>
        <w:t>$15.8 billion at</w:t>
      </w:r>
      <w:r>
        <w:rPr>
          <w:color w:val="000000"/>
        </w:rPr>
        <w:t xml:space="preserve"> </w:t>
      </w:r>
      <w:r>
        <w:rPr>
          <w:rFonts w:ascii="Times New Roman;sans-serif" w:hAnsi="Times New Roman;sans-serif"/>
          <w:b w:val="false"/>
          <w:color w:val="000000"/>
          <w:sz w:val="20"/>
        </w:rPr>
        <w:t>March 31, 2024 and December 31, 2023, respectively. At March 31, 2024, all derivative contracts accounted for as cash flow hedges will m</w:t>
      </w:r>
      <w:r>
        <w:rPr>
          <w:rFonts w:ascii="Times New Roman;sans-serif" w:hAnsi="Times New Roman;sans-serif"/>
          <w:b w:val="false"/>
          <w:color w:val="000000"/>
          <w:sz w:val="20"/>
          <w:shd w:fill="FFFFFF" w:val="clear"/>
        </w:rPr>
        <w:t>ature by March 2036.</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and presentation in the Condensed Consolidated Balance Sheet for derivative instruments:</w:t>
      </w:r>
    </w:p>
    <w:tbl>
      <w:tblPr>
        <w:tblW w:w="9580" w:type="dxa"/>
        <w:jc w:val="left"/>
        <w:tblInd w:w="0" w:type="dxa"/>
        <w:tblLayout w:type="fixed"/>
        <w:tblCellMar>
          <w:top w:w="28" w:type="dxa"/>
          <w:left w:w="28" w:type="dxa"/>
          <w:bottom w:w="28" w:type="dxa"/>
          <w:right w:w="28" w:type="dxa"/>
        </w:tblCellMar>
      </w:tblPr>
      <w:tblGrid>
        <w:gridCol w:w="1594"/>
        <w:gridCol w:w="1397"/>
        <w:gridCol w:w="1403"/>
        <w:gridCol w:w="684"/>
        <w:gridCol w:w="684"/>
        <w:gridCol w:w="686"/>
        <w:gridCol w:w="332"/>
        <w:gridCol w:w="757"/>
        <w:gridCol w:w="171"/>
        <w:gridCol w:w="109"/>
        <w:gridCol w:w="109"/>
        <w:gridCol w:w="109"/>
        <w:gridCol w:w="392"/>
        <w:gridCol w:w="866"/>
        <w:gridCol w:w="287"/>
      </w:tblGrid>
      <w:tr>
        <w:trPr/>
        <w:tc>
          <w:tcPr>
            <w:tcW w:w="15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2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8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w:t>
            </w:r>
            <w:r>
              <w:rPr>
                <w:color w:val="000000"/>
              </w:rPr>
              <w:t> </w:t>
            </w:r>
          </w:p>
        </w:tc>
        <w:tc>
          <w:tcPr>
            <w:tcW w:w="1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8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cash flow hedging relationships on Accumulated other comprehensive loss and on the Condensed Consolidated Statement of Operations in the quarters ended March 31, 2024 and 2023 are presented in “Note 17: Equity.” The amounts of gain or loss are attributable to foreign exchange contract activity and are primarily recorded as a component of Products sales when reclassified from Accumulated other comprehensive loss.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critical terms match method in assessing derivatives for hedge effectiveness. Accordingly, the hedged items and derivatives designated as hedging instruments are highly effective.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€500 million principal value of euro-denominated long-term debt qualifies as a net investment hedge against our investments in European businesses, which is deemed to be effective.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derivatives not designated as hedging instruments is included within Other income, net, on the Condensed Consolidated Statement of Operations and is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the valuation hierarchy classification of assets and liabilities that are carried at fair value and measured on a recurring basis in our Condensed Consolidated Balance Sheet:</w:t>
      </w:r>
    </w:p>
    <w:tbl>
      <w:tblPr>
        <w:tblW w:w="7034" w:type="dxa"/>
        <w:jc w:val="left"/>
        <w:tblInd w:w="0" w:type="dxa"/>
        <w:tblLayout w:type="fixed"/>
        <w:tblCellMar>
          <w:top w:w="28" w:type="dxa"/>
          <w:left w:w="28" w:type="dxa"/>
          <w:bottom w:w="28" w:type="dxa"/>
          <w:right w:w="28" w:type="dxa"/>
        </w:tblCellMar>
      </w:tblPr>
      <w:tblGrid>
        <w:gridCol w:w="1082"/>
        <w:gridCol w:w="949"/>
        <w:gridCol w:w="953"/>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fair value measurements: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6989" w:type="dxa"/>
        <w:jc w:val="left"/>
        <w:tblInd w:w="0" w:type="dxa"/>
        <w:tblLayout w:type="fixed"/>
        <w:tblCellMar>
          <w:top w:w="28" w:type="dxa"/>
          <w:left w:w="28" w:type="dxa"/>
          <w:bottom w:w="28" w:type="dxa"/>
          <w:right w:w="28" w:type="dxa"/>
        </w:tblCellMar>
      </w:tblPr>
      <w:tblGrid>
        <w:gridCol w:w="1082"/>
        <w:gridCol w:w="949"/>
        <w:gridCol w:w="953"/>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fair value measurements: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held in trusts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color w:val="000000"/>
          <w:sz w:val="20"/>
        </w:rPr>
        <w:t>Valuation Techniques.</w:t>
      </w:r>
      <w:r>
        <w:rPr>
          <w:color w:val="000000"/>
        </w:rPr>
        <w:t xml:space="preserve"> </w:t>
      </w:r>
      <w:r>
        <w:rPr>
          <w:rFonts w:ascii="Times New Roman;sans-serif" w:hAnsi="Times New Roman;sans-serif"/>
          <w:b w:val="false"/>
          <w:color w:val="000000"/>
          <w:sz w:val="20"/>
        </w:rPr>
        <w:t>Our derivative assets and liabilities include foreign exchange contracts that are measured at fair value using internal models based on observable market inputs such as forward rates, interest rates, our own credit risk, and our counterparties’ credit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carrying amounts and fair values of financial instruments that are not carried at fair value in our Condensed Consolidated Balance Sheet:</w:t>
      </w:r>
    </w:p>
    <w:tbl>
      <w:tblPr>
        <w:tblW w:w="7948" w:type="dxa"/>
        <w:jc w:val="left"/>
        <w:tblInd w:w="0" w:type="dxa"/>
        <w:tblLayout w:type="fixed"/>
        <w:tblCellMar>
          <w:top w:w="28" w:type="dxa"/>
          <w:left w:w="28" w:type="dxa"/>
          <w:bottom w:w="28" w:type="dxa"/>
          <w:right w:w="28" w:type="dxa"/>
        </w:tblCellMar>
      </w:tblPr>
      <w:tblGrid>
        <w:gridCol w:w="1284"/>
        <w:gridCol w:w="1125"/>
        <w:gridCol w:w="1131"/>
        <w:gridCol w:w="264"/>
        <w:gridCol w:w="472"/>
        <w:gridCol w:w="124"/>
        <w:gridCol w:w="109"/>
        <w:gridCol w:w="109"/>
        <w:gridCol w:w="109"/>
        <w:gridCol w:w="264"/>
        <w:gridCol w:w="472"/>
        <w:gridCol w:w="109"/>
        <w:gridCol w:w="109"/>
        <w:gridCol w:w="109"/>
        <w:gridCol w:w="109"/>
        <w:gridCol w:w="265"/>
        <w:gridCol w:w="456"/>
        <w:gridCol w:w="126"/>
        <w:gridCol w:w="109"/>
        <w:gridCol w:w="109"/>
        <w:gridCol w:w="109"/>
        <w:gridCol w:w="265"/>
        <w:gridCol w:w="45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notes receivable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42,588</w:t>
            </w:r>
            <w:r>
              <w:rPr>
                <w:color w:val="000000"/>
              </w:rPr>
              <w:t> </w:t>
            </w:r>
          </w:p>
        </w:tc>
        <w:tc>
          <w:tcPr>
            <w:tcW w:w="12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39,957</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43,546 </w:t>
            </w:r>
          </w:p>
        </w:tc>
        <w:tc>
          <w:tcPr>
            <w:tcW w:w="12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41,598 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the valuation hierarchy classification of assets and liabilities that are not carried at fair value in our Condensed Consolidated Balance Sheet:</w:t>
      </w:r>
    </w:p>
    <w:tbl>
      <w:tblPr>
        <w:tblW w:w="7722" w:type="dxa"/>
        <w:jc w:val="left"/>
        <w:tblInd w:w="0" w:type="dxa"/>
        <w:tblLayout w:type="fixed"/>
        <w:tblCellMar>
          <w:top w:w="28" w:type="dxa"/>
          <w:left w:w="28" w:type="dxa"/>
          <w:bottom w:w="28" w:type="dxa"/>
          <w:right w:w="28" w:type="dxa"/>
        </w:tblCellMar>
      </w:tblPr>
      <w:tblGrid>
        <w:gridCol w:w="1284"/>
        <w:gridCol w:w="1125"/>
        <w:gridCol w:w="1131"/>
        <w:gridCol w:w="264"/>
        <w:gridCol w:w="472"/>
        <w:gridCol w:w="109"/>
        <w:gridCol w:w="109"/>
        <w:gridCol w:w="109"/>
        <w:gridCol w:w="109"/>
        <w:gridCol w:w="211"/>
        <w:gridCol w:w="406"/>
        <w:gridCol w:w="109"/>
        <w:gridCol w:w="109"/>
        <w:gridCol w:w="109"/>
        <w:gridCol w:w="109"/>
        <w:gridCol w:w="264"/>
        <w:gridCol w:w="472"/>
        <w:gridCol w:w="109"/>
        <w:gridCol w:w="109"/>
        <w:gridCol w:w="109"/>
        <w:gridCol w:w="109"/>
        <w:gridCol w:w="215"/>
        <w:gridCol w:w="41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notes receivable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39,957</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35,914</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4,043</w:t>
            </w: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bl>
    <w:tbl>
      <w:tblPr>
        <w:tblW w:w="7678" w:type="dxa"/>
        <w:jc w:val="center"/>
        <w:tblInd w:w="0" w:type="dxa"/>
        <w:tblLayout w:type="fixed"/>
        <w:tblCellMar>
          <w:top w:w="28" w:type="dxa"/>
          <w:left w:w="28" w:type="dxa"/>
          <w:bottom w:w="28" w:type="dxa"/>
          <w:right w:w="28" w:type="dxa"/>
        </w:tblCellMar>
      </w:tblPr>
      <w:tblGrid>
        <w:gridCol w:w="1284"/>
        <w:gridCol w:w="1125"/>
        <w:gridCol w:w="1131"/>
        <w:gridCol w:w="265"/>
        <w:gridCol w:w="456"/>
        <w:gridCol w:w="109"/>
        <w:gridCol w:w="109"/>
        <w:gridCol w:w="109"/>
        <w:gridCol w:w="109"/>
        <w:gridCol w:w="211"/>
        <w:gridCol w:w="406"/>
        <w:gridCol w:w="109"/>
        <w:gridCol w:w="109"/>
        <w:gridCol w:w="109"/>
        <w:gridCol w:w="109"/>
        <w:gridCol w:w="265"/>
        <w:gridCol w:w="456"/>
        <w:gridCol w:w="109"/>
        <w:gridCol w:w="109"/>
        <w:gridCol w:w="109"/>
        <w:gridCol w:w="109"/>
        <w:gridCol w:w="211"/>
        <w:gridCol w:w="40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notes receivable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Short-term borrowings approximates the carrying value due to their short-term nature and is classified as level 3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Variable Interest Entities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IAE and IAE LLC, after considering its sub-collaborator share, is 57% and 51%, respectively. The carrying amounts and classification of assets and liabilities for variable interest entities in our Condensed Consolidated Balance Sheet are as follows:</w:t>
      </w:r>
    </w:p>
    <w:tbl>
      <w:tblPr>
        <w:tblW w:w="4991" w:type="dxa"/>
        <w:jc w:val="left"/>
        <w:tblInd w:w="0" w:type="dxa"/>
        <w:tblLayout w:type="fixed"/>
        <w:tblCellMar>
          <w:top w:w="28" w:type="dxa"/>
          <w:left w:w="28" w:type="dxa"/>
          <w:bottom w:w="28" w:type="dxa"/>
          <w:right w:w="28" w:type="dxa"/>
        </w:tblCellMar>
      </w:tblPr>
      <w:tblGrid>
        <w:gridCol w:w="675"/>
        <w:gridCol w:w="591"/>
        <w:gridCol w:w="594"/>
        <w:gridCol w:w="251"/>
        <w:gridCol w:w="878"/>
        <w:gridCol w:w="130"/>
        <w:gridCol w:w="109"/>
        <w:gridCol w:w="109"/>
        <w:gridCol w:w="109"/>
        <w:gridCol w:w="296"/>
        <w:gridCol w:w="1033"/>
        <w:gridCol w:w="216"/>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9,200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10,146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12,680</w:t>
            </w:r>
            <w:r>
              <w:rPr>
                <w:color w:val="000000"/>
              </w:rPr>
              <w:t>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13,020</w:t>
            </w:r>
            <w:r>
              <w:rPr>
                <w:color w:val="000000"/>
              </w:rPr>
              <w:t> </w:t>
            </w:r>
          </w:p>
        </w:tc>
        <w:tc>
          <w:tcPr>
            <w:tcW w:w="2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12,764</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13,051 </w:t>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Guarantees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extend a variety of financial, market value, and product performance guarantees to third parties. These instruments expire on various dates through 2032. Additional guarantees of project performance for which there is no stated value also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 portion of our third party guarantees are subject to indemnification for our benefit for any liabilities that could arise. As of March 31, 2024 and December 31, 2023, the following financial guarantees were outstanding:</w:t>
      </w:r>
    </w:p>
    <w:tbl>
      <w:tblPr>
        <w:tblW w:w="10205" w:type="dxa"/>
        <w:jc w:val="left"/>
        <w:tblInd w:w="0" w:type="dxa"/>
        <w:tblLayout w:type="fixed"/>
        <w:tblCellMar>
          <w:top w:w="28" w:type="dxa"/>
          <w:left w:w="28" w:type="dxa"/>
          <w:bottom w:w="28" w:type="dxa"/>
          <w:right w:w="28" w:type="dxa"/>
        </w:tblCellMar>
      </w:tblPr>
      <w:tblGrid>
        <w:gridCol w:w="1031"/>
        <w:gridCol w:w="888"/>
        <w:gridCol w:w="792"/>
        <w:gridCol w:w="425"/>
        <w:gridCol w:w="973"/>
        <w:gridCol w:w="221"/>
        <w:gridCol w:w="109"/>
        <w:gridCol w:w="109"/>
        <w:gridCol w:w="109"/>
        <w:gridCol w:w="466"/>
        <w:gridCol w:w="900"/>
        <w:gridCol w:w="245"/>
        <w:gridCol w:w="109"/>
        <w:gridCol w:w="109"/>
        <w:gridCol w:w="109"/>
        <w:gridCol w:w="433"/>
        <w:gridCol w:w="960"/>
        <w:gridCol w:w="227"/>
        <w:gridCol w:w="109"/>
        <w:gridCol w:w="109"/>
        <w:gridCol w:w="109"/>
        <w:gridCol w:w="453"/>
        <w:gridCol w:w="870"/>
        <w:gridCol w:w="340"/>
      </w:tblGrid>
      <w:tr>
        <w:trPr/>
        <w:tc>
          <w:tcPr>
            <w:tcW w:w="103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of Liability</w:t>
            </w:r>
          </w:p>
        </w:tc>
      </w:tr>
      <w:tr>
        <w:trPr/>
        <w:tc>
          <w:tcPr>
            <w:tcW w:w="2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 financing arrangements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guarantees</w:t>
            </w:r>
          </w:p>
        </w:tc>
        <w:tc>
          <w:tcPr>
            <w:tcW w:w="139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2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$134 million and $135 million at March 31, 2024 and December 31, 2023,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were $94 million and $97 million at March 31, 2024 and December 31, 2023, respectively. These primarily relate to environmental liabilities, which are included in our total environmental liabilities as further discussed in “Note 16: Commitments and Contingencies.”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service and product warranties and product performance guarantees for the quarters ended March 31, 2024 and 2023 were as follows:</w:t>
      </w:r>
    </w:p>
    <w:tbl>
      <w:tblPr>
        <w:tblW w:w="6440" w:type="dxa"/>
        <w:jc w:val="left"/>
        <w:tblInd w:w="0" w:type="dxa"/>
        <w:tblLayout w:type="fixed"/>
        <w:tblCellMar>
          <w:top w:w="28" w:type="dxa"/>
          <w:left w:w="28" w:type="dxa"/>
          <w:bottom w:w="28" w:type="dxa"/>
          <w:right w:w="28" w:type="dxa"/>
        </w:tblCellMar>
      </w:tblPr>
      <w:tblGrid>
        <w:gridCol w:w="1398"/>
        <w:gridCol w:w="1226"/>
        <w:gridCol w:w="1230"/>
        <w:gridCol w:w="109"/>
        <w:gridCol w:w="109"/>
        <w:gridCol w:w="109"/>
        <w:gridCol w:w="211"/>
        <w:gridCol w:w="631"/>
        <w:gridCol w:w="109"/>
        <w:gridCol w:w="109"/>
        <w:gridCol w:w="109"/>
        <w:gridCol w:w="109"/>
        <w:gridCol w:w="211"/>
        <w:gridCol w:w="61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performance guarantees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and service guarantees incurred in connection with long term production contracts and certain aftermarket arrangements are generally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16: Commitments and Contingencies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pStyle w:val="TextBody"/>
        <w:bidi w:val="0"/>
        <w:spacing w:lineRule="auto" w:line="288" w:before="120" w:after="283"/>
        <w:jc w:val="both"/>
        <w:rPr/>
      </w:pPr>
      <w:r>
        <w:rPr>
          <w:rFonts w:ascii="Times New Roman;sans-serif" w:hAnsi="Times New Roman;sans-serif"/>
          <w:b/>
          <w:color w:val="000000"/>
          <w:sz w:val="20"/>
        </w:rPr>
        <w:t>Environmental.</w:t>
      </w:r>
      <w:r>
        <w:rPr>
          <w:color w:val="000000"/>
        </w:rPr>
        <w:t xml:space="preserve"> </w:t>
      </w:r>
      <w:r>
        <w:rPr>
          <w:rFonts w:ascii="Times New Roman;sans-serif" w:hAnsi="Times New Roman;sans-serif"/>
          <w:b w:val="false"/>
          <w:color w:val="000000"/>
          <w:sz w:val="20"/>
        </w:rPr>
        <w:t xml:space="preserve">Our operations are subject to environmental regulation by federal, state, and local authorities in the United States and regulatory 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March 31, 2024 and December 31, 2023, we had $770 million and $760 million, respectively, reserved for environmental remediation. </w:t>
      </w:r>
    </w:p>
    <w:p>
      <w:pPr>
        <w:pStyle w:val="TextBody"/>
        <w:bidi w:val="0"/>
        <w:spacing w:lineRule="auto" w:line="288" w:before="120" w:after="283"/>
        <w:jc w:val="both"/>
        <w:rPr/>
      </w:pPr>
      <w:r>
        <w:rPr>
          <w:rFonts w:ascii="Times New Roman;sans-serif" w:hAnsi="Times New Roman;sans-serif"/>
          <w:b/>
          <w:color w:val="000000"/>
          <w:sz w:val="20"/>
        </w:rPr>
        <w:t>Commercial Aerospace Financing and Other Commitments.</w:t>
      </w:r>
      <w:r>
        <w:rPr>
          <w:color w:val="000000"/>
        </w:rPr>
        <w:t xml:space="preserve"> </w:t>
      </w:r>
      <w:r>
        <w:rPr>
          <w:rFonts w:ascii="Times New Roman;sans-serif" w:hAnsi="Times New Roman;sans-serif"/>
          <w:b w:val="false"/>
          <w:color w:val="000000"/>
          <w:sz w:val="20"/>
        </w:rPr>
        <w:t xml:space="preserve">We had commercial aerospace financing commitments and other contractual commitments of approximately $14.5 billion and $14.6 billion as of March 31, 2024 and December 31, 2023, respectively, on a gross basis before reduction for our collaboration partners’ share. Aircraft financing commitments, in the form of debt or lease financing, are provided to certain commercial aerospace customers. The extent to which the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 </w:t>
      </w:r>
    </w:p>
    <w:p>
      <w:pPr>
        <w:pStyle w:val="TextBody"/>
        <w:bidi w:val="0"/>
        <w:spacing w:lineRule="auto" w:line="288" w:before="120" w:after="283"/>
        <w:jc w:val="both"/>
        <w:rPr/>
      </w:pPr>
      <w:r>
        <w:rPr>
          <w:rFonts w:ascii="Times New Roman;sans-serif" w:hAnsi="Times New Roman;sans-serif"/>
          <w:b/>
          <w:color w:val="000000"/>
          <w:sz w:val="20"/>
        </w:rPr>
        <w:t>Other Financing Arrangements.</w:t>
      </w:r>
      <w:r>
        <w:rPr>
          <w:color w:val="000000"/>
        </w:rPr>
        <w:t xml:space="preserve"> </w:t>
      </w:r>
      <w:r>
        <w:rPr>
          <w:rFonts w:ascii="Times New Roman;sans-serif" w:hAnsi="Times New Roman;sans-serif"/>
          <w:b w:val="false"/>
          <w:color w:val="000000"/>
          <w:sz w:val="20"/>
        </w:rPr>
        <w:t>We have entered into standby letters of credit and surety bonds with financial institutions to meet various bid, 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$3.3 billion as of March 31, 2024.</w:t>
      </w:r>
    </w:p>
    <w:p>
      <w:pPr>
        <w:pStyle w:val="TextBody"/>
        <w:bidi w:val="0"/>
        <w:spacing w:lineRule="auto" w:line="288" w:before="120" w:after="283"/>
        <w:jc w:val="both"/>
        <w:rPr/>
      </w:pPr>
      <w:r>
        <w:rPr>
          <w:rFonts w:ascii="Times New Roman;sans-serif" w:hAnsi="Times New Roman;sans-serif"/>
          <w:b/>
          <w:color w:val="000000"/>
          <w:sz w:val="20"/>
        </w:rPr>
        <w:t>Offset / Industrial Participation Obligations.</w:t>
      </w:r>
      <w:r>
        <w:rPr>
          <w:color w:val="000000"/>
        </w:rPr>
        <w:t xml:space="preserve"> </w:t>
      </w:r>
      <w:r>
        <w:rPr>
          <w:rFonts w:ascii="Times New Roman;sans-serif" w:hAnsi="Times New Roman;sans-serif"/>
          <w:b w:val="false"/>
          <w:color w:val="000000"/>
          <w:sz w:val="20"/>
        </w:rPr>
        <w:t>We have entered into industrial cooperation agreements, sometimes in the form of either offset agreements or ICIP agreements, as a condition to obtaining orders for our products and services from certain customers in foreign countries. At March 31, 2024, the aggregate amount of these agreements, both agreed to and anticipated to be agreed to, had an outstanding notional value of approximately $12.5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pStyle w:val="TextBody"/>
        <w:bidi w:val="0"/>
        <w:spacing w:lineRule="auto" w:line="288" w:before="120" w:after="283"/>
        <w:jc w:val="both"/>
        <w:rPr/>
      </w:pPr>
      <w:r>
        <w:rPr>
          <w:rFonts w:ascii="Times New Roman;sans-serif" w:hAnsi="Times New Roman;sans-serif"/>
          <w:b/>
          <w:color w:val="000000"/>
          <w:sz w:val="20"/>
        </w:rPr>
        <w:t>Government Oversight.</w:t>
      </w:r>
      <w:r>
        <w:rPr>
          <w:color w:val="000000"/>
        </w:rPr>
        <w:t xml:space="preserve"> </w:t>
      </w:r>
      <w:r>
        <w:rPr>
          <w:rFonts w:ascii="Times New Roman;sans-serif" w:hAnsi="Times New Roman;sans-serif"/>
          <w:b w:val="false"/>
          <w:color w:val="000000"/>
          <w:sz w:val="20"/>
        </w:rPr>
        <w:t xml:space="preserve">In the ordinary course of business, the Company and its subsidiaries and our properties are subject to regulatory and 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The U.S. government also reserves the right to debar a contractor from receiving new 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pStyle w:val="TextBody"/>
        <w:bidi w:val="0"/>
        <w:spacing w:lineRule="auto" w:line="288" w:before="120" w:after="283"/>
        <w:jc w:val="both"/>
        <w:rPr/>
      </w:pPr>
      <w:r>
        <w:rPr>
          <w:rFonts w:ascii="Times New Roman;sans-serif" w:hAnsi="Times New Roman;sans-serif"/>
          <w:b/>
          <w:color w:val="000000"/>
          <w:sz w:val="20"/>
        </w:rPr>
        <w:t xml:space="preserve">Tax Treatment of Carrier and Otis Dispositions. </w:t>
      </w:r>
      <w:r>
        <w:rPr>
          <w:rFonts w:ascii="Times New Roman;sans-serif" w:hAnsi="Times New Roman;sans-serif"/>
          <w:b w:val="false"/>
          <w:color w:val="000000"/>
          <w:sz w:val="20"/>
          <w:shd w:fill="FFFFFF" w:val="clear"/>
        </w:rPr>
        <w:t xml:space="preserve">Management has determined that the distributions of Carrier and Otis on </w:t>
      </w:r>
      <w:r>
        <w:rPr>
          <w:rFonts w:ascii="Times New Roman;sans-serif" w:hAnsi="Times New Roman;sans-serif"/>
          <w:b w:val="false"/>
          <w:color w:val="000000"/>
          <w:sz w:val="20"/>
        </w:rPr>
        <w:t>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pStyle w:val="TextBody"/>
        <w:bidi w:val="0"/>
        <w:spacing w:lineRule="auto" w:line="288" w:before="120" w:after="283"/>
        <w:jc w:val="both"/>
        <w:rPr/>
      </w:pPr>
      <w:r>
        <w:rPr>
          <w:rFonts w:ascii="Times New Roman;sans-serif" w:hAnsi="Times New Roman;sans-serif"/>
          <w:b/>
          <w:color w:val="000000"/>
          <w:sz w:val="20"/>
        </w:rPr>
        <w:t>Pratt &amp; Whitney Powder Metal Matter.</w:t>
      </w:r>
      <w:r>
        <w:rPr>
          <w:color w:val="000000"/>
        </w:rPr>
        <w:t xml:space="preserve"> </w:t>
      </w:r>
      <w:r>
        <w:rPr>
          <w:rFonts w:ascii="Times New Roman;sans-serif" w:hAnsi="Times New Roman;sans-serif"/>
          <w:b w:val="false"/>
          <w:color w:val="000000"/>
          <w:sz w:val="20"/>
        </w:rPr>
        <w:t xml:space="preserve">Pratt &amp; Whitney has determined that a rare condition in powder metal used to manufacture certain engine parts requires accelerated inspection of the PW1100 GTF fleet, which powers the A320neo. This determination was made pursuant to Pratt &amp; Whitney’s safety management system.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expected to result in significant incremental shop visits through the end of 2026. As a result, Pratt &amp; Whitney expects a significant increase in aircraft on ground levels for the PW1100 powered A320neo fleet through 2026.</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charge recorded in the third quarter of 2023 resulted in a net increase in Other accrued liabilities of $2.8 billion, which principally related to our 51% share of an accrual for expected customer compensation. At March 31, 2024 and December 31, 2023, we had Other accrued liabilities of $2.7 billion and $2.8 billion, respectively, related to the Powder Metal Matter. The change in the accrual during the quarter ended March 31, 2024 was primarily due to customer payments and credits issued.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engine models within Pratt &amp; Whitney’s fleet contain parts manufactured with affected powder metal, and while Pratt &amp; Whitney continues to evaluate the impact of this powder metal issue on other engine models within its fleet, we do not currently believe there will be any significant financial impact with respect to these other engine models.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pStyle w:val="TextBody"/>
        <w:bidi w:val="0"/>
        <w:spacing w:lineRule="auto" w:line="288" w:before="120" w:after="283"/>
        <w:jc w:val="both"/>
        <w:rPr/>
      </w:pPr>
      <w:r>
        <w:rPr>
          <w:rFonts w:ascii="Times New Roman;sans-serif" w:hAnsi="Times New Roman;sans-serif"/>
          <w:b/>
          <w:color w:val="000000"/>
          <w:sz w:val="20"/>
        </w:rPr>
        <w:t xml:space="preserve">Legal Proceedings. </w:t>
      </w:r>
      <w:r>
        <w:rPr>
          <w:rFonts w:ascii="Times New Roman;sans-serif" w:hAnsi="Times New Roman;sans-serif"/>
          <w:b w:val="false"/>
          <w:color w:val="000000"/>
          <w:sz w:val="20"/>
        </w:rPr>
        <w:t>The Company and its subsidiaries are subject to various contract pricing disputes, government investigations, and litigation matters across jurisdictions, updates to certain of which are set forth below.</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Accounting Standards Claims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April 2019, a Divisional Administrative Contracting Officer (DACO) of the United States DCMA asserted a claim against Pratt &amp; Whitney to recover alleged overpayments of approximately $1.73 billion plus interest ($1.09 billion at March 31, 2024).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December 2013, a DCMA DACO asserted a claim against Pratt &amp; Whitney to recover alleged overpayments of approximately $177 million plus interest ($162 million at March 31, 2024).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($131 million at March 31, 2024).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($59 million at March 31, 2024).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Thales-Raytheon Systems and Related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2019, Raytheon Company received a subpoena from the Securities and Exchange Commission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ongoing investigation. The Company maintains a rigorous anti-corruption compliance program, and continues to cooperate fully with the SEC’s and DOJ’s inquiries, and to examine through our own investigation whether there were any improper payments or any such conduct that was in violation of Raytheon Company policy. Although the investigation of these issues remains ongoing, information indicating that such conduct has occurred with respect to certain contracts has been identified. However, at this time, the Company is unable to predict the outcome of the SEC’s or DOJ’s inquiries. Further, based on the information available to date, we cannot reasonably estimate the range of potential loss or impact to the business that may result, but do not believe that the results of these inquiries will have a material adverse effect on our results of operations, financial condition,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DOJ Investigation and Contract Pricing Disputes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Raytheon’s business since 2009. The investigation involves multi-year contracts subject to governmental regulation, including potential civil defective pricing claims for certain Raytheon contracts entered into between 2011 and 2013. As part of the same investigation, on March 24, 2021, the Company received a second criminal subpoena from the DOJ seeking documents relating to a certain Raytheon contract entered into in 2017. We are cooperating fully with, and will continue to review the issues raised by, the DOJ’s ongoing investigation. We continue to make substantial progress in our internal review of the issues raised by the DOJ investigation. Although we believe we have defenses to the potential claims, the Company has determined that there is a probable risk of liability for damages, interest, and potential penalties, and has accrued $306 million for this matter. We are currently unable to estimate an incremental loss, if any, which may result when the DOJ investigation is complete. Based on the information available to date, we do not believe the results of the DOJ investigation, or of any pending or potential civil litigation, will have a material adverse effect on our results of operations, financial condition, or liquidity.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UTC Equity Conversion Litigation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United Technologies Corporation (UTC) equity awards were converted to certain Company equity awards following the separation of UTC into three independent, publicly traded companies. We believe that the lawsuit lacks merit. Based on the information available to date, we do not believe that this matter will have a material adverse effect on our results of operations, financial condition, or liquidity.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Civil Litigation Related to Employee Hiring Practices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Pratt &amp; Whitney is one of multiple defendants in a putative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Plaintiffs seek to represent different purported classes of engineers and skilled laborers employed by Pratt &amp; Whitney and other supplier-defendants since 2011, and are seeking to recover treble damages in an undetermined amount, plus attorneys’ fees and costs of suit. We believe that the claims asserted lack merit. Based on the information available to date, we do not believe that this matter will have a material adverse effect on our results of operations, financial condition, or liquidity.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a shareholder derivative lawsuit was filed in the Delaware Court of Chancery against the Company and certain current and former officers and directors of the Company alleging that defendants breached their fiduciary duties by failing to implement and enforce a reasonable oversight mechanism for compliance with antitrust laws. We believe that the lawsuit lacks merit. Based on the information available to date, we do not believe that this matter will have a material adverse effect on our results of operations, financial condition, or liquidity.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Powder Metal Disclosure Litigation and SEC Investigation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Geared Turbofan engine fleet, including the impact of the powder metal issue on the fleet, in various regulatory filings. The lawsuits were consolidated and remain pending.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 the consolidated action alleges that the defendants caused the Company to make materially false and misleading statements relating to Pratt &amp; Whitney’s Geared Turbofan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2023 and January 30, 2024, the Company received subpoenas from the SEC seeking engineering, operational, organizational, accounting, and financial documents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those risks. The Company is cooperating with the SEC and is responding to the subpoenas. At this time, we are unable to predict the timing or outcome of this SEC investigation.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Where appropriate, we have recorded loss contingency accruals for the above-referenced matters, and the amounts individually, or in the aggregate, are not material.</w:t>
      </w:r>
    </w:p>
    <w:p>
      <w:pPr>
        <w:pStyle w:val="TextBody"/>
        <w:bidi w:val="0"/>
        <w:spacing w:lineRule="auto" w:line="288" w:before="120" w:after="283"/>
        <w:jc w:val="both"/>
        <w:rPr/>
      </w:pPr>
      <w:r>
        <w:rPr>
          <w:rFonts w:ascii="Times New Roman;sans-serif" w:hAnsi="Times New Roman;sans-serif"/>
          <w:b/>
          <w:color w:val="000000"/>
          <w:sz w:val="20"/>
        </w:rPr>
        <w:t>Other.</w:t>
      </w:r>
      <w:r>
        <w:rPr>
          <w:color w:val="000000"/>
        </w:rPr>
        <w:t xml:space="preserve"> </w:t>
      </w:r>
      <w:r>
        <w:rPr>
          <w:rFonts w:ascii="Times New Roman;sans-serif" w:hAnsi="Times New Roman;sans-serif"/>
          <w:b w:val="false"/>
          <w:color w:val="000000"/>
          <w:sz w:val="20"/>
        </w:rPr>
        <w:t>As described in “Note 15: Guarantees,”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Equity</w:t>
      </w:r>
    </w:p>
    <w:p>
      <w:pPr>
        <w:pStyle w:val="TextBody"/>
        <w:bidi w:val="0"/>
        <w:spacing w:lineRule="auto" w:line="288" w:before="120" w:after="283"/>
        <w:jc w:val="both"/>
        <w:rPr/>
      </w:pPr>
      <w:r>
        <w:rPr>
          <w:rFonts w:ascii="Times New Roman;sans-serif" w:hAnsi="Times New Roman;sans-serif"/>
          <w:b/>
          <w:color w:val="000000"/>
          <w:sz w:val="20"/>
        </w:rPr>
        <w:t xml:space="preserve">Common Stock - Share Repurchases. </w:t>
      </w:r>
      <w:r>
        <w:rPr>
          <w:rFonts w:ascii="Times New Roman;sans-serif" w:hAnsi="Times New Roman;sans-serif"/>
          <w:b w:val="false"/>
          <w:color w:val="000000"/>
          <w:sz w:val="20"/>
        </w:rPr>
        <w:t>On October 24, 2023, we entered into accelerated share repurchase (ASR) agreements with certain financial institution counterparties to repurchase shares of our common stock for an aggregate purchase price of $10 billion. Pursuant to the ASR agreements, we made aggregate payments of $10 billion on October 26, 2023, and received initial deliveries of approximately 108.4 million shares of our common stock at a price of $78.38 per share, representing approximately 85% of the shares expected to be repurchased. The aggregate purchase price was recorded as a reduction to Shareowners’ equity, consisting of a $8.5 billion increase in Treasury stock and a $1.5 billion decrease in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final number of shares to be repurchased will be based on the average of the daily volume-weighted average prices of our common stock during the term of the ASR agreements, less a discount and subject to adjustments pursuant to the terms and conditions of the ASR agreements. Upon final settlement of the ASR, under certain circumstances, each of the counterparties may be required to deliver additional shares of common stock, or we may be required to deliver shares of common stock or to make a cash payment to the counterparties, at our election. The final settlement of each transaction under the ASR agreements is scheduled to occur no later than the third quarter of 2024 and in each case may be accelerated at the option of the applicable counterparty.</w:t>
      </w:r>
    </w:p>
    <w:p>
      <w:pPr>
        <w:pStyle w:val="TextBody"/>
        <w:bidi w:val="0"/>
        <w:spacing w:lineRule="auto" w:line="288" w:before="120" w:after="283"/>
        <w:jc w:val="both"/>
        <w:rPr/>
      </w:pPr>
      <w:r>
        <w:rPr>
          <w:rFonts w:ascii="Times New Roman;sans-serif" w:hAnsi="Times New Roman;sans-serif"/>
          <w:b/>
          <w:color w:val="000000"/>
          <w:sz w:val="20"/>
        </w:rPr>
        <w:t xml:space="preserve">Accumulated Other Comprehensive Loss. </w:t>
      </w:r>
      <w:r>
        <w:rPr>
          <w:rFonts w:ascii="Times New Roman;sans-serif" w:hAnsi="Times New Roman;sans-serif"/>
          <w:b w:val="false"/>
          <w:color w:val="000000"/>
          <w:sz w:val="20"/>
        </w:rPr>
        <w:t>A summary of the changes in each component of Accumulated other comprehensive loss, net of tax for the quarters ended March 31, 2024 and 2023 is provided below:</w:t>
      </w:r>
    </w:p>
    <w:tbl>
      <w:tblPr>
        <w:tblW w:w="10205" w:type="dxa"/>
        <w:jc w:val="left"/>
        <w:tblInd w:w="0" w:type="dxa"/>
        <w:tblLayout w:type="fixed"/>
        <w:tblCellMar>
          <w:top w:w="28" w:type="dxa"/>
          <w:left w:w="28" w:type="dxa"/>
          <w:bottom w:w="28" w:type="dxa"/>
          <w:right w:w="28" w:type="dxa"/>
        </w:tblCellMar>
      </w:tblPr>
      <w:tblGrid>
        <w:gridCol w:w="1281"/>
        <w:gridCol w:w="687"/>
        <w:gridCol w:w="667"/>
        <w:gridCol w:w="359"/>
        <w:gridCol w:w="819"/>
        <w:gridCol w:w="186"/>
        <w:gridCol w:w="109"/>
        <w:gridCol w:w="109"/>
        <w:gridCol w:w="109"/>
        <w:gridCol w:w="435"/>
        <w:gridCol w:w="1302"/>
        <w:gridCol w:w="226"/>
        <w:gridCol w:w="109"/>
        <w:gridCol w:w="109"/>
        <w:gridCol w:w="109"/>
        <w:gridCol w:w="441"/>
        <w:gridCol w:w="755"/>
        <w:gridCol w:w="230"/>
        <w:gridCol w:w="109"/>
        <w:gridCol w:w="109"/>
        <w:gridCol w:w="109"/>
        <w:gridCol w:w="387"/>
        <w:gridCol w:w="1158"/>
        <w:gridCol w:w="291"/>
      </w:tblGrid>
      <w:tr>
        <w:trPr/>
        <w:tc>
          <w:tcPr>
            <w:tcW w:w="12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r>
      <w:tr>
        <w:trPr/>
        <w:tc>
          <w:tcPr>
            <w:tcW w:w="2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March 31, 2024</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net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pre-tax</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(expense) </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w:t>
            </w: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(562)</w:t>
            </w:r>
          </w:p>
        </w:tc>
        <w:tc>
          <w:tcPr>
            <w:tcW w:w="1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(2,065)</w:t>
            </w:r>
          </w:p>
        </w:tc>
        <w:tc>
          <w:tcPr>
            <w:tcW w:w="2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2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(2,635)</w:t>
            </w:r>
          </w:p>
        </w:tc>
        <w:tc>
          <w:tcPr>
            <w:tcW w:w="2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1"/>
        <w:gridCol w:w="687"/>
        <w:gridCol w:w="666"/>
        <w:gridCol w:w="294"/>
        <w:gridCol w:w="922"/>
        <w:gridCol w:w="151"/>
        <w:gridCol w:w="109"/>
        <w:gridCol w:w="109"/>
        <w:gridCol w:w="109"/>
        <w:gridCol w:w="516"/>
        <w:gridCol w:w="1179"/>
        <w:gridCol w:w="268"/>
        <w:gridCol w:w="109"/>
        <w:gridCol w:w="109"/>
        <w:gridCol w:w="109"/>
        <w:gridCol w:w="372"/>
        <w:gridCol w:w="859"/>
        <w:gridCol w:w="193"/>
        <w:gridCol w:w="109"/>
        <w:gridCol w:w="109"/>
        <w:gridCol w:w="109"/>
        <w:gridCol w:w="387"/>
        <w:gridCol w:w="1157"/>
        <w:gridCol w:w="292"/>
      </w:tblGrid>
      <w:tr>
        <w:trPr/>
        <w:tc>
          <w:tcPr>
            <w:tcW w:w="12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r>
      <w:tr>
        <w:trPr/>
        <w:tc>
          <w:tcPr>
            <w:tcW w:w="2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March 31, 2023</w:t>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pre-tax</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2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Segment Financial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 </w:t>
      </w:r>
    </w:p>
    <w:p>
      <w:pPr>
        <w:pStyle w:val="TextBody"/>
        <w:bidi w:val="0"/>
        <w:spacing w:lineRule="auto" w:line="288" w:before="120" w:after="283"/>
        <w:jc w:val="both"/>
        <w:rPr/>
      </w:pPr>
      <w:r>
        <w:rPr>
          <w:rFonts w:ascii="Times New Roman;sans-serif" w:hAnsi="Times New Roman;sans-serif"/>
          <w:b w:val="false"/>
          <w:color w:val="000000"/>
          <w:sz w:val="20"/>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ans-serif" w:hAnsi="Times New Roman;sans-serif"/>
          <w:b w:val="false"/>
          <w:color w:val="000000"/>
          <w:sz w:val="20"/>
          <w:shd w:fill="FFFFFF" w:val="clear"/>
        </w:rPr>
        <w:t>.</w:t>
      </w:r>
    </w:p>
    <w:p>
      <w:pPr>
        <w:pStyle w:val="TextBody"/>
        <w:bidi w:val="0"/>
        <w:spacing w:lineRule="auto" w:line="268" w:before="120" w:after="283"/>
        <w:jc w:val="both"/>
        <w:rPr/>
      </w:pPr>
      <w:r>
        <w:rPr>
          <w:rFonts w:ascii="Times New Roman;sans-serif" w:hAnsi="Times New Roman;sans-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sans-serif" w:hAnsi="Times New Roman;sans-serif"/>
          <w:b/>
          <w:color w:val="000000"/>
          <w:sz w:val="2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March 31, 2024 and 2023 are as follows:</w:t>
      </w:r>
    </w:p>
    <w:tbl>
      <w:tblPr>
        <w:tblW w:w="10205" w:type="dxa"/>
        <w:jc w:val="left"/>
        <w:tblInd w:w="0" w:type="dxa"/>
        <w:tblLayout w:type="fixed"/>
        <w:tblCellMar>
          <w:top w:w="28" w:type="dxa"/>
          <w:left w:w="28" w:type="dxa"/>
          <w:bottom w:w="28" w:type="dxa"/>
          <w:right w:w="28" w:type="dxa"/>
        </w:tblCellMar>
      </w:tblPr>
      <w:tblGrid>
        <w:gridCol w:w="1014"/>
        <w:gridCol w:w="888"/>
        <w:gridCol w:w="810"/>
        <w:gridCol w:w="211"/>
        <w:gridCol w:w="736"/>
        <w:gridCol w:w="109"/>
        <w:gridCol w:w="109"/>
        <w:gridCol w:w="109"/>
        <w:gridCol w:w="109"/>
        <w:gridCol w:w="211"/>
        <w:gridCol w:w="721"/>
        <w:gridCol w:w="109"/>
        <w:gridCol w:w="109"/>
        <w:gridCol w:w="109"/>
        <w:gridCol w:w="109"/>
        <w:gridCol w:w="211"/>
        <w:gridCol w:w="631"/>
        <w:gridCol w:w="109"/>
        <w:gridCol w:w="109"/>
        <w:gridCol w:w="109"/>
        <w:gridCol w:w="109"/>
        <w:gridCol w:w="211"/>
        <w:gridCol w:w="616"/>
        <w:gridCol w:w="109"/>
        <w:gridCol w:w="109"/>
        <w:gridCol w:w="109"/>
        <w:gridCol w:w="109"/>
        <w:gridCol w:w="263"/>
        <w:gridCol w:w="263"/>
        <w:gridCol w:w="370"/>
        <w:gridCol w:w="133"/>
        <w:gridCol w:w="133"/>
        <w:gridCol w:w="133"/>
        <w:gridCol w:w="255"/>
        <w:gridCol w:w="256"/>
        <w:gridCol w:w="395"/>
      </w:tblGrid>
      <w:tr>
        <w:trPr/>
        <w:tc>
          <w:tcPr>
            <w:tcW w:w="101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Profit Margins</w:t>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w:t>
            </w:r>
            <w:r>
              <w:rPr>
                <w:color w:val="000000"/>
              </w:rPr>
              <w:t>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Raytheon </w:t>
            </w:r>
            <w:r>
              <w:rPr>
                <w:rFonts w:ascii="Times New Roman;sans-serif" w:hAnsi="Times New Roman;sans-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w:t>
            </w: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Eliminations and other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 unallocated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19,305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3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the operating results of certain smaller operations.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Operating Profit includes a $0.4 billion gain, net of transaction and other related costs, related to the sale of our CIS business. See “Note 2: Acquisitions and Dispositions” for additional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believe these categories best depict how the nature, amount, timing and uncertainty of our revenue and cash flows are affected by economic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sales disaggregated by geographic region based on customer location for the quarters ended March 31, 2024 and 2023 are as follows:</w:t>
      </w:r>
    </w:p>
    <w:tbl>
      <w:tblPr>
        <w:tblW w:w="10205" w:type="dxa"/>
        <w:jc w:val="left"/>
        <w:tblInd w:w="0" w:type="dxa"/>
        <w:tblLayout w:type="fixed"/>
        <w:tblCellMar>
          <w:top w:w="28" w:type="dxa"/>
          <w:left w:w="28" w:type="dxa"/>
          <w:bottom w:w="28" w:type="dxa"/>
          <w:right w:w="28" w:type="dxa"/>
        </w:tblCellMar>
      </w:tblPr>
      <w:tblGrid>
        <w:gridCol w:w="689"/>
        <w:gridCol w:w="228"/>
        <w:gridCol w:w="231"/>
        <w:gridCol w:w="200"/>
        <w:gridCol w:w="582"/>
        <w:gridCol w:w="111"/>
        <w:gridCol w:w="199"/>
        <w:gridCol w:w="580"/>
        <w:gridCol w:w="110"/>
        <w:gridCol w:w="196"/>
        <w:gridCol w:w="571"/>
        <w:gridCol w:w="109"/>
        <w:gridCol w:w="196"/>
        <w:gridCol w:w="438"/>
        <w:gridCol w:w="109"/>
        <w:gridCol w:w="196"/>
        <w:gridCol w:w="661"/>
        <w:gridCol w:w="109"/>
        <w:gridCol w:w="109"/>
        <w:gridCol w:w="109"/>
        <w:gridCol w:w="109"/>
        <w:gridCol w:w="200"/>
        <w:gridCol w:w="568"/>
        <w:gridCol w:w="111"/>
        <w:gridCol w:w="199"/>
        <w:gridCol w:w="565"/>
        <w:gridCol w:w="110"/>
        <w:gridCol w:w="196"/>
        <w:gridCol w:w="556"/>
        <w:gridCol w:w="109"/>
        <w:gridCol w:w="196"/>
        <w:gridCol w:w="438"/>
        <w:gridCol w:w="109"/>
        <w:gridCol w:w="196"/>
        <w:gridCol w:w="646"/>
        <w:gridCol w:w="164"/>
      </w:tblGrid>
      <w:tr>
        <w:trPr/>
        <w:tc>
          <w:tcPr>
            <w:tcW w:w="6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(dollars in millions)</w:t>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w:t>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w:t>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3,321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3,010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1,670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1,194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 East and North Africa</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regions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6,169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6,456</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6,673</w:t>
            </w:r>
            <w:r>
              <w:rPr>
                <w:color w:val="000000"/>
              </w:rPr>
              <w:t>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6,456</w:t>
            </w:r>
            <w:r>
              <w:rPr>
                <w:color w:val="000000"/>
              </w:rPr>
              <w:t>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6,659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Segment sales disaggregated by type of customer for the quarters ended March 31, 2024 and 2023 are as follows:</w:t>
      </w:r>
    </w:p>
    <w:tbl>
      <w:tblPr>
        <w:tblW w:w="10205" w:type="dxa"/>
        <w:jc w:val="left"/>
        <w:tblInd w:w="0" w:type="dxa"/>
        <w:tblLayout w:type="fixed"/>
        <w:tblCellMar>
          <w:top w:w="28" w:type="dxa"/>
          <w:left w:w="28" w:type="dxa"/>
          <w:bottom w:w="28" w:type="dxa"/>
          <w:right w:w="28" w:type="dxa"/>
        </w:tblCellMar>
      </w:tblPr>
      <w:tblGrid>
        <w:gridCol w:w="661"/>
        <w:gridCol w:w="277"/>
        <w:gridCol w:w="236"/>
        <w:gridCol w:w="198"/>
        <w:gridCol w:w="578"/>
        <w:gridCol w:w="110"/>
        <w:gridCol w:w="198"/>
        <w:gridCol w:w="577"/>
        <w:gridCol w:w="110"/>
        <w:gridCol w:w="196"/>
        <w:gridCol w:w="571"/>
        <w:gridCol w:w="109"/>
        <w:gridCol w:w="196"/>
        <w:gridCol w:w="437"/>
        <w:gridCol w:w="109"/>
        <w:gridCol w:w="196"/>
        <w:gridCol w:w="661"/>
        <w:gridCol w:w="109"/>
        <w:gridCol w:w="109"/>
        <w:gridCol w:w="109"/>
        <w:gridCol w:w="109"/>
        <w:gridCol w:w="199"/>
        <w:gridCol w:w="564"/>
        <w:gridCol w:w="110"/>
        <w:gridCol w:w="198"/>
        <w:gridCol w:w="562"/>
        <w:gridCol w:w="110"/>
        <w:gridCol w:w="196"/>
        <w:gridCol w:w="556"/>
        <w:gridCol w:w="109"/>
        <w:gridCol w:w="196"/>
        <w:gridCol w:w="437"/>
        <w:gridCol w:w="109"/>
        <w:gridCol w:w="196"/>
        <w:gridCol w:w="646"/>
        <w:gridCol w:w="161"/>
      </w:tblGrid>
      <w:tr>
        <w:trPr/>
        <w:tc>
          <w:tcPr>
            <w:tcW w:w="6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(dollars in millions)</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w:t>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Collins Aerospace </w:t>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w:t>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Sales to the U.S. government</w:t>
            </w:r>
            <w:r>
              <w:rPr>
                <w:color w:val="000000"/>
              </w:rPr>
              <w:t xml:space="preserve"> </w:t>
            </w:r>
            <w:r>
              <w:rPr>
                <w:rFonts w:ascii="Times New Roman;sans-serif" w:hAnsi="Times New Roman;sans-serif"/>
                <w:b w:val="false"/>
                <w:color w:val="000000"/>
                <w:sz w:val="12"/>
              </w:rPr>
              <w:t>(1)</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1,564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1,558</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military sales through the U.S. government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 direct commercial sales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aerospace and other commercial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4,215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4,430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6,169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6,673</w:t>
            </w:r>
            <w:r>
              <w:rPr>
                <w:color w:val="000000"/>
              </w:rPr>
              <w:t>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6,456</w:t>
            </w:r>
            <w:r>
              <w:rPr>
                <w:color w:val="000000"/>
              </w:rPr>
              <w:t>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6,659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Excludes foreign military sales through the U.S. government.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Segment sales disaggregated by sales type for the quarters ended March 31, 2024 and 2023 are as follows:</w:t>
      </w:r>
    </w:p>
    <w:tbl>
      <w:tblPr>
        <w:tblW w:w="10205" w:type="dxa"/>
        <w:jc w:val="left"/>
        <w:tblInd w:w="0" w:type="dxa"/>
        <w:tblLayout w:type="fixed"/>
        <w:tblCellMar>
          <w:top w:w="28" w:type="dxa"/>
          <w:left w:w="28" w:type="dxa"/>
          <w:bottom w:w="28" w:type="dxa"/>
          <w:right w:w="28" w:type="dxa"/>
        </w:tblCellMar>
      </w:tblPr>
      <w:tblGrid>
        <w:gridCol w:w="555"/>
        <w:gridCol w:w="352"/>
        <w:gridCol w:w="227"/>
        <w:gridCol w:w="200"/>
        <w:gridCol w:w="585"/>
        <w:gridCol w:w="111"/>
        <w:gridCol w:w="199"/>
        <w:gridCol w:w="582"/>
        <w:gridCol w:w="111"/>
        <w:gridCol w:w="196"/>
        <w:gridCol w:w="571"/>
        <w:gridCol w:w="109"/>
        <w:gridCol w:w="196"/>
        <w:gridCol w:w="439"/>
        <w:gridCol w:w="109"/>
        <w:gridCol w:w="196"/>
        <w:gridCol w:w="661"/>
        <w:gridCol w:w="109"/>
        <w:gridCol w:w="109"/>
        <w:gridCol w:w="109"/>
        <w:gridCol w:w="109"/>
        <w:gridCol w:w="201"/>
        <w:gridCol w:w="570"/>
        <w:gridCol w:w="111"/>
        <w:gridCol w:w="200"/>
        <w:gridCol w:w="567"/>
        <w:gridCol w:w="111"/>
        <w:gridCol w:w="196"/>
        <w:gridCol w:w="556"/>
        <w:gridCol w:w="109"/>
        <w:gridCol w:w="196"/>
        <w:gridCol w:w="439"/>
        <w:gridCol w:w="109"/>
        <w:gridCol w:w="196"/>
        <w:gridCol w:w="646"/>
        <w:gridCol w:w="163"/>
      </w:tblGrid>
      <w:tr>
        <w:trPr/>
        <w:tc>
          <w:tcPr>
            <w:tcW w:w="5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(dollars in millions)</w:t>
            </w:r>
          </w:p>
        </w:tc>
        <w:tc>
          <w:tcPr>
            <w:tcW w:w="8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w:t>
            </w:r>
          </w:p>
        </w:tc>
        <w:tc>
          <w:tcPr>
            <w:tcW w:w="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w:t>
            </w:r>
          </w:p>
        </w:tc>
        <w:tc>
          <w:tcPr>
            <w:tcW w:w="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4,833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3,957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2,499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6,169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6,673</w:t>
            </w:r>
            <w:r>
              <w:rPr>
                <w:color w:val="000000"/>
              </w:rPr>
              <w:t>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6,456</w:t>
            </w:r>
            <w:r>
              <w:rPr>
                <w:color w:val="000000"/>
              </w:rPr>
              <w:t>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6,659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Raytheon segment sales disaggregated by contract type for the quarters ended March 31, 2024 and 2023 are as follows:</w:t>
      </w:r>
    </w:p>
    <w:tbl>
      <w:tblPr>
        <w:tblW w:w="3894" w:type="dxa"/>
        <w:jc w:val="left"/>
        <w:tblInd w:w="0" w:type="dxa"/>
        <w:tblLayout w:type="fixed"/>
        <w:tblCellMar>
          <w:top w:w="28" w:type="dxa"/>
          <w:left w:w="28" w:type="dxa"/>
          <w:bottom w:w="28" w:type="dxa"/>
          <w:right w:w="28" w:type="dxa"/>
        </w:tblCellMar>
      </w:tblPr>
      <w:tblGrid>
        <w:gridCol w:w="648"/>
        <w:gridCol w:w="567"/>
        <w:gridCol w:w="570"/>
        <w:gridCol w:w="196"/>
        <w:gridCol w:w="571"/>
        <w:gridCol w:w="109"/>
        <w:gridCol w:w="109"/>
        <w:gridCol w:w="109"/>
        <w:gridCol w:w="109"/>
        <w:gridCol w:w="196"/>
        <w:gridCol w:w="55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Fixed-price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Cost-type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6,659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19: Remaining Performance Obligations (RPO)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RPO represents the aggregate amount of total contract transaction price that is unsatisfied or partially unsatisfied. Total RPO was $202 billion as of March 31, 2024. Of the total RPO as of March 31, 2024, we expect approximately 25% will be recognized as revenue over the next 12 months. Approximately 45% of our RPO relates to long-term commercial aerospace maintenance contracts at Pratt &amp; Whitney, which are generally expected to be realized over a span of up to 20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20: Accounting Pronouncements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SEC issued the final rule under SEC Release No. 33-11275 and 34-99678, The Enhancement and Standardization of Climate-Related Disclosures for Investors, requiring public companies to provide certain climate-related information in their registration statements and annual reports. The final rules will require information about a company’s climate-related risks that have materially impacted or are reasonably likely to have a material impact on its business strategy, results of operations, or financial condition, and the actual and potential material impacts of any identified climate-related risks on the company’s strategy, business model and outlook, as well as relating to assessment, management, oversight and mitigation of such material risks, material climate-related targets and goals, and material greenhouse gas emissions. Additionally, certain disclosures related to severe weather events and other natural conditions will be required in the audited financial statements. The first phase of the final rule is effective for fiscal years beginning in 2025. Disclosure for prior periods is only required if it was previously disclosed in an SEC filing. On April 4, 2024, the SEC voluntarily stayed implementation of the final rule to facilitate the orderly judicial resolution of pending legal challenges to the rule. We are currently evaluating the impact on our disclosures of adopting this new pronouncement.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Accounting Standards Update (ASU) 2023-09, Income Taxes (Topic 740): Improvements to Income Tax Disclosures, to enhance income tax reporting disclosures and require disclosure of specific categories in the tabular rate reconciliation. The new standard is effective for fiscal years beginning after December 15, 2024, on a prospective basis. Early adoption and retrospective application are permitted. We are currently evaluating the impact on our disclosures of adopting this new pronouncement.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expands the segment reporting disclosures and requires disclosure of segment expenses that are regularly provided to the chief operating decision maker (CODM) and included within each reported measure of segment profit or loss, amounts and description of its composition for other segment items, and interim disclosure of a reportable segment’s profit or loss and assets. Additionally, the amendments require the disclosure of the title and position of the CODM and an explanation of how the CODM uses the reported measure(s) of segment profit or loss in assessing performance and deciding how to allocate resources. The new standard is effective for fiscal years beginning after December 15, 2023, and interim periods within fiscal years beginning after December 15, 2024, on a retrospective basis. Early adoption is permitted. We are currently evaluating the impact on our disclosures of adopting this new pronouncement.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new pronouncements issued but not effective until after March 31, 2024 are not expected to have a material impact 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unaudited condensed consolidated financial information of RTX for the quarters ended March 31, 2024 and 2023, PricewaterhouseCoopers LLP (PwC) reported that it has applied limited procedures in accordance with professional standards for a review of such information. However, its report dated April 23, 2024,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Shareowners and Board of Directors of RTX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Results of Review of Interim Financial Information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reviewed the accompanying condensed consolidated balance sheet of RTX Corporation and its subsidiaries (the “Company”) as of March 31, 2024, and the related condensed consolidated statements of operations, of comprehensive income, of changes in equity, and of cash flows for the three-month periods ended March 31, 2024 and 2023,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audited, in accordance with the standards of the Public Company Accounting Oversight Board (United States) (“PCAOB”), the consolidated balance sheet of the Company as of December 31, 2023, and the related consolidated statements of operations, of comprehensive income, of changes in equity, and of cash flows for the year then ended (not presented herein), and in our report dated February 5, 2024, we expressed an unqualified opinion on those consolidated financial statements. In our opinion, the information set forth in the accompanying condensed consolidated balance sheet as of December 31, 2023, is fairly stated, in all material respects, in relation to the consolidated balance sheet from which it has been derived.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Review Results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premier systems provider of high technology products and services to the aerospace and defense industries.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the terms “we,” “our,” “us,” “the Company,” and “RTX” mean RTX Corporation and its subsidiaries.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2023, we streamlined the structure of our core businesses to three principal business segments: Collins Aerospace (Collins), Pratt &amp; Whitney, and Raytheon. Prior period information has been recast to conform to our current period presentation as discussed in our 2023 Annual Report on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Raytheon follows a 4-4-5 fiscal calendar while Collins and Pratt &amp; Whitney use a quarter calendar end. Throughout this Quarterly Report on Form 10-Q, when we refer to the quarters ended March 31, 2024 and 2023 with respect to Raytheon, we are referring to their March 31, 2024 and April 2, 2023 fiscal quarter ends, respectively.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status of significant factors affecting our business environment in 2024 is discussed below. For additional discussion, refer to the “Business Overview” section in Management’s Discussion and Analysis of Financial Condition and Results of Operations (MD&amp;A) in our 2023 Annual Report on Form 10-K.</w:t>
      </w:r>
    </w:p>
    <w:p>
      <w:pPr>
        <w:pStyle w:val="TextBody"/>
        <w:bidi w:val="0"/>
        <w:spacing w:lineRule="auto" w:line="288" w:before="12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Industry Considerations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conditions, changes in raw material and commodity prices and supply, labor availability and costs, inflation, interest rates, geopolitical conflicts and strained intercountry relations, U.S. and non U.S. tax law changes, foreign currency exchange rates, energy costs and supply, levels of air travel, the financial condition of commercial airlines, and the impact from natural disasters and weather conditions create uncertainties that could impact our businesses. </w:t>
      </w:r>
    </w:p>
    <w:p>
      <w:pPr>
        <w:pStyle w:val="TextBody"/>
        <w:bidi w:val="0"/>
        <w:spacing w:lineRule="auto" w:line="288" w:before="120" w:after="283"/>
        <w:jc w:val="both"/>
        <w:rPr/>
      </w:pPr>
      <w:r>
        <w:rPr>
          <w:rFonts w:ascii="Times New Roman;sans-serif" w:hAnsi="Times New Roman;sans-serif"/>
          <w:b/>
          <w:color w:val="000000"/>
          <w:sz w:val="20"/>
        </w:rPr>
        <w:t>Pratt &amp; Whitney Powder Metal Matter.</w:t>
      </w:r>
      <w:r>
        <w:rPr>
          <w:color w:val="000000"/>
        </w:rPr>
        <w:t xml:space="preserve"> </w:t>
      </w:r>
      <w:r>
        <w:rPr>
          <w:rFonts w:ascii="Times New Roman;sans-serif" w:hAnsi="Times New Roman;sans-serif"/>
          <w:b w:val="false"/>
          <w:color w:val="000000"/>
          <w:sz w:val="20"/>
        </w:rPr>
        <w:t xml:space="preserve">As described further in “Note 16: Commitments and Contingencies,” within Item 1 of this Form 10-Q, Pratt &amp; Whitney has determined that a rare condition in powder metal used to manufacture certain engine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parts requires accelerated inspection of the PW1100G-JM (PW1100) Geared Turbofan (GTF) fleet, which powers the A320neo family of aircraft (A320neo) (herein referred to as the “Powder Metal Matter”).</w:t>
      </w:r>
    </w:p>
    <w:p>
      <w:pPr>
        <w:pStyle w:val="TextBody"/>
        <w:bidi w:val="0"/>
        <w:spacing w:lineRule="auto" w:line="288" w:before="120" w:after="283"/>
        <w:jc w:val="both"/>
        <w:rPr/>
      </w:pPr>
      <w:r>
        <w:rPr>
          <w:rFonts w:ascii="Times New Roman;sans-serif" w:hAnsi="Times New Roman;sans-serif"/>
          <w:b/>
          <w:color w:val="000000"/>
          <w:sz w:val="20"/>
        </w:rPr>
        <w:t>Global Supply Chain.</w:t>
      </w:r>
      <w:r>
        <w:rPr>
          <w:color w:val="000000"/>
        </w:rPr>
        <w:t xml:space="preserve"> </w:t>
      </w:r>
      <w:r>
        <w:rPr>
          <w:rFonts w:ascii="Times New Roman;sans-serif" w:hAnsi="Times New Roman;sans-serif"/>
          <w:b w:val="false"/>
          <w:color w:val="000000"/>
          <w:sz w:val="20"/>
        </w:rPr>
        <w:t>We are dependent on a global supply chain and in recent years have experienced supply chain disruptions that resulted in delays and increased costs which adversely affected our performance. These disruptions impacted our ability to procure raw materials, microelectronics, and certain commodities on a timely basis and/or at expected prices, and have been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are contributing to these issues. Furthermore, our suppliers and subcontractors have been impacted by these same issues. As a result of the Canadian government’s imposition of sanctions in February 2024, which included U.S.- and German-based Russian-owned entities from which we source titanium for use in our Canadian operations, we recorded charges of $175 million in the first quarter of 2024 within our Collins segment. These charges are primarily related to the recognition of unfavorable purchase commitments and an impairment of contract fulfillment costs that are no longer recoverable as a result of initiating alternative titanium sources. We have implemented actions and programs to mitigate some of the impacts but anticipate supply chain disruptions to continue.</w:t>
      </w:r>
    </w:p>
    <w:p>
      <w:pPr>
        <w:pStyle w:val="TextBody"/>
        <w:bidi w:val="0"/>
        <w:spacing w:lineRule="auto" w:line="288" w:before="120" w:after="283"/>
        <w:jc w:val="both"/>
        <w:rPr/>
      </w:pPr>
      <w:r>
        <w:rPr>
          <w:rFonts w:ascii="Times New Roman;sans-serif" w:hAnsi="Times New Roman;sans-serif"/>
          <w:b/>
          <w:color w:val="000000"/>
          <w:sz w:val="20"/>
        </w:rPr>
        <w:t>Economic Environment.</w:t>
      </w:r>
      <w:r>
        <w:rPr>
          <w:color w:val="000000"/>
        </w:rPr>
        <w:t xml:space="preserve"> </w:t>
      </w:r>
      <w:r>
        <w:rPr>
          <w:rFonts w:ascii="Times New Roman;sans-serif" w:hAnsi="Times New Roman;sans-serif"/>
          <w:b w:val="false"/>
          <w:color w:val="000000"/>
          <w:sz w:val="20"/>
        </w:rPr>
        <w:t>High inflation levels have increased material and component prices, labor rates, and supplier costs and have negatively impacted our operating profit and margin, including impact on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of our suppliers to perform. Moreover, volatility in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Excellence (CORE) operating platform to the execution of these initiatives. However, the impact of these pressures and corresponding initiatives is uncertain and subject to a range of factors and future developments.</w:t>
      </w:r>
    </w:p>
    <w:p>
      <w:pPr>
        <w:pStyle w:val="TextBody"/>
        <w:bidi w:val="0"/>
        <w:spacing w:lineRule="auto" w:line="288" w:before="120" w:after="283"/>
        <w:jc w:val="both"/>
        <w:rPr/>
      </w:pPr>
      <w:r>
        <w:rPr>
          <w:rFonts w:ascii="Times New Roman;sans-serif" w:hAnsi="Times New Roman;sans-serif"/>
          <w:b/>
          <w:color w:val="000000"/>
          <w:sz w:val="20"/>
        </w:rPr>
        <w:t xml:space="preserve">Geopolitical Matters. </w:t>
      </w:r>
      <w:r>
        <w:rPr>
          <w:rFonts w:ascii="Times New Roman;sans-serif" w:hAnsi="Times New Roman;sans-serif"/>
          <w:b w:val="false"/>
          <w:color w:val="000000"/>
          <w:sz w:val="20"/>
        </w:rPr>
        <w:t>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including as discussed above in Global Supply Chain;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China announced sanctions against Raytheon Missiles &amp; Defense (RMD) (a former RTX Corporation (RTX) business segment which became part of Raytheon as a result of the July 1, 2023 RTX segment realignment), and previously announced it may take measures against RTX, in connection with certain foreign military sales to Taiwan. The Chinese sanctions against RMD included a fine equal to twice the value of the arms that RMD sold to Taiwan since September 2020. In addition, in September 2022, China indicated that it decided to sanction our Chairman and Chief Executive Officer, Gregory Hayes, in connection with another foreign military sale to Taiwan involving RTX products and services. Most recently, in January 2024, China announced sanctions against Data Link Solutions LLC, a Collins Aerospace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not be obtained on a timely basis or at all or may be revoked. If we ultimately do not receive all of the regulatory approvals, or those approvals are revoked, it could have a material effect on our financial results. In particular, as of March 31, 2024, our Contract liabilities include approximately $405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potential impacts to RTX’s business, customers, suppliers, employees, and operations in Israel, the Middle East, and elsewhere relating to the ongoing war between Israel and Hamas and the associated rising regional conflicts and tensions, such as Houthi attacks on shipping in the Red Sea, and the U.S. and its partners’ responses to the foregoing. To date, the impacts to RTX have been minimal. RTX’s commercial manufacturing facilities in Israel remain open and operational and have continued exporting products and importing critical items and raw materials. RTX’s defense programs’ ability to receive components from Israel has not been impacted in any material respect, though we could experience future delivery delays of certain products because of the current situation. Given the volatile nature of the situation, the potential impacts to RTX are subject to change.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Part I, Item 1A, “Risk Factors” in our 2023 Annual Report on Form 10-K for further discussion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2023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72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Net Sales</w:t>
      </w:r>
    </w:p>
    <w:tbl>
      <w:tblPr>
        <w:tblW w:w="4405" w:type="dxa"/>
        <w:jc w:val="center"/>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19,305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factors contributing to the change year-over-year in total net sales for the quarter ended March 31, 2024 are as follows:</w:t>
      </w:r>
    </w:p>
    <w:tbl>
      <w:tblPr>
        <w:tblW w:w="5497" w:type="dxa"/>
        <w:jc w:val="left"/>
        <w:tblInd w:w="0" w:type="dxa"/>
        <w:tblLayout w:type="fixed"/>
        <w:tblCellMar>
          <w:top w:w="28" w:type="dxa"/>
          <w:left w:w="28" w:type="dxa"/>
          <w:bottom w:w="28" w:type="dxa"/>
          <w:right w:w="28" w:type="dxa"/>
        </w:tblCellMar>
      </w:tblPr>
      <w:tblGrid>
        <w:gridCol w:w="1028"/>
        <w:gridCol w:w="901"/>
        <w:gridCol w:w="905"/>
        <w:gridCol w:w="532"/>
        <w:gridCol w:w="1593"/>
        <w:gridCol w:w="275"/>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Organic </w:t>
            </w:r>
            <w:r>
              <w:rPr>
                <w:rFonts w:ascii="Times New Roman;sans-serif" w:hAnsi="Times New Roman;sans-serif"/>
                <w:b w:val="false"/>
                <w:color w:val="000000"/>
                <w:sz w:val="13"/>
              </w:rPr>
              <w:t>(1)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2,123</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divestitures, net</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w:t>
            </w:r>
          </w:p>
        </w:tc>
        <w:tc>
          <w:tcPr>
            <w:tcW w:w="5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2,091</w:t>
            </w:r>
            <w:r>
              <w:rPr>
                <w:color w:val="000000"/>
              </w:rPr>
              <w:t> </w:t>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increased $2.1 billion organically in the quarter ended March 31, 2024 compared to the quarter ended March 31, 2023 primarily due to higher organic sales of $1.2 billion at Pratt &amp; Whitney, $0.5 billion at Collins, and $0.4 billion at Raytheon.</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“Segment Review” below for further information by segment.</w:t>
      </w:r>
    </w:p>
    <w:tbl>
      <w:tblPr>
        <w:tblW w:w="6416" w:type="dxa"/>
        <w:jc w:val="left"/>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74.1</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19,305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18: Segment Financial Data” within Item 1 of this Form 10-Q for the composition of external net sales by products and services by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products sales increased $1.5 billion in the quarter ended March 31, 2024 compared to the quarter ended March 31, 2023 primarily due to increases in external products sales of $0.9 billion at Pratt &amp; Whitney, $0.4 billion at Collins, and $0.2 billion at Raytheon.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services sales increased $0.6 billion in the quarter ended March 31, 2024 compared to the quarter ended March 31, 2023 primarily due to increases in external services sales of $0.3 billion at Pratt &amp; Whitney, $0.2 billion at Raytheon, and $0.1 billion at Collins.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sales to major customers were as follows:</w:t>
      </w:r>
    </w:p>
    <w:tbl>
      <w:tblPr>
        <w:tblW w:w="9175" w:type="dxa"/>
        <w:jc w:val="left"/>
        <w:tblInd w:w="0" w:type="dxa"/>
        <w:tblLayout w:type="fixed"/>
        <w:tblCellMar>
          <w:top w:w="28" w:type="dxa"/>
          <w:left w:w="28" w:type="dxa"/>
          <w:bottom w:w="28" w:type="dxa"/>
          <w:right w:w="28" w:type="dxa"/>
        </w:tblCellMar>
      </w:tblPr>
      <w:tblGrid>
        <w:gridCol w:w="1545"/>
        <w:gridCol w:w="1354"/>
        <w:gridCol w:w="1360"/>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Net Sales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 to the U.S. government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w:t>
            </w: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 and other commercial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19,305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Excludes foreign military sales through the U.S. government.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Cost of Sales</w:t>
      </w:r>
    </w:p>
    <w:tbl>
      <w:tblPr>
        <w:tblW w:w="5209" w:type="dxa"/>
        <w:jc w:val="left"/>
        <w:tblInd w:w="0" w:type="dxa"/>
        <w:tblLayout w:type="fixed"/>
        <w:tblCellMar>
          <w:top w:w="28" w:type="dxa"/>
          <w:left w:w="28" w:type="dxa"/>
          <w:bottom w:w="28" w:type="dxa"/>
          <w:right w:w="28" w:type="dxa"/>
        </w:tblCellMar>
      </w:tblPr>
      <w:tblGrid>
        <w:gridCol w:w="707"/>
        <w:gridCol w:w="620"/>
        <w:gridCol w:w="623"/>
        <w:gridCol w:w="211"/>
        <w:gridCol w:w="736"/>
        <w:gridCol w:w="301"/>
        <w:gridCol w:w="109"/>
        <w:gridCol w:w="109"/>
        <w:gridCol w:w="109"/>
        <w:gridCol w:w="211"/>
        <w:gridCol w:w="721"/>
        <w:gridCol w:w="271"/>
        <w:gridCol w:w="109"/>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15,744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94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81.6</w:t>
            </w:r>
            <w:r>
              <w:rPr>
                <w:color w:val="000000"/>
              </w:rPr>
              <w:t> </w:t>
            </w:r>
          </w:p>
        </w:tc>
        <w:tc>
          <w:tcPr>
            <w:tcW w:w="3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The factors contributing to the change year-over-year in total cost of sales for the quarter ended March 31, 2024 are as follows:</w:t>
      </w:r>
      <w:r>
        <w:rPr>
          <w:color w:val="000000"/>
        </w:rPr>
        <w:t> </w:t>
      </w:r>
    </w:p>
    <w:tbl>
      <w:tblPr>
        <w:tblW w:w="5723" w:type="dxa"/>
        <w:jc w:val="left"/>
        <w:tblInd w:w="0" w:type="dxa"/>
        <w:tblLayout w:type="fixed"/>
        <w:tblCellMar>
          <w:top w:w="28" w:type="dxa"/>
          <w:left w:w="28" w:type="dxa"/>
          <w:bottom w:w="28" w:type="dxa"/>
          <w:right w:w="28" w:type="dxa"/>
        </w:tblCellMar>
      </w:tblPr>
      <w:tblGrid>
        <w:gridCol w:w="1110"/>
        <w:gridCol w:w="973"/>
        <w:gridCol w:w="977"/>
        <w:gridCol w:w="532"/>
        <w:gridCol w:w="1593"/>
        <w:gridCol w:w="275"/>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Organic </w:t>
            </w:r>
            <w:r>
              <w:rPr>
                <w:rFonts w:ascii="Times New Roman;sans-serif" w:hAnsi="Times New Roman;sans-serif"/>
                <w:b w:val="false"/>
                <w:color w:val="000000"/>
                <w:sz w:val="13"/>
              </w:rPr>
              <w:t>(1)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1,829</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divestitures, net</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w:t>
            </w: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w:t>
            </w:r>
          </w:p>
        </w:tc>
        <w:tc>
          <w:tcPr>
            <w:tcW w:w="5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2,099</w:t>
            </w:r>
            <w:r>
              <w:rPr>
                <w:color w:val="000000"/>
              </w:rPr>
              <w:t> </w:t>
            </w:r>
          </w:p>
        </w:tc>
        <w:tc>
          <w:tcPr>
            <w:tcW w:w="2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increase in total cost of sales of $1.8 billion for the quarter ended March 31, 2024 compared to the quarter ended March 31, 2023, was primarily driven by the organic sales increases at Pratt &amp; Whitney, Collins, and Raytheon noted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cost of sales increased $0.2 billion in the quarter ended March 31, 2024 compared to the quarter ended March 31, 2023 primarily driven by $175 million of charges at Collins related to the recognition of unfavorable purchase commitments and an impairment of contract fulfillment costs that are no longer recoverable as a result of initiating alternative titanium 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actions relate to ongoing cost reduction efforts including workforce reductions and the consolidation of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tbl>
      <w:tblPr>
        <w:tblW w:w="6491" w:type="dxa"/>
        <w:jc w:val="left"/>
        <w:tblInd w:w="0" w:type="dxa"/>
        <w:tblLayout w:type="fixed"/>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63.3</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15,744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81.6</w:t>
            </w:r>
            <w:r>
              <w:rPr>
                <w:color w:val="000000"/>
              </w:rPr>
              <w:t> </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products cost of sales increased $1.5 billion in the quarter ended March 31, 2024 compared to the quarter ended March 31, 2023, primarily driven by increases in external products cost of sales at Pratt &amp; Whitney, Collins, and Raytheon, all driven by the products sales changes noted above, and charges at Collins as a result of initiating alternative titanium 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services cost of sales increased $0.6 billion in the quarter ended March 31, 2024 compared to the quarter ended March 31, 2023, primarily due to increases in external services cost of sales at Pratt &amp; Whitney and Collins, each driven by the services sales changes noted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ans-serif" w:hAnsi="Times New Roman;sans-serif"/>
          <w:b/>
          <w:i/>
          <w:color w:val="000000"/>
          <w:sz w:val="20"/>
          <w:u w:val="single"/>
        </w:rPr>
        <w:t>Research and Development</w:t>
      </w:r>
      <w:r>
        <w:rPr>
          <w:color w:val="000000"/>
        </w:rPr>
        <w:t> </w:t>
      </w:r>
    </w:p>
    <w:tbl>
      <w:tblPr>
        <w:tblW w:w="4552" w:type="dxa"/>
        <w:jc w:val="center"/>
        <w:tblInd w:w="0" w:type="dxa"/>
        <w:tblLayout w:type="fixed"/>
        <w:tblCellMar>
          <w:top w:w="28" w:type="dxa"/>
          <w:left w:w="28" w:type="dxa"/>
          <w:bottom w:w="28" w:type="dxa"/>
          <w:right w:w="28" w:type="dxa"/>
        </w:tblCellMar>
      </w:tblPr>
      <w:tblGrid>
        <w:gridCol w:w="706"/>
        <w:gridCol w:w="619"/>
        <w:gridCol w:w="624"/>
        <w:gridCol w:w="273"/>
        <w:gridCol w:w="192"/>
        <w:gridCol w:w="390"/>
        <w:gridCol w:w="141"/>
        <w:gridCol w:w="141"/>
        <w:gridCol w:w="141"/>
        <w:gridCol w:w="273"/>
        <w:gridCol w:w="191"/>
        <w:gridCol w:w="380"/>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Company-funded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669</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4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3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Customer-funded </w:t>
            </w:r>
            <w:r>
              <w:rPr>
                <w:rFonts w:ascii="Times New Roman;sans-serif" w:hAnsi="Times New Roman;sans-serif"/>
                <w:b w:val="false"/>
                <w:color w:val="000000"/>
                <w:sz w:val="13"/>
              </w:rPr>
              <w:t>(1)</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46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w:t>
            </w:r>
            <w:r>
              <w:rPr>
                <w:color w:val="000000"/>
              </w:rPr>
              <w:t> </w:t>
            </w:r>
          </w:p>
        </w:tc>
        <w:tc>
          <w:tcPr>
            <w:tcW w:w="39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8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Included in Cost of sales in our Condensed Consolidated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spending is subject to the variable nature of program development schedules and, therefore, year-over-year fluctuations in spending levels are expected.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company-funded research and development of $0.1 billion for the quarter ended March 31, 2024 compared to the quarter ended March 31, 2023 was primarily driven by increased spending on commercial program development at Pratt &amp; Whitney and Collins.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customer-funded research and development of $0.1 billion for the quarter ended March 31, 2024 compared to the quarter ended March 31, 2023 was primarily driven by higher expenses on commercial and defense programs at Collins and increased spending at Pratt &amp; Whitney on military programs, partially offset by lower expenses on various development programs at Raytheon.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Selling, General, and Administrative</w:t>
      </w:r>
    </w:p>
    <w:tbl>
      <w:tblPr>
        <w:tblW w:w="5592" w:type="dxa"/>
        <w:jc w:val="center"/>
        <w:tblInd w:w="0" w:type="dxa"/>
        <w:tblLayout w:type="fixed"/>
        <w:tblCellMar>
          <w:top w:w="28" w:type="dxa"/>
          <w:left w:w="28" w:type="dxa"/>
          <w:bottom w:w="28" w:type="dxa"/>
          <w:right w:w="28" w:type="dxa"/>
        </w:tblCellMar>
      </w:tblPr>
      <w:tblGrid>
        <w:gridCol w:w="1088"/>
        <w:gridCol w:w="954"/>
        <w:gridCol w:w="958"/>
        <w:gridCol w:w="273"/>
        <w:gridCol w:w="151"/>
        <w:gridCol w:w="420"/>
        <w:gridCol w:w="141"/>
        <w:gridCol w:w="141"/>
        <w:gridCol w:w="141"/>
        <w:gridCol w:w="273"/>
        <w:gridCol w:w="163"/>
        <w:gridCol w:w="408"/>
        <w:gridCol w:w="109"/>
        <w:gridCol w:w="109"/>
        <w:gridCol w:w="109"/>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1,394</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42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w:t>
            </w:r>
            <w:r>
              <w:rPr>
                <w:color w:val="000000"/>
              </w:rPr>
              <w:t> </w:t>
            </w:r>
          </w:p>
        </w:tc>
        <w:tc>
          <w:tcPr>
            <w:tcW w:w="42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8"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 the quarter ended March 31, 2024 were relatively consistent with the quarter ended March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Other Income, Net</w:t>
      </w:r>
    </w:p>
    <w:tbl>
      <w:tblPr>
        <w:tblW w:w="4033" w:type="dxa"/>
        <w:jc w:val="center"/>
        <w:tblInd w:w="0" w:type="dxa"/>
        <w:tblLayout w:type="fixed"/>
        <w:tblCellMar>
          <w:top w:w="28" w:type="dxa"/>
          <w:left w:w="28" w:type="dxa"/>
          <w:bottom w:w="28" w:type="dxa"/>
          <w:right w:w="28" w:type="dxa"/>
        </w:tblCellMar>
      </w:tblPr>
      <w:tblGrid>
        <w:gridCol w:w="566"/>
        <w:gridCol w:w="496"/>
        <w:gridCol w:w="498"/>
        <w:gridCol w:w="232"/>
        <w:gridCol w:w="530"/>
        <w:gridCol w:w="120"/>
        <w:gridCol w:w="120"/>
        <w:gridCol w:w="120"/>
        <w:gridCol w:w="120"/>
        <w:gridCol w:w="232"/>
        <w:gridCol w:w="398"/>
        <w:gridCol w:w="120"/>
        <w:gridCol w:w="109"/>
        <w:gridCol w:w="109"/>
        <w:gridCol w:w="109"/>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w:t>
            </w:r>
            <w:r>
              <w:rPr>
                <w:color w:val="000000"/>
              </w:rPr>
              <w:t>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includes equity earnings in unconsolidated entities, royalty income, foreign exchange gains and losses, and other ongoing and non-recurring items.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of $0.3 billion for the quarter ended March 31, 2024 compared to the quarter ended March 31, 2023 was primarily due to a $0.4 billion gain on sale of Raytheon’s Cybersecurity, Intelligence and Services (CIS) business, net of transaction costs in the first quarter of 2024. This increase was partially offset by the absence of a gain on sale of land during the first quarter of 2023 and the reversal of certain tax related indemnity receivables in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Operating Profit</w:t>
      </w:r>
    </w:p>
    <w:tbl>
      <w:tblPr>
        <w:tblW w:w="4632" w:type="dxa"/>
        <w:jc w:val="center"/>
        <w:tblInd w:w="0" w:type="dxa"/>
        <w:tblLayout w:type="fixed"/>
        <w:tblCellMar>
          <w:top w:w="28" w:type="dxa"/>
          <w:left w:w="28" w:type="dxa"/>
          <w:bottom w:w="28" w:type="dxa"/>
          <w:right w:w="28" w:type="dxa"/>
        </w:tblCellMar>
      </w:tblPr>
      <w:tblGrid>
        <w:gridCol w:w="740"/>
        <w:gridCol w:w="649"/>
        <w:gridCol w:w="651"/>
        <w:gridCol w:w="273"/>
        <w:gridCol w:w="151"/>
        <w:gridCol w:w="420"/>
        <w:gridCol w:w="141"/>
        <w:gridCol w:w="141"/>
        <w:gridCol w:w="141"/>
        <w:gridCol w:w="273"/>
        <w:gridCol w:w="163"/>
        <w:gridCol w:w="408"/>
        <w:gridCol w:w="109"/>
        <w:gridCol w:w="109"/>
        <w:gridCol w:w="109"/>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1,870</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profit margin</w:t>
            </w:r>
          </w:p>
        </w:tc>
        <w:tc>
          <w:tcPr>
            <w:tcW w:w="42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4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Operating profit of $0.2 billion for the quarter ended March 31, 2024 compared to the quarter ended March 31, 2023 was primarily driven by a $0.4 billion gain on sale of the CIS business, net of transaction and other related costs, in the first quarter of 2024 and the operating performance of our segments. These items were partially offset by charges at Collins as a result of initiating alternative titanium sources, the change in our FAS/CAS operating adjustment, the change in Eliminations and other, and the change in Corporate expenses and other unallocated items, all of which are described below in “Segment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Non-service Pension Income</w:t>
      </w:r>
    </w:p>
    <w:tbl>
      <w:tblPr>
        <w:tblW w:w="4960" w:type="dxa"/>
        <w:jc w:val="center"/>
        <w:tblInd w:w="0" w:type="dxa"/>
        <w:tblLayout w:type="fixed"/>
        <w:tblCellMar>
          <w:top w:w="28" w:type="dxa"/>
          <w:left w:w="28" w:type="dxa"/>
          <w:bottom w:w="28" w:type="dxa"/>
          <w:right w:w="28" w:type="dxa"/>
        </w:tblCellMar>
      </w:tblPr>
      <w:tblGrid>
        <w:gridCol w:w="881"/>
        <w:gridCol w:w="773"/>
        <w:gridCol w:w="776"/>
        <w:gridCol w:w="211"/>
        <w:gridCol w:w="541"/>
        <w:gridCol w:w="109"/>
        <w:gridCol w:w="109"/>
        <w:gridCol w:w="109"/>
        <w:gridCol w:w="109"/>
        <w:gridCol w:w="211"/>
        <w:gridCol w:w="541"/>
        <w:gridCol w:w="109"/>
        <w:gridCol w:w="109"/>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pension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Non-service pension income of $58 million for the quarter ended March 31, 2024 compared to the quarter ended March 31, 2023 was primarily driven by the decrease in the recognized actuarial net (gain) loss as a result of the merger of the remaining Raytheon Company qualified pension plans into the RTX Consolidated Pension Plan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Interest Expense, Net</w:t>
      </w:r>
    </w:p>
    <w:tbl>
      <w:tblPr>
        <w:tblW w:w="5935" w:type="dxa"/>
        <w:jc w:val="center"/>
        <w:tblInd w:w="0" w:type="dxa"/>
        <w:tblLayout w:type="fixed"/>
        <w:tblCellMar>
          <w:top w:w="28" w:type="dxa"/>
          <w:left w:w="28" w:type="dxa"/>
          <w:bottom w:w="28" w:type="dxa"/>
          <w:right w:w="28" w:type="dxa"/>
        </w:tblCellMar>
      </w:tblPr>
      <w:tblGrid>
        <w:gridCol w:w="1251"/>
        <w:gridCol w:w="1097"/>
        <w:gridCol w:w="1102"/>
        <w:gridCol w:w="273"/>
        <w:gridCol w:w="153"/>
        <w:gridCol w:w="390"/>
        <w:gridCol w:w="141"/>
        <w:gridCol w:w="141"/>
        <w:gridCol w:w="141"/>
        <w:gridCol w:w="273"/>
        <w:gridCol w:w="141"/>
        <w:gridCol w:w="351"/>
        <w:gridCol w:w="109"/>
        <w:gridCol w:w="109"/>
        <w:gridCol w:w="109"/>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420</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non-operating expense (income) </w:t>
            </w:r>
            <w:r>
              <w:rPr>
                <w:rFonts w:ascii="Times New Roman;sans-serif" w:hAnsi="Times New Roman;sans-serif"/>
                <w:b w:val="false"/>
                <w:color w:val="000000"/>
                <w:sz w:val="13"/>
              </w:rPr>
              <w:t>(1)</w:t>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expense rate</w:t>
            </w:r>
          </w:p>
        </w:tc>
        <w:tc>
          <w:tcPr>
            <w:tcW w:w="4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3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Primarily consists of the gains or losses on assets associated with certain of our nonqualified deferred compensation and employee benefit plans, as well as the gains or losses on liabilities associated with certain of our nonqualified deferred compensation plans and non-operating dividend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$90 million in the quarter ended March 31, 2024 compared to the quarter ended March 31, 2023. The increase in Interest expense of $81 million was primarily due to the long-term debt issuances in 2023, partially offset by the reversal of interest accruals as a result of the conclusion of the examination phases of the RTX and Rockwell Collins tax audits in the first quarter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Income Taxes</w:t>
      </w:r>
    </w:p>
    <w:tbl>
      <w:tblPr>
        <w:tblW w:w="4898" w:type="dxa"/>
        <w:jc w:val="center"/>
        <w:tblInd w:w="0" w:type="dxa"/>
        <w:tblLayout w:type="fixed"/>
        <w:tblCellMar>
          <w:top w:w="28" w:type="dxa"/>
          <w:left w:w="28" w:type="dxa"/>
          <w:bottom w:w="28" w:type="dxa"/>
          <w:right w:w="28" w:type="dxa"/>
        </w:tblCellMar>
      </w:tblPr>
      <w:tblGrid>
        <w:gridCol w:w="777"/>
        <w:gridCol w:w="681"/>
        <w:gridCol w:w="686"/>
        <w:gridCol w:w="210"/>
        <w:gridCol w:w="211"/>
        <w:gridCol w:w="450"/>
        <w:gridCol w:w="162"/>
        <w:gridCol w:w="162"/>
        <w:gridCol w:w="162"/>
        <w:gridCol w:w="255"/>
        <w:gridCol w:w="256"/>
        <w:gridCol w:w="405"/>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4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Our effective tax rate for the quarter ended March 31, 2024 was </w:t>
      </w:r>
      <w:r>
        <w:rPr>
          <w:rFonts w:ascii="Times New Roman;sans-serif" w:hAnsi="Times New Roman;sans-serif"/>
          <w:b w:val="false"/>
          <w:color w:val="000000"/>
          <w:sz w:val="20"/>
          <w:shd w:fill="FFFFFF" w:val="clear"/>
        </w:rPr>
        <w:t xml:space="preserve">5.8% as compared to </w:t>
      </w:r>
      <w:r>
        <w:rPr>
          <w:rFonts w:ascii="Times New Roman;sans-serif" w:hAnsi="Times New Roman;sans-serif"/>
          <w:b w:val="false"/>
          <w:color w:val="000000"/>
          <w:sz w:val="20"/>
        </w:rPr>
        <w:t>18.4% for the quarter ended March 31, 2023. The lower effective tax rate for the quarter ended March 31, 2024 compared to the quarter ended March 31, 2023 is primarily driven by the $275 million tax benefit recognized as a result of the conclusion of the examination phases of the RTX and Rockwell Collins audits, partially offset by the tax costs related to the sale of the CIS business of $143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Net Income Attributable to Common Shareowners</w:t>
      </w:r>
    </w:p>
    <w:tbl>
      <w:tblPr>
        <w:tblW w:w="6729" w:type="dxa"/>
        <w:jc w:val="center"/>
        <w:tblInd w:w="0" w:type="dxa"/>
        <w:tblLayout w:type="fixed"/>
        <w:tblCellMar>
          <w:top w:w="28" w:type="dxa"/>
          <w:left w:w="28" w:type="dxa"/>
          <w:bottom w:w="28" w:type="dxa"/>
          <w:right w:w="28" w:type="dxa"/>
        </w:tblCellMar>
      </w:tblPr>
      <w:tblGrid>
        <w:gridCol w:w="1461"/>
        <w:gridCol w:w="1281"/>
        <w:gridCol w:w="1292"/>
        <w:gridCol w:w="211"/>
        <w:gridCol w:w="631"/>
        <w:gridCol w:w="109"/>
        <w:gridCol w:w="109"/>
        <w:gridCol w:w="109"/>
        <w:gridCol w:w="109"/>
        <w:gridCol w:w="211"/>
        <w:gridCol w:w="616"/>
        <w:gridCol w:w="109"/>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 for the quarter ended March 31, 2024 includes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accounting adjustments of $389 million, net of tax, which had an unfavorable impact on diluted earnings per share (EPS) of $0.29;</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benefit recognized as a result of the conclusion of the examination phases of the RTX and Rockwell Collins tax audits of $285 million, net of tax, which had a favorable impact on diluted EPS of $0.21;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gain on sale of the CIS business, net of transaction and other related costs, of $241 million, net of tax, which had a favorable impact on diluted EPS of $0.18;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charges related to initiating alternative titanium sources at our Collins segment of $175 million, which had an unfavorable impact on diluted EPS of $0.13.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 for the quarter ended March 31, 2023 includes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accounting adjustments of $385 million, net of tax, which had an unfavorable impact on diluted EPS of $0.26.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SEGMENT REVIEW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acquisition accounting adjustments, the FAS/CAS operating adjustment, and certain corporate expenses, as further discussed below.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pStyle w:val="TextBody"/>
        <w:bidi w:val="0"/>
        <w:spacing w:lineRule="auto" w:line="288" w:before="120" w:after="283"/>
        <w:jc w:val="both"/>
        <w:rPr/>
      </w:pPr>
      <w:r>
        <w:rPr>
          <w:rFonts w:ascii="Times New Roman;sans-serif" w:hAnsi="Times New Roman;sans-serif"/>
          <w:b w:val="false"/>
          <w:i/>
          <w:color w:val="000000"/>
          <w:sz w:val="20"/>
        </w:rPr>
        <w:t xml:space="preserve">Total Net Sales. </w:t>
      </w:r>
      <w:r>
        <w:rPr>
          <w:rFonts w:ascii="Times New Roman;sans-serif" w:hAnsi="Times New Roman;sans-serif"/>
          <w:b w:val="false"/>
          <w:color w:val="000000"/>
          <w:sz w:val="20"/>
        </w:rPr>
        <w:t>Total net sales by segment were as follows:</w:t>
      </w:r>
    </w:p>
    <w:tbl>
      <w:tblPr>
        <w:tblW w:w="4884" w:type="dxa"/>
        <w:jc w:val="left"/>
        <w:tblInd w:w="0" w:type="dxa"/>
        <w:tblLayout w:type="fixed"/>
        <w:tblCellMar>
          <w:top w:w="28" w:type="dxa"/>
          <w:left w:w="28" w:type="dxa"/>
          <w:bottom w:w="28" w:type="dxa"/>
          <w:right w:w="28" w:type="dxa"/>
        </w:tblCellMar>
      </w:tblPr>
      <w:tblGrid>
        <w:gridCol w:w="718"/>
        <w:gridCol w:w="629"/>
        <w:gridCol w:w="632"/>
        <w:gridCol w:w="211"/>
        <w:gridCol w:w="736"/>
        <w:gridCol w:w="109"/>
        <w:gridCol w:w="109"/>
        <w:gridCol w:w="109"/>
        <w:gridCol w:w="109"/>
        <w:gridCol w:w="211"/>
        <w:gridCol w:w="721"/>
        <w:gridCol w:w="109"/>
        <w:gridCol w:w="109"/>
        <w:gridCol w:w="109"/>
        <w:gridCol w:w="109"/>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19,305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 xml:space="preserve">Operating Profit. </w:t>
      </w:r>
      <w:r>
        <w:rPr>
          <w:rFonts w:ascii="Times New Roman;sans-serif" w:hAnsi="Times New Roman;sans-serif"/>
          <w:b w:val="false"/>
          <w:color w:val="000000"/>
          <w:sz w:val="20"/>
        </w:rPr>
        <w:t>Operating profit by segment was as follows:</w:t>
      </w:r>
    </w:p>
    <w:tbl>
      <w:tblPr>
        <w:tblW w:w="6700" w:type="dxa"/>
        <w:jc w:val="left"/>
        <w:tblInd w:w="0" w:type="dxa"/>
        <w:tblLayout w:type="fixed"/>
        <w:tblCellMar>
          <w:top w:w="28" w:type="dxa"/>
          <w:left w:w="28" w:type="dxa"/>
          <w:bottom w:w="28" w:type="dxa"/>
          <w:right w:w="28" w:type="dxa"/>
        </w:tblCellMar>
      </w:tblPr>
      <w:tblGrid>
        <w:gridCol w:w="1453"/>
        <w:gridCol w:w="1273"/>
        <w:gridCol w:w="1279"/>
        <w:gridCol w:w="211"/>
        <w:gridCol w:w="631"/>
        <w:gridCol w:w="109"/>
        <w:gridCol w:w="109"/>
        <w:gridCol w:w="109"/>
        <w:gridCol w:w="109"/>
        <w:gridCol w:w="211"/>
        <w:gridCol w:w="616"/>
        <w:gridCol w:w="109"/>
        <w:gridCol w:w="109"/>
        <w:gridCol w:w="109"/>
        <w:gridCol w:w="109"/>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 unallocated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the following aggregate EAC adjustments for the periods presented:</w:t>
      </w:r>
    </w:p>
    <w:tbl>
      <w:tblPr>
        <w:tblW w:w="4839" w:type="dxa"/>
        <w:jc w:val="left"/>
        <w:tblInd w:w="0" w:type="dxa"/>
        <w:tblLayout w:type="fixed"/>
        <w:tblCellMar>
          <w:top w:w="28" w:type="dxa"/>
          <w:left w:w="28" w:type="dxa"/>
          <w:bottom w:w="28" w:type="dxa"/>
          <w:right w:w="28" w:type="dxa"/>
        </w:tblCellMar>
      </w:tblPr>
      <w:tblGrid>
        <w:gridCol w:w="838"/>
        <w:gridCol w:w="733"/>
        <w:gridCol w:w="738"/>
        <w:gridCol w:w="211"/>
        <w:gridCol w:w="541"/>
        <w:gridCol w:w="109"/>
        <w:gridCol w:w="109"/>
        <w:gridCol w:w="109"/>
        <w:gridCol w:w="109"/>
        <w:gridCol w:w="211"/>
        <w:gridCol w:w="541"/>
        <w:gridCol w:w="109"/>
        <w:gridCol w:w="109"/>
        <w:gridCol w:w="109"/>
        <w:gridCol w:w="109"/>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favorable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unfavorable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EAC adjustments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net EAC adjustments of $38 million in the quarter ended March 31, 2024 compared to the quarter ended March 31, 2023 was primarily due to unfavorable changes in net EAC adjustments at Collins, partially offset by favorable changes in net EAC adjustments at Raytheon.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EAC adjustments, when they occur, are discussed in each business segment’s discussion below.</w:t>
      </w:r>
    </w:p>
    <w:p>
      <w:pPr>
        <w:pStyle w:val="TextBody"/>
        <w:bidi w:val="0"/>
        <w:spacing w:lineRule="auto" w:line="288" w:before="120" w:after="283"/>
        <w:jc w:val="both"/>
        <w:rPr/>
      </w:pPr>
      <w:r>
        <w:rPr>
          <w:rFonts w:ascii="Times New Roman;sans-serif" w:hAnsi="Times New Roman;sans-serif"/>
          <w:b w:val="false"/>
          <w:i/>
          <w:color w:val="000000"/>
          <w:sz w:val="20"/>
        </w:rPr>
        <w:t xml:space="preserve">Backlog and Bookings. </w:t>
      </w:r>
      <w:r>
        <w:rPr>
          <w:rFonts w:ascii="Times New Roman;sans-serif" w:hAnsi="Times New Roman;sans-serif"/>
          <w:b w:val="false"/>
          <w:color w:val="000000"/>
          <w:sz w:val="20"/>
        </w:rPr>
        <w:t>Total backlog was approximately $202 billion and $196 billion as of March 31, 2024 and December 31, 2023, respectively, which includes defense backlog of $77 billion and $78 billion as of March 31, 2024 and December 31, 2023, respectively. In the quarter ended March 31, 2024, Raytheon backlog was reduced by $1.1 billion as a result of the sale of the CIS business. Our defense operations consist primarily of our Raytheon business and operations in the defense businesses within our Collins and Pratt &amp; Whitney segments. Defense bookings were approximately $11 billion and $12 billion for the quarters ended March 31, 2024 and 2023,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Collins Aerospace </w:t>
      </w:r>
    </w:p>
    <w:tbl>
      <w:tblPr>
        <w:tblW w:w="5593" w:type="dxa"/>
        <w:jc w:val="left"/>
        <w:tblInd w:w="0" w:type="dxa"/>
        <w:tblLayout w:type="fixed"/>
        <w:tblCellMar>
          <w:top w:w="28" w:type="dxa"/>
          <w:left w:w="28" w:type="dxa"/>
          <w:bottom w:w="28" w:type="dxa"/>
          <w:right w:w="28" w:type="dxa"/>
        </w:tblCellMar>
      </w:tblPr>
      <w:tblGrid>
        <w:gridCol w:w="767"/>
        <w:gridCol w:w="672"/>
        <w:gridCol w:w="675"/>
        <w:gridCol w:w="306"/>
        <w:gridCol w:w="220"/>
        <w:gridCol w:w="420"/>
        <w:gridCol w:w="109"/>
        <w:gridCol w:w="109"/>
        <w:gridCol w:w="109"/>
        <w:gridCol w:w="288"/>
        <w:gridCol w:w="223"/>
        <w:gridCol w:w="408"/>
        <w:gridCol w:w="165"/>
        <w:gridCol w:w="165"/>
        <w:gridCol w:w="367"/>
        <w:gridCol w:w="109"/>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w:t>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2024 Compared with Quarter Ended March 31, 2023</w:t>
      </w:r>
    </w:p>
    <w:tbl>
      <w:tblPr>
        <w:tblW w:w="8130" w:type="dxa"/>
        <w:jc w:val="center"/>
        <w:tblInd w:w="0" w:type="dxa"/>
        <w:tblLayout w:type="fixed"/>
        <w:tblCellMar>
          <w:top w:w="28" w:type="dxa"/>
          <w:left w:w="28" w:type="dxa"/>
          <w:bottom w:w="28" w:type="dxa"/>
          <w:right w:w="28" w:type="dxa"/>
        </w:tblCellMar>
      </w:tblPr>
      <w:tblGrid>
        <w:gridCol w:w="565"/>
        <w:gridCol w:w="495"/>
        <w:gridCol w:w="500"/>
        <w:gridCol w:w="233"/>
        <w:gridCol w:w="516"/>
        <w:gridCol w:w="120"/>
        <w:gridCol w:w="109"/>
        <w:gridCol w:w="109"/>
        <w:gridCol w:w="109"/>
        <w:gridCol w:w="109"/>
        <w:gridCol w:w="109"/>
        <w:gridCol w:w="370"/>
        <w:gridCol w:w="713"/>
        <w:gridCol w:w="193"/>
        <w:gridCol w:w="109"/>
        <w:gridCol w:w="109"/>
        <w:gridCol w:w="109"/>
        <w:gridCol w:w="322"/>
        <w:gridCol w:w="621"/>
        <w:gridCol w:w="168"/>
        <w:gridCol w:w="109"/>
        <w:gridCol w:w="109"/>
        <w:gridCol w:w="109"/>
        <w:gridCol w:w="244"/>
        <w:gridCol w:w="296"/>
        <w:gridCol w:w="109"/>
        <w:gridCol w:w="109"/>
        <w:gridCol w:w="109"/>
        <w:gridCol w:w="109"/>
        <w:gridCol w:w="289"/>
        <w:gridCol w:w="639"/>
        <w:gridCol w:w="211"/>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i/>
                <w:color w:val="000000"/>
                <w:sz w:val="16"/>
              </w:rPr>
              <w:t>(dollars 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Organic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net sales increase of $0.5 billion in the quarter ended March 31, 2024 compared to the quarter ended March 31, 2023 primarily relates to higher commercial aerospace aftermarket sales of $0.3 billion, principally driven by an increase in commercial air traffic which has resulted in an increase in flight hours. Commercial aerospace OEM sales increased $0.2 billion in the quarter ended March 31, 2024 compared to the quarter ended March 31, 2023 primarily due to increased volume across all OEM sales channels. Defense sales were up slightly in the quarter ended March 31, 2024 compared to the quarter ended March 31, 2023 due to higher volume.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operating profit increase of $0.2 billion in the quarter ended March 31, 2024 compared to the quarter ended March 31, 2023 was primarily due to higher commercial aerospace operating profit of $0.2 billion, principally driven by the higher aftermarket sales volume discussed above partially offset by unfavorable OEM mix. This increase in commercial aerospace operating profit was partially offset by higher space program costs in our defense business and higher research and development costs.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Other operating profit of $0.2 billion in the quarter ended March 31, 2024 compared to the quarter ended March 31, 2023 was primarily driven by $175 million of charges primarily related to the recognition of unfavorable purchase commitments and an impairment of contract fulfillment costs that are no longer recoverable as a result of initiating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titanium sources. Refer to “Note 1: Basis of Presentation” within Item 1 of this Form 10-Q for further information regarding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Pratt &amp; Whitney</w:t>
      </w:r>
    </w:p>
    <w:tbl>
      <w:tblPr>
        <w:tblW w:w="5414" w:type="dxa"/>
        <w:jc w:val="left"/>
        <w:tblInd w:w="0" w:type="dxa"/>
        <w:tblLayout w:type="fixed"/>
        <w:tblCellMar>
          <w:top w:w="28" w:type="dxa"/>
          <w:left w:w="28" w:type="dxa"/>
          <w:bottom w:w="28" w:type="dxa"/>
          <w:right w:w="28" w:type="dxa"/>
        </w:tblCellMar>
      </w:tblPr>
      <w:tblGrid>
        <w:gridCol w:w="767"/>
        <w:gridCol w:w="672"/>
        <w:gridCol w:w="675"/>
        <w:gridCol w:w="245"/>
        <w:gridCol w:w="176"/>
        <w:gridCol w:w="420"/>
        <w:gridCol w:w="109"/>
        <w:gridCol w:w="109"/>
        <w:gridCol w:w="109"/>
        <w:gridCol w:w="229"/>
        <w:gridCol w:w="177"/>
        <w:gridCol w:w="408"/>
        <w:gridCol w:w="180"/>
        <w:gridCol w:w="181"/>
        <w:gridCol w:w="367"/>
        <w:gridCol w:w="109"/>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2024 Compared with Quarter Ended March 31, 2023</w:t>
      </w:r>
    </w:p>
    <w:tbl>
      <w:tblPr>
        <w:tblW w:w="8215"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406"/>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Organic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shd w:fill="FFFFFF" w:val="clear"/>
        </w:rPr>
        <w:t>A reconciliation of these measures to reported U.S. GAAP amounts is provided in the table above.</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organic net sales increase of $1.2 billion in the quarter ended March 31, 2024 compared to the quarter ended March 31, 2023 reflects higher commercial OEM sales of $0.6 billion primarily driven by higher GTF volume and favorable mix. The increase in military sales was $0.4 billion, driven by higher sustainment volume and favorable mix across multiple platforms as well as higher development volume. The increase also includes higher commercial aftermarket sales of $0.2 billion primarily driven by higher GTF volume.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Organic operating profit was relatively consistent in the quarter ended March 31, 2024 compared to the quarter ended March 31, 2023. Commercial aerospace operating profit was flat as the benefit from favorable commercial OEM mix and higher commercial aftermarket volume was offset by the unfavorable impact from higher commercial OEM volume and commercial aftermarket mix, as well as, the absence of a $60 million favorable contract matter in the first quarter of 2023. Additionally, higher military operating profit, driven by the volume and favorable mix discussed above, was offset by higher research and development and selling, general, and administrative expenses.</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actions relate to ongoing cost reduction efforts including workforce reductions and the consolidation of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Raytheon</w:t>
      </w:r>
    </w:p>
    <w:tbl>
      <w:tblPr>
        <w:tblW w:w="5877" w:type="dxa"/>
        <w:jc w:val="left"/>
        <w:tblInd w:w="0" w:type="dxa"/>
        <w:tblLayout w:type="fixed"/>
        <w:tblCellMar>
          <w:top w:w="28" w:type="dxa"/>
          <w:left w:w="28" w:type="dxa"/>
          <w:bottom w:w="28" w:type="dxa"/>
          <w:right w:w="28" w:type="dxa"/>
        </w:tblCellMar>
      </w:tblPr>
      <w:tblGrid>
        <w:gridCol w:w="767"/>
        <w:gridCol w:w="672"/>
        <w:gridCol w:w="675"/>
        <w:gridCol w:w="306"/>
        <w:gridCol w:w="220"/>
        <w:gridCol w:w="420"/>
        <w:gridCol w:w="109"/>
        <w:gridCol w:w="109"/>
        <w:gridCol w:w="109"/>
        <w:gridCol w:w="211"/>
        <w:gridCol w:w="616"/>
        <w:gridCol w:w="271"/>
        <w:gridCol w:w="216"/>
        <w:gridCol w:w="219"/>
        <w:gridCol w:w="367"/>
        <w:gridCol w:w="109"/>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w:t>
            </w: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Bookings</w:t>
            </w:r>
          </w:p>
        </w:tc>
        <w:tc>
          <w:tcPr>
            <w:tcW w:w="30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8,122</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2024 Compared with Quarter Ended March 31, 2023</w:t>
      </w:r>
    </w:p>
    <w:tbl>
      <w:tblPr>
        <w:tblW w:w="7997" w:type="dxa"/>
        <w:jc w:val="center"/>
        <w:tblInd w:w="0" w:type="dxa"/>
        <w:tblLayout w:type="fixed"/>
        <w:tblCellMar>
          <w:top w:w="28" w:type="dxa"/>
          <w:left w:w="28" w:type="dxa"/>
          <w:bottom w:w="28" w:type="dxa"/>
          <w:right w:w="28" w:type="dxa"/>
        </w:tblCellMar>
      </w:tblPr>
      <w:tblGrid>
        <w:gridCol w:w="544"/>
        <w:gridCol w:w="477"/>
        <w:gridCol w:w="479"/>
        <w:gridCol w:w="233"/>
        <w:gridCol w:w="516"/>
        <w:gridCol w:w="120"/>
        <w:gridCol w:w="109"/>
        <w:gridCol w:w="109"/>
        <w:gridCol w:w="109"/>
        <w:gridCol w:w="109"/>
        <w:gridCol w:w="109"/>
        <w:gridCol w:w="386"/>
        <w:gridCol w:w="689"/>
        <w:gridCol w:w="201"/>
        <w:gridCol w:w="109"/>
        <w:gridCol w:w="109"/>
        <w:gridCol w:w="109"/>
        <w:gridCol w:w="322"/>
        <w:gridCol w:w="621"/>
        <w:gridCol w:w="168"/>
        <w:gridCol w:w="109"/>
        <w:gridCol w:w="109"/>
        <w:gridCol w:w="109"/>
        <w:gridCol w:w="211"/>
        <w:gridCol w:w="256"/>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Organic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pPr>
      <w:r>
        <w:rPr>
          <w:rFonts w:ascii="Times New Roman;sans-serif" w:hAnsi="Times New Roman;sans-serif"/>
          <w:b w:val="false"/>
          <w:color w:val="000000"/>
          <w:sz w:val="20"/>
        </w:rPr>
        <w:t>The organic net sales increase of $0.4 billion in the quarter ended March 31, 2024 compared to the quarter ended March 31, 2023 was primarily due to higher net sales of $0.2 billion from land and air defense systems programs, and $0.1 billion from advanced technology programs. The increase in land and air defense systems programs was primarily driven by higher net sales on c</w:t>
      </w:r>
      <w:r>
        <w:rPr>
          <w:rFonts w:ascii="Times New Roman;sans-serif" w:hAnsi="Times New Roman;sans-serif"/>
          <w:b w:val="false"/>
          <w:color w:val="000000"/>
          <w:sz w:val="20"/>
          <w:shd w:fill="FFFFFF" w:val="clear"/>
        </w:rPr>
        <w:t xml:space="preserve">ertain international Patriot programs, higher net sales on Counter-Unmanned Aircraft Systems (C-UAS), and </w:t>
      </w:r>
      <w:r>
        <w:rPr>
          <w:rFonts w:ascii="Times New Roman;sans-serif" w:hAnsi="Times New Roman;sans-serif"/>
          <w:b w:val="false"/>
          <w:color w:val="000000"/>
          <w:sz w:val="20"/>
        </w:rPr>
        <w:t xml:space="preserve">higher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on certain international National Advanced Surface-to-air Missile System (NASAMS) programs. The increase in advanced technology programs was primarily driven by</w:t>
      </w:r>
      <w:r>
        <w:rPr>
          <w:color w:val="000000"/>
          <w:shd w:fill="FFFFFF" w:val="clear"/>
        </w:rPr>
        <w:t xml:space="preserve"> </w:t>
      </w:r>
      <w:r>
        <w:rPr>
          <w:rFonts w:ascii="Times New Roman;sans-serif" w:hAnsi="Times New Roman;sans-serif"/>
          <w:b w:val="false"/>
          <w:color w:val="000000"/>
          <w:sz w:val="20"/>
          <w:shd w:fill="FFFFFF" w:val="clear"/>
        </w:rPr>
        <w:t>higher volume on classified programs and an advanced development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operating profit increase of $0.1 billion in the quarter ended March 31, 2024 compared to the quarter ended March 31, 2023, was due to a favorable change in net EAC adjustments of approximately $60 million and higher volume of approximately $40 million on the sales increases noted above, partially offset by an unfavorable change in mix and other performance of approximately $50 million. The favorable change in net EAC adjustments benefited from the absence of an unfavorable impact related to a significant contract option exercised in the first quarter of 2023. The unfavorable change in mix and other performance was spread across numerous programs with no individual or common significant driver.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Other operating profit change of $0.4 billion in the quarter ended March 31, 2024 compared to the quarter ended March 31, 2023 is primarily due to a $0.4 billion gain on sale of the Cybersecurity, Intelligence and Services (CIS) business, net of transaction and other related costs in the first quarter of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actions relate to ongoing cost reduction efforts including workforce reductions and the consolidation of facilities.</w:t>
      </w:r>
    </w:p>
    <w:p>
      <w:pPr>
        <w:pStyle w:val="TextBody"/>
        <w:bidi w:val="0"/>
        <w:spacing w:lineRule="auto" w:line="288" w:before="120" w:after="283"/>
        <w:jc w:val="both"/>
        <w:rPr/>
      </w:pPr>
      <w:r>
        <w:rPr>
          <w:rFonts w:ascii="Times New Roman;sans-serif" w:hAnsi="Times New Roman;sans-serif"/>
          <w:b w:val="false"/>
          <w:i/>
          <w:color w:val="000000"/>
          <w:sz w:val="20"/>
        </w:rPr>
        <w:t>Defense Backlog and Bookings</w:t>
      </w:r>
      <w:r>
        <w:rPr>
          <w:color w:val="000000"/>
        </w:rPr>
        <w:t xml:space="preserve">– </w:t>
      </w:r>
      <w:r>
        <w:rPr>
          <w:rFonts w:ascii="Times New Roman;sans-serif" w:hAnsi="Times New Roman;sans-serif"/>
          <w:b w:val="false"/>
          <w:color w:val="000000"/>
          <w:sz w:val="20"/>
        </w:rPr>
        <w:t xml:space="preserve">Backlog was $53 billion at March 31, 2024 and $52 billion at December 31, 2023. Included in the change in backlog was a $1.1 billion reduction related to the sale of the CIS business discussed above. In addition to a number of smaller bookings, in the quarter ended March 31, 2024, Raytheon booked $1.6 billion on a number of classified contracts, </w:t>
      </w:r>
      <w:r>
        <w:rPr>
          <w:rFonts w:ascii="Times New Roman;sans-serif" w:hAnsi="Times New Roman;sans-serif"/>
          <w:b w:val="false"/>
          <w:color w:val="000000"/>
          <w:sz w:val="20"/>
          <w:shd w:fill="FFFFFF" w:val="clear"/>
        </w:rPr>
        <w:t xml:space="preserve">$1.2 billion to provide Patriot Air Defense systems to Germany, </w:t>
      </w:r>
      <w:r>
        <w:rPr>
          <w:rFonts w:ascii="Times New Roman;sans-serif" w:hAnsi="Times New Roman;sans-serif"/>
          <w:b w:val="false"/>
          <w:color w:val="000000"/>
          <w:sz w:val="20"/>
        </w:rPr>
        <w:t xml:space="preserve">$818 million to provide Guidance Enhanced Missiles (GEM-T) for NATO Support and Procurement Agency (NSPA), $623 million to provide GEM-T for an international customer, $282 million to provide NASAMS for Ukraine, and $251 million to provide GEM-T for an international customer.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and Eliminations and other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Eliminations and other reflects the elimination of sales, other income, and operating profit transacted between segments, as well as the operating results of certain smaller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 unallocated items consists of costs not considered part of management’s evaluation of reportable segment operating performance, including certain unallowable costs and reserves.</w:t>
      </w:r>
    </w:p>
    <w:tbl>
      <w:tblPr>
        <w:tblW w:w="8417" w:type="dxa"/>
        <w:jc w:val="left"/>
        <w:tblInd w:w="0" w:type="dxa"/>
        <w:tblLayout w:type="fixed"/>
        <w:tblCellMar>
          <w:top w:w="28" w:type="dxa"/>
          <w:left w:w="28" w:type="dxa"/>
          <w:bottom w:w="28" w:type="dxa"/>
          <w:right w:w="28" w:type="dxa"/>
        </w:tblCellMar>
      </w:tblPr>
      <w:tblGrid>
        <w:gridCol w:w="1453"/>
        <w:gridCol w:w="1273"/>
        <w:gridCol w:w="1279"/>
        <w:gridCol w:w="211"/>
        <w:gridCol w:w="541"/>
        <w:gridCol w:w="109"/>
        <w:gridCol w:w="109"/>
        <w:gridCol w:w="109"/>
        <w:gridCol w:w="109"/>
        <w:gridCol w:w="211"/>
        <w:gridCol w:w="541"/>
        <w:gridCol w:w="109"/>
        <w:gridCol w:w="109"/>
        <w:gridCol w:w="109"/>
        <w:gridCol w:w="109"/>
        <w:gridCol w:w="252"/>
        <w:gridCol w:w="396"/>
        <w:gridCol w:w="130"/>
        <w:gridCol w:w="130"/>
        <w:gridCol w:w="130"/>
        <w:gridCol w:w="130"/>
        <w:gridCol w:w="252"/>
        <w:gridCol w:w="432"/>
        <w:gridCol w:w="184"/>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Profit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 unallocated items</w:t>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w:t>
            </w:r>
          </w:p>
        </w:tc>
        <w:tc>
          <w:tcPr>
            <w:tcW w:w="13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eliminations and other net sales of $55 million in the quarter ended March 31, 2024 compared to the quarter ended March 31, 2023 was primarily due to an increase in intersegment eliminations, principally driven by Collins.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eliminations and other operating profit of $56 million in the quarter ended March 31, 2024 compared to the quarter ended March 31, 2023 was primarily due to a gain on sale of land in the first quarter of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corporate expenses and other unallocated items operating profit of $53 million in the quarter ended March 31, 2024 compared to the quarter ended March 31, 2023 was primarily due to the reversal of certain tax related indemnity receivables in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FAS/CAS operating adjustment</w:t>
      </w:r>
    </w:p>
    <w:p>
      <w:pPr>
        <w:pStyle w:val="TextBody"/>
        <w:bidi w:val="0"/>
        <w:spacing w:lineRule="auto" w:line="288" w:before="120" w:after="283"/>
        <w:jc w:val="both"/>
        <w:rPr/>
      </w:pPr>
      <w:r>
        <w:rPr>
          <w:rFonts w:ascii="Times New Roman;sans-serif" w:hAnsi="Times New Roman;sans-serif"/>
          <w:b w:val="false"/>
          <w:color w:val="000000"/>
          <w:sz w:val="20"/>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FAS/CAS operating adjustment were as follows:</w:t>
      </w:r>
    </w:p>
    <w:tbl>
      <w:tblPr>
        <w:tblW w:w="5141" w:type="dxa"/>
        <w:jc w:val="left"/>
        <w:tblInd w:w="0" w:type="dxa"/>
        <w:tblLayout w:type="fixed"/>
        <w:tblCellMar>
          <w:top w:w="28" w:type="dxa"/>
          <w:left w:w="28" w:type="dxa"/>
          <w:bottom w:w="28" w:type="dxa"/>
          <w:right w:w="28" w:type="dxa"/>
        </w:tblCellMar>
      </w:tblPr>
      <w:tblGrid>
        <w:gridCol w:w="968"/>
        <w:gridCol w:w="849"/>
        <w:gridCol w:w="852"/>
        <w:gridCol w:w="220"/>
        <w:gridCol w:w="501"/>
        <w:gridCol w:w="113"/>
        <w:gridCol w:w="113"/>
        <w:gridCol w:w="113"/>
        <w:gridCol w:w="113"/>
        <w:gridCol w:w="220"/>
        <w:gridCol w:w="485"/>
        <w:gridCol w:w="113"/>
        <w:gridCol w:w="109"/>
        <w:gridCol w:w="109"/>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 service cost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w:t>
            </w:r>
            <w:r>
              <w:rPr>
                <w:color w:val="000000"/>
              </w:rPr>
              <w:t>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our FAS/CAS operating adjustment of $75 million in the quarter ended March 31, 2024 compared to the quarter ended March 31, 2023 was driven by a decrease in CAS expense, primarily due to the recognition of historical CAS gain/loss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Acquisition accounting adjustments</w:t>
      </w:r>
    </w:p>
    <w:p>
      <w:pPr>
        <w:pStyle w:val="TextBody"/>
        <w:bidi w:val="0"/>
        <w:spacing w:lineRule="auto" w:line="288" w:before="120" w:after="283"/>
        <w:jc w:val="both"/>
        <w:rPr/>
      </w:pPr>
      <w:r>
        <w:rPr>
          <w:rFonts w:ascii="Times New Roman;sans-serif" w:hAnsi="Times New Roman;sans-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Acquisition accounting adjustments were as follows:</w:t>
      </w:r>
    </w:p>
    <w:tbl>
      <w:tblPr>
        <w:tblW w:w="10205" w:type="dxa"/>
        <w:jc w:val="left"/>
        <w:tblInd w:w="0" w:type="dxa"/>
        <w:tblLayout w:type="fixed"/>
        <w:tblCellMar>
          <w:top w:w="28" w:type="dxa"/>
          <w:left w:w="28" w:type="dxa"/>
          <w:bottom w:w="28" w:type="dxa"/>
          <w:right w:w="28" w:type="dxa"/>
        </w:tblCellMar>
      </w:tblPr>
      <w:tblGrid>
        <w:gridCol w:w="2813"/>
        <w:gridCol w:w="2453"/>
        <w:gridCol w:w="2427"/>
        <w:gridCol w:w="211"/>
        <w:gridCol w:w="530"/>
        <w:gridCol w:w="109"/>
        <w:gridCol w:w="109"/>
        <w:gridCol w:w="109"/>
        <w:gridCol w:w="109"/>
        <w:gridCol w:w="211"/>
        <w:gridCol w:w="530"/>
        <w:gridCol w:w="109"/>
        <w:gridCol w:w="109"/>
        <w:gridCol w:w="109"/>
        <w:gridCol w:w="109"/>
        <w:gridCol w:w="158"/>
      </w:tblGrid>
      <w:tr>
        <w:trPr/>
        <w:tc>
          <w:tcPr>
            <w:tcW w:w="281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acquired intangibles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property, plant, and equipment fair value adjustment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customer contractual obligations related to acquired loss-making and below-market contracts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 related to acquisitions in each segment were as follows:</w:t>
      </w:r>
    </w:p>
    <w:tbl>
      <w:tblPr>
        <w:tblW w:w="5589" w:type="dxa"/>
        <w:jc w:val="left"/>
        <w:tblInd w:w="0" w:type="dxa"/>
        <w:tblLayout w:type="fixed"/>
        <w:tblCellMar>
          <w:top w:w="28" w:type="dxa"/>
          <w:left w:w="28" w:type="dxa"/>
          <w:bottom w:w="28" w:type="dxa"/>
          <w:right w:w="28" w:type="dxa"/>
        </w:tblCellMar>
      </w:tblPr>
      <w:tblGrid>
        <w:gridCol w:w="1110"/>
        <w:gridCol w:w="972"/>
        <w:gridCol w:w="977"/>
        <w:gridCol w:w="211"/>
        <w:gridCol w:w="541"/>
        <w:gridCol w:w="109"/>
        <w:gridCol w:w="109"/>
        <w:gridCol w:w="109"/>
        <w:gridCol w:w="109"/>
        <w:gridCol w:w="211"/>
        <w:gridCol w:w="541"/>
        <w:gridCol w:w="109"/>
        <w:gridCol w:w="109"/>
        <w:gridCol w:w="109"/>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accounting adjustments for the quarter ended March 31, 2024 were relatively consistent with the quarter ended March 31,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LIQUIDITY AND FINANCIAL CONDITION</w:t>
      </w:r>
    </w:p>
    <w:tbl>
      <w:tblPr>
        <w:tblW w:w="7727" w:type="dxa"/>
        <w:jc w:val="center"/>
        <w:tblInd w:w="0" w:type="dxa"/>
        <w:tblLayout w:type="fixed"/>
        <w:tblCellMar>
          <w:top w:w="28" w:type="dxa"/>
          <w:left w:w="28" w:type="dxa"/>
          <w:bottom w:w="28" w:type="dxa"/>
          <w:right w:w="28" w:type="dxa"/>
        </w:tblCellMar>
      </w:tblPr>
      <w:tblGrid>
        <w:gridCol w:w="1469"/>
        <w:gridCol w:w="1288"/>
        <w:gridCol w:w="1293"/>
        <w:gridCol w:w="109"/>
        <w:gridCol w:w="109"/>
        <w:gridCol w:w="109"/>
        <w:gridCol w:w="232"/>
        <w:gridCol w:w="696"/>
        <w:gridCol w:w="332"/>
        <w:gridCol w:w="109"/>
        <w:gridCol w:w="109"/>
        <w:gridCol w:w="109"/>
        <w:gridCol w:w="288"/>
        <w:gridCol w:w="842"/>
        <w:gridCol w:w="370"/>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5,607</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42,844</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62,100</w:t>
            </w: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 (total debt plus 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104,944</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to total capitalization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33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commercial paper markets, adequacy of available bank lines of credit, redemptions of debt, and the ability to attract long-term capital at satisfactory terms. </w:t>
      </w:r>
    </w:p>
    <w:p>
      <w:pPr>
        <w:pStyle w:val="TextBody"/>
        <w:bidi w:val="0"/>
        <w:spacing w:lineRule="auto" w:line="288" w:before="120" w:after="283"/>
        <w:jc w:val="both"/>
        <w:rPr/>
      </w:pPr>
      <w:r>
        <w:rPr>
          <w:rFonts w:ascii="Times New Roman;sans-serif" w:hAnsi="Times New Roman;sans-serif"/>
          <w:b w:val="false"/>
          <w:color w:val="000000"/>
          <w:sz w:val="20"/>
        </w:rPr>
        <w:t>At March 31, 2024, we had cash and cash equivalents of $5.6 billion, of which approximatel</w:t>
      </w:r>
      <w:r>
        <w:rPr>
          <w:rFonts w:ascii="Times New Roman;sans-serif" w:hAnsi="Times New Roman;sans-serif"/>
          <w:b w:val="false"/>
          <w:color w:val="000000"/>
          <w:sz w:val="20"/>
          <w:shd w:fill="FFFFFF" w:val="clear"/>
        </w:rPr>
        <w:t xml:space="preserve">y 31% </w:t>
      </w:r>
      <w:r>
        <w:rPr>
          <w:rFonts w:ascii="Times New Roman;sans-serif" w:hAnsi="Times New Roman;sans-serif"/>
          <w:b w:val="false"/>
          <w:color w:val="000000"/>
          <w:sz w:val="20"/>
        </w:rPr>
        <w:t xml:space="preserve">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access global debt markets and the related cost of these borrowings depends on the strength of our credit rating and market conditions. Our S&amp;P Global credit rating remains at BBB+/negative, and our Moody’s Investors Service outlook is Baa1/negative. Though the Company expects to continue having adequate access to funds, declines in our credit ratings or Company outlook could result in higher borrowing costs.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a revolving credit agreement with various banks permitting aggregate borrowings of up to $5.0 billion, which expires in August 2028. As of March 31, 2024, there were no borrowings outstanding under this agreement.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March 31, 2024, our maximum commercial paper borrowing limit was $5.0 billion as the commercial paper is backed by our $5.0 billion revolving credit agreement. At March 31, 2024, we had no commercial paper borrowings outstanding.</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We made the following repayment of long-term debt during the quarter ended March 31, 2024:</w:t>
      </w:r>
    </w:p>
    <w:tbl>
      <w:tblPr>
        <w:tblW w:w="6569" w:type="dxa"/>
        <w:jc w:val="left"/>
        <w:tblInd w:w="0" w:type="dxa"/>
        <w:tblLayout w:type="fixed"/>
        <w:tblCellMar>
          <w:top w:w="28" w:type="dxa"/>
          <w:left w:w="28" w:type="dxa"/>
          <w:bottom w:w="28" w:type="dxa"/>
          <w:right w:w="28" w:type="dxa"/>
        </w:tblCellMar>
      </w:tblPr>
      <w:tblGrid>
        <w:gridCol w:w="506"/>
        <w:gridCol w:w="447"/>
        <w:gridCol w:w="456"/>
        <w:gridCol w:w="674"/>
        <w:gridCol w:w="674"/>
        <w:gridCol w:w="677"/>
        <w:gridCol w:w="780"/>
        <w:gridCol w:w="1780"/>
        <w:gridCol w:w="575"/>
      </w:tblGrid>
      <w:tr>
        <w:trPr/>
        <w:tc>
          <w:tcPr>
            <w:tcW w:w="5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Balance (in millions)</w:t>
            </w:r>
          </w:p>
        </w:tc>
      </w:tr>
      <w:tr>
        <w:trPr/>
        <w:tc>
          <w:tcPr>
            <w:tcW w:w="14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20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3.200% notes due 2024</w:t>
            </w:r>
          </w:p>
        </w:tc>
        <w:tc>
          <w:tcPr>
            <w:tcW w:w="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950</w:t>
            </w:r>
            <w:r>
              <w:rPr>
                <w:color w:val="000000"/>
              </w:rPr>
              <w:t> </w:t>
            </w:r>
          </w:p>
        </w:tc>
        <w:tc>
          <w:tcPr>
            <w:tcW w:w="5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we repaid $500 million of the 3 Month Secured Overnight Financing Rate (SOFR) plus 1.225% term loan due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existing universal shelf registration statement, which we filed with the Securities and Exchange Commission (SEC) on September 22, 2022, for an indeterminate amount of debt and equity securities for future issuance, subject to our internal limitations on the amount of debt to be issued under this shelf registration statement.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Cash Flow - Operating Activities</w:t>
      </w:r>
    </w:p>
    <w:tbl>
      <w:tblPr>
        <w:tblW w:w="6731" w:type="dxa"/>
        <w:jc w:val="center"/>
        <w:tblInd w:w="0" w:type="dxa"/>
        <w:tblLayout w:type="fixed"/>
        <w:tblCellMar>
          <w:top w:w="28" w:type="dxa"/>
          <w:left w:w="28" w:type="dxa"/>
          <w:bottom w:w="28" w:type="dxa"/>
          <w:right w:w="28" w:type="dxa"/>
        </w:tblCellMar>
      </w:tblPr>
      <w:tblGrid>
        <w:gridCol w:w="1703"/>
        <w:gridCol w:w="1493"/>
        <w:gridCol w:w="1499"/>
        <w:gridCol w:w="211"/>
        <w:gridCol w:w="482"/>
        <w:gridCol w:w="109"/>
        <w:gridCol w:w="109"/>
        <w:gridCol w:w="109"/>
        <w:gridCol w:w="109"/>
        <w:gridCol w:w="211"/>
        <w:gridCol w:w="542"/>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 operating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$1.2 billion change in cash flows provided by (used in) operating activities in the quarter ended March 31, 2024, compared to in the quarter ended March 31, 2023, was driven by a favorable impact from accounts receivable primarily due to the timing of collections and the related increase in factoring discussed below. Included in the change in accounts payable and accrued liabilities was a change in collaborator payables at Pratt &amp; Whitney, which was mostly offset by a change in collaborator receivables, included in accounts receivable, due to the timing of settlements.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During the quarter ended March 31, 2024, factoring activity resulted in an increase of approximately $0.4 billion in cash provided by operating activities, compared to a decrease of approximately $0.4 billion in cash provided by operating activities during the quarter ended March 31, 2023. Factoring activity includes amounts factored on certain aerospace receivables at the customer’s request for which we may be compensated by the customer.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made net tax payments of $129 million and $171 million in the quarters ended March 31, 2024 and 2023,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timing of cash flows relating to the Powder Metal Matter are subject to a number of variables, we estimate the accrual for expected customer compensation to be utilized consistent with the timing of execution of the fleet management plan and period of increased aircraft on ground levels. We currently estimate cash outflows related to the Powder Metal Matter of approximately $1.3 billion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Cash Flow - Investing Activities</w:t>
      </w:r>
    </w:p>
    <w:tbl>
      <w:tblPr>
        <w:tblW w:w="6715" w:type="dxa"/>
        <w:jc w:val="center"/>
        <w:tblInd w:w="0" w:type="dxa"/>
        <w:tblLayout w:type="fixed"/>
        <w:tblCellMar>
          <w:top w:w="28" w:type="dxa"/>
          <w:left w:w="28" w:type="dxa"/>
          <w:bottom w:w="28" w:type="dxa"/>
          <w:right w:w="28" w:type="dxa"/>
        </w:tblCellMar>
      </w:tblPr>
      <w:tblGrid>
        <w:gridCol w:w="1697"/>
        <w:gridCol w:w="1488"/>
        <w:gridCol w:w="1494"/>
        <w:gridCol w:w="211"/>
        <w:gridCol w:w="482"/>
        <w:gridCol w:w="109"/>
        <w:gridCol w:w="109"/>
        <w:gridCol w:w="109"/>
        <w:gridCol w:w="109"/>
        <w:gridCol w:w="211"/>
        <w:gridCol w:w="542"/>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 investing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$1.3 billion change in cash flows provided by (used in) investing activities in the quarter ended March 31, 2024, compared to in the quarter ended March 31, 2023, was primarily related to the sale of our CIS business within Raytheon for proceeds of approximately $1.3 billion in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quarters ended March 31, 2024 and 2023, we increased other intangible assets by $163 million and $154 million, respectively, primarily related to collaboration payment commitments made under our 2012 agreement to acquire Rolls-Royce’s collaboration interests in International Aero Engines AG (IAE) and exclusivity payments made on contractual commitments included within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Cash Flow - Financing Activities</w:t>
      </w:r>
    </w:p>
    <w:tbl>
      <w:tblPr>
        <w:tblW w:w="7014" w:type="dxa"/>
        <w:jc w:val="center"/>
        <w:tblInd w:w="0" w:type="dxa"/>
        <w:tblLayout w:type="fixed"/>
        <w:tblCellMar>
          <w:top w:w="28" w:type="dxa"/>
          <w:left w:w="28" w:type="dxa"/>
          <w:bottom w:w="28" w:type="dxa"/>
          <w:right w:w="28" w:type="dxa"/>
        </w:tblCellMar>
      </w:tblPr>
      <w:tblGrid>
        <w:gridCol w:w="1703"/>
        <w:gridCol w:w="1493"/>
        <w:gridCol w:w="1499"/>
        <w:gridCol w:w="211"/>
        <w:gridCol w:w="691"/>
        <w:gridCol w:w="109"/>
        <w:gridCol w:w="109"/>
        <w:gridCol w:w="109"/>
        <w:gridCol w:w="109"/>
        <w:gridCol w:w="211"/>
        <w:gridCol w:w="616"/>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provided by financing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include the issuance and repayment of commercial paper and other short-term and long-term debt, payment of dividends, and stock repurchases.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$3.1 billion change in cash flows (used in) provided by financing activities in the quarter ended March 31, 2024, compared to in the quarter ended March 31, 2023, was primarily driven by prior year cash provided by long-term debt issuances of $3.0 billion and current year repayment of long-term debt of $1.0 billion, partially offset by lower share repurchases of $0.5 billion, and prior year repayments of commercial paper, net, of $0.4 billion. Refer to “Note 9: Borrowings and Lines of Credit” within Item 1 of this Form 10-Q for additional information on debt issuances and repayments and commercial paper.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management had remaining authority to repurchase approximately $1.0 billion of our common stock under the October 21, 2023 share repurchase program.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and as required under our employee savings plan. Our ability to repurchase shares is subject to applicable law.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share repurchases, which include shares reacquired outside of our share repurchase program, were as follows:</w:t>
      </w:r>
    </w:p>
    <w:tbl>
      <w:tblPr>
        <w:tblW w:w="7006"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211"/>
        <w:gridCol w:w="376"/>
        <w:gridCol w:w="109"/>
        <w:gridCol w:w="240"/>
        <w:gridCol w:w="241"/>
        <w:gridCol w:w="196"/>
        <w:gridCol w:w="109"/>
        <w:gridCol w:w="109"/>
        <w:gridCol w:w="109"/>
        <w:gridCol w:w="211"/>
        <w:gridCol w:w="466"/>
        <w:gridCol w:w="109"/>
        <w:gridCol w:w="308"/>
        <w:gridCol w:w="308"/>
        <w:gridCol w:w="263"/>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33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Shares of common stock repurchased </w:t>
            </w:r>
            <w:r>
              <w:rPr>
                <w:rFonts w:ascii="Times New Roman;sans-serif" w:hAnsi="Times New Roman;sans-serif"/>
                <w:b w:val="false"/>
                <w:color w:val="000000"/>
                <w:sz w:val="13"/>
              </w:rPr>
              <w:t>(1)</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w:t>
            </w:r>
            <w:r>
              <w:rPr>
                <w:color w:val="000000"/>
              </w:rPr>
              <w:t> </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5,714 </w:t>
            </w:r>
          </w:p>
        </w:tc>
        <w:tc>
          <w:tcPr>
            <w:tcW w:w="2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Relates to share repurchases that were settled in cash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authorized the following cash dividends:</w:t>
      </w:r>
    </w:p>
    <w:tbl>
      <w:tblPr>
        <w:tblW w:w="5828" w:type="dxa"/>
        <w:jc w:val="left"/>
        <w:tblInd w:w="0" w:type="dxa"/>
        <w:tblLayout w:type="fixed"/>
        <w:tblCellMar>
          <w:top w:w="28" w:type="dxa"/>
          <w:left w:w="28" w:type="dxa"/>
          <w:bottom w:w="28" w:type="dxa"/>
          <w:right w:w="28" w:type="dxa"/>
        </w:tblCellMar>
      </w:tblPr>
      <w:tblGrid>
        <w:gridCol w:w="1292"/>
        <w:gridCol w:w="1134"/>
        <w:gridCol w:w="1143"/>
        <w:gridCol w:w="211"/>
        <w:gridCol w:w="631"/>
        <w:gridCol w:w="109"/>
        <w:gridCol w:w="109"/>
        <w:gridCol w:w="109"/>
        <w:gridCol w:w="109"/>
        <w:gridCol w:w="211"/>
        <w:gridCol w:w="61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per share of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paid</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significant change in our exposure to market risk during the quarter ended March 31, 2024. For discussion of our exposure to market risk, refer to Part II, Item 7A, “Quantitative and Qualitative Disclosures About Market Risk,” contained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 under the Securities Exchange Act of 1934, as amended, we carried out an evaluation under the supervision and with the participation of our management, including the Chief Executive Officer (CEO), the Executive Vice President and Chief Financial Officer (CFO), and the Corporate Vice President and Controller (Controller), of the effectiveness of the design and operation of our disclosure controls and procedures as of March 31, 2024.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March 31, 2024,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Cautionary Note Concerning Factors That May Affect Future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a rare condition in powder metal used to manufacture certain engine parts requiring accelerated inspection of the PW1100G-JM (PW1100) Geared Turbofan (GTF) fleet (herein referred to as the Powder Metal Matter) and related matters and activities, including without limitation other engine models that may be impacted, anticipated benefits to RTX of its segment realignment, pending disposition of Collins’ actuation and flight control business,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effect of changes in economic, capital market, and political conditions in the U.S. and globally, such as from the global sanctions and export controls with respect to Russia, and any changes therein, including related to financial market conditions, banking industry disruptions, fluctuations in commodity prices or supply (including energy supply), inflation, interest rates and foreign currency exchange rates, disruptions in global supply chain and labor markets, and geopolitical risks;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and uncertain funding of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our performance on our contracts and programs, including our ability to control costs, and our inability to pass some or all of our costs on fixed price contracts to the customer;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challenges in the development,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RTX’s reliance on U.S. and non-U.S. suppliers and commodity markets, including the effect of sanctions, delays, and disruptions in the delivery of materials and services to RTX or its suppliers and price increases;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RTX international operations from, among other things, changes in trade policies and implementation of sanctions, foreign currency fluctuations, economic conditions, political factors, sales methods, and U.S. or local government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condition of the aerospace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RTX to attract, train, and retain qualified personnel and maintain its culture and high ethical standards, and the ability of our personnel to continue to operate our facilities and businesses around the world;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 and risks related to completion of announced divestitures;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RTX and its businesses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pending, threatened and future legal proceedings, investigations, and other contingencies, including those related to U.S. government audits and disputes;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uncertainties associated with the timing and scope of future repurchases by RTX of its common stock, including the ability to complete the accelerated share repurchase (ASR), the purchase price of the shares acquired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ASR agreement, and the timing and duration of the ASR program, or declarations of cash dividends, which may be discontinued, accelerated, suspended, or delayed at any time due to various factors, including market conditions and the level of other investing activities and uses of cash;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realizing expected benefits from, incurring costs for, and successfully managing the Company’s segment realignment effective July 1, 2023 and other RTX strategic initiatives such as cost reduction, restructuring, digital transformation, and other operational initiatives;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of additional tax exposures due to new tax legislation or other developments in the U.S. and other countries in which RTX and its businesses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production volumes of one or more of our significant customers as a result of business or other challenges, and the resulting effect on its or their demand for our products and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a RTX product safety failure or other failure affecting RTX’s or its customers’ or suppliers’ products or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risks relating to cybersecurity, including cyber-attacks on RTX’s information technology infrastructure, products, suppliers, customers and partners, and cybersecurity-related regulations;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our intellectual property and certain third-party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threats to RTX facilities and personnel, as well as other events outside of RTX’s control such as public health crises, damaging weather, or other acts of nature;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accounting estimates for our programs on our financial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pension and other postretirement plan estimates and assumptions and contributions;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an impairment of goodwill and other intangible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climate change and changing or new climate-related regulations, customer and market demands, products and technologies;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“Liquidity and Financial Condition,”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 regulations, for proceedings under environmental laws to which a government authority is a party and we reasonably believe such proceedings will result in monetary sanctions, we have adopted a disclosure threshold of $1 million.</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Enforcement Proceeding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Colorado Department of Public Health and Environment (CDPHE) issued a Notice of Violation/Cease and Desist Order (NOV/CDO) to Raytheon Company on January 31, 2023, alleging violations of a water discharge permit at a former Raytheon Company facility in Boulder, Colorado. On March 27, 2024, CDPHE informed Raytheon Company that it is seeking a penalty in the amount of approximately $1 million in connection with the alleged violations and is requiring us to undertake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program. Raytheon Company is contesting the alleged violations and the penalty demand, and has the right to appeal the NOV/CDO and any associated penalty. We do not expect liability related to this matter to have a material adverse impact on our results of operations, financial condition or liquidity.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Commitments and Contingencies” within Item 1 of this Form 10-Q for a discussion regarding additional material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above, there have been no material developments in legal proceedings. For previously reported information about legal proceedings refer to Part I, Item 3, “Legal Proceedings,” of our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review and consider the information regarding certain factors which could materially affect our business, financial condition, or future results set forth under Item 1A in our 2023 Annual Report on Form 10-K (2023 Form 10-K). There have been no material changes from the factors disclosed in our 2023 Form 10-K, although we may disclose changes to such factors or disclose additional factors from time to time in our future filings with the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purchases of equity securities that are registered by us pursuant to Section 12 of the Exchange Act during the quarter ended March 31, 2024.</w:t>
      </w:r>
    </w:p>
    <w:tbl>
      <w:tblPr>
        <w:tblW w:w="10205" w:type="dxa"/>
        <w:jc w:val="left"/>
        <w:tblInd w:w="0" w:type="dxa"/>
        <w:tblLayout w:type="fixed"/>
        <w:tblCellMar>
          <w:top w:w="28" w:type="dxa"/>
          <w:left w:w="28" w:type="dxa"/>
          <w:bottom w:w="28" w:type="dxa"/>
          <w:right w:w="28" w:type="dxa"/>
        </w:tblCellMar>
      </w:tblPr>
      <w:tblGrid>
        <w:gridCol w:w="503"/>
        <w:gridCol w:w="387"/>
        <w:gridCol w:w="391"/>
        <w:gridCol w:w="109"/>
        <w:gridCol w:w="109"/>
        <w:gridCol w:w="109"/>
        <w:gridCol w:w="456"/>
        <w:gridCol w:w="456"/>
        <w:gridCol w:w="457"/>
        <w:gridCol w:w="109"/>
        <w:gridCol w:w="109"/>
        <w:gridCol w:w="109"/>
        <w:gridCol w:w="297"/>
        <w:gridCol w:w="868"/>
        <w:gridCol w:w="153"/>
        <w:gridCol w:w="109"/>
        <w:gridCol w:w="109"/>
        <w:gridCol w:w="109"/>
        <w:gridCol w:w="766"/>
        <w:gridCol w:w="766"/>
        <w:gridCol w:w="769"/>
        <w:gridCol w:w="109"/>
        <w:gridCol w:w="109"/>
        <w:gridCol w:w="109"/>
        <w:gridCol w:w="665"/>
        <w:gridCol w:w="1470"/>
        <w:gridCol w:w="493"/>
      </w:tblGrid>
      <w:tr>
        <w:trPr/>
        <w:tc>
          <w:tcPr>
            <w:tcW w:w="50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b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a Publicly Announced Program</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Approximate Dollar Value of Shares that May Yet Be Purchased Under the Program </w:t>
              <w:br/>
              <w:t>(dollars in millions)</w:t>
            </w:r>
          </w:p>
        </w:tc>
      </w:tr>
      <w:tr>
        <w:trPr/>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4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90.70 </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2023, we entered into accelerated share repurchase (ASR) agreements with certain financial institution counterparties to repurchase shares of our common stock for an aggregate purchase price of $10 billion. Pursuant to the ASR agreements, in 2023 we made aggregate payments of $10 billion, and received initial deliveries of approximately 108.4 million shares, representing approximately 85% of the shares expected to be repurchased. The final number of shares to be repurchased will be based on the average of the daily volume-weighted average prices of our common stock during the term of the ASR agreements, less a discount and subject to adjustments pursuant to the terms and conditions of the ASR agreements. Upon final settlement of the ASR, under certain circumstances, each of the counterparties may be required to deliver additional shares of common stock, or we may be required to deliver shares of common stock or to make a cash payment to the counterparties, at our election. The final settlement of each transaction under the ASR agreements is scheduled to occur no later than the third quarter of 2024 and in each case may be accelerated at the option of the applicable counterparty.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reacquire shares outside of the program in connection with the surrender of shares to cover taxes on vesting of restricted stock and as required under our employee savings plan. Our ability to repurchase shares is subject to applicable law. During the quarter ended March 31, 2024, we repurchased 560 thousand shares outside of the program related to our employee savings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2024, no director or “officer” (as defined in Rule 16a-1(f))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3937"/>
        <w:gridCol w:w="2245"/>
        <w:gridCol w:w="2918"/>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024-03x3110xq.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2024-03x3110xq.htm">
              <w:r>
                <w:rPr>
                  <w:rStyle w:val="InternetLink"/>
                  <w:rFonts w:ascii="Times New Roman;sans-serif" w:hAnsi="Times New Roman;sans-serif"/>
                  <w:b w:val="false"/>
                  <w:color w:val="0000FF"/>
                  <w:sz w:val="20"/>
                  <w:u w:val="single"/>
                </w:rPr>
                <w:t>RTX Corporation Compensation Deferral Plan, as Amended and Restated, effective November 1, 2023.*</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024-03x3110xq.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2024-03x3110xq.htm">
              <w:r>
                <w:rPr>
                  <w:rStyle w:val="InternetLink"/>
                  <w:rFonts w:ascii="Times New Roman;sans-serif" w:hAnsi="Times New Roman;sans-serif"/>
                  <w:b w:val="false"/>
                  <w:color w:val="0000FF"/>
                  <w:sz w:val="20"/>
                  <w:u w:val="single"/>
                </w:rPr>
                <w:t>2024 Schedule of Terms for restricted stock unit awards relating to the RTX Corporation 2018 Long-Term Incentive Plan, as amended and restated.*</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2024-03x3110xq.htm">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32024-03x3110xq.htm">
              <w:r>
                <w:rPr>
                  <w:rStyle w:val="InternetLink"/>
                  <w:rFonts w:ascii="Times New Roman;sans-serif" w:hAnsi="Times New Roman;sans-serif"/>
                  <w:b w:val="false"/>
                  <w:color w:val="0000FF"/>
                  <w:sz w:val="20"/>
                  <w:u w:val="single"/>
                </w:rPr>
                <w:t>2024 Schedule of Terms for performance share unit awards relating to the RTX Corporation 2018 Long-Term Incentive Plan, as amended and restated.*</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2024-03x3110xq.htm">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42024-03x3110xq.htm">
              <w:r>
                <w:rPr>
                  <w:rStyle w:val="InternetLink"/>
                  <w:rFonts w:ascii="Times New Roman;sans-serif" w:hAnsi="Times New Roman;sans-serif"/>
                  <w:b w:val="false"/>
                  <w:color w:val="0000FF"/>
                  <w:sz w:val="20"/>
                  <w:u w:val="single"/>
                </w:rPr>
                <w:t>2024 Schedule of Terms for stock appreciation right awards relating to the RTX Corporation 2018 Long-Term Incentive Plan, as amended and restated.*</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2024-03x3110xq.htm">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52024-03x3110xq.htm">
              <w:r>
                <w:rPr>
                  <w:rStyle w:val="InternetLink"/>
                  <w:rFonts w:ascii="Times New Roman;sans-serif" w:hAnsi="Times New Roman;sans-serif"/>
                  <w:b w:val="false"/>
                  <w:color w:val="0000FF"/>
                  <w:sz w:val="20"/>
                  <w:u w:val="single"/>
                </w:rPr>
                <w:t>2024 Schedule of Terms for stock option awards relating to the RTX Corporation 2018 Long-Term Incentive Plan, as amended and restated.*</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62024-03x3110xq.htm">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62024-03x3110xq.htm">
              <w:r>
                <w:rPr>
                  <w:rStyle w:val="InternetLink"/>
                  <w:rFonts w:ascii="Times New Roman;sans-serif" w:hAnsi="Times New Roman;sans-serif"/>
                  <w:b w:val="false"/>
                  <w:color w:val="0000FF"/>
                  <w:sz w:val="20"/>
                  <w:u w:val="single"/>
                </w:rPr>
                <w:t>RTX Corporation Executive Leadership Group Program, as amended and restated, effective December 19, 2023.*</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2024-03x3110xq.htm">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72024-03x3110xq.htm">
              <w:r>
                <w:rPr>
                  <w:rStyle w:val="InternetLink"/>
                  <w:rFonts w:ascii="Times New Roman;sans-serif" w:hAnsi="Times New Roman;sans-serif"/>
                  <w:b w:val="false"/>
                  <w:color w:val="0000FF"/>
                  <w:sz w:val="20"/>
                  <w:u w:val="single"/>
                </w:rPr>
                <w:t>Schedule of Terms for Restricted Stock Unit Retention Award under the RTX Corporation Executive Leadership Group Program, effective January 1, 2024.*</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52024-03x3110xq.htm">
              <w:r>
                <w:rPr>
                  <w:rStyle w:val="InternetLink"/>
                  <w:rFonts w:ascii="Times New Roman;sans-serif" w:hAnsi="Times New Roman;sans-serif"/>
                  <w:b w:val="false"/>
                  <w:color w:val="0000FF"/>
                  <w:sz w:val="20"/>
                  <w:u w:val="single"/>
                </w:rPr>
                <w:t>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2024-03x3110xq.htm">
              <w:r>
                <w:rPr>
                  <w:rStyle w:val="InternetLink"/>
                  <w:rFonts w:ascii="Times New Roman;sans-serif" w:hAnsi="Times New Roman;sans-serif"/>
                  <w:b w:val="false"/>
                  <w:color w:val="0000FF"/>
                  <w:sz w:val="20"/>
                  <w:u w:val="single"/>
                </w:rPr>
                <w:t>Letter re: unaudited interim financial information.*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4-03x3110xq.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4-03x3110xq.htm">
              <w:r>
                <w:rPr>
                  <w:rStyle w:val="InternetLink"/>
                  <w:rFonts w:ascii="Times New Roman;sans-serif" w:hAnsi="Times New Roman;sans-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4-03x3110xq.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4-03x3110xq.htm">
              <w:r>
                <w:rPr>
                  <w:rStyle w:val="InternetLink"/>
                  <w:rFonts w:ascii="Times New Roman;sans-serif" w:hAnsi="Times New Roman;sans-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32024-03x3110xq.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32024-03x3110xq.htm">
              <w:r>
                <w:rPr>
                  <w:rStyle w:val="InternetLink"/>
                  <w:rFonts w:ascii="Times New Roman;sans-serif" w:hAnsi="Times New Roman;sans-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4-03x3110xq.htm">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4-03x3110xq.htm">
              <w:r>
                <w:rPr>
                  <w:rStyle w:val="InternetLink"/>
                  <w:rFonts w:ascii="Times New Roman;sans-serif" w:hAnsi="Times New Roman;sans-serif"/>
                  <w:b w:val="false"/>
                  <w:color w:val="0000FF"/>
                  <w:sz w:val="20"/>
                  <w:u w:val="single"/>
                </w:rPr>
                <w:t>Section 1350 Certifications.*</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Notes to Exhibits List: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Submitted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da253791574420184181abf7fd91be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599"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320"/>
        <w:gridCol w:w="320"/>
        <w:gridCol w:w="320"/>
        <w:gridCol w:w="1949"/>
        <w:gridCol w:w="1949"/>
        <w:gridCol w:w="279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RTX CORPORATION</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the Registrant’s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Corporate Vice President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the Registrant’s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RTX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DEFERRAL PLAN</w: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and Restated as of November 1, 2023)</w:t>
      </w:r>
    </w:p>
    <w:p>
      <w:pPr>
        <w:pStyle w:val="TextBody"/>
        <w:bidi w:val="0"/>
        <w:spacing w:lineRule="auto" w:line="240"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I - PREAMBLE</w:t>
      </w:r>
    </w:p>
    <w:p>
      <w:pPr>
        <w:pStyle w:val="TextBody"/>
        <w:bidi w:val="0"/>
        <w:spacing w:before="0" w:after="0"/>
        <w:ind w:left="0" w:right="0" w:firstLine="36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1.1 – Purpose of the Plan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purpose of the RTX Corporation Compensation Deferral Plan (the “CDP” or the “Plan”) is to provide eligible employees of an RTX Company with</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opportunity to electively defer directly into the CDP a portion of their Eligible Earnings without regard to elective deferrals under the RTX Corporation Employee Savings Plan (the “RTX Qualified Savings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opportunity to electively defer a portion of their Compensation in excess of the limitation imposed by Section 401(a)(17) (the “IRS Compensation Limit”) of the Internal Revenue Code of 1986, as amended (“IRC”);</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accrual of benefits not provided under the RTX Qualified Savings Plan due to limitations imposed by IRC Section 415 (the “IRS Contribution Limit”) and IRC Section 401(a)(17);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accrual of benefits due to the reduction in the value of Company Matching Contributions and Company Retirement Contributions under the RTX Qualified Savings Plan, as a result of the reduction of a Participant’s compensation (as defined in the RTX Qualified Savings Plan) due to an elective deferral made pursuant to this Plan.</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1.2 – Effective Date of Plan and Amendments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Raytheon Technologies Corporation Compensation Deferral Plan was established effective as of January 1, 2023, for the benefit of certain RTX Company Employees.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Plan was amended and restated, effective as of October 1, 2023, for the purpose of renaming the Plan, the RTX Corporation Compensation Deferral Plan, changing all company references from ‘Raytheon Technologies Corporation’ to ‘RTX Corporation’, and certain other minor administrative changes.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Plan is hereby amended and restated, effective as of November 1, 2023, for certain other minor administrative changes.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94995"/>
                <wp:effectExtent l="0" t="0" r="0" b="0"/>
                <wp:wrapNone/>
                <wp:docPr id="48" name="Frame4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480" w:after="240"/>
        <w:ind w:left="0" w:right="0" w:firstLine="360"/>
        <w:jc w:val="left"/>
        <w:rPr/>
      </w:pPr>
      <w:r>
        <w:rPr/>
      </w:r>
    </w:p>
    <w:p>
      <w:pPr>
        <w:pStyle w:val="TextBody"/>
        <w:bidi w:val="0"/>
        <w:spacing w:lineRule="auto" w:line="240" w:before="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II - DEFINITIONS</w:t>
      </w:r>
    </w:p>
    <w:p>
      <w:pPr>
        <w:pStyle w:val="TextBody"/>
        <w:bidi w:val="0"/>
        <w:spacing w:before="0" w:after="0"/>
        <w:ind w:left="0" w:right="0" w:firstLine="36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Unless otherwise indicated, capitalized terms used herein shall have the same meanings ascribed under the RTX Qualified Savings Plan.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Account Establishment Year</w:t>
      </w:r>
      <w:r>
        <w:rPr>
          <w:color w:val="000000"/>
        </w:rPr>
        <w:t xml:space="preserve"> </w:t>
      </w:r>
      <w:r>
        <w:rPr>
          <w:rFonts w:ascii="Times New Roman;sans-serif" w:hAnsi="Times New Roman;sans-serif"/>
          <w:b w:val="false"/>
          <w:color w:val="000000"/>
          <w:sz w:val="24"/>
        </w:rPr>
        <w:t>means, with respect to each Specified Year Account, the first calendar year in which deferred compensation credited to such Specified Year Account pursuant to the first deferral election made with respect to such Specified Year Account would have been paid if no deferral election under this Plan had been made. By way of example, if a Participant’s first deferral election with respect to a Specified Year Account is made in 2022 with respect to compensation that would have been paid in 2023 if such deferral election had not been made, then the Account Establishment Year for such Specified Year Account is 2023.</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Annual Incentive Award</w:t>
      </w:r>
      <w:r>
        <w:rPr>
          <w:color w:val="000000"/>
        </w:rPr>
        <w:t xml:space="preserve"> </w:t>
      </w:r>
      <w:r>
        <w:rPr>
          <w:rFonts w:ascii="Times New Roman;sans-serif" w:hAnsi="Times New Roman;sans-serif"/>
          <w:b w:val="false"/>
          <w:color w:val="000000"/>
          <w:sz w:val="24"/>
        </w:rPr>
        <w:t>means compensation amounts awarded to a Participant pursuant to the RTX Corporation Executive Annual Incentive Plan (or any successor plan) and/or the RTX Corporation Broad-Based Incentive Plan (or any successor plan), that is payable in the next following calendar year with respect to services performed in the current calendar year.</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Beneficiary</w:t>
      </w:r>
      <w:r>
        <w:rPr>
          <w:color w:val="000000"/>
        </w:rPr>
        <w:t xml:space="preserve"> </w:t>
      </w:r>
      <w:r>
        <w:rPr>
          <w:rFonts w:ascii="Times New Roman;sans-serif" w:hAnsi="Times New Roman;sans-serif"/>
          <w:b w:val="false"/>
          <w:color w:val="000000"/>
          <w:sz w:val="24"/>
        </w:rPr>
        <w:t>means the person, persons or entity designated on an electronic or written form by the Participant to receive the value of his or her Plan Account in the event of the Participant’s death in accordance with Section 7.5 of this Plan.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Benefit Reduction Contribution</w:t>
      </w:r>
      <w:r>
        <w:rPr>
          <w:color w:val="000000"/>
        </w:rPr>
        <w:t xml:space="preserve"> </w:t>
      </w:r>
      <w:r>
        <w:rPr>
          <w:rFonts w:ascii="Times New Roman;sans-serif" w:hAnsi="Times New Roman;sans-serif"/>
          <w:b w:val="false"/>
          <w:color w:val="000000"/>
          <w:sz w:val="24"/>
        </w:rPr>
        <w:t xml:space="preserve">means an amount credited by the Corporation to a Participant’s Plan Account in accordance with Section 5.4 of the Plan to restore the reduction in the Company Matching Contribution and/or the Company Retirement Contribution credited to a Participant’s Plan Account under the RTX Qualified Savings Plan as a result of the reduction of such Participant’s Eligible Earnings under the RTX Qualified Savings Plan due to an Elective Compensation Deferral by the Participant under this Plan.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means (a) “Cause” as defined in the Company’s 2018 Long-Term Incentive Plan, as amended and restated, and as further amended from time to time; (b) violation of the Company’s Code of Conduct; (c) such other actions or omissions that constitute willful misconduct, willful failure to perform, or gross negligence in the performance of, reasonable duties of employment; (d) disruptive behavior, or other such actions on the part of the Participant that renders his or her employment untenable as determined by the Committee; or (e) Participant’s loss or failure to maintain any security clearance required for the Participant’s position.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Code or IRC</w:t>
      </w:r>
      <w:r>
        <w:rPr>
          <w:color w:val="000000"/>
        </w:rPr>
        <w:t xml:space="preserve"> </w:t>
      </w:r>
      <w:r>
        <w:rPr>
          <w:rFonts w:ascii="Times New Roman;sans-serif" w:hAnsi="Times New Roman;sans-serif"/>
          <w:b w:val="false"/>
          <w:color w:val="000000"/>
          <w:sz w:val="24"/>
        </w:rPr>
        <w:t>means the Internal Revenue Code of 1986, as amended from time to time, and any successor thereto. References to any section of the Internal Revenue Code shall include any final regulations or other applicable guidance. References to “Section 409A” shall refer to Section 409A of the Code and any final regulations and guidance issued thereunder by the Internal Revenue Service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Committee</w:t>
      </w:r>
      <w:r>
        <w:rPr>
          <w:color w:val="000000"/>
        </w:rPr>
        <w:t xml:space="preserve"> </w:t>
      </w:r>
      <w:r>
        <w:rPr>
          <w:rFonts w:ascii="Times New Roman;sans-serif" w:hAnsi="Times New Roman;sans-serif"/>
          <w:b w:val="false"/>
          <w:color w:val="000000"/>
          <w:sz w:val="24"/>
        </w:rPr>
        <w:t>means the Deferred Compensation Committee (or successor committee), which is responsible for the administration of the Plan.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Company Contributions</w:t>
      </w:r>
      <w:r>
        <w:rPr>
          <w:color w:val="000000"/>
        </w:rPr>
        <w:t xml:space="preserve"> </w:t>
      </w:r>
      <w:r>
        <w:rPr>
          <w:rFonts w:ascii="Times New Roman;sans-serif" w:hAnsi="Times New Roman;sans-serif"/>
          <w:b w:val="false"/>
          <w:color w:val="000000"/>
          <w:sz w:val="24"/>
        </w:rPr>
        <w:t>means the Company Retirement Contribution, the Company Matching Contribution, and Discretionary Contributions, including any Benefit Reduction Contributions.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Company Matching Contribution</w:t>
      </w:r>
      <w:r>
        <w:rPr>
          <w:color w:val="000000"/>
        </w:rPr>
        <w:t xml:space="preserve"> </w:t>
      </w:r>
      <w:r>
        <w:rPr>
          <w:rFonts w:ascii="Times New Roman;sans-serif" w:hAnsi="Times New Roman;sans-serif"/>
          <w:b w:val="false"/>
          <w:color w:val="000000"/>
          <w:sz w:val="24"/>
        </w:rPr>
        <w:t xml:space="preserve">means the matching contribution credited to the Plan on behalf of a Participant in accordance with Sections 5.2, 5.3 and 5.4 of the Plan. Where referring to the Company Matching Contributions under the RTX Qualified Savings Plan, the definition of such term in the RTX Qualified Savings Plan shall apply.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Company Retirement Contribution</w:t>
      </w:r>
      <w:r>
        <w:rPr>
          <w:color w:val="000000"/>
        </w:rPr>
        <w:t xml:space="preserve"> </w:t>
      </w:r>
      <w:r>
        <w:rPr>
          <w:rFonts w:ascii="Times New Roman;sans-serif" w:hAnsi="Times New Roman;sans-serif"/>
          <w:b w:val="false"/>
          <w:color w:val="000000"/>
          <w:sz w:val="24"/>
        </w:rPr>
        <w:t xml:space="preserve">means the non-matching contribution credited to the Plan on behalf of a Participant in accordance with Sections 5.1 and 5.4 of the Plan. Where referring to Company Retirement Contribution under the RTX Qualified Savings Plan, the definition of such term in the RTX Qualified Savings Plan shall apply.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Corporation</w:t>
      </w:r>
      <w:r>
        <w:rPr>
          <w:color w:val="000000"/>
        </w:rPr>
        <w:t xml:space="preserve"> </w:t>
      </w:r>
      <w:r>
        <w:rPr>
          <w:rFonts w:ascii="Times New Roman;sans-serif" w:hAnsi="Times New Roman;sans-serif"/>
          <w:b w:val="false"/>
          <w:color w:val="000000"/>
          <w:sz w:val="24"/>
        </w:rPr>
        <w:t>means RTX Corporation, or any successor thereto.</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Default Investment Option</w:t>
      </w:r>
      <w:r>
        <w:rPr>
          <w:color w:val="000000"/>
        </w:rPr>
        <w:t xml:space="preserve"> </w:t>
      </w:r>
      <w:r>
        <w:rPr>
          <w:rFonts w:ascii="Times New Roman;sans-serif" w:hAnsi="Times New Roman;sans-serif"/>
          <w:b w:val="false"/>
          <w:color w:val="000000"/>
          <w:sz w:val="24"/>
        </w:rPr>
        <w:t xml:space="preserve">means the Investment Fund designated by the Committee on behalf of a Participant in the absence of an investment option election by a Participant. The Default Investment Option shall be determined at the sole discretion of the Committee and shall be communicated to Participants annually.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Disability</w:t>
      </w:r>
      <w:r>
        <w:rPr>
          <w:color w:val="000000"/>
        </w:rPr>
        <w:t xml:space="preserve"> </w:t>
      </w:r>
      <w:r>
        <w:rPr>
          <w:rFonts w:ascii="Times New Roman;sans-serif" w:hAnsi="Times New Roman;sans-serif"/>
          <w:b w:val="false"/>
          <w:color w:val="000000"/>
          <w:sz w:val="24"/>
        </w:rPr>
        <w:t>means permanent and total disability as determined under the Corporation’s long-term disability plan 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 xml:space="preserve">Discretionary Contribution </w:t>
      </w:r>
      <w:r>
        <w:rPr>
          <w:rFonts w:ascii="Times New Roman;sans-serif" w:hAnsi="Times New Roman;sans-serif"/>
          <w:b w:val="false"/>
          <w:color w:val="000000"/>
          <w:sz w:val="24"/>
        </w:rPr>
        <w:t>means the contributions credited to the Plan on behalf of a Participant in accordance with Section 5.6 of the Plan.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Election Form</w:t>
      </w:r>
      <w:r>
        <w:rPr>
          <w:color w:val="000000"/>
        </w:rPr>
        <w:t xml:space="preserve"> </w:t>
      </w:r>
      <w:r>
        <w:rPr>
          <w:rFonts w:ascii="Times New Roman;sans-serif" w:hAnsi="Times New Roman;sans-serif"/>
          <w:b w:val="false"/>
          <w:color w:val="000000"/>
          <w:sz w:val="24"/>
        </w:rPr>
        <w:t>means the form or process provided by the Committee to a Participant electronically or in paper form for the purpose of specifying elective deferrals, method of distribution and/or the percentage allocation among the Investment Funds with respect to a Participant’s Plan Account.</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Elective Compensation Deferral</w:t>
      </w:r>
      <w:r>
        <w:rPr>
          <w:color w:val="000000"/>
        </w:rPr>
        <w:t xml:space="preserve"> </w:t>
      </w:r>
      <w:r>
        <w:rPr>
          <w:rFonts w:ascii="Times New Roman;sans-serif" w:hAnsi="Times New Roman;sans-serif"/>
          <w:b w:val="false"/>
          <w:color w:val="000000"/>
          <w:sz w:val="24"/>
        </w:rPr>
        <w:t>means the percentage of Eligible Earnings to be deferred to a Participant’s Specified Year Account and/or Separation from Service Account in accordance with Section 4.1 of the Plan.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Eligible Earnings</w:t>
      </w:r>
      <w:r>
        <w:rPr>
          <w:color w:val="000000"/>
        </w:rPr>
        <w:t xml:space="preserve"> </w:t>
      </w:r>
      <w:r>
        <w:rPr>
          <w:rFonts w:ascii="Times New Roman;sans-serif" w:hAnsi="Times New Roman;sans-serif"/>
          <w:b w:val="false"/>
          <w:color w:val="000000"/>
          <w:sz w:val="24"/>
        </w:rPr>
        <w:t>means the total compensation paid with respect to a Plan Year to a Participant meeting the definition of “compensation” as set forth in the RTX Qualified Savings Plan but modified by disregarding the IRS Compensation Limit in such definition and including amounts the Participant elects to defer for such Plan Year under Section 4.1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Eligible Employee</w:t>
      </w:r>
      <w:r>
        <w:rPr>
          <w:color w:val="000000"/>
        </w:rPr>
        <w:t xml:space="preserve"> </w:t>
      </w:r>
      <w:r>
        <w:rPr>
          <w:rFonts w:ascii="Times New Roman;sans-serif" w:hAnsi="Times New Roman;sans-serif"/>
          <w:b w:val="false"/>
          <w:color w:val="000000"/>
          <w:sz w:val="24"/>
        </w:rPr>
        <w:t xml:space="preserve">for any Plan Year means an Employee at a level of either: (i) F2-3, M7/P7 or E1-5 as of the date on which deferral elections are solicited by the Committee for such Plan Year, or (ii) F1, and </w:t>
      </w:r>
      <w:r>
        <w:rPr>
          <w:rFonts w:ascii="Times New Roman;sans-serif" w:hAnsi="Times New Roman;sans-serif"/>
          <w:b w:val="false"/>
          <w:color w:val="000000"/>
          <w:sz w:val="23"/>
        </w:rPr>
        <w:t xml:space="preserve">whose combined annual salary and target annual incentive compensation, as of the April 15 prior to </w:t>
      </w:r>
      <w:r>
        <w:rPr>
          <w:rFonts w:ascii="Times New Roman;sans-serif" w:hAnsi="Times New Roman;sans-serif"/>
          <w:b w:val="false"/>
          <w:color w:val="000000"/>
          <w:sz w:val="24"/>
        </w:rPr>
        <w:t>the date on which deferral elections are solicited by the Committee for such Plan Year,</w:t>
      </w:r>
      <w:r>
        <w:rPr>
          <w:color w:val="000000"/>
        </w:rPr>
        <w:t xml:space="preserve"> </w:t>
      </w:r>
      <w:r>
        <w:rPr>
          <w:rFonts w:ascii="Times New Roman;sans-serif" w:hAnsi="Times New Roman;sans-serif"/>
          <w:b w:val="false"/>
          <w:color w:val="000000"/>
          <w:sz w:val="23"/>
        </w:rPr>
        <w:t>are determined to exceed the then current IRC Section 401(a)(17) limit; and</w:t>
      </w:r>
      <w:r>
        <w:rPr>
          <w:color w:val="000000"/>
        </w:rPr>
        <w:t xml:space="preserve"> </w:t>
      </w:r>
      <w:r>
        <w:rPr>
          <w:rFonts w:ascii="Times New Roman;sans-serif" w:hAnsi="Times New Roman;sans-serif"/>
          <w:b w:val="false"/>
          <w:color w:val="000000"/>
          <w:sz w:val="24"/>
        </w:rPr>
        <w:t>who is paid from a US payroll and receives Eligible Earnings subject to U.S. federal income tax withholding.</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Employee</w:t>
      </w:r>
      <w:r>
        <w:rPr>
          <w:color w:val="000000"/>
        </w:rPr>
        <w:t xml:space="preserve"> </w:t>
      </w:r>
      <w:r>
        <w:rPr>
          <w:rFonts w:ascii="Times New Roman;sans-serif" w:hAnsi="Times New Roman;sans-serif"/>
          <w:b w:val="false"/>
          <w:color w:val="000000"/>
          <w:sz w:val="24"/>
        </w:rPr>
        <w:t>means an employee of the Corporation or an RTX Company but excluding any employee who is not eligible to participate in the RTX Qualified Savings Plan and any Represented Employee (as defined in the RTX Qualified Savings Plan).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ERISA</w:t>
      </w:r>
      <w:r>
        <w:rPr>
          <w:color w:val="000000"/>
        </w:rPr>
        <w:t xml:space="preserve"> </w:t>
      </w:r>
      <w:r>
        <w:rPr>
          <w:rFonts w:ascii="Times New Roman;sans-serif" w:hAnsi="Times New Roman;sans-serif"/>
          <w:b w:val="false"/>
          <w:color w:val="000000"/>
          <w:sz w:val="24"/>
        </w:rPr>
        <w:t>means the Employee Retirement Income Security Act of 1974, as amended.</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Investment Fund</w:t>
      </w:r>
      <w:r>
        <w:rPr>
          <w:color w:val="000000"/>
        </w:rPr>
        <w:t xml:space="preserve"> </w:t>
      </w:r>
      <w:r>
        <w:rPr>
          <w:rFonts w:ascii="Times New Roman;sans-serif" w:hAnsi="Times New Roman;sans-serif"/>
          <w:b w:val="false"/>
          <w:color w:val="000000"/>
          <w:sz w:val="24"/>
        </w:rPr>
        <w:t>means a hypothetical fund that tracks the value of an investment option offered under the RTX Qualified Savings Plan or other such investment option as determined by the Committee. Investment Funds offered under the CDP may be changed from time to time by the Committee and shall be valued in the manner set forth in Section 6.2. Available investments are described at https://www.newportgroup.com. The value of Participants’ Accounts shall be adjusted to replicate the performance of the applicable Investment Funds. Amounts credited to any Investment Fund shall not be required to be invested in actual assets corresponding to the Investment Fund.</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IRS Compensation Limit</w:t>
      </w:r>
      <w:r>
        <w:rPr>
          <w:color w:val="000000"/>
        </w:rPr>
        <w:t xml:space="preserve"> </w:t>
      </w:r>
      <w:r>
        <w:rPr>
          <w:rFonts w:ascii="Times New Roman;sans-serif" w:hAnsi="Times New Roman;sans-serif"/>
          <w:b w:val="false"/>
          <w:color w:val="000000"/>
          <w:sz w:val="24"/>
        </w:rPr>
        <w:t>means the limitation imposed by Section 401(a)(17) of the Code.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IRS Contribution Limit</w:t>
      </w:r>
      <w:r>
        <w:rPr>
          <w:color w:val="000000"/>
        </w:rPr>
        <w:t xml:space="preserve"> </w:t>
      </w:r>
      <w:r>
        <w:rPr>
          <w:rFonts w:ascii="Times New Roman;sans-serif" w:hAnsi="Times New Roman;sans-serif"/>
          <w:b w:val="false"/>
          <w:color w:val="000000"/>
          <w:sz w:val="24"/>
        </w:rPr>
        <w:t>means the limitation imposed by Section 415(c) of the Code.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 xml:space="preserve">Maximum Deferral Period </w:t>
      </w:r>
      <w:r>
        <w:rPr>
          <w:rFonts w:ascii="Times New Roman;sans-serif" w:hAnsi="Times New Roman;sans-serif"/>
          <w:b w:val="false"/>
          <w:color w:val="000000"/>
          <w:sz w:val="24"/>
        </w:rPr>
        <w:t>means, with regard to a Specified Year Account, a period of fifteen (15) consecutive calendar years (or such other number of calendar years as is specified by the Committee from time to time) commencing with, and including, the Account Establishment Year. By way of illustration, for a Specified Year Account with an Account Establishment Year of 2023, the Maximum Deferral Period is calendar years 2023 through 2037, with distribution commencing in April of the Specific Deferral Year of 2038.</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 xml:space="preserve">Minimum Deferral Period </w:t>
      </w:r>
      <w:r>
        <w:rPr>
          <w:rFonts w:ascii="Times New Roman;sans-serif" w:hAnsi="Times New Roman;sans-serif"/>
          <w:b w:val="false"/>
          <w:color w:val="000000"/>
          <w:sz w:val="24"/>
        </w:rPr>
        <w:t>means, with regard to a Specified Year Account, a period of three (3) consecutive calendar years (or such other number of calendar years as is specified by the Committee from time to time) commencing with, and including, the Account Establishment Year. By way of illustration, for a Specified Year Account with an Account Establishment Year of 2023, the Minimum Deferral Period is calendar years 2023 through 2025, with distribution commencing in April of the Specific Deferral Year of 2026.</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Participant</w:t>
      </w:r>
      <w:r>
        <w:rPr>
          <w:color w:val="000000"/>
        </w:rPr>
        <w:t xml:space="preserve"> </w:t>
      </w:r>
      <w:r>
        <w:rPr>
          <w:rFonts w:ascii="Times New Roman;sans-serif" w:hAnsi="Times New Roman;sans-serif"/>
          <w:b w:val="false"/>
          <w:color w:val="000000"/>
          <w:sz w:val="24"/>
        </w:rPr>
        <w:t>means an Employee who meets the criteria detailed in Article III. A Participant who previously elected to defer Eligible Earnings under the Plan, and/or who received an allocation of benefits under the Plan, but who ceases to meet the criteria detailed in Article III, shall not be eligible to continue to elect to defer under Article IV, and/or to receive contributions under Article V, but shall remain a Participant under the Plan with respect to his or her Plan Account until it is distributed or forfeited in accordance with the terms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Plan or CDP</w:t>
      </w:r>
      <w:r>
        <w:rPr>
          <w:color w:val="000000"/>
        </w:rPr>
        <w:t xml:space="preserve"> </w:t>
      </w:r>
      <w:r>
        <w:rPr>
          <w:rFonts w:ascii="Times New Roman;sans-serif" w:hAnsi="Times New Roman;sans-serif"/>
          <w:b w:val="false"/>
          <w:color w:val="000000"/>
          <w:sz w:val="24"/>
        </w:rPr>
        <w:t>means the RTX Corporation Compensation Deferral Plan, as amended from time to time.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Plan Account</w:t>
      </w:r>
      <w:r>
        <w:rPr>
          <w:color w:val="000000"/>
        </w:rPr>
        <w:t xml:space="preserve"> </w:t>
      </w:r>
      <w:r>
        <w:rPr>
          <w:rFonts w:ascii="Times New Roman;sans-serif" w:hAnsi="Times New Roman;sans-serif"/>
          <w:b w:val="false"/>
          <w:color w:val="000000"/>
          <w:sz w:val="24"/>
        </w:rPr>
        <w:t>means, for each Participant, the aggregate value of all of such Participant’s Specified Year Accounts and such Participant’s Separation from Service Account.</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Plan Year</w:t>
      </w:r>
      <w:r>
        <w:rPr>
          <w:color w:val="000000"/>
        </w:rPr>
        <w:t xml:space="preserve"> </w:t>
      </w:r>
      <w:r>
        <w:rPr>
          <w:rFonts w:ascii="Times New Roman;sans-serif" w:hAnsi="Times New Roman;sans-serif"/>
          <w:b w:val="false"/>
          <w:color w:val="000000"/>
          <w:sz w:val="24"/>
        </w:rPr>
        <w:t>means the calendar year.</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RTX Company</w:t>
      </w:r>
      <w:r>
        <w:rPr>
          <w:color w:val="000000"/>
        </w:rPr>
        <w:t xml:space="preserve"> </w:t>
      </w:r>
      <w:r>
        <w:rPr>
          <w:rFonts w:ascii="Times New Roman;sans-serif" w:hAnsi="Times New Roman;sans-serif"/>
          <w:b w:val="false"/>
          <w:color w:val="000000"/>
          <w:sz w:val="24"/>
        </w:rPr>
        <w:t>means the Corporation, or any entity controlled by or under common control with the Corporation within the meaning of Section 414(b) or (c) of the Code (but substituting “at least 20 percent” for “at least 80 percent” as the control threshold used in applying Sections 414(b) and (c)).</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RTX Qualified Savings Plan</w:t>
      </w:r>
      <w:r>
        <w:rPr>
          <w:color w:val="000000"/>
        </w:rPr>
        <w:t xml:space="preserve"> </w:t>
      </w:r>
      <w:r>
        <w:rPr>
          <w:rFonts w:ascii="Times New Roman;sans-serif" w:hAnsi="Times New Roman;sans-serif"/>
          <w:b w:val="false"/>
          <w:color w:val="000000"/>
          <w:sz w:val="24"/>
        </w:rPr>
        <w:t>means the RTX Corporation Savings Plan, as amended from time to time.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Separation from Service</w:t>
      </w:r>
      <w:r>
        <w:rPr>
          <w:color w:val="000000"/>
        </w:rPr>
        <w:t xml:space="preserve"> </w:t>
      </w:r>
      <w:r>
        <w:rPr>
          <w:rFonts w:ascii="Times New Roman;sans-serif" w:hAnsi="Times New Roman;sans-serif"/>
          <w:b w:val="false"/>
          <w:color w:val="000000"/>
          <w:sz w:val="24"/>
        </w:rPr>
        <w:t>means a Participant’s termination of employment with all RTX Companies, other than by reason of death. A Separation from Service will be deemed to occur where the Participant and the RTX Company that employs the Participant reasonably anticipate that the bona fide level of services the Participant will perform (whether as an employee or as an independent contractor) for RTX Companies will be permanently reduced to a level that is less than thirty-seven and a half percent (37.5%) of the average level of bona fide services the Participant performed during the immediately preceding thirty-six (36) months (or the entire period the Participant has provided services if the Participant has been providing services to RTX Companies for less than thirty-six (36) months). A Participant shall not be considered to have had a Separation from Service as a result of a transfer from one RTX Company to another RTX Company.</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Separation from Service Account</w:t>
      </w:r>
      <w:r>
        <w:rPr>
          <w:color w:val="000000"/>
        </w:rPr>
        <w:t xml:space="preserve"> </w:t>
      </w:r>
      <w:r>
        <w:rPr>
          <w:rFonts w:ascii="Times New Roman;sans-serif" w:hAnsi="Times New Roman;sans-serif"/>
          <w:b w:val="false"/>
          <w:color w:val="000000"/>
          <w:sz w:val="24"/>
        </w:rPr>
        <w:t>means a Plan Account maintained on behalf of the Participant, for the purpose of crediting Elective Compensation Deferrals and Company Contributions that is targeted for distribution following the Participant’s Separation from Service. The Committee may establish categories of Separation from Service Accounts to reflect different sources of deferrals.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Specified Year Account</w:t>
      </w:r>
      <w:r>
        <w:rPr>
          <w:color w:val="000000"/>
        </w:rPr>
        <w:t xml:space="preserve"> </w:t>
      </w:r>
      <w:r>
        <w:rPr>
          <w:rFonts w:ascii="Times New Roman;sans-serif" w:hAnsi="Times New Roman;sans-serif"/>
          <w:b w:val="false"/>
          <w:color w:val="000000"/>
          <w:sz w:val="24"/>
        </w:rPr>
        <w:t xml:space="preserve">means a Plan Account maintained on behalf of the Participant for the purpose of crediting Elective Compensation Deferrals with a targeted distribution date in April of the calendar year specified by the Participant. A Participant shall be allowed a maximum of five (5) active Specified Year Accounts under the Plan at one time and when any Specified Year Account is fully paid, it shall no longer be considered an active Specified Year Account.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Specific Deferral Year</w:t>
      </w:r>
      <w:r>
        <w:rPr>
          <w:color w:val="000000"/>
        </w:rPr>
        <w:t xml:space="preserve"> </w:t>
      </w:r>
      <w:r>
        <w:rPr>
          <w:rFonts w:ascii="Times New Roman;sans-serif" w:hAnsi="Times New Roman;sans-serif"/>
          <w:b w:val="false"/>
          <w:color w:val="000000"/>
          <w:sz w:val="24"/>
        </w:rPr>
        <w:t>means, with respect to a Specified Year Account, a specified calendar year in which an entire lump sum payment will be distributed, or installment payments will begin to be distributed to the Participant. The Specific Deferral Year shall be no earlier than the calendar year immediately following the Minimum Deferral Period and no later than the calendar year immediately following the Maximum Deferral Period.</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i/>
          <w:color w:val="000000"/>
          <w:sz w:val="24"/>
        </w:rPr>
        <w:t>Specified Employee</w:t>
      </w:r>
      <w:r>
        <w:rPr>
          <w:color w:val="000000"/>
        </w:rPr>
        <w:t xml:space="preserve"> </w:t>
      </w:r>
      <w:r>
        <w:rPr>
          <w:rFonts w:ascii="Times New Roman;sans-serif" w:hAnsi="Times New Roman;sans-serif"/>
          <w:b w:val="false"/>
          <w:color w:val="000000"/>
          <w:sz w:val="24"/>
        </w:rPr>
        <w:t xml:space="preserve">means each of the fifty (50) highest-paid officers and other Employees of the Corporation and its affiliates (determined for this purpose under Treas. Regs. §1.409A-1(g)), effective annually as of April 1st, based on compensation reported in Box 1 of Form W-2 for the immediately preceding calendar year, but including amounts that are excluded from taxable income as a result of elective deferrals to qualified plans and pre-tax contributions. For these purposes, compensation shall not include foreign compensation earned by a nonresident alien that is not effectively connected with the conduct of a trade or business in the United States. </w:t>
      </w:r>
    </w:p>
    <w:p>
      <w:pPr>
        <w:pStyle w:val="TextBody"/>
        <w:bidi w:val="0"/>
        <w:spacing w:lineRule="auto" w:line="240"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III - ELIGIBILITY AND PARTICIPATION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3.1 – Eligibility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Employee (i) who is classified by the Committee as an Eligible Employee at the time of the deferral election will be eligible to defer Eligible Earnings in accordance with the terms of the Plan; and/or (ii) whose Company Retirement Contributions and Company Matching Contributions under the RTX Qualified Savings Plan are limited by the IRS Contribution Limit is eligible to participate in the Plan subject to the terms and conditions of this Article III and/or (iii) whose Company Retirement Contributions under the RTX Qualified Savings Plan are limited by the IRS Compensation Limit is eligible to participate in the Plan subject to the terms and conditions of this Article III. The Committee shall determine which Eligible Employees are permitted to make deferral elections.</w:t>
      </w:r>
    </w:p>
    <w:p>
      <w:pPr>
        <w:pStyle w:val="TextBody"/>
        <w:bidi w:val="0"/>
        <w:spacing w:lineRule="auto" w:line="288"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 xml:space="preserve">Section 3.2 – Participation for Company Retirement Contributions and/or Company Matching Contributions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 Employee who becomes eligible to participate in the Plan with respect to Company Retirement Contributions and/or Company Matching Contributions shall be automatically enrolled in the Plan within thirty (30) days of the Employee’s first eligible pay date. </w:t>
      </w:r>
    </w:p>
    <w:p>
      <w:pPr>
        <w:pStyle w:val="TextBody"/>
        <w:bidi w:val="0"/>
        <w:spacing w:lineRule="auto" w:line="288" w:before="0" w:after="240"/>
        <w:ind w:left="0" w:right="0" w:firstLine="720"/>
        <w:jc w:val="left"/>
        <w:rPr/>
      </w:pPr>
      <w:r>
        <w:rPr>
          <w:rFonts w:ascii="Times New Roman;sans-serif" w:hAnsi="Times New Roman;sans-serif"/>
          <w:b/>
          <w:color w:val="000000"/>
          <w:sz w:val="24"/>
        </w:rPr>
        <w:t>Section 3.3</w:t>
      </w:r>
      <w:r>
        <w:rPr>
          <w:color w:val="000000"/>
        </w:rPr>
        <w:t xml:space="preserve"> – </w:t>
      </w:r>
      <w:r>
        <w:rPr>
          <w:rFonts w:ascii="Times New Roman;sans-serif" w:hAnsi="Times New Roman;sans-serif"/>
          <w:b/>
          <w:color w:val="000000"/>
          <w:sz w:val="24"/>
        </w:rPr>
        <w:t>Participation for Elective Compensation Deferrals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 Eligible Employee may elect to participate in the Plan with respect to Elective Compensation Deferrals for any calendar year for which the Committee offers the Eligible Employee the opportunity to make such deferrals by timely completing and submitting an Election Form to the Committee, in accordance with Section 4.1. Participation in the Plan with respect to Elective Compensation Deferrals is entirely voluntary.</w:t>
      </w:r>
    </w:p>
    <w:p>
      <w:pPr>
        <w:pStyle w:val="TextBody"/>
        <w:bidi w:val="0"/>
        <w:spacing w:lineRule="auto" w:line="268"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IV - PARTICIPANT ELECTIONS AND DESIGNATIONS</w:t>
      </w:r>
    </w:p>
    <w:p>
      <w:pPr>
        <w:pStyle w:val="TextBody"/>
        <w:bidi w:val="0"/>
        <w:spacing w:before="0" w:after="0"/>
        <w:ind w:left="0" w:right="0" w:firstLine="36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4.1 – Elective Compensation Deferral</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Election. </w:t>
      </w:r>
      <w:r>
        <w:rPr>
          <w:rFonts w:ascii="Times New Roman;sans-serif" w:hAnsi="Times New Roman;sans-serif"/>
          <w:b w:val="false"/>
          <w:color w:val="000000"/>
          <w:sz w:val="24"/>
        </w:rPr>
        <w:t>An Eligible Employee may, on or before the election deadline established by the Committee, make an Elective Compensation Deferral in accordance with this paragraph (a) on the Election Form provided by the Committee for the immediately following calendar year,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(i)</w:t>
      </w:r>
      <w:r>
        <w:rPr>
          <w:rFonts w:ascii="Times New Roman;sans-serif" w:hAnsi="Times New Roman;sans-serif"/>
          <w:b/>
          <w:color w:val="000000"/>
          <w:sz w:val="24"/>
        </w:rPr>
        <w:t xml:space="preserve">Direct Deferral. </w:t>
      </w:r>
      <w:r>
        <w:rPr>
          <w:rFonts w:ascii="Times New Roman;sans-serif" w:hAnsi="Times New Roman;sans-serif"/>
          <w:b w:val="false"/>
          <w:color w:val="000000"/>
          <w:sz w:val="24"/>
        </w:rPr>
        <w:t>Elect to defer a portion of his or her Eligible Earnings before any deferral under the RTX Qualified Savings Plan; and/or</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(ii)</w:t>
      </w:r>
      <w:r>
        <w:rPr>
          <w:rFonts w:ascii="Times New Roman;sans-serif" w:hAnsi="Times New Roman;sans-serif"/>
          <w:b/>
          <w:color w:val="000000"/>
          <w:sz w:val="24"/>
        </w:rPr>
        <w:t xml:space="preserve">Excess Deferral. </w:t>
      </w:r>
      <w:r>
        <w:rPr>
          <w:rFonts w:ascii="Times New Roman;sans-serif" w:hAnsi="Times New Roman;sans-serif"/>
          <w:b w:val="false"/>
          <w:color w:val="000000"/>
          <w:sz w:val="24"/>
        </w:rPr>
        <w:t>Elect to defer a portion of his or her base salary in excess of the IRS Compensation Limit.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 xml:space="preserve">Election Amount. </w:t>
      </w:r>
      <w:r>
        <w:rPr>
          <w:rFonts w:ascii="Times New Roman;sans-serif" w:hAnsi="Times New Roman;sans-serif"/>
          <w:b w:val="false"/>
          <w:color w:val="000000"/>
          <w:sz w:val="24"/>
        </w:rPr>
        <w:t>An Eligible Employee who makes an Elective Compensation Deferral election as provided under Section 4.1(a), must designate on the Election Form at least one of the following:</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(i)</w:t>
      </w:r>
      <w:r>
        <w:rPr>
          <w:rFonts w:ascii="Times New Roman;sans-serif" w:hAnsi="Times New Roman;sans-serif"/>
          <w:b/>
          <w:color w:val="000000"/>
          <w:sz w:val="24"/>
        </w:rPr>
        <w:t xml:space="preserve">Direct Deferral of Base Salary. </w:t>
      </w:r>
      <w:r>
        <w:rPr>
          <w:rFonts w:ascii="Times New Roman;sans-serif" w:hAnsi="Times New Roman;sans-serif"/>
          <w:b w:val="false"/>
          <w:color w:val="000000"/>
          <w:sz w:val="24"/>
        </w:rPr>
        <w:t>The percentage of base salary to be deferred in a whole percentage between one (1) and fifty (50) percent;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(ii)</w:t>
      </w:r>
      <w:r>
        <w:rPr>
          <w:rFonts w:ascii="Times New Roman;sans-serif" w:hAnsi="Times New Roman;sans-serif"/>
          <w:b/>
          <w:color w:val="000000"/>
          <w:sz w:val="24"/>
        </w:rPr>
        <w:t xml:space="preserve">Excess Deferral of Base Salary. </w:t>
      </w:r>
      <w:r>
        <w:rPr>
          <w:rFonts w:ascii="Times New Roman;sans-serif" w:hAnsi="Times New Roman;sans-serif"/>
          <w:b w:val="false"/>
          <w:color w:val="000000"/>
          <w:sz w:val="24"/>
        </w:rPr>
        <w:t xml:space="preserve">The percentage of base salary in excess of the IRS Compensation Limit to be deferred in a whole percentage between one (1) and fifty (50) percent; and/or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(iii)</w:t>
      </w:r>
      <w:r>
        <w:rPr>
          <w:rFonts w:ascii="Times New Roman;sans-serif" w:hAnsi="Times New Roman;sans-serif"/>
          <w:b/>
          <w:color w:val="000000"/>
          <w:sz w:val="24"/>
        </w:rPr>
        <w:t xml:space="preserve">Direct Deferral of Annual Incentive Award. </w:t>
      </w:r>
      <w:r>
        <w:rPr>
          <w:rFonts w:ascii="Times New Roman;sans-serif" w:hAnsi="Times New Roman;sans-serif"/>
          <w:b w:val="false"/>
          <w:color w:val="000000"/>
          <w:sz w:val="24"/>
        </w:rPr>
        <w:t>The percentage of any Annual Incentive Award to be deferred in a whole percentage between one (1) and eighty (80) percent.</w:t>
      </w:r>
      <w:r>
        <w:rPr>
          <w:color w:val="000000"/>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(iv)</w:t>
      </w:r>
      <w:r>
        <w:rPr>
          <w:rFonts w:ascii="Times New Roman;sans-serif" w:hAnsi="Times New Roman;sans-serif"/>
          <w:b/>
          <w:color w:val="000000"/>
          <w:sz w:val="24"/>
        </w:rPr>
        <w:t xml:space="preserve">Base Salary Limitation. </w:t>
      </w:r>
      <w:r>
        <w:rPr>
          <w:rFonts w:ascii="Times New Roman;sans-serif" w:hAnsi="Times New Roman;sans-serif"/>
          <w:b w:val="false"/>
          <w:color w:val="000000"/>
          <w:sz w:val="24"/>
        </w:rPr>
        <w:t>The maximum combined percentage of base salary that an Eligible Employee may elect to defer for any calendar year under both paragraphs (i) and (ii) of Section 4.1(b) shall not exceed fifty (50) percent.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 xml:space="preserve">Election Date. </w:t>
      </w:r>
      <w:r>
        <w:rPr>
          <w:rFonts w:ascii="Times New Roman;sans-serif" w:hAnsi="Times New Roman;sans-serif"/>
          <w:b w:val="false"/>
          <w:color w:val="000000"/>
          <w:sz w:val="24"/>
        </w:rPr>
        <w:t>For an election to defer base salary, an Election Form must be completed and submitted to the Committee no later than the December 31 immediately preceding the calendar year to which the election applies, or such earlier date as the Committee may specify. For an election to defer an Annual Incentive Award with respect to services to be performed in the current calendar year and otherwise payable in the immediately following calendar year, an Election Form must be completed and submitted to the Committee no later than the June 30 of the current calendar year, or such earlier date as the Committee may specify. A new Election Form must be completed each year to defer either base salary and/or an Annual Incentive Award.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provided below in Section 4.6 (Change in Distribution Election), the payment choices reflected on the Election Form shall be irrevocable on the election deadline specified by the Committee. If an Eligible Employee or Participant fails to submit a properly completed Election Form by the election deadline, the Eligible Employee or Participant will be ineligible to make an Elective Compensation Deferral.</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Deferral Allocation.</w:t>
      </w:r>
      <w:r>
        <w:rPr>
          <w:color w:val="000000"/>
        </w:rPr>
        <w:t xml:space="preserve"> </w:t>
      </w:r>
      <w:r>
        <w:rPr>
          <w:rFonts w:ascii="Times New Roman;sans-serif" w:hAnsi="Times New Roman;sans-serif"/>
          <w:b w:val="false"/>
          <w:color w:val="000000"/>
          <w:sz w:val="24"/>
        </w:rPr>
        <w:t xml:space="preserve">An Eligible Employee or Participant shall specify in the Election Form, in whole percentages, how the amounts to be deferred in the immediately following calendar year are to be allocated among his or her Separation from Service Account and/or one or more Specified Year Accounts, including among any existing active Specified Year Accounts. A Participant may allocate to an existing active Specified Year Account so long as the Specified Deferral Year for such Specified Year Account is no earlier than the second calendar year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calendar year in which such compensation is otherwise payable. By way of illustration, a Participant may use a Specified Year Account with a Specified Deferral Year of 2027 to defer compensation otherwise payable in 2025 but may not use such Specified Year Account with respect to compensation otherwise payable in 2026.  To the extent that the Eligible Employee or Participant fails to make an effective allocation among the available accounts, the deferral shall be allocated entirely to her or her Separation from Service Account.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color w:val="000000"/>
          <w:sz w:val="24"/>
        </w:rPr>
        <w:t xml:space="preserve">Deferral Period. </w:t>
      </w:r>
      <w:r>
        <w:rPr>
          <w:rFonts w:ascii="Times New Roman;sans-serif" w:hAnsi="Times New Roman;sans-serif"/>
          <w:b w:val="false"/>
          <w:color w:val="000000"/>
          <w:sz w:val="24"/>
        </w:rPr>
        <w:t xml:space="preserve">For each Specified Year Account, an Eligible Employee or Participant may elect a Specified Deferral Year that is no earlier than the calendar year immediately following the Minimum Deferral Period and no later than the calendar year immediately following the Maximum Deferral Period. Failure to specify a Specific Deferral Year for a Specified Year Account shall result in a deferral for the Minimum Deferral Period with a Specific Deferral Year that is the calendar year immediately following the Minimum Deferral Period. For the Separation from Service Account, the Deferral Period will end on the date of Participant’s Separation from Service. </w:t>
      </w:r>
    </w:p>
    <w:p>
      <w:pPr>
        <w:pStyle w:val="TextBody"/>
        <w:bidi w:val="0"/>
        <w:spacing w:lineRule="auto" w:line="288"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4.2 – Distribution Election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Separation from Service Account. </w:t>
      </w:r>
      <w:r>
        <w:rPr>
          <w:rFonts w:ascii="Times New Roman;sans-serif" w:hAnsi="Times New Roman;sans-serif"/>
          <w:b w:val="false"/>
          <w:color w:val="000000"/>
          <w:sz w:val="24"/>
        </w:rPr>
        <w:t xml:space="preserve">At the first to occur of (i) the first Elective Compensation Deferral under Section 4.1 to the Participant’s Separation from Service Account, or (ii) within 30 days of notification of participation for Company Retirement Contributions and/or Company Matching Contribution under Section 3.2, respectively, the Participant must, on or before the election deadline established by the Committee, specify in the Election Form a distribution election to have the Participant’s Separation from Service Account distributed in a lump sum or in two (2) to fifteen (15) annual installments.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 xml:space="preserve">Specified Year Accounts. </w:t>
      </w:r>
      <w:r>
        <w:rPr>
          <w:rFonts w:ascii="Times New Roman;sans-serif" w:hAnsi="Times New Roman;sans-serif"/>
          <w:b w:val="false"/>
          <w:color w:val="000000"/>
          <w:sz w:val="24"/>
        </w:rPr>
        <w:t xml:space="preserve">At the time the Participant makes an Elective Compensation Deferral to a Specified Year Account under Section 4.1, the Participant must, on or before the election deadline established by the Committee, specify in the Election Form a distribution election to have the Participant’s Specified Year Account distributed in a lump sum or in two (2) to fifteen (15) annual installments.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 xml:space="preserve">Default Form of Distribution. </w:t>
      </w:r>
      <w:r>
        <w:rPr>
          <w:rFonts w:ascii="Times New Roman;sans-serif" w:hAnsi="Times New Roman;sans-serif"/>
          <w:b w:val="false"/>
          <w:color w:val="000000"/>
          <w:sz w:val="24"/>
        </w:rPr>
        <w:t xml:space="preserve">To the extent no distribution election is made with respect to a Participant’s Plan Account as provided in paragraphs (a) or (b) of this Section 4.2, the default form of distribution will be ten (10) annual installments. Except as provided below in Section 4.6 (Change in Distribution Election), the choices reflected on the Participant’s Election Form shall be irrevocable on the election deadline.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4.3 Timing of Elective Contributions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Allocation of Elective Contribution Deferrals by the Corporation to a Participant’s Separation from Service Account or any Specified Year Account, as applicable, shall be made no less frequently than annually with respect to each Plan Year.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4.4 – Vesting</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Participant shall be one hundred (100) percent vested in his or her Elective Compensation Deferrals into the Plan and any associated earnings.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4.5 – Investment Fund Allocations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Elective Contribution Deferrals credited to a Participants Separation from Service Account or any Specified Year Accounts, as applicable, shall be allocated to the Default Investment Option, unless the Participant has made alternative investment elections. Participants may change the asset allocation of their existing Separation from Service Account or Specified Year Accounts, or the Investment Funds to which new contributions are allocated, as permitted by the Committee.</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4.6 – Change in Distribution Election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Participant may make an irrevocable election to change the time or form of distribution, either by changing the number of installments (including changing to or from a lump sum), the commencement date, or both, for his or her Separation from Service Account or any of his or her Specified Year Accounts. A change to the time or form of distribution must meet all of the following requirements: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new election must be made at least twelve (12) months prior to the date on which distributions will commence under the current election (and the new election shall be ineffective if the Participant incurs a Separation from Service within twelve (12) months after the date of the new election);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new election shall not take effect until at least twelve (12) months after the date when the new election is submitted in a manner acceptable to the Committee; and</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new distribution commencement date must be at least five (5) years later than the date on which distributions would commence under the current election.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 maximum of three change elections shall be allowed under the Plan.</w:t>
      </w:r>
    </w:p>
    <w:p>
      <w:pPr>
        <w:pStyle w:val="TextBody"/>
        <w:bidi w:val="0"/>
        <w:spacing w:lineRule="auto" w:line="240"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V - COMPANY CONTRIBUTIONS</w:t>
      </w:r>
    </w:p>
    <w:p>
      <w:pPr>
        <w:pStyle w:val="TextBody"/>
        <w:bidi w:val="0"/>
        <w:spacing w:before="0" w:after="0"/>
        <w:ind w:left="0" w:right="0" w:firstLine="36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5.1 – Company Retirement Contributions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Eligibility. </w:t>
      </w:r>
      <w:r>
        <w:rPr>
          <w:rFonts w:ascii="Times New Roman;sans-serif" w:hAnsi="Times New Roman;sans-serif"/>
          <w:b w:val="false"/>
          <w:color w:val="000000"/>
          <w:sz w:val="24"/>
        </w:rPr>
        <w:t xml:space="preserve">Each Eligible Employee or Participant who is eligible for a Company Retirement Contribution under the terms of the RTX Qualified Savings Plan for a Plan Year shall be eligible for a Company Retirement Contribution under this Plan commencing the next pay period following the pay period in which the first to occur of the IRS Contribution Limit or the IRS Compensation Limit is reached under the RTX Qualified Savings Plan for such Plan Year, regardless of whether the Eligible Employee or Participant has elected to contribute to this Plan.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 xml:space="preserve">Allocation. </w:t>
      </w:r>
      <w:r>
        <w:rPr>
          <w:rFonts w:ascii="Times New Roman;sans-serif" w:hAnsi="Times New Roman;sans-serif"/>
          <w:b w:val="false"/>
          <w:color w:val="000000"/>
          <w:sz w:val="24"/>
        </w:rPr>
        <w:t xml:space="preserve">Company Retirement Contributions shall be allocated exclusively to a Participant’s Separation from Service Account.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 xml:space="preserve">Amount. </w:t>
      </w:r>
      <w:r>
        <w:rPr>
          <w:rFonts w:ascii="Times New Roman;sans-serif" w:hAnsi="Times New Roman;sans-serif"/>
          <w:b w:val="false"/>
          <w:color w:val="000000"/>
          <w:sz w:val="24"/>
        </w:rPr>
        <w:t xml:space="preserve">The Company Retirement Contribution made pursuant to this Section 5.1 shall be an amount equal to (1) minus (2) where (1) equals the Company Retirement Contribution that would have been made on behalf of such Participant under the RTX Qualified Savings Plan in the absence of the IRS Contribution Limit or the IRS Compensation Limit for the Plan Year and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(2) equals the actual Company Retirement Contribution made on behalf of such Participant under the RTX Qualified Savings Plan for such Plan Year.</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No Duplication.</w:t>
      </w:r>
      <w:r>
        <w:rPr>
          <w:color w:val="000000"/>
        </w:rPr>
        <w:t xml:space="preserve"> </w:t>
      </w:r>
      <w:r>
        <w:rPr>
          <w:rFonts w:ascii="Times New Roman;sans-serif" w:hAnsi="Times New Roman;sans-serif"/>
          <w:b w:val="false"/>
          <w:color w:val="000000"/>
          <w:sz w:val="24"/>
        </w:rPr>
        <w:t>In no event shall a Participant be eligible for Company Retirement Contributions under this Plan if and to the extent that (i) Company Retirement Contributions are made under the RTX Qualified Savings Plan for the same Eligible Earnings or (ii) Company Retirement Contributions under this Plan would otherwise result in a duplication of benefits (e.g., if amounts are credited under this Plan or any other Company deferred compensation plan with respect to the same Eligible Earnings).</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5.2 – Company Matching Contribution Eligibility to Account for IRS Compensation Limit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Eligibility. </w:t>
      </w:r>
      <w:r>
        <w:rPr>
          <w:rFonts w:ascii="Times New Roman;sans-serif" w:hAnsi="Times New Roman;sans-serif"/>
          <w:b w:val="false"/>
          <w:color w:val="000000"/>
          <w:sz w:val="24"/>
        </w:rPr>
        <w:t xml:space="preserve">Each Participant who is eligible for a Company Matching Contribution under the terms of the RTX Qualified Savings Plan for a Plan Year shall be eligible for a Company Matching Contribution under this Section 5.2 for such Plan Year commencing the next pay period following the pay period in which the IRS Compensation Limit is reached under the RTX Qualified Savings Plan, to the extent that the Participant has made an Elective Compensation Deferral under this Plan for such Plan Year and only with respect to Eligible Earnings in excess of the IRS Compensation Limit.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Allocation.</w:t>
      </w:r>
      <w:r>
        <w:rPr>
          <w:color w:val="000000"/>
        </w:rPr>
        <w:t xml:space="preserve"> </w:t>
      </w:r>
      <w:r>
        <w:rPr>
          <w:rFonts w:ascii="Times New Roman;sans-serif" w:hAnsi="Times New Roman;sans-serif"/>
          <w:b w:val="false"/>
          <w:color w:val="000000"/>
          <w:sz w:val="24"/>
        </w:rPr>
        <w:t>Company Matching Contributions shall be allocated exclusively to a Participant’s Separation from Service Account.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 xml:space="preserve">Amount. </w:t>
      </w:r>
      <w:r>
        <w:rPr>
          <w:rFonts w:ascii="Times New Roman;sans-serif" w:hAnsi="Times New Roman;sans-serif"/>
          <w:b w:val="false"/>
          <w:color w:val="000000"/>
          <w:sz w:val="24"/>
        </w:rPr>
        <w:t>The Company Matching Contribution made pursuant to this Section 5.2 due to the application of the IRS Compensation Limit shall be an amount equal to a percentage of the Participant’s applicable Elective Compensation Deferral (but only taking into account Eligible Earnings in excess of the IRS Compensation Limit), calculated based upon the Company Matching Contribution formula (as in effect from time to time) applicable to the Participant under the RTX Qualified Savings Plan for such Plan Year, which for the avoidance of doubt, shall be based on the percentage of Eligible Earnings in excess of the IRS Compensation Limit that would have been matched under the RTX Qualified Savings Plan without regard to the IRS Compensation Limit.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No Duplication.</w:t>
      </w:r>
      <w:r>
        <w:rPr>
          <w:color w:val="000000"/>
        </w:rPr>
        <w:t xml:space="preserve"> </w:t>
      </w:r>
      <w:r>
        <w:rPr>
          <w:rFonts w:ascii="Times New Roman;sans-serif" w:hAnsi="Times New Roman;sans-serif"/>
          <w:b w:val="false"/>
          <w:color w:val="000000"/>
          <w:sz w:val="24"/>
        </w:rPr>
        <w:t>In no event shall a Participant be eligible for Company Matching Contributions under this Plan if and to the extent that (i) Company Matching Contributions are made under the RTX Qualified Savings Plan for the same Eligible Earnings or (ii) Company Matching Contributions under this Plan would otherwise result in a duplication of benefits (e.g., if amounts are credited under this Plan or any other Company deferred compensation plan with respect to the same Eligible Earnings).</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5.3 – Company Matching Contribution to Account for IRS Contribution Limit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Eligibility. </w:t>
      </w:r>
      <w:r>
        <w:rPr>
          <w:rFonts w:ascii="Times New Roman;sans-serif" w:hAnsi="Times New Roman;sans-serif"/>
          <w:b w:val="false"/>
          <w:color w:val="000000"/>
          <w:sz w:val="24"/>
        </w:rPr>
        <w:t xml:space="preserve">Each Eligible Employee or Participant who is eligible for a Company Matching Contribution under the terms of the RTX Qualified Savings Plan for a Plan Year shall be eligible for a Company Matching Contribution under this Section 5.3 commencing the next pay period following the pay period in which the Eligible Employee or Participant exceeds the IRS Contribution Limitation under the RTX Qualified Savings Plan for such Plan Year before reaching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IRS Compensation Limitation under the RTX Qualified Savings Plan for such Plan Year; provided that the Eligible Employee or Participant has made the maximum elective deferrals to the RTX Qualified Savings Plan permitted under Section 402(g) of the Code or the terms of the RTX Qualified Savings Plan for such Plan Year.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Allocation.</w:t>
      </w:r>
      <w:r>
        <w:rPr>
          <w:color w:val="000000"/>
        </w:rPr>
        <w:t xml:space="preserve"> </w:t>
      </w:r>
      <w:r>
        <w:rPr>
          <w:rFonts w:ascii="Times New Roman;sans-serif" w:hAnsi="Times New Roman;sans-serif"/>
          <w:b w:val="false"/>
          <w:color w:val="000000"/>
          <w:sz w:val="24"/>
        </w:rPr>
        <w:t>Company Matching Contributions shall be allocated exclusively to a Participant’s Separation from Service Account.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Amount.</w:t>
      </w:r>
      <w:r>
        <w:rPr>
          <w:color w:val="000000"/>
        </w:rPr>
        <w:t xml:space="preserve"> </w:t>
      </w:r>
      <w:r>
        <w:rPr>
          <w:rFonts w:ascii="Times New Roman;sans-serif" w:hAnsi="Times New Roman;sans-serif"/>
          <w:b w:val="false"/>
          <w:color w:val="000000"/>
          <w:sz w:val="24"/>
        </w:rPr>
        <w:t xml:space="preserve">The Company Matching Contribution made pursuant to this Section 5.3 due to the application of the IRS Contribution Limit shall be an amount equal to (1) minus (2) where (1) equals the Company Matching Contribution that would have been made on behalf of such Participant under the RTX Qualified Savings Plan in the absence of the IRS Contribution Limit for the Plan Year (but taking into account the IRS Compensation Limit) and (2) equals the actual Company Matching Contribution made on behalf of such Participant under the RTX Qualified Savings Plan for such Plan Year. Such contribution shall be made assuming that the Participant would have continued to contribute at least six percent (6%) of the Participant’s Eligible Earnings (or if the matching formula changes under the RTX Qualified Savings Plan, the minimum amount necessary to receive the maximum match under the RTX Qualified Savings Plan) if the Participant were permitted to do so but for the IRS Contribution Limit.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No Duplication.</w:t>
      </w:r>
      <w:r>
        <w:rPr>
          <w:color w:val="000000"/>
        </w:rPr>
        <w:t xml:space="preserve"> </w:t>
      </w:r>
      <w:r>
        <w:rPr>
          <w:rFonts w:ascii="Times New Roman;sans-serif" w:hAnsi="Times New Roman;sans-serif"/>
          <w:b w:val="false"/>
          <w:color w:val="000000"/>
          <w:sz w:val="24"/>
        </w:rPr>
        <w:t>In no event shall a Participant be eligible for Company Matching Contributions under this Plan if and to the extent that (i) Company Matching Contributions are made under the RTX Qualified Savings Plan for the same Eligible Earnings or (ii) the Company Matching Contributions under this Plan would otherwise result in a duplication of benefits (e.g., if amounts are credited under this Plan or any other Company deferred compensation plan with respect to the same Eligible Earnings).</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5.4 – Company Retirement Contributions and Company Matching Contributions consisting of Benefit Reduction Contributions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Eligibility.</w:t>
      </w:r>
      <w:r>
        <w:rPr>
          <w:color w:val="000000"/>
        </w:rPr>
        <w:t xml:space="preserve"> </w:t>
      </w:r>
      <w:r>
        <w:rPr>
          <w:rFonts w:ascii="Times New Roman;sans-serif" w:hAnsi="Times New Roman;sans-serif"/>
          <w:b w:val="false"/>
          <w:color w:val="000000"/>
          <w:sz w:val="24"/>
        </w:rPr>
        <w:t>To the extent that a Participant made Elective Compensation Deferrals for a Plan Year, such Participant shall receive a Benefit Reduction Contribution for such Plan Year.</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Allocation.</w:t>
      </w:r>
      <w:r>
        <w:rPr>
          <w:color w:val="000000"/>
        </w:rPr>
        <w:t xml:space="preserve"> </w:t>
      </w:r>
      <w:r>
        <w:rPr>
          <w:rFonts w:ascii="Times New Roman;sans-serif" w:hAnsi="Times New Roman;sans-serif"/>
          <w:b w:val="false"/>
          <w:color w:val="000000"/>
          <w:sz w:val="24"/>
        </w:rPr>
        <w:t>Benefit Reduction Contributions shall be allocated exclusively to a Participant’s Separation from Service Account.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Amount.</w:t>
      </w:r>
      <w:r>
        <w:rPr>
          <w:color w:val="000000"/>
        </w:rPr>
        <w:t xml:space="preserve"> </w:t>
      </w:r>
      <w:r>
        <w:rPr>
          <w:rFonts w:ascii="Times New Roman;sans-serif" w:hAnsi="Times New Roman;sans-serif"/>
          <w:b w:val="false"/>
          <w:color w:val="000000"/>
          <w:sz w:val="24"/>
        </w:rPr>
        <w:t>The Benefit Reduction Contribution for a Plan Year shall be an amount equal to the reduction in the Company Matching Contribution and/or the Company Retirement Contribution for such Participant for such Plan Year under the RTX Qualified Savings Plan as a result of the reduction of such Participant’s Eligible Earnings under the RTX Qualified Savings Plan due to the Elective Compensation Deferral by the Participant under this Plan for such Plan Year; provided that for purposes of calculating the Benefit Reduction Contributions, the Company Matching Contribution shall be made only with respect to Elective Compensation Deferrals not matched under Section 5.2.</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No Duplication.</w:t>
      </w:r>
      <w:r>
        <w:rPr>
          <w:color w:val="000000"/>
        </w:rPr>
        <w:t xml:space="preserve"> </w:t>
      </w:r>
      <w:r>
        <w:rPr>
          <w:rFonts w:ascii="Times New Roman;sans-serif" w:hAnsi="Times New Roman;sans-serif"/>
          <w:b w:val="false"/>
          <w:color w:val="000000"/>
          <w:sz w:val="24"/>
        </w:rPr>
        <w:t>In no event shall a Participant be eligible for a Benefit Reduction Contribution under this Plan if and to the extent that (i) Company Matching Contributions and Company Retirement Contributions are made under the RTX Qualified Savings Plan for the same Eligible Earnings or (ii) such Benefit Reduction Contribution would otherwise result in a duplication of benefits (e.g., if amounts are credited under this Plan or any other Company deferred compensation plan with respect to the same Eligible Earnings).</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5.5 – Timing of Company Contributions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Allocation of Company Contributions to a Participant’s Separation from Service Account shall be made no less frequently than annually with respect to each Plan Year.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5.6 – Discretionary Contributions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Corporation may in its sole discretion credit additional amounts to a Participant’s Separation from Service Account, may specify vesting requirements applicable to such additional amounts, and need not treat Participants uniformly.</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5.7 – Investment of Contributions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Company Contributions under Sections 5.1, 5.2, 5.3, 5.4, and 5.6 credited to a Participant’s Separation from Service Account will be allocated to the Default Investment Option, unless the Participant has made alternative investment elections. Participants may change the asset allocation of their Separation from Service Account balance, or the Investment Funds to which new contributions are allocated, as permitted by the Committee.</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5.8 – Vesting of Company Contributions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Participant shall be vested in the value of Company Contributions (other than Discretionary Contributions) credited to his or her Plan Account under this Article V, upon the first to occur of the following: (a) completion of two (2) years of “Continuous Service” (as defined in the RTX Qualified Savings Plan); (b) attainment of age sixty-five (65) while employed by an RTX Company; (c) the death or Disability of the Participant while employed by an RTX Company; (d) involuntary not for Cause Separation from Service; or (e) the Participant’s entrance into United States military service before completing two (2) years of “Continuous Service.” For the avoidance of doubt, where a Participant is terminated for Cause, the Participant’s Company Contributions shall forfeit.</w:t>
      </w:r>
    </w:p>
    <w:p>
      <w:pPr>
        <w:pStyle w:val="TextBody"/>
        <w:bidi w:val="0"/>
        <w:spacing w:lineRule="auto" w:line="240"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VI - PLAN ACCOUNTS</w:t>
      </w:r>
    </w:p>
    <w:p>
      <w:pPr>
        <w:pStyle w:val="TextBody"/>
        <w:bidi w:val="0"/>
        <w:spacing w:before="0" w:after="0"/>
        <w:ind w:left="0" w:right="0" w:firstLine="36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6.1 – Accounts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Plan Account will be established for each Participant. Elective Compensation Deferrals and Company Contributions made under the Plan shall be allocated or reallocated among Investment Funds in accordance with the Plan terms and each Participant’s instructions in the manner set forth in Section 4.5 and Section 5.7.</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 xml:space="preserve">Section 6.2 – Valuation of Investment Funds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Elective Compensation Deferrals and Company Contributions allocated to Investment Funds will be converted to the applicable Investment Fund units based on the closing share price of that Investment Fund as of the date the contribution is credited to the applicable Investment Fund. The value of the units of an Investment Fund will fluctuate on each business day based on the performance of the applicable Investment Fund.</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6.3 – Reports to Participants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will make available detailed information to Participants regarding the credited value of Plan Accounts, distribution elections, Beneficiary designations, and Investment Fund allocations. Such information may be provided via electronic media as determined by the Committee. No RTX Company, no director, officer or employee of an RTX Company, and no entity retained by an RTX Company to provide Plan services, shall have any liability to any Participant or Beneficiary for any failure or delay in providing such information, or for the results of any error (including the failure to implement any Investment Fund allocation) disclosed in such information.</w:t>
      </w:r>
    </w:p>
    <w:p>
      <w:pPr>
        <w:pStyle w:val="TextBody"/>
        <w:bidi w:val="0"/>
        <w:spacing w:lineRule="auto" w:line="276" w:before="300" w:after="30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VII - VALUATION &amp; DISTRIBUTION OF PLAN ACCOUNTS</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7.1 – Timing of Plan Distributions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provided in Section 4.6 (Change in Distribution Election), Section 7.4 (Separation from Service of Specified Employees), Section 7.5 (Death), and Section 7.6 (Accelerated Distribution in the Case of an Unforeseeable Emergency), the value of a Participant’s Plan Account will be distributed (or begin to be distributed) to the Participant in (a) April of the calendar year immediately following the calendar year of the Participant’s Separation from Service, with respect to a Separation from Service Account or (b) April of the Specific Deferral Year, with respect to a Specified Year Account.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7.2 – Method of Distribution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provided in Section 7.5 (Death) and Section 7.6 (Accelerated Distribution in the Case of an Unforeseeable Emergency), a Participant’s accounts under a Plan Account will be distributed to the Participant in a series of annual installment distributions, or in a single lump-sum distribution, in accordance with the Participant’s elections on file. For purposes of determining the amount to be distributed, except as otherwise expressly provided in this Plan or as otherwise determined by the Committee from time to time, the value of the Participant’s Plan Account shall be determined as of the 25th day of the month preceding the month in which the applicable distribution occurs.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Annual installment distributions shall be payable to the Participant beginning on the distribution commencement date and continuing as of each anniversary of the distribution commencement date thereafter until all installments have been distributed. To determine the amount of each installment, the value of the Participant’s Plan Account will be multiplied by a fraction, the numerator of which is one and the denominator of which is the remaining number of scheduled installments. By way of illustration, if a Participant elects ten (10) annual installments,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first installment will be determined using one tenth (1/10th) of the Plan Account balance as of the valuation date, and the second distribution will be determined using one ninth (1/9th) of the Plan Account balance as of the valuation date and so on, until all installments have been distributed.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7.3 – Form of Distribution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Plan Account distributions will be made in cash.</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7.4 – Separation from Service of Specified Employees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Distributions to a Participant, who is a Specified Employee at the time of Separation from Service, on account of such Separation from Service, will not be made or commence earlier than the first day of the seventh month following the date of Separation from Service. A Plan Account shall continue to accrue hypothetical investment gains and losses as provided in Article VI. For purposes of determining the amount to be distributed, the value of the Participant’s Plan Account will be determined as of the 25th day of the month (or as otherwise determined by the Committee from time to time) preceding the month in which the distribution occurs. Distribution shall be made in the first pay cycle on or after the first day of the seventh month following the Separation from Service. In the case of a distribution in installments, the date of subsequent installments shall not be affected by the delay of any installment hereunder.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7.5 – Death</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Death Benefit.</w:t>
      </w:r>
      <w:r>
        <w:rPr>
          <w:color w:val="000000"/>
        </w:rPr>
        <w:t xml:space="preserve"> </w:t>
      </w:r>
      <w:r>
        <w:rPr>
          <w:rFonts w:ascii="Times New Roman;sans-serif" w:hAnsi="Times New Roman;sans-serif"/>
          <w:b w:val="false"/>
          <w:color w:val="000000"/>
          <w:sz w:val="24"/>
        </w:rPr>
        <w:t xml:space="preserve">In the event of the death of a Participant before the Participant’s Plan Account has been fully distributed, the full remaining value of the Participant’s Plan Account will be distributed to the designated Beneficiary (if applicable), or the Participant’s estate, in a lump sum on the first business day of the third month following the Participant’s death. Upon notification of death, pending distribution, the value of the Participant’s Plan Account will be allocated to the Default Investment Option. </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Beneficiary.</w:t>
      </w:r>
      <w:r>
        <w:rPr>
          <w:color w:val="000000"/>
        </w:rPr>
        <w:t xml:space="preserve"> </w:t>
      </w:r>
      <w:r>
        <w:rPr>
          <w:rFonts w:ascii="Times New Roman;sans-serif" w:hAnsi="Times New Roman;sans-serif"/>
          <w:b w:val="false"/>
          <w:color w:val="000000"/>
          <w:sz w:val="24"/>
        </w:rPr>
        <w:t xml:space="preserve">Each Participant shall designate a Beneficiary for his or her Plan Account on an electronic or written form provided by the Committee. A Participant may change such designation on an electronic or written form acceptable to the Committee and any change will be effective on the date received by the Committee. Designations received after the date of the Participant’s death shall not be effective. If a Beneficiary designation is not filed with the Committee before the Participant’s death, or if the Beneficiary (and any contingent Beneficiary) does not survive the Participant, the value of the Participant’s Plan Account shall be paid to the Participant’s estate.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7.5. </w:t>
      </w:r>
    </w:p>
    <w:p>
      <w:pPr>
        <w:pStyle w:val="TextBody"/>
        <w:bidi w:val="0"/>
        <w:spacing w:before="0" w:after="0"/>
        <w:ind w:left="0" w:right="0" w:firstLine="1080"/>
        <w:jc w:val="left"/>
        <w:rPr/>
      </w:pPr>
      <w:r>
        <w:rPr/>
      </w:r>
    </w:p>
    <w:p>
      <w:pPr>
        <w:pStyle w:val="TextBody"/>
        <w:bidi w:val="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7.6 – Accelerated Distribution in the Case of an Unforeseeable Emergency</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Committee may, upon a Participant’s written application, agree to an accelerated distribution of some or all of the value of a Participant’s Plan Account upon the occurrence of an Unforeseeable Emergency. An “Unforeseeable Emergency” is a severe financial hardship to the Participant resulting from (i) an illness or accident of the Participant, the Participant’s spouse, the Participant’s Beneficiary, or the Participant’s dependent (as defined in IRC Section 152, without regard to Section 152(b)(1), (b)(2), and (d)(1)(B)); (ii) loss of the Participant’s property due to casualty; or (iii) other similar extraordinary and unforeseeable circumstances arising as a result of events beyond the control of the Participant. Whether a Participant is faced with an Unforeseeable Emergency permitting a distribution to be made under the Plan is to be determined by the Committee based on the relevant facts and circumstances of each case. Acceleration will not be granted if (1) the Committee determines that the facts and circumstances do not meet the Plan requirements for an Unforeseeable Emergency, or (2) the emergency is or may be relieved through reimbursement or compensation from insurance or otherwise, or by liquidation of the Participant’s assets (to the extent the liquidation of such assets would not cause severe financial hardship).</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Distributions on account of an Unforeseeable Emergency shall be limited to the amount reasonably necessary to satisfy the emergency need, as supported by documentation submitted to the Committee. Such amount may include amounts necessary to pay any federal, state, local, or foreign income taxes or penalties reasonably anticipated to result from the distribution.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Committee will determine from which Investment Funds hardship distributions will be made. Any Participant who is an officer or director of the Corporation within the meaning of Section 16 of the Securities Exchange Act of 1934 is not eligible for distributions on account of an Unforeseeable Emergency, pursuant to this Section 7.6.</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7.7 – Disability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of the Disability of a Participant that qualifies as a “Separation from Service” for purposes of Section 409A, the Participant’s Plan Account will be distributed in accordance with the Participant’s elections on file. The Participant’s Specified Year Accounts that are designated to be deferred to a Specific Deferral Year will be maintained and distributed in accordance with Section 7.1. The Participant’s Separation from Service Account will be distributed as if such Participant had a Separation from Service on the date of the Participant’s Disability.</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7.8 – Administrative Adjustments in Distribution Date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distribution is treated as being made on the date when it is due under the Plan if the distribution is made on the due date specified by the Plan, or on a later date that is either (a) in the same calendar year (for a distribution whose specified due date is on or before September 30), or (b) by the fifteenth (15th) day of the third (3rd) calendar month following the date specified by the Plan (for a distribution whose specified due date is on or after October 1). A distribution is also treated as being made on the date when it is due under the Plan if the distribution is made not more than thirty (30) days before the due date specified by the Plan. In no event will a distribution to a Specified Employee due to a “Separation from Service” be made or commence earlier than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business day of the seventh (7th) month following the date of Separation from Service. A Participant may not, directly or indirectly, designate the taxable year of a distribution made in reliance on the administrative rules in this Section 7.8.</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7.9 – Minimum Balance Payout Provision</w:t>
      </w:r>
    </w:p>
    <w:p>
      <w:pPr>
        <w:pStyle w:val="TextBody"/>
        <w:bidi w:val="0"/>
        <w:spacing w:lineRule="auto" w:line="288"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a Participant’s aggregate Plan Account balance under this Plan (and under all other nonqualified deferred compensation plans of the Corporation and its affiliates (determined for this purpose under Treas. Regs. §1.409A-1(g))that are required to be aggregated with this Plan under Section 409A), , is less than the amount set as the limit on elective deferrals under Section 402(g)(1)(B) of the Code in effect for the year in which the Participant’s Separation from Service occurs, the Committee retains discretion to distribute the Participant’s entire Plan Account (and the Participant’s entire interest in any other nonqualified deferred compensation plan that is required to be aggregated with this Plan) in a lump sum in the month of April following the year of the Participant’s Separation from Service, even if the Participant has elected to receive a different form of distribution. Any exercise of the Committee’s discretion taken pursuant to this Section 7.9 shall be evidenced in writing, no later than the distribution date.</w:t>
      </w:r>
    </w:p>
    <w:p>
      <w:pPr>
        <w:pStyle w:val="TextBody"/>
        <w:bidi w:val="0"/>
        <w:spacing w:lineRule="auto" w:line="264"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VIII - AMENDMENT AND TERMINATION OF PLAN</w: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8.1 – Amendment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may, at any time, amend the Plan in whole or in part, provided that no amendment may directly decrease the value of any Plan Accounts as of the date of such amendment. In the event of any change in law or regulation relating to the Plan or the tax treatment of Plan 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VII. To the extent any rule or procedure adopted by the Committee is inconsistent with a provision of the Plan that is administrative, technical or ministerial in nature, the Plan shall be deemed amended to the extent of the inconsistency.</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8.2 – Plan Suspension and Termination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Committee may, at any time, suspend or terminate the Plan if, in its sole judgment, the continuance of the Plan, the tax, accounting, or other effects thereof, or potential distributions thereunder would not be in the best interest of the Corporation or for any other reason.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of the suspension of the Plan, no additional contributions shall be made under the Plan. All previous contributions shall be distributed in accordance with the otherwise applicable provisions of the Plan and the applicable elections on file.</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the termination of the Plan with respect to all Participants, and the termination of all arrangements sponsored by the Corporation or its affiliates that would be aggregated with the Plan under Section 409A, the Corporation shall have the right, in its sole discretion,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 elections made by the Participant, to pay the Participant’s Plan Account in a lump sum, to the extent permitted under Section 409A. All distributions that may be made pursuant to this Section 8.2(c) shall be made no earlier than the thirteenth (13th) month and no later than the twenty-fourth (24th) month after the termination of the Plan. The Corporation may not accelerate distributions pursuant to this Section 8.2(c) if the termination of the Plan is proximate to a downturn in the Corporation’s financial health within the meaning of Treas. Regs. § 1.409A-3(j)(4)(ix)(C)(1). If the Corporation exercises its discretion to accelerate distributions under this Section 8.2(c), it shall not adopt any new arrangement that would have been aggregated with the Plan under Section 409A within three (3) years following the date of the Plan’s termination. The Committee may also provide for distribution of Plan Accounts following a termination of the Plan under any other circumstances permitted by Section 409A, including without limitation in connection with the occurrence of a change in control event in accordance with Treas. Regs. § 1.409A-3(j)(4)(ix)(B).</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8.3 – No Consent Required</w:t>
      </w:r>
    </w:p>
    <w:p>
      <w:pPr>
        <w:pStyle w:val="TextBody"/>
        <w:bidi w:val="0"/>
        <w:spacing w:lineRule="auto" w:line="288" w:before="0" w:after="36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consent of any Participant, Beneficiary, or other person shall not be required with respect to any amendment, suspension, or termination of the Plan.</w:t>
      </w:r>
    </w:p>
    <w:p>
      <w:pPr>
        <w:pStyle w:val="TextBody"/>
        <w:bidi w:val="0"/>
        <w:spacing w:lineRule="auto" w:line="240" w:before="30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IX - GENERAL PROVISIONS</w:t>
      </w:r>
    </w:p>
    <w:p>
      <w:pPr>
        <w:pStyle w:val="TextBody"/>
        <w:bidi w:val="0"/>
        <w:spacing w:before="0" w:after="0"/>
        <w:ind w:left="0" w:right="0" w:firstLine="36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9.1 – Withholding Taxes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may make any appropriate arrangements to deduct from all deferrals, contributions, vested Plan Accounts and distributions under the Plan any taxes that the Committee reasonably determines to be required by law to be withheld from such credits and distributions.</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9.2 – Unsecured General Creditor</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Corporation’s obligations under the Plan constitute an unfunded and unsecured promise to pay money in the future. Participants’ and Beneficiaries’ rights under the Plan are solely those of a general unsecured creditor of the Corporation. No assets will be required to be placed in trust, set aside or otherwise segregated to fund or offset liabilities in respect of the Plan or Participants’ Plan Accounts. The Corporation may, however, at its sole and exclusive option, elect to place in trust, set aside or otherwise segregate assets to fund or offset liabilities in respect of the Plan or Participants’ Plan accounts. Any such assets would be and must remain general assets of the Corporation subject to the claims of its creditors. Neither the Corporation nor this Plan gives a Participant any beneficial ownership interest in any assets of the Corporation.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9.3 – Nonassignability</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No Participant or Beneficiary or any other person shall have the right to sell, assign, transfer, pledge, or otherwise encumber any interest in the Plan. All Plan Accounts and the rights to all distributions are unassignable and non-transferable. Plan Accounts or payments hereunder, prior to actual distribution, will not be subject to attachment or seizure for the payment of any debts, judgments or other obligations. Plan Accounts or any other Plan benefit will not be transferred by operation of law in the event of a Participant’s or any Beneficiary’s bankruptcy or insolvency.</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To the extent that any Participant, Beneficiary or other person receives an excess or erroneous distribution under the Plan, the amount of such excess or erroneous distribution shall be held in a constructive trust for the benefit of the Corporation and the Plan and shall be repaid by such person upon demand. The Committee may reduce any other benefit payable to such person or may pursue any remedy available at law or equity to recover the amount of such excess or erroneous distribution or the proceeds thereof. Notwithstanding the foregoing, the amount payable to a Participant or Beneficiary may be offset by any amount owed to any RTX Company to the extent permitted by Section 409A.</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Plan shall comply with the terms of any valid domestic relations order submitted to the Committee. Any payment of a Participant’s Plan Account to a party other than the Participant pursuant to the terms of a domestic relations order shall be charged against and reduce the Participant’s Plan Account. Neither the Plan, the Corporation, the Committee, nor any other party shall be liable in any manner to any person, including but not limited to any Participant or Beneficiary, for complying with the terms of a domestic relations order.</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9.4 – No Contract of Employment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Participation in the Plan shall not be construed to constitute a direct or indirect contract of employment between any RTX Company and any Participant. Participants and Beneficiaries will have no rights against any RTX Company resulting from participation in the Plan other than as specifically provided herein. Nothing in the Plan shall be deemed to give a Participant the right to be retained in the service of any RTX Company for any length of time or to interfere with the right of any RTX Company to terminate a Participant’s employment.</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9.5 – Governing Law</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provisions of the Plan will be construed and interpreted according to the laws of the State of Delaware, to the extent not preempted by federal law.</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9.6 – Validity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any provision of the Plan is held to be illegal or invalid for any reason, the remaining provisions of the Plan will be construed and enforced as if such illegal and invalid provision had never been inserted herein.</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9.7 – Notice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notice or filing required or permitted to be given to the Committee under the Plan shall be sufficient if drafted to the attention of the Deferred Compensation Committee, and sent by first-class mail to RTX Corporation, c/o Vice President, Executive Compensation, 4 Farm Springs Road, Farmington, Connecticut 06032.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9.8 – Successors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9.9 – Incompetence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 Beneficiary. Any such distribution from a Participant’s Plan Account shall be a complete discharge of any liability under the Plan with respect to the amount so paid.</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9.10 – Section 409A Compliance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that rights or distributions under this Plan are subject to Section 409A, the Plan shall be construed and administered in compliance with the conditions of Section 409A, and regulations and other guidance issued pursuant to Section 409A for deferral of income taxation. Each payment that constitutes “nonqualified deferred compensation” subject to Section 409A of the Code shall be treated as a separate payment for purposes of Section 409A of the Code. Any distribution election that would not comply with Section 409A shall not be effective for purposes of this Plan. To the extent that a provision of this Plan does not comply with Section 409A, such provision shall be void and without effect. The Corporation does not warrant that the Plan will comply with Section 409A with respect to any Participant or with respect to any distribution. In no event shall any RTX Company; any director, officer, or employee of a RTX Company (other than the Participant); or any member of the Committee be liable for any additional tax, interest, or penalty incurred by a Participant or Beneficiary as a result of the Plan’s failure to satisfy the requirements of Section 409A, or as a result of the Plan’s failure to satisfy any other requirements of applicable tax laws.</w:t>
      </w:r>
    </w:p>
    <w:p>
      <w:pPr>
        <w:pStyle w:val="TextBody"/>
        <w:bidi w:val="0"/>
        <w:spacing w:lineRule="auto" w:line="264" w:before="0" w:after="120"/>
        <w:ind w:left="0" w:right="0" w:firstLine="360"/>
        <w:jc w:val="left"/>
        <w:rPr>
          <w:rFonts w:ascii="Times New Roman;sans-serif" w:hAnsi="Times New Roman;sans-serif"/>
          <w:b/>
          <w:color w:val="000000"/>
          <w:sz w:val="24"/>
          <w:u w:val="single"/>
        </w:rPr>
      </w:pPr>
      <w:r>
        <w:rPr>
          <w:rFonts w:ascii="Times New Roman;sans-serif" w:hAnsi="Times New Roman;sans-serif"/>
          <w:b/>
          <w:color w:val="000000"/>
          <w:sz w:val="24"/>
          <w:u w:val="single"/>
        </w:rPr>
        <w:t>ARTICLE X - ADMINISTRATION AND CLAIMS</w: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10.1 – Plan Administration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shall be solely responsible for the administration and operation of the Plan and shall be the “administrator” of the Plan for purposes of ERISA. The Committee shall have full and exclusive authority and discretion to interpret the provisions of the Plan and to establish such administrative procedures as it deems necessary and appropriate to carry out the purposes of the Plan. All decisions and interpretations of the Committee shall be final and binding on all parties.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person claiming a benefit, requesting an interpretation or ruling under the Plan, or requesting information under the Plan shall present the request in writing to the attention of the Deferred Compensation Committee via email to the RTX Total Rewards mailbox at RTXTotalRewards@rtx.com (preferred) or via postal mail to RTX Corporation, c/o Vice President, Executive Compensation, 4 Farm Springs Road, Farmington, CT 06032. The Committee shall respond in writing as soon as practicable.</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Section 10.2 – Claim Procedures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Participant or Beneficiary who believes that he or she has been denied a benefit to which he or she is entitled under the Plan (referred to in this Section 10.2 as a “Claimant”) may file a written request with the Committee setting forth the claim. The Committee shall consider and resolve the claim as set forth below. In making a claim for benefits, a Participant must fully and finally exhaust the administrative claim and appeal procedures set out in this Section 10.2; failure to do so will cause the denial of benefits to be final and binding and preclude the Participant from filing suit in a court of law with respect to such claim.</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Upon receipt of a claim, the Committee shall advise the Claimant that a response will be forthcoming within ninety (90) days. The Committee may, however, extend the response period for up to an additional ninety (90) days for reasonable cause, and shall notify the Claimant of the reason for the extension and the expected response date. The Committee shall respond to the claim within the specified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If the claim is denied in whole or in part, the Committee shall provide the Claimant with a written decision, using language calculated to be understood by the Claimant, setting forth (i) the specific reason or reasons for such denial; (ii) the specific reference to relevant provisions of this Plan on which such denial is based; (iii) a description of any additional material or information necessary for the Claimant to perfect his or her claim and an explanation why such material or such information is necessary; (iv) appropriate information as to the steps to be taken if the Claimant wishes to submit the claim for review; (v) the time limits for requesting a review of the claim; and (vi) the Claimant’s right to bring an action for benefits under Section 502(a) of ERISA.</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Within sixty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comments in writing for consideration by the Committee. If the Claimant does not request a review of the initial determination within such sixty (60)-day period, the Claimant shall be barred from challenging the determination.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Within sixty (60) days after the Committee receives a request for review, it will review the initial determination. If special circumstances require that the sixty (60)-day time period be extended, the Committee will so notify the Claimant and will render the decision as soon as possible, but no later than one hundred twenty (120) days after receipt of the request for review.</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All decisions on review shall be final and binding with respect to all concerned parties, unless determined to be arbitrary and capricious by a court having jurisdiction. The decision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on review shall set forth, in a manner calculated to be understood by the Claimant, (i) the specific reasons for the decision, including references to the relevant Plan provisions upon which the decision is based; (ii) the Claimant’s right to receive, upon request and free of charge, reasonable access to and copies of all documents, records, and other information, relevant to his or her benefits; and (iii) the Claimant’s right to bring an action for benefits under Section 502(a) of ERISA.</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 Claimant who has exhausted all of the above claim procedures in this Section 10.1 and continues to contest the final determination of the Committee must bring an action for benefits under Section 502(a) of ERISA within one-year of the Committee’s final determination of a denial for benefits under Section 10.1(e). </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CERTAIN REGULATORY MATTERS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is subject to ERISA. However, because the Plan is an unfunded plan maintained by an employer primarily for the purpose of providing deferred compensation for a select group of management or highly compensated employees, the 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 A portion of this Plan constitutes an “excess benefit plan” as defined in Section 3(36) of ERISA. </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TO WHOM SHOULD QUESTIONS CONCERNING THE PLAN BE DIRECTED?</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 xml:space="preserve">All questions concerning the operation of the Plan (including information concerning the administrators of the Plan) should be directed to the RTX Total Rewards mailbox to the attention of the Deferred Compensation Committee at </w:t>
      </w:r>
      <w:r>
        <w:rPr>
          <w:rFonts w:ascii="Times New Roman;sans-serif" w:hAnsi="Times New Roman;sans-serif"/>
          <w:b w:val="false"/>
          <w:color w:val="0563C1"/>
          <w:sz w:val="24"/>
          <w:u w:val="single"/>
        </w:rPr>
        <w:t>RTXTotalRewards@rtx.com</w:t>
      </w:r>
      <w:r>
        <w:rPr>
          <w:color w:val="000000"/>
        </w:rPr>
        <w:t xml:space="preserve"> </w:t>
      </w:r>
      <w:r>
        <w:rPr>
          <w:rFonts w:ascii="Times New Roman;sans-serif" w:hAnsi="Times New Roman;sans-serif"/>
          <w:b w:val="false"/>
          <w:color w:val="000000"/>
          <w:sz w:val="24"/>
        </w:rPr>
        <w:t>(preferred) or via postal mail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RTX Corporation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 Farm Springs Road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Farmington, CT 06032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Vice President, Executive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RTX CORPORATION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Jeffrey W. Kridler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Jeffrey W. Kridler</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Corporate Vice President, Total Rewards</w:t>
      </w:r>
    </w:p>
    <w:p>
      <w:pPr>
        <w:pStyle w:val="TextBody"/>
        <w:bidi w:val="0"/>
        <w:spacing w:lineRule="auto" w:line="240" w:before="0" w:after="0"/>
        <w:jc w:val="left"/>
        <w:rPr/>
      </w:pPr>
      <w:r>
        <w:rPr>
          <w:rFonts w:ascii="Times New Roman;sans-serif" w:hAnsi="Times New Roman;sans-serif"/>
          <w:b w:val="false"/>
          <w:color w:val="000000"/>
          <w:sz w:val="24"/>
        </w:rPr>
        <w:t xml:space="preserve">Attest: </w:t>
      </w:r>
      <w:r>
        <w:rPr>
          <w:rFonts w:ascii="Times New Roman;sans-serif" w:hAnsi="Times New Roman;sans-serif"/>
          <w:b w:val="false"/>
          <w:color w:val="000000"/>
          <w:sz w:val="24"/>
          <w:u w:val="single"/>
        </w:rPr>
        <w:t>/s/ Christine L. Hill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Christine L. Hill</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Associate General Counsel,</w:t>
        <w:br/>
        <w:t>Executive &amp; Global Compensation &amp; Benefits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40"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Restricted Stock Unit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2024)</w:t>
      </w:r>
    </w:p>
    <w:p>
      <w:pPr>
        <w:pStyle w:val="TextBody"/>
        <w:bidi w:val="0"/>
        <w:spacing w:before="2000" w:after="283"/>
        <w:jc w:val="center"/>
        <w:rPr/>
      </w:pPr>
      <w:r>
        <w:rPr/>
      </w:r>
    </w:p>
    <w:p>
      <w:pPr>
        <w:pStyle w:val="TextBody"/>
        <w:bidi w:val="0"/>
        <w:spacing w:lineRule="auto" w:line="276"/>
        <w:jc w:val="left"/>
        <w:rPr/>
      </w:pPr>
      <w:r>
        <w:rPr>
          <w:rFonts w:ascii="Arial;sans-serif" w:hAnsi="Arial;sans-serif"/>
          <w:b w:val="false"/>
          <w:color w:val="000000"/>
          <w:sz w:val="20"/>
        </w:rPr>
        <w:t xml:space="preserve">This Schedule of Terms describes the material features of the Participant’s Restricted Stock Unit Award (the “RSU Award” or the “Award”) granted under the RTX Corporation 2018 Long-Term Incentive Plan, as amended and restated effective October 1, 2023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14960"/>
                <wp:effectExtent l="0" t="0" r="0" b="0"/>
                <wp:wrapNone/>
                <wp:docPr id="69" name="Frame6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Arial;sans-serif" w:hAnsi="Arial;sans-serif"/>
          <w:b/>
          <w:color w:val="221E1F"/>
          <w:sz w:val="22"/>
        </w:rPr>
      </w:pPr>
      <w:r>
        <w:rPr>
          <w:rFonts w:ascii="Arial;sans-serif" w:hAnsi="Arial;sans-serif"/>
          <w:b/>
          <w:color w:val="221E1F"/>
          <w:sz w:val="22"/>
        </w:rPr>
        <w:t>Certain Definitions</w:t>
      </w:r>
    </w:p>
    <w:p>
      <w:pPr>
        <w:pStyle w:val="TextBody"/>
        <w:bidi w:val="0"/>
        <w:spacing w:lineRule="auto" w:line="304" w:before="0" w:after="240"/>
        <w:jc w:val="left"/>
        <w:rPr/>
      </w:pPr>
      <w:r>
        <w:rPr>
          <w:rFonts w:ascii="Arial;sans-serif" w:hAnsi="Arial;sans-serif"/>
          <w:b w:val="false"/>
          <w:color w:val="221E1F"/>
          <w:sz w:val="22"/>
        </w:rPr>
        <w:t>A Restricted Stock Unit (an “RSU”) represents the right to receive one share of Common Stock of RTX</w:t>
      </w:r>
      <w:r>
        <w:rPr>
          <w:color w:val="000000"/>
        </w:rPr>
        <w:t xml:space="preserve"> </w:t>
      </w:r>
      <w:r>
        <w:rPr>
          <w:rFonts w:ascii="Arial;sans-serif" w:hAnsi="Arial;sans-serif"/>
          <w:b w:val="false"/>
          <w:color w:val="000000"/>
          <w:sz w:val="22"/>
        </w:rPr>
        <w:t>Corporation</w:t>
      </w:r>
      <w:r>
        <w:rPr>
          <w:color w:val="221E1F"/>
        </w:rPr>
        <w:t xml:space="preserve"> </w:t>
      </w:r>
      <w:r>
        <w:rPr>
          <w:rFonts w:ascii="Arial;sans-serif" w:hAnsi="Arial;sans-serif"/>
          <w:b w:val="false"/>
          <w:color w:val="221E1F"/>
          <w:sz w:val="22"/>
        </w:rPr>
        <w:t xml:space="preserve">(the “Common Stock”) (or a cash payment equal to the Fair Market Value thereof). RSUs generally vest and are converted into shares of Common Stock if the Participant remains employed by the Company through the applicable vesting date schedule set forth in the Award Agreement (see “Vesting” below), or upon an earlier Termination of Service under limited circumstances that result in accelerated vesting (see “Termination of Service” below). </w:t>
      </w:r>
      <w:r>
        <w:rPr>
          <w:color w:val="000000"/>
        </w:rPr>
        <w:t>“</w:t>
      </w:r>
      <w:r>
        <w:rPr>
          <w:rFonts w:ascii="Arial;sans-serif" w:hAnsi="Arial;sans-serif"/>
          <w:b w:val="false"/>
          <w:color w:val="000000"/>
          <w:sz w:val="22"/>
        </w:rPr>
        <w:t xml:space="preserve">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sans-serif" w:hAnsi="Arial;sans-serif"/>
          <w:b w:val="false"/>
          <w:color w:val="221E1F"/>
          <w:sz w:val="22"/>
        </w:rPr>
        <w:t xml:space="preserve">the Human Capital &amp; Compensation Committee of the Board of Directors of the Corporation. </w:t>
      </w:r>
      <w:r>
        <w:rPr>
          <w:rFonts w:ascii="Arial;sans-serif" w:hAnsi="Arial;sans-serif"/>
          <w:b w:val="false"/>
          <w:color w:val="000000"/>
          <w:sz w:val="22"/>
        </w:rPr>
        <w:t>Capitalized terms not otherwise defined in this Schedule of Terms have the same meaning as defined in the LTIP.</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The number of RSUs granted under the RSU Award is set forth in the Award Agreement. An LTIP Award recipient (a “Participant”) must affirmatively acknowledge and accept the terms and conditions of the RSU Award within 150 days following the Grant Date. A failure to acknowledge and accept the RSU Award subject to the LTIP and this Schedule of Terms, within such 150-day period may result in forfeiture of the RSU Award, effective as of the 150th day following the Grant Date. </w:t>
      </w:r>
    </w:p>
    <w:p>
      <w:pPr>
        <w:pStyle w:val="TextBody"/>
        <w:bidi w:val="0"/>
        <w:spacing w:lineRule="auto" w:line="290" w:before="0" w:after="240"/>
        <w:jc w:val="left"/>
        <w:rPr/>
      </w:pPr>
      <w:r>
        <w:rPr>
          <w:rFonts w:ascii="Arial;sans-serif" w:hAnsi="Arial;sans-serif"/>
          <w:b w:val="false"/>
          <w:color w:val="000000"/>
          <w:sz w:val="22"/>
        </w:rPr>
        <w:t xml:space="preserve">Participants must acknowledge and accept the terms and conditions of this RSU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sans-serif" w:hAnsi="Arial;sans-serif"/>
          <w:b w:val="false"/>
          <w:color w:val="221E1F"/>
          <w:sz w:val="22"/>
        </w:rPr>
        <w:t>These countries currently include Russia, Turkey, Hungary, and Slovenia.</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Dividends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4660"/>
                <wp:effectExtent l="0" t="0" r="0" b="0"/>
                <wp:wrapNone/>
                <wp:docPr id="70" name="Frame7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Vesting</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RSUs may also be forfeited and value realized from previously vested RSUs may be recouped by the Company under certain circumstances (see “Forfeiture of Award and Repayment of Realized Gains” below).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Payment / Conversion of RSUs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 </w:t>
      </w:r>
    </w:p>
    <w:p>
      <w:pPr>
        <w:pStyle w:val="TextBody"/>
        <w:bidi w:val="0"/>
        <w:spacing w:lineRule="auto" w:line="328" w:before="0" w:after="240"/>
        <w:jc w:val="left"/>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bidi w:val="0"/>
        <w:spacing w:lineRule="auto" w:line="304"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RSUs held for at least one year as of the Termination Date will vest and convert into shares of Common Stock (or cash) to be delivered to the Participant as soon as administratively practicable thereafter. For this purpose, Retirement means either Normal Retirement or Early Retirement as defined below: </w:t>
      </w:r>
    </w:p>
    <w:p>
      <w:pPr>
        <w:pStyle w:val="TextBody"/>
        <w:bidi w:val="0"/>
        <w:spacing w:lineRule="auto" w:line="304" w:before="0" w:after="240"/>
        <w:ind w:left="0" w:right="0" w:hanging="360"/>
        <w:jc w:val="left"/>
        <w:rPr/>
      </w:pPr>
      <w:r>
        <w:rPr>
          <w:color w:val="221E1F"/>
        </w:rPr>
        <w:t>•“</w:t>
      </w:r>
      <w:r>
        <w:rPr>
          <w:rFonts w:ascii="Arial;sans-serif" w:hAnsi="Arial;sans-serif"/>
          <w:b w:val="false"/>
          <w:color w:val="221E1F"/>
          <w:sz w:val="22"/>
        </w:rPr>
        <w:t>Normal Retirement” means retirement on or after age 65;</w:t>
      </w:r>
    </w:p>
    <w:p>
      <w:pPr>
        <w:pStyle w:val="TextBody"/>
        <w:bidi w:val="0"/>
        <w:spacing w:lineRule="auto" w:line="304" w:before="0" w:after="240"/>
        <w:ind w:left="0" w:right="0" w:hanging="360"/>
        <w:jc w:val="left"/>
        <w:rPr/>
      </w:pPr>
      <w:r>
        <w:rPr>
          <w:color w:val="221E1F"/>
        </w:rPr>
        <w:t>• “</w:t>
      </w:r>
      <w:r>
        <w:rPr>
          <w:rFonts w:ascii="Arial;sans-serif" w:hAnsi="Arial;sans-serif"/>
          <w:b w:val="false"/>
          <w:color w:val="221E1F"/>
          <w:sz w:val="22"/>
        </w:rPr>
        <w:t>Early Retirement” means retirement on or after: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4660"/>
                <wp:effectExtent l="0" t="0" r="0" b="0"/>
                <wp:wrapNone/>
                <wp:docPr id="71" name="Frame71"/>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RTX Savings Plan. The calculation to determine Early Retirement will include partial years, rounded down to the nearest full month.</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A Participant will not receive Retirement treatment with respect to any Award in the event of involuntary termination by the Company for Cause.</w:t>
      </w:r>
    </w:p>
    <w:p>
      <w:pPr>
        <w:pStyle w:val="TextBody"/>
        <w:bidi w:val="0"/>
        <w:spacing w:lineRule="auto" w:line="288" w:before="0" w:after="0"/>
        <w:jc w:val="left"/>
        <w:rPr/>
      </w:pPr>
      <w:r>
        <w:rPr>
          <w:rFonts w:ascii="Arial;sans-serif" w:hAnsi="Arial;sans-serif"/>
          <w:b/>
          <w:color w:val="000000"/>
          <w:sz w:val="22"/>
        </w:rPr>
        <w:t xml:space="preserve">Involuntary Termination for Cause. </w:t>
      </w:r>
      <w:r>
        <w:rPr>
          <w:rFonts w:ascii="Arial;sans-serif" w:hAnsi="Arial;sans-serif"/>
          <w:b w:val="false"/>
          <w:color w:val="000000"/>
          <w:sz w:val="22"/>
        </w:rPr>
        <w:t>If the Participant’s termination results from an involuntary termination by the Company for Cause (as defined in the LTIP), unvested RSUs will be forfeited as of the Termination Date regardless of the Participant’s Retirement eligibility. In addition, value realized from previously vested RSUs is subject to repayment in the event of termination for Cause or certain other occurrences (see “Forfeiture of Award and Repayment of Realized Gains”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sans-serif" w:hAnsi="Arial;sans-serif"/>
          <w:b w:val="false"/>
          <w:color w:val="000000"/>
          <w:sz w:val="22"/>
        </w:rPr>
        <w:t xml:space="preserve">as of the </w:t>
      </w:r>
      <w:r>
        <w:rPr>
          <w:rFonts w:ascii="Arial;sans-serif" w:hAnsi="Arial;sans-serif"/>
          <w:b w:val="false"/>
          <w:color w:val="221E1F"/>
          <w:sz w:val="22"/>
        </w:rPr>
        <w:t>Termination</w:t>
      </w:r>
      <w:r>
        <w:rPr>
          <w:color w:val="000000"/>
        </w:rPr>
        <w:t xml:space="preserve"> </w:t>
      </w:r>
      <w:r>
        <w:rPr>
          <w:rFonts w:ascii="Arial;sans-serif" w:hAnsi="Arial;sans-serif"/>
          <w:b w:val="false"/>
          <w:color w:val="000000"/>
          <w:sz w:val="22"/>
        </w:rPr>
        <w:t>Date</w:t>
      </w:r>
      <w:r>
        <w:rPr>
          <w:rFonts w:ascii="Arial;sans-serif" w:hAnsi="Arial;sans-serif"/>
          <w:b w:val="false"/>
          <w:color w:val="221E1F"/>
          <w:sz w:val="22"/>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Absences from employment because of notice periods, garden leaves, or similar paid leaves associated with a Termination of Service will not be recognized as service in determining the pro-rata vesting percentage.</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val="false"/>
          <w:color w:val="000000"/>
          <w:sz w:val="22"/>
        </w:rPr>
        <w:t>Pro-rata vesting will occur for involuntary terminations resulting from workforce reductions, location closings, restructurings, layoffs</w:t>
      </w:r>
      <w:r>
        <w:rPr>
          <w:rFonts w:ascii="Arial;sans-serif" w:hAnsi="Arial;sans-serif"/>
          <w:b w:val="false"/>
          <w:color w:val="221E1F"/>
          <w:sz w:val="22"/>
        </w:rPr>
        <w:t>,</w:t>
      </w:r>
      <w:r>
        <w:rPr>
          <w:color w:val="000000"/>
        </w:rPr>
        <w:t xml:space="preserve"> </w:t>
      </w:r>
      <w:r>
        <w:rPr>
          <w:rFonts w:ascii="Arial;sans-serif" w:hAnsi="Arial;sans-serif"/>
          <w:b w:val="false"/>
          <w:color w:val="000000"/>
          <w:sz w:val="22"/>
        </w:rPr>
        <w:t xml:space="preserve">or similar events, as determined by the Committee </w:t>
      </w:r>
      <w:r>
        <w:rPr>
          <w:rFonts w:ascii="Arial;sans-serif" w:hAnsi="Arial;sans-serif"/>
          <w:b w:val="false"/>
          <w:color w:val="221E1F"/>
          <w:sz w:val="22"/>
        </w:rPr>
        <w:t>or its delegate</w:t>
      </w:r>
      <w:r>
        <w:rPr>
          <w:rFonts w:ascii="Arial;sans-serif" w:hAnsi="Arial;sans-serif"/>
          <w:b w:val="false"/>
          <w:color w:val="000000"/>
          <w:sz w:val="22"/>
        </w:rPr>
        <w:t xml:space="preserve">.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RSUs.</w:t>
      </w:r>
    </w:p>
    <w:p>
      <w:pPr>
        <w:pStyle w:val="TextBody"/>
        <w:bidi w:val="0"/>
        <w:spacing w:lineRule="auto" w:line="304" w:before="0" w:after="240"/>
        <w:jc w:val="left"/>
        <w:rPr/>
      </w:pPr>
      <w:r>
        <w:rPr>
          <w:rFonts w:ascii="Arial;sans-serif" w:hAnsi="Arial;sans-serif"/>
          <w:b/>
          <w:color w:val="221E1F"/>
          <w:sz w:val="22"/>
        </w:rPr>
        <w:t>Disability.</w:t>
      </w:r>
      <w:r>
        <w:rPr>
          <w:color w:val="000000"/>
        </w:rPr>
        <w:t xml:space="preserve"> </w:t>
      </w:r>
      <w:r>
        <w:rPr>
          <w:rFonts w:ascii="Arial;sans-serif" w:hAnsi="Arial;sans-serif"/>
          <w:b w:val="false"/>
          <w:color w:val="221E1F"/>
          <w:sz w:val="22"/>
        </w:rPr>
        <w:t>If a Participant incurs a Disability (as defined in the LTIP), unvested RSUs will not be forfeited while a Participant remains disabled under a Company sponsored long-term disability plan.</w:t>
      </w:r>
      <w:r>
        <w:rPr>
          <w:color w:val="000000"/>
        </w:rPr>
        <w:t xml:space="preserve"> </w:t>
      </w:r>
      <w:r>
        <w:rPr>
          <w:rFonts w:ascii="Arial;sans-serif" w:hAnsi="Arial;sans-serif"/>
          <w:b w:val="false"/>
          <w:color w:val="000000"/>
          <w:sz w:val="22"/>
        </w:rPr>
        <w:t>Unvested RSUs will remain eligible to vest on the earlier of (</w:t>
      </w:r>
      <w:r>
        <w:rPr>
          <w:rFonts w:ascii="Arial;sans-serif" w:hAnsi="Arial;sans-serif"/>
          <w:b w:val="false"/>
          <w:color w:val="221E1F"/>
          <w:sz w:val="22"/>
        </w:rPr>
        <w:t>i</w:t>
      </w:r>
      <w:r>
        <w:rPr>
          <w:rFonts w:ascii="Arial;sans-serif" w:hAnsi="Arial;sans-serif"/>
          <w:b w:val="false"/>
          <w:color w:val="000000"/>
          <w:sz w:val="22"/>
        </w:rPr>
        <w:t>) the vesting date specified in the Award Agreement; or (</w:t>
      </w:r>
      <w:r>
        <w:rPr>
          <w:rFonts w:ascii="Arial;sans-serif" w:hAnsi="Arial;sans-serif"/>
          <w:b w:val="false"/>
          <w:color w:val="221E1F"/>
          <w:sz w:val="22"/>
        </w:rPr>
        <w:t>ii</w:t>
      </w:r>
      <w:r>
        <w:rPr>
          <w:rFonts w:ascii="Arial;sans-serif" w:hAnsi="Arial;sans-serif"/>
          <w:b w:val="false"/>
          <w:color w:val="000000"/>
          <w:sz w:val="22"/>
        </w:rPr>
        <w:t>) 29 months following the date a Participant incurs a Disability.</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4660"/>
                <wp:effectExtent l="0" t="0" r="0" b="0"/>
                <wp:wrapNone/>
                <wp:docPr id="72" name="Frame72"/>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RSUs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bidi w:val="0"/>
        <w:spacing w:lineRule="auto" w:line="304" w:before="0" w:after="240"/>
        <w:jc w:val="left"/>
        <w:rPr/>
      </w:pPr>
      <w:r>
        <w:rPr>
          <w:rFonts w:ascii="Arial;sans-serif" w:hAnsi="Arial;sans-serif"/>
          <w:b/>
          <w:color w:val="221E1F"/>
          <w:sz w:val="22"/>
        </w:rPr>
        <w:t>Death.</w:t>
      </w:r>
      <w:r>
        <w:rPr>
          <w:color w:val="221E1F"/>
        </w:rPr>
        <w:t xml:space="preserve"> </w:t>
      </w:r>
      <w:r>
        <w:rPr>
          <w:rFonts w:ascii="Arial;sans-serif" w:hAnsi="Arial;sans-serif"/>
          <w:b w:val="false"/>
          <w:color w:val="221E1F"/>
          <w:sz w:val="22"/>
        </w:rPr>
        <w:t xml:space="preserve">If a Participant dies while actively employed by the Company, or on Disability, all RSUs will vest as of the date of death and be converted to shares of Common Stock to be delivered to the Participant’s estate, net of taxes (where applicable), as soon as administratively practicable. </w:t>
      </w:r>
    </w:p>
    <w:p>
      <w:pPr>
        <w:pStyle w:val="TextBody"/>
        <w:bidi w:val="0"/>
        <w:spacing w:lineRule="auto" w:line="288" w:before="0" w:after="0"/>
        <w:jc w:val="left"/>
        <w:rPr/>
      </w:pPr>
      <w:r>
        <w:rPr>
          <w:rFonts w:ascii="Arial;sans-serif" w:hAnsi="Arial;sans-serif"/>
          <w:b/>
          <w:color w:val="221E1F"/>
          <w:sz w:val="22"/>
        </w:rPr>
        <w:t xml:space="preserve">Change-in-Control Termination.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Specified Employees</w:t>
      </w:r>
      <w:r>
        <w:rPr>
          <w:rFonts w:ascii="Arial;sans-serif" w:hAnsi="Arial;sans-serif"/>
          <w:b w:val="false"/>
          <w:color w:val="221E1F"/>
          <w:sz w:val="22"/>
        </w:rPr>
        <w:t>. If a Participant is a “specified employee” within the meaning of Section 409A of the Code (i.e., generally 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(dividend equivalent eligible) and will vest on the first day of the seventh month following the Termination Date.</w:t>
      </w:r>
      <w:r>
        <w:rPr>
          <w:color w:val="000000"/>
        </w:rPr>
        <w:t xml:space="preserve"> </w:t>
      </w:r>
      <w:r>
        <w:rPr>
          <w:rFonts w:ascii="Arial;sans-serif" w:hAnsi="Arial;sans-serif"/>
          <w:b w:val="false"/>
          <w:color w:val="000000"/>
          <w:sz w:val="22"/>
        </w:rPr>
        <w:t>Upon vest, RSUs will convert into an equal number of shares of Common Stock (or cash) to be delivered to the Participant as soon as administratively practicable. The value of the RSUs will be determined as of the vest date.</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Forfeiture of Award and Repayment of Realized Gains </w:t>
      </w:r>
    </w:p>
    <w:p>
      <w:pPr>
        <w:pStyle w:val="TextBody"/>
        <w:bidi w:val="0"/>
        <w:spacing w:lineRule="auto" w:line="304" w:before="0" w:after="240"/>
        <w:jc w:val="left"/>
        <w:rPr/>
      </w:pPr>
      <w:r>
        <w:rPr>
          <w:rFonts w:ascii="Arial;sans-serif" w:hAnsi="Arial;sans-serif"/>
          <w:b w:val="false"/>
          <w:color w:val="221E1F"/>
          <w:sz w:val="22"/>
        </w:rPr>
        <w:t xml:space="preserve">RSU Awards, including Common Stock delivered for vested RSUs, are subject to the applicable RTX Corporation Clawback Policy, as amended from time to time, available on </w:t>
      </w:r>
      <w:r>
        <w:rPr>
          <w:rFonts w:ascii="Arial;sans-serif" w:hAnsi="Arial;sans-serif"/>
          <w:b w:val="false"/>
          <w:color w:val="0000FF"/>
          <w:sz w:val="22"/>
          <w:u w:val="single"/>
        </w:rPr>
        <w:t>www.rtx.com</w:t>
      </w:r>
      <w:r>
        <w:rPr>
          <w:rFonts w:ascii="Arial;sans-serif" w:hAnsi="Arial;sans-serif"/>
          <w:b w:val="false"/>
          <w:color w:val="221E1F"/>
          <w:sz w:val="22"/>
        </w:rPr>
        <w:t xml:space="preserve">. RSUs will be immediately forfeited, and a Participant may be obligated to repay to the Company the value realized from previously vested RSUs upon the occurrence of any of the following events: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(ii)Within three-years following a Participant’s Termination Date, the Committee determines that the Participant engaged in conduct that could have constituted the basis for a Termination for Cause;</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(iii)A restatement of financial results attributable to a Participant’s actions, whether intentional or negligent;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(iv)Within twenty-four months following the Termination Date,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4660"/>
                <wp:effectExtent l="0" t="0" r="0" b="0"/>
                <wp:wrapNone/>
                <wp:docPr id="73" name="Frame73"/>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(v)Except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(vi)Negligent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(vii)A Participant’s misappropriation of RTX Intellectual Property or violation of his/her Intellectual Property (IP) Agreement. </w:t>
      </w:r>
    </w:p>
    <w:p>
      <w:pPr>
        <w:pStyle w:val="TextBody"/>
        <w:bidi w:val="0"/>
        <w:spacing w:lineRule="auto" w:line="304" w:before="100" w:after="240"/>
        <w:jc w:val="left"/>
        <w:rPr>
          <w:rFonts w:ascii="Arial;sans-serif" w:hAnsi="Arial;sans-serif"/>
          <w:b w:val="false"/>
          <w:color w:val="000000"/>
          <w:sz w:val="22"/>
        </w:rPr>
      </w:pPr>
      <w:r>
        <w:rPr>
          <w:rFonts w:ascii="Arial;sans-serif" w:hAnsi="Arial;sans-serif"/>
          <w:b w:val="false"/>
          <w:color w:val="000000"/>
          <w:sz w:val="22"/>
        </w:rPr>
        <w:t>In addition, the Committee reserves the right to require repayment of all or any portion of an RSU Award under item (iii) above, without regard to whether a restatement is attributable to the Participant’s actions, as appropriate and determined at the Committee’s sole discretion.</w:t>
      </w:r>
    </w:p>
    <w:p>
      <w:pPr>
        <w:pStyle w:val="TextBody"/>
        <w:bidi w:val="0"/>
        <w:spacing w:lineRule="auto" w:line="304" w:before="100" w:after="240"/>
        <w:jc w:val="left"/>
        <w:rPr/>
      </w:pPr>
      <w:r>
        <w:rPr>
          <w:rFonts w:ascii="Arial;sans-serif" w:hAnsi="Arial;sans-serif"/>
          <w:b w:val="false"/>
          <w:color w:val="000000"/>
          <w:sz w:val="22"/>
        </w:rPr>
        <w:t>The Participant agrees that the foregoing restrictions are reasonable and that the value of</w:t>
      </w:r>
      <w:r>
        <w:rPr>
          <w:color w:val="221E1F"/>
        </w:rPr>
        <w:t xml:space="preserve"> </w:t>
      </w:r>
      <w:r>
        <w:rPr>
          <w:rFonts w:ascii="Arial;sans-serif" w:hAnsi="Arial;sans-serif"/>
          <w:b w:val="false"/>
          <w:color w:val="221E1F"/>
          <w:sz w:val="22"/>
        </w:rPr>
        <w:t>the</w:t>
      </w:r>
      <w:r>
        <w:rPr>
          <w:color w:val="000000"/>
        </w:rPr>
        <w:t xml:space="preserve"> </w:t>
      </w:r>
      <w:r>
        <w:rPr>
          <w:rFonts w:ascii="Arial;sans-serif" w:hAnsi="Arial;sans-serif"/>
          <w:b w:val="false"/>
          <w:color w:val="000000"/>
          <w:sz w:val="22"/>
        </w:rPr>
        <w:t xml:space="preserve">LTIP awards is reasonable consideration for accepting such restrictions and forfeiture contingencies. </w:t>
      </w:r>
      <w:r>
        <w:rPr>
          <w:rFonts w:ascii="Arial;sans-serif" w:hAnsi="Arial;sans-serif"/>
          <w:b w:val="false"/>
          <w:color w:val="221E1F"/>
          <w:sz w:val="22"/>
        </w:rPr>
        <w:t xml:space="preserve">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sans-serif" w:hAnsi="Arial;sans-serif"/>
          <w:b w:val="false"/>
          <w:color w:val="000000"/>
          <w:sz w:val="22"/>
        </w:rPr>
        <w:t>Further details concerning the forfeiture of awards and the obligation to repay gains realized from LTIP awards are set forth in Section 14(i) of the LTIP, available</w:t>
      </w:r>
      <w:r>
        <w:rPr>
          <w:color w:val="221E1F"/>
        </w:rPr>
        <w:t xml:space="preserve"> </w:t>
      </w:r>
      <w:r>
        <w:rPr>
          <w:rFonts w:ascii="Arial;sans-serif" w:hAnsi="Arial;sans-serif"/>
          <w:b w:val="false"/>
          <w:color w:val="221E1F"/>
          <w:sz w:val="22"/>
        </w:rPr>
        <w:t>at</w:t>
      </w:r>
      <w:r>
        <w:rPr>
          <w:color w:val="221E1F"/>
          <w:u w:val="single"/>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the applicable RTX Corporation Clawback Policy, available on </w:t>
      </w:r>
      <w:r>
        <w:rPr>
          <w:rFonts w:ascii="Arial;sans-serif" w:hAnsi="Arial;sans-serif"/>
          <w:b w:val="false"/>
          <w:color w:val="0000FF"/>
          <w:sz w:val="22"/>
          <w:u w:val="single"/>
        </w:rPr>
        <w:t>www.rtx.com</w:t>
      </w:r>
      <w:r>
        <w:rPr>
          <w:rFonts w:ascii="Arial;sans-serif" w:hAnsi="Arial;sans-serif"/>
          <w:b w:val="false"/>
          <w:color w:val="221E1F"/>
          <w:sz w:val="22"/>
        </w:rPr>
        <w:t>.</w:t>
      </w:r>
      <w:r>
        <w:rPr>
          <w:color w:val="000000"/>
        </w:rPr>
        <w:t xml:space="preserve">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Adjustments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4660"/>
                <wp:effectExtent l="0" t="0" r="0" b="0"/>
                <wp:wrapNone/>
                <wp:docPr id="74" name="Frame74"/>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000FF"/>
          <w:sz w:val="22"/>
          <w:u w:val="single"/>
        </w:rPr>
        <w:t>www.ubs.com/onesource/rtx.</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304" w:before="0" w:after="240"/>
        <w:jc w:val="left"/>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sans-serif" w:hAnsi="Arial;sans-serif"/>
          <w:b w:val="false"/>
          <w:color w:val="0000FF"/>
          <w:sz w:val="22"/>
          <w:u w:val="single"/>
        </w:rPr>
        <w:t>www.ubs.com/onesource/rtx</w:t>
      </w:r>
      <w:r>
        <w:rPr>
          <w:rFonts w:ascii="Arial;sans-serif" w:hAnsi="Arial;sans-serif"/>
          <w:b w:val="false"/>
          <w:color w:val="221E1F"/>
          <w:sz w:val="22"/>
          <w:u w:val="single"/>
        </w:rPr>
        <w:t>.</w:t>
      </w:r>
      <w:r>
        <w:rPr>
          <w:color w:val="221E1F"/>
        </w:rPr>
        <w:t xml:space="preserve">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Awards Not to Affect Certain Transactions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Taxes / Withholding</w:t>
      </w:r>
    </w:p>
    <w:p>
      <w:pPr>
        <w:pStyle w:val="TextBody"/>
        <w:bidi w:val="0"/>
        <w:spacing w:lineRule="auto" w:line="304" w:before="0" w:after="24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RSUs, any payment or delivery of shares due to a Participant or from Participant’s regular compensation to effect compliance with all Tax-Related Items, including withholding and reporting with respect to the vesting of any RSU, or in advance of vesting, for retirement eligible Participants to comply with FICA tax requirements.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 xml:space="preserve">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4660"/>
                <wp:effectExtent l="0" t="0" r="0" b="0"/>
                <wp:wrapNone/>
                <wp:docPr id="75" name="Frame75"/>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Award if a Participant fails to comply with his or her obligations in connection with Tax-Related Items. </w:t>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to the vesting of the RSU Award and (ii) with respect to any other Tax-Related Items, the Company shall satisfy the withholding obligation by withholding shares of Common Stock converted from RSUs under the RSU Award having a Fair Market Value on the date of withholding equal to the amount required to be withheld for tax purposes (calculated using the minimum statutory withholding rate, except as otherwise approved by the Committee , or its delegate). Provided for both items (i) and (ii) above, the Committee retains the right to determine an alternative method of withholding for the Participant, at its sole discretion, provided in all cases, such determination shall be made by the Committee prior to the Tax-Related Items withholding event.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Nonassignability</w:t>
      </w:r>
    </w:p>
    <w:p>
      <w:pPr>
        <w:pStyle w:val="TextBody"/>
        <w:bidi w:val="0"/>
        <w:spacing w:lineRule="auto" w:line="304" w:before="0" w:after="240"/>
        <w:jc w:val="left"/>
        <w:rPr/>
      </w:pPr>
      <w:r>
        <w:rPr>
          <w:rFonts w:ascii="Arial;sans-serif" w:hAnsi="Arial;sans-serif"/>
          <w:b w:val="false"/>
          <w:color w:val="221E1F"/>
          <w:sz w:val="22"/>
        </w:rPr>
        <w:t>No assignment or transfer of any right or interest of a Participant in any RSU Award, whether voluntary or involuntary, by operation of law or otherwise, is permitted except by will or the laws of descent and distribution</w:t>
      </w:r>
      <w:r>
        <w:rPr>
          <w:rFonts w:ascii="Arial;sans-serif" w:hAnsi="Arial;sans-serif"/>
          <w:b w:val="false"/>
          <w:color w:val="000000"/>
          <w:sz w:val="22"/>
        </w:rPr>
        <w:t>.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Nature of Payments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4660"/>
                <wp:effectExtent l="0" t="0" r="0" b="0"/>
                <wp:wrapNone/>
                <wp:docPr id="76" name="Frame7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Company Compliance Policies</w:t>
      </w:r>
    </w:p>
    <w:p>
      <w:pPr>
        <w:pStyle w:val="TextBody"/>
        <w:bidi w:val="0"/>
        <w:spacing w:lineRule="auto" w:line="304" w:before="0" w:after="240"/>
        <w:jc w:val="left"/>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221E1F"/>
          <w:sz w:val="22"/>
        </w:rPr>
        <w:t>. 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304" w:before="0" w:after="240"/>
        <w:jc w:val="left"/>
        <w:rPr/>
      </w:pPr>
      <w:r>
        <w:rPr>
          <w:rFonts w:ascii="Arial;sans-serif" w:hAnsi="Arial;sans-serif"/>
          <w:b w:val="false"/>
          <w:color w:val="000000"/>
          <w:sz w:val="22"/>
        </w:rPr>
        <w:t>This Schedule of Terms provides a summary of terms applicable to the RSU Award.</w:t>
      </w:r>
      <w:r>
        <w:rPr>
          <w:color w:val="221E1F"/>
        </w:rPr>
        <w:t xml:space="preserve"> </w:t>
      </w:r>
      <w:r>
        <w:rPr>
          <w:rFonts w:ascii="Arial;sans-serif" w:hAnsi="Arial;sans-serif"/>
          <w:b w:val="false"/>
          <w:color w:val="221E1F"/>
          <w:sz w:val="22"/>
        </w:rPr>
        <w:t>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00"/>
        </w:rPr>
        <w:t xml:space="preserve"> </w:t>
      </w:r>
      <w:r>
        <w:rPr>
          <w:rFonts w:ascii="Arial;sans-serif" w:hAnsi="Arial;sans-serif"/>
          <w:b w:val="false"/>
          <w:color w:val="221E1F"/>
          <w:sz w:val="22"/>
        </w:rPr>
        <w:t xml:space="preserve">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4660"/>
                <wp:effectExtent l="0" t="0" r="0" b="0"/>
                <wp:wrapNone/>
                <wp:docPr id="77" name="Frame77"/>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translated into a language other than English and a conflict arises between the English and translated version, the English version will control.</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Additional Information </w:t>
      </w:r>
    </w:p>
    <w:p>
      <w:pPr>
        <w:pStyle w:val="TextBody"/>
        <w:bidi w:val="0"/>
        <w:spacing w:lineRule="auto" w:line="304"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 xml:space="preserve">rtxstockadmin@rtx.com. </w:t>
      </w:r>
    </w:p>
    <w:p>
      <w:pPr>
        <w:pStyle w:val="TextBody"/>
        <w:bidi w:val="0"/>
        <w:spacing w:lineRule="auto" w:line="288"/>
        <w:jc w:val="left"/>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4660"/>
                <wp:effectExtent l="0" t="0" r="0" b="0"/>
                <wp:wrapNone/>
                <wp:docPr id="78" name="Frame78"/>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p>
      <w:pPr>
        <w:pStyle w:val="TextBody"/>
        <w:bidi w:val="0"/>
        <w:spacing w:lineRule="auto" w:line="240"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 xml:space="preserve">2018 Long-Term Incentive Plan </w:t>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Performance Share Unit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2024)</w:t>
      </w:r>
    </w:p>
    <w:p>
      <w:pPr>
        <w:pStyle w:val="TextBody"/>
        <w:bidi w:val="0"/>
        <w:spacing w:before="2000" w:after="283"/>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240"/>
        <w:jc w:val="left"/>
        <w:rPr/>
      </w:pPr>
      <w:r>
        <w:rPr>
          <w:rFonts w:ascii="Arial;sans-serif" w:hAnsi="Arial;sans-serif"/>
          <w:b w:val="false"/>
          <w:color w:val="000000"/>
          <w:sz w:val="20"/>
        </w:rPr>
        <w:t xml:space="preserve">This Schedule of Terms describes the material features of the Participant’s Performance Share Unit Award (the “PSU Award” or the “Award”) granted under the RTX Corporation 2018 Long-Term Incentive Plan, as amended and restated effective October 1, 2023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14960"/>
                <wp:effectExtent l="0" t="0" r="0" b="0"/>
                <wp:wrapNone/>
                <wp:docPr id="79" name="Frame7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Arial;sans-serif" w:hAnsi="Arial;sans-serif"/>
          <w:b/>
          <w:color w:val="221E1F"/>
          <w:sz w:val="22"/>
        </w:rPr>
      </w:pPr>
      <w:r>
        <w:rPr>
          <w:rFonts w:ascii="Arial;sans-serif" w:hAnsi="Arial;sans-serif"/>
          <w:b/>
          <w:color w:val="221E1F"/>
          <w:sz w:val="22"/>
        </w:rPr>
        <w:t>Certain Definitions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 Performance Share Unit (a “PSU”) represents the right to receive one share of Common Stock of RTX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and vesting date (see “Vesting”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number of PSUs granted under the PSU Award is set forth in the Award Agreement. An LTIP Award recipient (a “Participant”) must affirmatively acknowledge and accept the terms and conditions of the PSU Award within 150 days following the Grant Date. A failure to acknowledge and accept the PSU Award subject to the LTIP and this Schedule of Terms, within such 150-day period will result in forfeiture of the PSU Award, effective as of the 150th day following the Grant Date.</w:t>
      </w:r>
    </w:p>
    <w:p>
      <w:pPr>
        <w:pStyle w:val="TextBody"/>
        <w:bidi w:val="0"/>
        <w:spacing w:lineRule="auto" w:line="304" w:before="0" w:after="240"/>
        <w:jc w:val="left"/>
        <w:rPr/>
      </w:pPr>
      <w:r>
        <w:rPr>
          <w:rFonts w:ascii="Arial;sans-serif" w:hAnsi="Arial;sans-serif"/>
          <w:b w:val="false"/>
          <w:color w:val="000000"/>
          <w:sz w:val="22"/>
        </w:rPr>
        <w:t xml:space="preserve">Participants must acknowledge and accept the terms and conditions of this PSU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Participants based in certain countries may be required to acknowledge and accept the terms and conditions of the PSU Award by signing and returning the designated hard copy portion of the Award Agreement to the Stock Plan Administrator. These countries currently include Russia, Turkey, Hungary, and Slovenia.</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Vesting</w:t>
      </w:r>
    </w:p>
    <w:p>
      <w:pPr>
        <w:pStyle w:val="TextBody"/>
        <w:bidi w:val="0"/>
        <w:spacing w:lineRule="auto" w:line="304" w:before="0" w:after="240"/>
        <w:jc w:val="left"/>
        <w:rPr/>
      </w:pPr>
      <w:r>
        <w:rPr>
          <w:rFonts w:ascii="Arial;sans-serif" w:hAnsi="Arial;sans-serif"/>
          <w:b w:val="false"/>
          <w:color w:val="221E1F"/>
          <w:sz w:val="22"/>
        </w:rPr>
        <w:t xml:space="preserve">PSU Awards will vest in accordance with the schedule set forth in the Award Agreement, subject to performance relative to pre-established Performance Goals, and the Participant’s continued employment with the Company through the applicable performance measurement period, and vesting date. Potential Performance Goals are provided in the LTIP. PSU Awards may be subject to multiple Performance Goals. The Award Agreement will specify the performance period and vesting date. </w:t>
      </w:r>
      <w:r>
        <w:rPr>
          <w:rFonts w:ascii="Arial;sans-serif" w:hAnsi="Arial;sans-serif"/>
          <w:b/>
          <w:color w:val="000000"/>
          <w:sz w:val="22"/>
        </w:rPr>
        <w:t>Please refer to Appendix A for actual Performance Goals for the 2024-2026 performance cycle</w:t>
      </w:r>
      <w:r>
        <w:rPr>
          <w:rFonts w:ascii="Arial;sans-serif" w:hAnsi="Arial;sans-serif"/>
          <w:b/>
          <w:color w:val="221E1F"/>
          <w:sz w:val="22"/>
        </w:rPr>
        <w:t>, including minimum performance required for vesting, range of vesting and relative weighting for each Performance Goal.</w:t>
      </w:r>
      <w:r>
        <w:rPr>
          <w:color w:val="221E1F"/>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4660"/>
                <wp:effectExtent l="0" t="0" r="0" b="0"/>
                <wp:wrapNone/>
                <wp:docPr id="80" name="Frame8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221E1F"/>
          <w:sz w:val="22"/>
        </w:rPr>
        <w:t>2024 Performance Goals include: (i) diluted earnings per share (“EPS”); (ii) return on invested capital (“ROIC”); (iii) RTX’s total shareowner return (“TSR”) relative to the companies within the S&amp;P 500 Index; and (iv) RTX’s TSR relative to nine aerospace and defense companies (i.e., Honeywell, Boeing, General Electric, Lockheed Martin, Airbus, Northrop Grumman, General Dynamics, L3Harris and Safran) (the “A&amp;D peer companies”). For 2024, all Performance Goals will be measured over</w:t>
      </w:r>
      <w:r>
        <w:rPr>
          <w:color w:val="000000"/>
        </w:rPr>
        <w:t xml:space="preserve"> </w:t>
      </w:r>
      <w:r>
        <w:rPr>
          <w:rFonts w:ascii="Arial;sans-serif" w:hAnsi="Arial;sans-serif"/>
          <w:b w:val="false"/>
          <w:color w:val="000000"/>
          <w:sz w:val="22"/>
        </w:rPr>
        <w:t xml:space="preserve">the three-year performance period of the Award (as discussed below). In the case that the scheduled vesting date occurs prior to the Committee’s certification of performance results, the actual vesting date of the PSU Award shall be the date of the Committee’s certification of performance results (or if not on a market trading date, the next trading date). </w:t>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2024 PSU Award will include a three-year compound annual growth rate EPS goal. EPS is defined as net income from continuing operations divided by weighted average diluted shares outstanding, subject to adjustments for changes in tax laws and/or accounting rules, the impact of acquisitions and divestitures (including acquisition accounting adjustments), restructuring, non-recurring and other significant, non-operational items, non-operating pension and postretirement income or expense, changes in asset or liability valuations of deferred compensation plans recognized in interest income/expense. The Committee may adjust the EPS calculation (positively or negatively) to exclude the impact of certain items unrelated to operational performance. Such adjustment may be made when necessary to maintain the validity of the Performance Goal, as originally formulated.</w:t>
      </w:r>
    </w:p>
    <w:p>
      <w:pPr>
        <w:pStyle w:val="TextBody"/>
        <w:bidi w:val="0"/>
        <w:spacing w:lineRule="auto" w:line="290" w:before="0" w:after="240"/>
        <w:jc w:val="left"/>
        <w:rPr/>
      </w:pPr>
      <w:r>
        <w:rPr>
          <w:rFonts w:ascii="Arial;sans-serif" w:hAnsi="Arial;sans-serif"/>
          <w:b w:val="false"/>
          <w:color w:val="000000"/>
          <w:sz w:val="22"/>
        </w:rPr>
        <w:t>The 2024 PSU Award will measure TSR over the three-year performance period of the Award. TSR is the percentage change in share price over the cumulative three-year performance period (plus reinvested dividends) divided by the share price at the beginning of the performance period. TSR is calculated using the trailing November/December average adjusted closing share price prior to and at the end of the three-year period, as calculated by Standard &amp; Poor’s. If relative TSR is negative for the three-year performance period, the TSR payout percentage for that metric may not exceed 100% of target, even if relative performance exceeds the target-level Performance Goal. Relative TSR is the rank of RTX’s three-year TSR versus: (i) the companies within the S&amp;P 500 Index at the beginning of the three-year performance period; and (ii) the A&amp;D peer companies. To the extent that such companies are acquired, delist from a stock exchange, or in the case of the S&amp;P 500, companies are removed from the S&amp;P 500 Index during the performance period, these companies will be excluded from the ranking calculation.</w:t>
      </w:r>
      <w:r>
        <w:rPr>
          <w:color w:val="000000"/>
        </w:rPr>
        <w:t xml:space="preserve"> </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The 2024 PSU Award will include a three-year ROIC goal measured on an average quarterly basis over the three-year performance period of the Award. ROIC is based on continuing operations and is defined as the ratio of net operating profit after tax (“NOPAT”) to Invested Capital (total debt less cash plus equity), subject to certain adjustments as detailed below. NOPAT excludes non-controlling interest, non-service pension income/expense, the impact of acquisitions and divestitures (including acquisition accounting adjustments), the impact of foreign exchange fluctuations, material one-time tax charges, restructuring, non-recurring and other significant, non-operational items and changes in tax laws and/or accounting rules. Invested Capital excludes accumulated other comprehensive income, cash and equivalents, acquisition and divestiture borrowings, short-term borrowings, the impact of acquisitions and divestitures and changes in tax laws and/or accounting rules.  The Committee may adjust the ROIC calculation (positively or negatively) to exclude the impact of certain items unrelated to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4660"/>
                <wp:effectExtent l="0" t="0" r="0" b="0"/>
                <wp:wrapNone/>
                <wp:docPr id="81" name="Frame81"/>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operational performance.  Such adjustment may be made when necessary to maintain the validity of the Performance Goal, as originally formulated.</w:t>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In the case that that value of the PSU award at vesting is greater than 400% of the value of the PSU award at grant, the performance results shall be reduced so that the value delivered to participants will be no greater than 400% of the grant value. The value of the PSU award at grant is equal to the number of PSUs at target level performance granted to a participant multiplied by the closing stock price of RTX on the grant date. The value of the PSU award at vest is equal to the product of: (i) the number of the PSUs at target level performance granted to a participant; (ii) the Performance Factor certified by the Committee; and (iii) the closing stock price of RTX on the vesting date.</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PSUs will be forfeited in the event of a Termination of Service prior to the vesting date, except in certain earlier terminations involving Retirement, Involuntary Termination (Not for Cause), Disability, Change-in-Control Termination or Death (see “Termination of Service” below).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PSUs may also be forfeited and value realized from previously vested PSUs may be recouped by the Company under certain circumstances (see “Forfeiture of Award and Repayment of Realized Gains” below).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Payment / Conversion of PSUs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Vested PSUs will be converted into shares of Common Stock to be delivered to the Participant as soon as administratively practicable following the vesting date and, when the Committee determines if, and to what extent, PSUs have vested as a result of the achievement of Performance Goals. If Performance Goals are not met, the PSUs that do not vest will be cancelled without value. PSUs may instead be paid in cash if the Committee so determines, including where local law restricts the distribution of Common Stock.</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 </w:t>
      </w:r>
    </w:p>
    <w:p>
      <w:pPr>
        <w:pStyle w:val="TextBody"/>
        <w:bidi w:val="0"/>
        <w:spacing w:lineRule="auto" w:line="304" w:before="0" w:after="240"/>
        <w:jc w:val="left"/>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Termination Date.</w:t>
      </w:r>
      <w:r>
        <w:rPr>
          <w:color w:val="221E1F"/>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4660"/>
                <wp:effectExtent l="0" t="0" r="0" b="0"/>
                <wp:wrapNone/>
                <wp:docPr id="82" name="Frame82"/>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PSUs held for at least one year as of the Termination Date will remain outstanding and eligible to vest on the originally scheduled vest date, if and to the extent the Committee determines that Performance Goals have been achieved. Upon vest, PSUs will be converted into shares of Common Stock (or cash) to be delivered to the Participant as soon as administratively practicable thereafter. For this purpose, Retirement means either Normal Retirement or Early Retirement as defined below: </w:t>
      </w:r>
    </w:p>
    <w:p>
      <w:pPr>
        <w:pStyle w:val="TextBody"/>
        <w:bidi w:val="0"/>
        <w:spacing w:lineRule="auto" w:line="304" w:before="0" w:after="240"/>
        <w:ind w:left="0" w:right="0" w:hanging="360"/>
        <w:jc w:val="left"/>
        <w:rPr/>
      </w:pPr>
      <w:r>
        <w:rPr>
          <w:color w:val="221E1F"/>
        </w:rPr>
        <w:t>•“</w:t>
      </w:r>
      <w:r>
        <w:rPr>
          <w:rFonts w:ascii="Arial;sans-serif" w:hAnsi="Arial;sans-serif"/>
          <w:b w:val="false"/>
          <w:color w:val="221E1F"/>
          <w:sz w:val="22"/>
        </w:rPr>
        <w:t xml:space="preserve">Normal Retirement” means retirement on or after age 65; </w:t>
      </w:r>
    </w:p>
    <w:p>
      <w:pPr>
        <w:pStyle w:val="TextBody"/>
        <w:bidi w:val="0"/>
        <w:spacing w:lineRule="auto" w:line="304" w:before="0" w:after="240"/>
        <w:ind w:left="0" w:right="0" w:hanging="360"/>
        <w:jc w:val="left"/>
        <w:rPr/>
      </w:pPr>
      <w:r>
        <w:rPr>
          <w:color w:val="221E1F"/>
        </w:rPr>
        <w:t>•“</w:t>
      </w:r>
      <w:r>
        <w:rPr>
          <w:rFonts w:ascii="Arial;sans-serif" w:hAnsi="Arial;sans-serif"/>
          <w:b w:val="false"/>
          <w:color w:val="221E1F"/>
          <w:sz w:val="22"/>
        </w:rPr>
        <w:t>Early Retirement” means retirement on or after: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RTX Savings Plan. The calculation to determine Early Retirement will include partial years, rounded down to the nearest full month.</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A Participant will not receive Retirement treatment with respect to any Award in the event of involuntary termination by the Company for Cause.</w:t>
      </w:r>
    </w:p>
    <w:p>
      <w:pPr>
        <w:pStyle w:val="TextBody"/>
        <w:bidi w:val="0"/>
        <w:spacing w:lineRule="auto" w:line="304" w:before="0" w:after="0"/>
        <w:jc w:val="left"/>
        <w:rPr/>
      </w:pPr>
      <w:r>
        <w:rPr>
          <w:rFonts w:ascii="Arial;sans-serif" w:hAnsi="Arial;sans-serif"/>
          <w:b/>
          <w:color w:val="000000"/>
          <w:sz w:val="22"/>
        </w:rPr>
        <w:t>Involuntary Termination for Cause.</w:t>
      </w:r>
      <w:r>
        <w:rPr>
          <w:color w:val="000000"/>
        </w:rPr>
        <w:t xml:space="preserve"> </w:t>
      </w:r>
      <w:r>
        <w:rPr>
          <w:rFonts w:ascii="Arial;sans-serif" w:hAnsi="Arial;sans-serif"/>
          <w:b w:val="false"/>
          <w:color w:val="000000"/>
          <w:sz w:val="22"/>
        </w:rPr>
        <w:t>If the Participant’s termination results from an involuntary termination by the Company for Cause (as defined in the LTIP), unvested PSUs will be forfeited as of the Termination Date regardless of the Participant’s Retirement eligibility. In addition, value realized from previously vested PSUs is subject to repayment in the event of termination for Cause or certain other occurrences (see “Forfeiture of Award and Repayment of Realized Gains”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Involuntary Termination.</w:t>
      </w:r>
      <w:r>
        <w:rPr>
          <w:color w:val="000000"/>
        </w:rPr>
        <w:t xml:space="preserve"> </w:t>
      </w:r>
      <w:r>
        <w:rPr>
          <w:rFonts w:ascii="Arial;sans-serif" w:hAnsi="Arial;sans-serif"/>
          <w:b w:val="false"/>
          <w:color w:val="000000"/>
          <w:sz w:val="22"/>
        </w:rPr>
        <w:t xml:space="preserve">If the Participant’s termination results from an involuntary termination by the Company for reasons other 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sans-serif" w:hAnsi="Arial;sans-serif"/>
          <w:b w:val="false"/>
          <w:color w:val="221E1F"/>
          <w:sz w:val="22"/>
        </w:rPr>
        <w:t xml:space="preserve">The pro-rata PSUs will remain outstanding and eligible to vest on the originally scheduled vest date, following the Committee’s certification of performance results, per the terms of the Award. </w:t>
      </w:r>
      <w:r>
        <w:rPr>
          <w:rFonts w:ascii="Arial;sans-serif" w:hAnsi="Arial;sans-serif"/>
          <w:b w:val="false"/>
          <w:color w:val="000000"/>
          <w:sz w:val="22"/>
        </w:rPr>
        <w:t xml:space="preserve">PSUs not deemed eligible to vest under this pro-rata vesting formula will be forfeited as of the Termination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Absences from employment because of notice periods, garden leaves, or similar paid leaves associated with a Termination of Service will not be recognized as service in determining the pro-rata vesting percentage.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4660"/>
                <wp:effectExtent l="0" t="0" r="0" b="0"/>
                <wp:wrapNone/>
                <wp:docPr id="83" name="Frame83"/>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221E1F"/>
          <w:sz w:val="22"/>
        </w:rPr>
        <w:t xml:space="preserve">Pro-rata vesting eligibility will occur for involuntary terminations resulting from </w:t>
      </w:r>
      <w:r>
        <w:rPr>
          <w:rFonts w:ascii="Arial;sans-serif" w:hAnsi="Arial;sans-serif"/>
          <w:b w:val="false"/>
          <w:color w:val="000000"/>
          <w:sz w:val="22"/>
        </w:rPr>
        <w:t xml:space="preserve">workforce reductions, location closings, restructurings, layoffs, or similar events, as determined by the Committee or its delegate.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PSUs.</w:t>
      </w:r>
    </w:p>
    <w:p>
      <w:pPr>
        <w:pStyle w:val="TextBody"/>
        <w:bidi w:val="0"/>
        <w:spacing w:lineRule="auto" w:line="304" w:before="0" w:after="240"/>
        <w:jc w:val="left"/>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unvested PSUs will not be forfeited while a Participant remains disabled under a Company-sponsored long-term disability plan. Unvested PSUs will remain eligible to vest on the earlier of (1) the vesting date specified in the Award Agreement; or (2) 29 months following the date a Participant incurs a Disability. </w:t>
      </w:r>
    </w:p>
    <w:p>
      <w:pPr>
        <w:pStyle w:val="TextBody"/>
        <w:bidi w:val="0"/>
        <w:spacing w:lineRule="auto" w:line="304" w:before="0" w:after="240"/>
        <w:jc w:val="left"/>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PSUs will remain eligible to vest during the period of leave, subject to the Participant’s continued employment with the Company through the applicable performance measurement period and vesting date and t</w:t>
      </w:r>
      <w:r>
        <w:rPr>
          <w:rFonts w:ascii="Arial;sans-serif" w:hAnsi="Arial;sans-serif"/>
          <w:b w:val="false"/>
          <w:color w:val="000000"/>
          <w:sz w:val="22"/>
        </w:rPr>
        <w:t>he Committee’s certification of performance results.</w:t>
      </w:r>
      <w:r>
        <w:rPr>
          <w:color w:val="221E1F"/>
        </w:rPr>
        <w:t xml:space="preserve"> </w:t>
      </w:r>
    </w:p>
    <w:p>
      <w:pPr>
        <w:pStyle w:val="TextBody"/>
        <w:bidi w:val="0"/>
        <w:spacing w:lineRule="auto" w:line="304" w:before="0" w:after="240"/>
        <w:jc w:val="left"/>
        <w:rPr/>
      </w:pPr>
      <w:r>
        <w:rPr>
          <w:rFonts w:ascii="Arial;sans-serif" w:hAnsi="Arial;sans-serif"/>
          <w:b/>
          <w:color w:val="221E1F"/>
          <w:sz w:val="22"/>
        </w:rPr>
        <w:t>Death.</w:t>
      </w:r>
      <w:r>
        <w:rPr>
          <w:color w:val="221E1F"/>
        </w:rPr>
        <w:t xml:space="preserve"> </w:t>
      </w:r>
      <w:r>
        <w:rPr>
          <w:rFonts w:ascii="Arial;sans-serif" w:hAnsi="Arial;sans-serif"/>
          <w:b w:val="false"/>
          <w:color w:val="221E1F"/>
          <w:sz w:val="22"/>
        </w:rPr>
        <w:t xml:space="preserve">If a Participant dies while actively employed by the Company, or on Disability, all PSUs will vest as of the date of death and be converted (at target performance) to shares of Common Stock to be delivered to the Participant’s estate, net of taxes (where applicable), as soon as administratively practicable. </w:t>
      </w:r>
    </w:p>
    <w:p>
      <w:pPr>
        <w:pStyle w:val="TextBody"/>
        <w:bidi w:val="0"/>
        <w:spacing w:lineRule="auto" w:line="288" w:before="0" w:after="0"/>
        <w:jc w:val="left"/>
        <w:rPr/>
      </w:pPr>
      <w:r>
        <w:rPr>
          <w:rFonts w:ascii="Arial;sans-serif" w:hAnsi="Arial;sans-serif"/>
          <w:b/>
          <w:color w:val="221E1F"/>
          <w:sz w:val="22"/>
        </w:rPr>
        <w:t xml:space="preserve">Change-in-Control Termination.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PSUs will vest at the greater of: (1) the applicable target level performance as of the Termination Date; or (2)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Specified Employees.</w:t>
      </w:r>
      <w:r>
        <w:rPr>
          <w:color w:val="221E1F"/>
        </w:rPr>
        <w:t xml:space="preserve"> </w:t>
      </w:r>
      <w:r>
        <w:rPr>
          <w:rFonts w:ascii="Arial;sans-serif" w:hAnsi="Arial;sans-serif"/>
          <w:b w:val="false"/>
          <w:color w:val="221E1F"/>
          <w:sz w:val="22"/>
        </w:rPr>
        <w:t xml:space="preserve">If a Participant is a “specified employee” within the meaning of Section 409A of the Code (i.e., generally the fifty highest paid employees, as determined by the Company) at the time of the Participant’s Termination of Service, and PSUs are accelerated and will vest by reason of such Participant’s Termination of Service (e.g., Change-in-Control Termination), then, to the extent necessary to avoid the application of any additional tax or penalty under IRC Section 409A and consistent with the terms of the Plan, PSUs will be held in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4660"/>
                <wp:effectExtent l="0" t="0" r="0" b="0"/>
                <wp:wrapNone/>
                <wp:docPr id="84" name="Frame84"/>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Participant’s UBS account and will vest on the first day of the seventh month following the Participant’s Termination Date. Upon vest, PSUs will convert into an equal number of shares of Common Stock (or cash). The value of the PSUs will be determined as of the vest date. </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304" w:before="0" w:after="0"/>
        <w:jc w:val="left"/>
        <w:rPr/>
      </w:pPr>
      <w:r>
        <w:rPr>
          <w:rFonts w:ascii="Arial;sans-serif" w:hAnsi="Arial;sans-serif"/>
          <w:b w:val="false"/>
          <w:color w:val="221E1F"/>
          <w:sz w:val="22"/>
        </w:rPr>
        <w:t xml:space="preserve">PSU Awards, including Common Stock delivered for vested PSUs, are subject to the applicable RTX Corporation Clawback Policy, as amended from time to time, available at </w:t>
      </w:r>
      <w:r>
        <w:rPr>
          <w:rFonts w:ascii="Arial;sans-serif" w:hAnsi="Arial;sans-serif"/>
          <w:b w:val="false"/>
          <w:color w:val="3051F2"/>
          <w:sz w:val="22"/>
          <w:u w:val="single"/>
        </w:rPr>
        <w:t>www.rtx.com</w:t>
      </w:r>
      <w:r>
        <w:rPr>
          <w:rFonts w:ascii="Arial;sans-serif" w:hAnsi="Arial;sans-serif"/>
          <w:b w:val="false"/>
          <w:color w:val="221E1F"/>
          <w:sz w:val="22"/>
        </w:rPr>
        <w:t xml:space="preserve">. PSUs will be immediately forfeited and a Participant may be obligated to repay to the Company the value realized from previously vested PSUs upon the occurrence of any of the following events: </w:t>
      </w:r>
    </w:p>
    <w:p>
      <w:pPr>
        <w:pStyle w:val="TextBody"/>
        <w:bidi w:val="0"/>
        <w:spacing w:before="0" w:after="0"/>
        <w:jc w:val="left"/>
        <w:rPr/>
      </w:pPr>
      <w:r>
        <w:rPr/>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(ii)The Committee determines that Award vesting was based on incorrect performance measurement calculations. In such event, vesting (and recoupment, if applicable) will be adjusted consistent with the actual corrected results;</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(iii)Within three-years following a Participant’s Termination Date, the Committee determines that the Participant engaged in conduct that could have constituted the basis for a Termination for Cause;</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(v)Within twenty-four months following a Participant’s Termination Date, the Participant: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(B)Publicly disparages the Company, its employees, directors, products, or otherwise makes a public statement that is materially detrimental to the interests of the Company or such individuals;</w:t>
      </w:r>
    </w:p>
    <w:p>
      <w:pPr>
        <w:pStyle w:val="TextBody"/>
        <w:bidi w:val="0"/>
        <w:spacing w:lineRule="auto" w:line="304" w:before="100" w:after="100"/>
        <w:ind w:left="0" w:right="0" w:hanging="360"/>
        <w:jc w:val="left"/>
        <w:rPr>
          <w:rFonts w:ascii="Arial;sans-serif" w:hAnsi="Arial;sans-serif"/>
          <w:b w:val="false"/>
          <w:color w:val="000000"/>
          <w:sz w:val="22"/>
        </w:rPr>
      </w:pPr>
      <w:r>
        <w:rPr>
          <w:rFonts w:ascii="Arial;sans-serif" w:hAnsi="Arial;sans-serif"/>
          <w:b w:val="false"/>
          <w:color w:val="000000"/>
          <w:sz w:val="22"/>
        </w:rPr>
        <w:t xml:space="preserve">(vi) Except where prohibited by law, including the state of California, at any time during the twelve-month period following a Participant’s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4660"/>
                <wp:effectExtent l="0" t="0" r="0" b="0"/>
                <wp:wrapNone/>
                <wp:docPr id="85" name="Frame85"/>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0"/>
        <w:ind w:left="0" w:right="0" w:hanging="360"/>
        <w:jc w:val="left"/>
        <w:rPr>
          <w:rFonts w:ascii="Arial;sans-serif" w:hAnsi="Arial;sans-serif"/>
          <w:b w:val="false"/>
          <w:color w:val="000000"/>
          <w:sz w:val="22"/>
        </w:rPr>
      </w:pPr>
      <w:r>
        <w:rPr>
          <w:rFonts w:ascii="Arial;sans-serif" w:hAnsi="Arial;sans-serif"/>
          <w:b w:val="false"/>
          <w:color w:val="000000"/>
          <w:sz w:val="22"/>
        </w:rPr>
        <w:t>(vii) 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before="0" w:after="0"/>
        <w:jc w:val="left"/>
        <w:rPr/>
      </w:pPr>
      <w:r>
        <w:rPr/>
      </w:r>
    </w:p>
    <w:p>
      <w:pPr>
        <w:pStyle w:val="TextBody"/>
        <w:bidi w:val="0"/>
        <w:spacing w:lineRule="auto" w:line="304" w:before="0" w:after="240"/>
        <w:ind w:left="0" w:right="0" w:hanging="540"/>
        <w:jc w:val="left"/>
        <w:rPr/>
      </w:pPr>
      <w:r>
        <w:rPr>
          <w:rFonts w:ascii="Arial;sans-serif" w:hAnsi="Arial;sans-serif"/>
          <w:b w:val="false"/>
          <w:color w:val="000000"/>
          <w:sz w:val="22"/>
        </w:rPr>
        <w:t>(viii)</w:t>
      </w:r>
      <w:r>
        <w:rPr>
          <w:color w:val="000000"/>
        </w:rPr>
        <w:t xml:space="preserve"> </w:t>
      </w:r>
      <w:r>
        <w:rPr>
          <w:rFonts w:ascii="Arial;sans-serif" w:hAnsi="Arial;sans-serif"/>
          <w:b w:val="false"/>
          <w:color w:val="000000"/>
          <w:sz w:val="22"/>
        </w:rPr>
        <w:t xml:space="preserve">A Participant’s misappropriation of RTX Intellectual Property or violation of his/her Intellectual Property (IP) Agreement. </w:t>
      </w:r>
    </w:p>
    <w:p>
      <w:pPr>
        <w:pStyle w:val="TextBody"/>
        <w:bidi w:val="0"/>
        <w:spacing w:lineRule="auto" w:line="304" w:before="0" w:after="0"/>
        <w:jc w:val="left"/>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 PSU Award under item (iv) above, without regard to whether a restatement is attributable to the Participant’s actions, as appropriate and determined at the Committee’s sole discretion.</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w:t>
      </w:r>
      <w:r>
        <w:rPr>
          <w:rFonts w:ascii="Arial;sans-serif" w:hAnsi="Arial;sans-serif"/>
          <w:b w:val="false"/>
          <w:color w:val="221E1F"/>
          <w:sz w:val="22"/>
        </w:rPr>
        <w:t xml:space="preserve">the applicable RTX Clawback Policy, available at </w:t>
      </w:r>
      <w:r>
        <w:rPr>
          <w:rFonts w:ascii="Arial;sans-serif" w:hAnsi="Arial;sans-serif"/>
          <w:b w:val="false"/>
          <w:color w:val="0000FF"/>
          <w:sz w:val="22"/>
          <w:u w:val="single"/>
        </w:rPr>
        <w:t>www.rtx.com</w:t>
      </w:r>
      <w:r>
        <w:rPr>
          <w:rFonts w:ascii="Arial;sans-serif" w:hAnsi="Arial;sans-serif"/>
          <w:b w:val="false"/>
          <w:color w:val="221E1F"/>
          <w:sz w:val="22"/>
        </w:rPr>
        <w:t>.</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Adjustments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PSU Awards may be adjusted as determined by the Committee, in its sole discretion.</w:t>
      </w:r>
    </w:p>
    <w:p>
      <w:pPr>
        <w:pStyle w:val="TextBody"/>
        <w:bidi w:val="0"/>
        <w:spacing w:lineRule="auto" w:line="304" w:before="0" w:after="240"/>
        <w:jc w:val="left"/>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288" w:before="0" w:after="0"/>
        <w:jc w:val="left"/>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 Performance Goals, as the Committee may deem appropriate. Further details concerning Change-in-Control are set forth in Section 10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21E1F"/>
          <w:sz w:val="22"/>
        </w:rPr>
      </w:pPr>
      <w:r>
        <w:rPr>
          <w:rFonts w:ascii="Arial;sans-serif" w:hAnsi="Arial;sans-serif"/>
          <w:b/>
          <w:color w:val="221E1F"/>
          <w:sz w:val="22"/>
        </w:rPr>
        <w:t>Awards Not to Affect Certain Transactions</w:t>
      </w:r>
    </w:p>
    <w:p>
      <w:pPr>
        <w:pStyle w:val="TextBody"/>
        <w:bidi w:val="0"/>
        <w:spacing w:before="0" w:after="0"/>
        <w:jc w:val="left"/>
        <w:rPr/>
      </w:pPr>
      <w:r>
        <w:rPr/>
      </w:r>
    </w:p>
    <w:p>
      <w:pPr>
        <w:pStyle w:val="TextBody"/>
        <w:bidi w:val="0"/>
        <w:spacing w:lineRule="auto" w:line="288"/>
        <w:jc w:val="left"/>
        <w:rPr>
          <w:rFonts w:ascii="Arial;sans-serif" w:hAnsi="Arial;sans-serif"/>
          <w:b w:val="false"/>
          <w:color w:val="221E1F"/>
          <w:sz w:val="22"/>
        </w:rPr>
      </w:pPr>
      <w:r>
        <w:rPr>
          <w:rFonts w:ascii="Arial;sans-serif" w:hAnsi="Arial;sans-serif"/>
          <w:b w:val="false"/>
          <w:color w:val="221E1F"/>
          <w:sz w:val="22"/>
        </w:rPr>
        <w:t xml:space="preserve">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4660"/>
                <wp:effectExtent l="0" t="0" r="0" b="0"/>
                <wp:wrapNone/>
                <wp:docPr id="86" name="Frame8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 xml:space="preserve">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21E1F"/>
          <w:sz w:val="22"/>
        </w:rPr>
      </w:pPr>
      <w:r>
        <w:rPr>
          <w:rFonts w:ascii="Arial;sans-serif" w:hAnsi="Arial;sans-serif"/>
          <w:b/>
          <w:color w:val="221E1F"/>
          <w:sz w:val="22"/>
        </w:rPr>
        <w:t>Taxes / Withholding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In those countries where there is no 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21E1F"/>
          <w:sz w:val="22"/>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PSU Award; and (ii) with respect to any other Tax-Related Items, the Company shall satisfy the withholding obligation by withholding shares of Common Stock converted from PSUs under the Award having a Fair Market Value on the date of withholding equal to the amount required to be withheld for tax purposes (calculated using the minimum statutory withholding rate, except as otherwise approved by the Committee, or its delegate). Provided for both items (i) and (ii) above, t</w:t>
      </w:r>
      <w:r>
        <w:rPr>
          <w:rFonts w:ascii="Arial;sans-serif" w:hAnsi="Arial;sans-serif"/>
          <w:b w:val="false"/>
          <w:color w:val="000000"/>
          <w:sz w:val="22"/>
        </w:rPr>
        <w:t>he Committee retains the right to determine an alternative method of withholding for the Participant, at its sole discretion, provided in all cases, such determination shall be made by the Committee prior to the Tax-Related Items withholding event.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Deferral of Gain (U.S. based executives)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If an opportunity to defer PSUs is offered for this 2024 grant, a Participant who is qualified to participate in the Company’s Performance Share Unit Deferral Plan may irrevocably elect to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4660"/>
                <wp:effectExtent l="0" t="0" r="0" b="0"/>
                <wp:wrapNone/>
                <wp:docPr id="87" name="Frame87"/>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defer the conversion of vested PSUs into shares of Common Stock to a date that is at least five years after the scheduled vesting date. The election to defer the conversion of shares must be made no later than the end of the second year of the performance measurement period, or such earlier date as may be specified by the Committee. Vested PSUs subject to a deferral election will be converted to unfunded deferred share units (“DSUs”) that will convert into shares of Common Stock on the distribution date as specified in the deferral election and the Performance Share Unit Deferral Plan. DSUs will be credited with dividend equivalent units when the Company pays a dividend to shareholders, which will be deferred and invested in additional DSUs. Under U.S. income tax law, a Participant will generally not be taxed until the DSUs are converted to shares of Common Stock and distributed. DSUs will not be funded by the Company. In this regard, a Participant’s rights to DSUs are those of a general unsecured creditor of the Company. Details of the deferral of PSUs into DSUs will be provided with election materials. The opportunity to make such an election is subject to the discretion of the Committee and changes in Federal tax law. The Committee reserves the right to determine whether a deferral election will be offered to Participants with respect to an annual award of PSUs, and to discontinue offering PSU deferral elections at any time for any reason it deems appropriate in its sole discretion.</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Nonassignability</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No assignment or transfer of any right or interest of a Participant in any PSU Award, whether voluntary or involuntary, by operation of law or otherwise, is permitted except by will or the laws of descent and distribution. Any other attempt to assign such rights or interest shall be void and without force or effect.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Nature of Payments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the Corporate Vice President, Total Rewards (or successor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4660"/>
                <wp:effectExtent l="0" t="0" r="0" b="0"/>
                <wp:wrapNone/>
                <wp:docPr id="88" name="Frame88"/>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 on any matter related to an Award shall be binding, final, and conclusive on all parties in interest.</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Company Compliance Policies</w:t>
      </w:r>
    </w:p>
    <w:p>
      <w:pPr>
        <w:pStyle w:val="TextBody"/>
        <w:bidi w:val="0"/>
        <w:spacing w:lineRule="auto" w:line="304" w:before="0" w:after="240"/>
        <w:jc w:val="left"/>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221E1F"/>
          <w:sz w:val="22"/>
        </w:rPr>
        <w:t>. 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304" w:before="0" w:after="240"/>
        <w:jc w:val="left"/>
        <w:rPr/>
      </w:pPr>
      <w:r>
        <w:rPr>
          <w:rFonts w:ascii="Arial;sans-serif" w:hAnsi="Arial;sans-serif"/>
          <w:b w:val="false"/>
          <w:color w:val="221E1F"/>
          <w:sz w:val="22"/>
        </w:rPr>
        <w:t xml:space="preserve">This Schedule of Terms provides a summary of terms applicable to the PSU Award. This Schedule of Terms and each Award Agreement are subject in all respects to the terms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 xml:space="preserve">.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4660"/>
                <wp:effectExtent l="0" t="0" r="0" b="0"/>
                <wp:wrapNone/>
                <wp:docPr id="89" name="Frame89"/>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translated into a language other than English and a conflict arises between the English and translated version, the English version will control.</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Additional Information </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p>
    <w:p>
      <w:pPr>
        <w:pStyle w:val="TextBody"/>
        <w:bidi w:val="0"/>
        <w:spacing w:lineRule="auto" w:line="276" w:before="0" w:after="240"/>
        <w:jc w:val="left"/>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54660"/>
                <wp:effectExtent l="0" t="0" r="0" b="0"/>
                <wp:wrapNone/>
                <wp:docPr id="90" name="Frame9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Appendix A: 2024 PSU Performance Goals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The table below illustrates the Performance Goals for the 2024-2026 performance cycle.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Threshold, target and maximum Performance Goals each have a corresponding payout percentage, and each metric is measured and funded independently. Performance below the threshold level will result in 0% payout, while performance above the maximum level cannot exceed the maximum payout level. Performance that falls between the threshold, target and maximum levels will results in a payout that is based on a straight line interpolated between the applicable levels.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final Performance Factor will be based on the Company’s actual achievement against these Performance Goals at the conclusion of the award’s performance cycle and will equal the sum of the four payout percentages after weighting is applied.</w:t>
      </w:r>
    </w:p>
    <w:p>
      <w:pPr>
        <w:pStyle w:val="TextBody"/>
        <w:bidi w:val="0"/>
        <w:spacing w:before="0" w:after="0"/>
        <w:jc w:val="left"/>
        <w:rPr/>
      </w:pPr>
      <w:r>
        <w:rPr/>
      </w:r>
    </w:p>
    <w:tbl>
      <w:tblPr>
        <w:tblW w:w="9747" w:type="dxa"/>
        <w:jc w:val="left"/>
        <w:tblInd w:w="0" w:type="dxa"/>
        <w:tblLayout w:type="fixed"/>
        <w:tblCellMar>
          <w:top w:w="28" w:type="dxa"/>
          <w:left w:w="28" w:type="dxa"/>
          <w:bottom w:w="28" w:type="dxa"/>
          <w:right w:w="28" w:type="dxa"/>
        </w:tblCellMar>
      </w:tblPr>
      <w:tblGrid>
        <w:gridCol w:w="959"/>
        <w:gridCol w:w="843"/>
        <w:gridCol w:w="852"/>
        <w:gridCol w:w="230"/>
        <w:gridCol w:w="230"/>
        <w:gridCol w:w="231"/>
        <w:gridCol w:w="414"/>
        <w:gridCol w:w="414"/>
        <w:gridCol w:w="416"/>
        <w:gridCol w:w="413"/>
        <w:gridCol w:w="413"/>
        <w:gridCol w:w="418"/>
        <w:gridCol w:w="408"/>
        <w:gridCol w:w="408"/>
        <w:gridCol w:w="429"/>
        <w:gridCol w:w="320"/>
        <w:gridCol w:w="320"/>
        <w:gridCol w:w="321"/>
        <w:gridCol w:w="239"/>
        <w:gridCol w:w="239"/>
        <w:gridCol w:w="239"/>
        <w:gridCol w:w="290"/>
        <w:gridCol w:w="290"/>
        <w:gridCol w:w="411"/>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4" w:type="dxa"/>
            <w:gridSpan w:val="3"/>
            <w:vMerge w:val="restart"/>
            <w:tcBorders>
              <w:top w:val="single" w:sz="4" w:space="0" w:color="000000"/>
              <w:left w:val="single" w:sz="4" w:space="0" w:color="000000"/>
              <w:right w:val="single" w:sz="4" w:space="0" w:color="000000"/>
            </w:tcBorders>
            <w:shd w:fill="C00000" w:val="clear"/>
            <w:tcMar>
              <w:top w:w="30" w:type="dxa"/>
              <w:left w:w="140" w:type="dxa"/>
              <w:bottom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Metric</w:t>
            </w:r>
          </w:p>
        </w:tc>
        <w:tc>
          <w:tcPr>
            <w:tcW w:w="691" w:type="dxa"/>
            <w:gridSpan w:val="3"/>
            <w:vMerge w:val="restart"/>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w:t>
            </w:r>
          </w:p>
        </w:tc>
        <w:tc>
          <w:tcPr>
            <w:tcW w:w="3733" w:type="dxa"/>
            <w:gridSpan w:val="9"/>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Performance Goals</w:t>
            </w:r>
          </w:p>
        </w:tc>
        <w:tc>
          <w:tcPr>
            <w:tcW w:w="2669" w:type="dxa"/>
            <w:gridSpan w:val="9"/>
            <w:tcBorders>
              <w:top w:val="single" w:sz="4" w:space="0" w:color="000000"/>
              <w:left w:val="single" w:sz="4" w:space="0" w:color="000000"/>
              <w:right w:val="single" w:sz="4" w:space="0" w:color="000000"/>
            </w:tcBorders>
            <w:shd w:fill="C00000" w:val="clear"/>
            <w:tcMar>
              <w:top w:w="30" w:type="dxa"/>
              <w:bottom w:w="0" w:type="dxa"/>
            </w:tcMar>
            <w:vAlign w:val="center"/>
          </w:tcPr>
          <w:p>
            <w:pPr>
              <w:pStyle w:val="TableContents"/>
              <w:bidi w:val="0"/>
              <w:spacing w:lineRule="auto" w:line="288" w:before="0" w:after="0"/>
              <w:ind w:left="0" w:right="0" w:firstLine="3"/>
              <w:jc w:val="center"/>
              <w:rPr>
                <w:rFonts w:ascii="Arial;sans-serif" w:hAnsi="Arial;sans-serif"/>
                <w:b/>
                <w:color w:val="FFFFFF"/>
                <w:sz w:val="18"/>
              </w:rPr>
            </w:pPr>
            <w:r>
              <w:rPr>
                <w:rFonts w:ascii="Arial;sans-serif" w:hAnsi="Arial;sans-serif"/>
                <w:b/>
                <w:color w:val="FFFFFF"/>
                <w:sz w:val="18"/>
              </w:rPr>
              <w:t>Payout (as a % of target)</w:t>
            </w:r>
          </w:p>
        </w:tc>
      </w:tr>
      <w:tr>
        <w:trPr/>
        <w:tc>
          <w:tcPr>
            <w:tcW w:w="2654" w:type="dxa"/>
            <w:gridSpan w:val="3"/>
            <w:vMerge w:val="continue"/>
            <w:tcBorders>
              <w:top w:val="single" w:sz="4" w:space="0" w:color="000000"/>
              <w:left w:val="single" w:sz="4" w:space="0" w:color="000000"/>
              <w:right w:val="single" w:sz="4" w:space="0" w:color="000000"/>
            </w:tcBorders>
            <w:shd w:fill="C00000" w:val="clear"/>
            <w:tcMar>
              <w:top w:w="30" w:type="dxa"/>
              <w:left w:w="140" w:type="dxa"/>
              <w:bottom w:w="0" w:type="dxa"/>
            </w:tcMar>
            <w:vAlign w:val="center"/>
          </w:tcPr>
          <w:p>
            <w:pPr>
              <w:pStyle w:val="Normal"/>
              <w:bidi w:val="0"/>
              <w:jc w:val="left"/>
              <w:rPr/>
            </w:pPr>
            <w:r>
              <w:rPr/>
            </w:r>
          </w:p>
        </w:tc>
        <w:tc>
          <w:tcPr>
            <w:tcW w:w="691" w:type="dxa"/>
            <w:gridSpan w:val="3"/>
            <w:vMerge w:val="continue"/>
            <w:tcBorders>
              <w:top w:val="single" w:sz="4" w:space="0" w:color="000000"/>
              <w:left w:val="single" w:sz="4" w:space="0" w:color="000000"/>
            </w:tcBorders>
            <w:shd w:fill="C00000" w:val="clear"/>
            <w:tcMar>
              <w:top w:w="30" w:type="dxa"/>
              <w:bottom w:w="0" w:type="dxa"/>
              <w:right w:w="0" w:type="dxa"/>
            </w:tcMar>
            <w:vAlign w:val="center"/>
          </w:tcPr>
          <w:p>
            <w:pPr>
              <w:pStyle w:val="Normal"/>
              <w:bidi w:val="0"/>
              <w:jc w:val="left"/>
              <w:rPr/>
            </w:pPr>
            <w:r>
              <w:rPr/>
            </w:r>
          </w:p>
        </w:tc>
        <w:tc>
          <w:tcPr>
            <w:tcW w:w="1244"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1244"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1245"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c>
          <w:tcPr>
            <w:tcW w:w="961"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717"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991" w:type="dxa"/>
            <w:gridSpan w:val="3"/>
            <w:tcBorders>
              <w:top w:val="single" w:sz="4" w:space="0" w:color="000000"/>
              <w:left w:val="single" w:sz="4" w:space="0" w:color="000000"/>
              <w:right w:val="single" w:sz="4" w:space="0" w:color="000000"/>
            </w:tcBorders>
            <w:shd w:fill="C0000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r>
      <w:tr>
        <w:trPr/>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Adjusted EPS </w:t>
            </w:r>
            <w:r>
              <w:rPr>
                <w:rFonts w:ascii="Arial;sans-serif" w:hAnsi="Arial;sans-serif"/>
                <w:b w:val="false"/>
                <w:color w:val="000000"/>
                <w:sz w:val="12"/>
              </w:rPr>
              <w:t>(1)</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w:t>
            </w:r>
          </w:p>
        </w:tc>
        <w:tc>
          <w:tcPr>
            <w:tcW w:w="12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15.6%</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ROIC </w:t>
            </w:r>
            <w:r>
              <w:rPr>
                <w:rFonts w:ascii="Arial;sans-serif" w:hAnsi="Arial;sans-serif"/>
                <w:b w:val="false"/>
                <w:color w:val="000000"/>
                <w:sz w:val="12"/>
              </w:rPr>
              <w:t>(1)</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w:t>
            </w:r>
          </w:p>
        </w:tc>
        <w:tc>
          <w:tcPr>
            <w:tcW w:w="12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TSR vs. S&amp;P 500 companies </w:t>
            </w:r>
            <w:r>
              <w:rPr>
                <w:rFonts w:ascii="Arial;sans-serif" w:hAnsi="Arial;sans-serif"/>
                <w:b w:val="false"/>
                <w:color w:val="000000"/>
                <w:sz w:val="12"/>
              </w:rPr>
              <w:t>(2)</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25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50</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75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TSR vs. A&amp;D peers</w:t>
            </w:r>
            <w:r>
              <w:rPr>
                <w:color w:val="000000"/>
              </w:rPr>
              <w:t xml:space="preserve"> </w:t>
            </w:r>
            <w:r>
              <w:rPr>
                <w:rFonts w:ascii="Arial;sans-serif" w:hAnsi="Arial;sans-serif"/>
                <w:b w:val="false"/>
                <w:color w:val="000000"/>
                <w:sz w:val="12"/>
              </w:rPr>
              <w:t>(2)</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2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25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50</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75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88" w:before="120" w:after="60"/>
        <w:ind w:left="0" w:right="0" w:hanging="187"/>
        <w:jc w:val="left"/>
        <w:rPr>
          <w:rFonts w:ascii="Arial;sans-serif" w:hAnsi="Arial;sans-serif"/>
          <w:b w:val="false"/>
          <w:i/>
          <w:color w:val="000000"/>
          <w:sz w:val="14"/>
        </w:rPr>
      </w:pPr>
      <w:r>
        <w:rPr>
          <w:rFonts w:ascii="Arial;sans-serif" w:hAnsi="Arial;sans-serif"/>
          <w:b w:val="false"/>
          <w:i/>
          <w:color w:val="000000"/>
          <w:sz w:val="14"/>
        </w:rPr>
        <w:t>(1)Measurement period: January 1, 2024 through December 31, 2026</w:t>
      </w:r>
    </w:p>
    <w:p>
      <w:pPr>
        <w:pStyle w:val="TextBody"/>
        <w:bidi w:val="0"/>
        <w:spacing w:lineRule="auto" w:line="300" w:before="0" w:after="120"/>
        <w:ind w:left="0" w:right="0" w:hanging="187"/>
        <w:jc w:val="left"/>
        <w:rPr>
          <w:rFonts w:ascii="Arial;sans-serif" w:hAnsi="Arial;sans-serif"/>
          <w:b w:val="false"/>
          <w:i/>
          <w:color w:val="000000"/>
          <w:sz w:val="14"/>
        </w:rPr>
      </w:pPr>
      <w:r>
        <w:rPr>
          <w:rFonts w:ascii="Arial;sans-serif" w:hAnsi="Arial;sans-serif"/>
          <w:b w:val="false"/>
          <w:i/>
          <w:color w:val="000000"/>
          <w:sz w:val="14"/>
        </w:rPr>
        <w:t>(2)Measurement period: January 1, 2024 through December 31, 2026, calculated using the November/December average adjusted stock price prior to and at the end of the performance measurement period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54660"/>
                <wp:effectExtent l="0" t="0" r="0" b="0"/>
                <wp:wrapNone/>
                <wp:docPr id="91" name="Frame91"/>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40"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bidi w:val="0"/>
        <w:spacing w:before="0" w:after="0"/>
        <w:jc w:val="left"/>
        <w:rPr/>
      </w:pPr>
      <w:r>
        <w:rPr/>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Stock Appreciation Right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2024)</w:t>
      </w:r>
    </w:p>
    <w:p>
      <w:pPr>
        <w:pStyle w:val="TextBody"/>
        <w:bidi w:val="0"/>
        <w:spacing w:before="2000" w:after="283"/>
        <w:jc w:val="center"/>
        <w:rPr/>
      </w:pPr>
      <w:r>
        <w:rPr/>
      </w:r>
    </w:p>
    <w:p>
      <w:pPr>
        <w:pStyle w:val="TextBody"/>
        <w:bidi w:val="0"/>
        <w:spacing w:lineRule="auto" w:line="276" w:before="0" w:after="240"/>
        <w:jc w:val="left"/>
        <w:rPr/>
      </w:pPr>
      <w:r>
        <w:rPr>
          <w:rFonts w:ascii="Arial;sans-serif" w:hAnsi="Arial;sans-serif"/>
          <w:b w:val="false"/>
          <w:color w:val="000000"/>
          <w:sz w:val="20"/>
        </w:rPr>
        <w:t xml:space="preserve">This Schedule of Terms describes the material features of the Participant’s Stock Appreciation Right Award (the “SAR Award” or the “Award”) granted under the RTX Corporation 2018 Long-Term Incentive Plan, as amended and restated effective October 1, 2023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14960"/>
                <wp:effectExtent l="0" t="0" r="0" b="0"/>
                <wp:wrapNone/>
                <wp:docPr id="92" name="Frame9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Ce</w:t>
      </w:r>
      <w:r>
        <w:rPr>
          <w:rFonts w:ascii="Arial;sans-serif" w:hAnsi="Arial;sans-serif"/>
          <w:b/>
          <w:color w:val="000000"/>
          <w:sz w:val="22"/>
        </w:rPr>
        <w:t>rtain Definitions</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A Stock Appreciation Right (a “SAR”) represents the right to receive the appreciation in one share of Common Stock of RTX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number of SARs granted under the SAR Award and the SAR grant price are set forth in the Award Agreement. An LTIP Award recipient (a “Participant”) must affirmatively acknowledge and accept the terms and conditions of the SAR Award within 150 days following the Grant Date. A failure to acknowledge and accept the SAR Award subject to the LTIP and this Schedule of Terms, within such 150-day period may result in forfeiture of the SAR Award, effective as of the 150th day following the Grant Date.</w:t>
      </w:r>
    </w:p>
    <w:p>
      <w:pPr>
        <w:pStyle w:val="TextBody"/>
        <w:bidi w:val="0"/>
        <w:spacing w:lineRule="auto" w:line="304" w:before="0" w:after="240"/>
        <w:jc w:val="left"/>
        <w:rPr/>
      </w:pPr>
      <w:r>
        <w:rPr>
          <w:rFonts w:ascii="Arial;sans-serif" w:hAnsi="Arial;sans-serif"/>
          <w:b w:val="false"/>
          <w:color w:val="000000"/>
          <w:sz w:val="22"/>
        </w:rPr>
        <w:t xml:space="preserve">Participants must acknowledge and accept the terms and conditions of this SAR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Participants based in certain countries may be required to acknowledge and accept the terms and conditions of the SAR Award by signing and returning the designated hard copy portion of the Award Agreement to the Stock Plan Administrator. These countries currently include Russia, Turkey, Hungary, and Slovenia.</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Exercise Price (or “Grant Price”)</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The Grant Price represents the Fair Market Value of the Corporation’s Common Stock on the date of grant. “Fair Market Value” means, as of any given date, the closing price of the Common Stock on the New York Stock Exchange.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02285"/>
                <wp:effectExtent l="0" t="0" r="0" b="0"/>
                <wp:wrapNone/>
                <wp:docPr id="93" name="Frame9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1</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1</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Vesting and Expiration</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SARs may be exercised on or after the vesting date until the earlier of the: </w:t>
      </w:r>
    </w:p>
    <w:p>
      <w:pPr>
        <w:pStyle w:val="TextBody"/>
        <w:bidi w:val="0"/>
        <w:spacing w:lineRule="auto" w:line="304" w:before="0" w:after="240"/>
        <w:ind w:left="0" w:right="0" w:hanging="300"/>
        <w:jc w:val="left"/>
        <w:rPr>
          <w:rFonts w:ascii="Arial;sans-serif" w:hAnsi="Arial;sans-serif"/>
          <w:b w:val="false"/>
          <w:color w:val="221E1F"/>
          <w:sz w:val="22"/>
        </w:rPr>
      </w:pPr>
      <w:r>
        <w:rPr>
          <w:rFonts w:ascii="Arial;sans-serif" w:hAnsi="Arial;sans-serif"/>
          <w:b w:val="false"/>
          <w:color w:val="221E1F"/>
          <w:sz w:val="22"/>
        </w:rPr>
        <w:t xml:space="preserve">(i) Expiration date specified in the Award Agreement, at which time the SARs and all associated rights lapse; or </w:t>
      </w:r>
    </w:p>
    <w:p>
      <w:pPr>
        <w:pStyle w:val="TextBody"/>
        <w:bidi w:val="0"/>
        <w:spacing w:lineRule="auto" w:line="304" w:before="0" w:after="240"/>
        <w:ind w:left="0" w:right="0" w:hanging="300"/>
        <w:jc w:val="left"/>
        <w:rPr>
          <w:rFonts w:ascii="Arial;sans-serif" w:hAnsi="Arial;sans-serif"/>
          <w:b w:val="false"/>
          <w:color w:val="221E1F"/>
          <w:sz w:val="22"/>
        </w:rPr>
      </w:pPr>
      <w:r>
        <w:rPr>
          <w:rFonts w:ascii="Arial;sans-serif" w:hAnsi="Arial;sans-serif"/>
          <w:b w:val="false"/>
          <w:color w:val="221E1F"/>
          <w:sz w:val="22"/>
        </w:rPr>
        <w:t>(ii) Last day permitted on or following Termination of Service as specified in “Termination of Service” below.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SARs may also be forfeited, and value realized from exercised SARs may be recouped by the Company under certain circumstances (see “Forfeiture of Award and Repayment of Realized Gains” below).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holder of a SAR has no voting, dividend, or other rights accorded to owners of Common Stock, unless and until SARs are exercised and settled in Common Stock.</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Exercise and Payment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Company to the Participant with respect to expiration is provided as a courtesy only.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02285"/>
                <wp:effectExtent l="0" t="0" r="0" b="0"/>
                <wp:wrapNone/>
                <wp:docPr id="94" name="Frame9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2</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2</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 </w:t>
      </w:r>
    </w:p>
    <w:p>
      <w:pPr>
        <w:pStyle w:val="TextBody"/>
        <w:bidi w:val="0"/>
        <w:spacing w:lineRule="auto" w:line="328" w:before="0" w:after="240"/>
        <w:jc w:val="left"/>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bidi w:val="0"/>
        <w:spacing w:lineRule="auto" w:line="304"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SARs held for at least one year as of the Termination Date will vest and become exercisable. For this purpose, Retirement means either a Normal Retirement or Early Retirement as defined below: </w:t>
      </w:r>
    </w:p>
    <w:p>
      <w:pPr>
        <w:pStyle w:val="TextBody"/>
        <w:bidi w:val="0"/>
        <w:spacing w:lineRule="auto" w:line="304" w:before="0" w:after="240"/>
        <w:ind w:left="0" w:right="0" w:hanging="360"/>
        <w:jc w:val="left"/>
        <w:rPr/>
      </w:pPr>
      <w:r>
        <w:rPr>
          <w:color w:val="221E1F"/>
        </w:rPr>
        <w:t>•“</w:t>
      </w:r>
      <w:r>
        <w:rPr>
          <w:rFonts w:ascii="Arial;sans-serif" w:hAnsi="Arial;sans-serif"/>
          <w:b w:val="false"/>
          <w:color w:val="221E1F"/>
          <w:sz w:val="22"/>
        </w:rPr>
        <w:t xml:space="preserve">Normal Retirement” means retirement on or after age 65; </w:t>
      </w:r>
    </w:p>
    <w:p>
      <w:pPr>
        <w:pStyle w:val="TextBody"/>
        <w:bidi w:val="0"/>
        <w:spacing w:lineRule="auto" w:line="304" w:before="0" w:after="240"/>
        <w:ind w:left="0" w:right="0" w:hanging="360"/>
        <w:jc w:val="left"/>
        <w:rPr/>
      </w:pPr>
      <w:r>
        <w:rPr>
          <w:color w:val="221E1F"/>
        </w:rPr>
        <w:t>• “</w:t>
      </w:r>
      <w:r>
        <w:rPr>
          <w:rFonts w:ascii="Arial;sans-serif" w:hAnsi="Arial;sans-serif"/>
          <w:b w:val="false"/>
          <w:color w:val="221E1F"/>
          <w:sz w:val="22"/>
        </w:rPr>
        <w:t>Early Retirement” means retirement on or after: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Upon Retirement, vested SARs may be exercised as detailed in the chart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02285"/>
                <wp:effectExtent l="0" t="0" r="0" b="0"/>
                <wp:wrapNone/>
                <wp:docPr id="95" name="Frame9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3</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3</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2"/>
        <w:gridCol w:w="1197"/>
        <w:gridCol w:w="1203"/>
        <w:gridCol w:w="703"/>
        <w:gridCol w:w="703"/>
        <w:gridCol w:w="704"/>
        <w:gridCol w:w="1389"/>
        <w:gridCol w:w="1213"/>
        <w:gridCol w:w="1731"/>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Retirement Type</w:t>
            </w:r>
          </w:p>
        </w:tc>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Company Consents to Early Retirement *</w:t>
            </w:r>
          </w:p>
        </w:tc>
        <w:tc>
          <w:tcPr>
            <w:tcW w:w="43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Exercise Period</w:t>
            </w:r>
          </w:p>
        </w:tc>
      </w:tr>
      <w:tr>
        <w:trPr/>
        <w:tc>
          <w:tcPr>
            <w:tcW w:w="37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Normal Retirement (age 65)</w:t>
            </w:r>
          </w:p>
        </w:tc>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N/A</w:t>
            </w:r>
          </w:p>
        </w:tc>
        <w:tc>
          <w:tcPr>
            <w:tcW w:w="433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until the expiration of their term</w:t>
            </w:r>
          </w:p>
        </w:tc>
      </w:tr>
      <w:tr>
        <w:trPr/>
        <w:tc>
          <w:tcPr>
            <w:tcW w:w="3762"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55 + 10 years of continuous service as of the Termination Date</w:t>
            </w:r>
          </w:p>
        </w:tc>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33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until the expiration of their term</w:t>
            </w:r>
          </w:p>
        </w:tc>
      </w:tr>
      <w:tr>
        <w:trPr/>
        <w:tc>
          <w:tcPr>
            <w:tcW w:w="3762"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33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for three (3) years following the Termination Date or until the expiration of the SAR, whichever is earlier</w:t>
            </w:r>
          </w:p>
        </w:tc>
      </w:tr>
      <w:tr>
        <w:trPr/>
        <w:tc>
          <w:tcPr>
            <w:tcW w:w="3762"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50, but prior to age 55 + years of service = 65+ as of the Termination Date</w:t>
            </w:r>
          </w:p>
        </w:tc>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333" w:type="dxa"/>
            <w:gridSpan w:val="3"/>
            <w:tcBorders>
              <w:top w:val="single" w:sz="4" w:space="0" w:color="000000"/>
              <w:left w:val="single" w:sz="4" w:space="0" w:color="000000"/>
              <w:right w:val="single" w:sz="4" w:space="0" w:color="000000"/>
            </w:tcBorders>
            <w:tcMar>
              <w:top w:w="30" w:type="dxa"/>
              <w:left w:w="39"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 xml:space="preserve">SARs may be exercised for five (5) years following the Termination Date or until the expiration of the SAR, whichever is earlier </w:t>
            </w:r>
          </w:p>
        </w:tc>
      </w:tr>
      <w:tr>
        <w:trPr/>
        <w:tc>
          <w:tcPr>
            <w:tcW w:w="3762"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1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33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for three (3) years following the Termination Date or until the expiration of the SAR, whichever is earlier</w:t>
            </w:r>
          </w:p>
        </w:tc>
      </w:tr>
      <w:tr>
        <w:trPr/>
        <w:tc>
          <w:tcPr>
            <w:tcW w:w="1020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240"/>
              <w:ind w:left="0" w:right="0" w:hanging="157"/>
              <w:jc w:val="left"/>
              <w:rPr>
                <w:rFonts w:ascii="Arial;sans-serif" w:hAnsi="Arial;sans-serif"/>
                <w:b w:val="false"/>
                <w:color w:val="221E1F"/>
                <w:sz w:val="20"/>
              </w:rPr>
            </w:pPr>
            <w:r>
              <w:rPr>
                <w:rFonts w:ascii="Arial;sans-serif" w:hAnsi="Arial;sans-serif"/>
                <w:b w:val="false"/>
                <w:color w:val="221E1F"/>
                <w:sz w:val="20"/>
              </w:rPr>
              <w:t>* The Company’s consent to the Participant’s Retirement will be at the sole discretion of the Company based on its ability to effectively transition the Participant’s responsibilities as of the Termination Date and such other factors as it may deem appropriate.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RTX Savings Plan. The calculation to determine Early Retirement will include partial years, rounded down to the nearest full month.</w:t>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A Participant will not receive Retirement treatment with respect to any Award in the event of involuntary termination by the Company for Cause.</w:t>
      </w:r>
    </w:p>
    <w:p>
      <w:pPr>
        <w:pStyle w:val="TextBody"/>
        <w:bidi w:val="0"/>
        <w:spacing w:lineRule="auto" w:line="288" w:before="0" w:after="0"/>
        <w:jc w:val="left"/>
        <w:rPr/>
      </w:pPr>
      <w:r>
        <w:rPr>
          <w:rFonts w:ascii="Arial;sans-serif" w:hAnsi="Arial;sans-serif"/>
          <w:b/>
          <w:color w:val="221E1F"/>
          <w:sz w:val="22"/>
        </w:rPr>
        <w:t>Involuntary Termination for Cause.</w:t>
      </w:r>
      <w:r>
        <w:rPr>
          <w:color w:val="221E1F"/>
        </w:rPr>
        <w:t xml:space="preserve"> </w:t>
      </w:r>
      <w:r>
        <w:rPr>
          <w:rFonts w:ascii="Arial;sans-serif" w:hAnsi="Arial;sans-serif"/>
          <w:b w:val="false"/>
          <w:color w:val="221E1F"/>
          <w:sz w:val="22"/>
        </w:rPr>
        <w:t>If the Participant’s termination results from an involuntary termination by the Company for Cause (as defined in the LTIP), both vested and unvested SARs will be forfeited as of the Termination Date regardless of the Participant’s Retirement eligibility. In addition, value realized from previously exercised SARs may be subject to repayment in the event of termination for Cause or certain other occurrences (see “Forfeiture of Award and Repayment of Realized Gains” below).</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02285"/>
                <wp:effectExtent l="0" t="0" r="0" b="0"/>
                <wp:wrapNone/>
                <wp:docPr id="96" name="Frame9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4</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4</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 xml:space="preserve">the number of months worked during the vesting period, including partial months, relative to the full vesting period. SARs not vested under this pro-rata vesting formula will be forfeited as of the Termination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 xml:space="preserve">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pro-rata vesting percentage.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 xml:space="preserve">Pro-rata vesting will occur for involuntary terminations resulting from workforce reductions, location closings, restructurings, layoffs, or similar events, as determined by the Committee or its delegate.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Retirement eligible Participants will vest in accordance with the Retirement provisions set forth above. Change-in-Control Terminations are subject to vesting treatment as set forth in the Change-in-Control provisions below. </w:t>
      </w:r>
      <w:r>
        <w:rPr>
          <w:rFonts w:ascii="Arial;sans-serif" w:hAnsi="Arial;sans-serif"/>
          <w:b w:val="false"/>
          <w:color w:val="221E1F"/>
          <w:sz w:val="22"/>
        </w:rPr>
        <w:t>A Participant who is involuntarily terminated for Cause is not eligible for pro-rata vesting of Awards.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SARs. Vested SARs may be exercised for up to ninety (90) days from the Termination Date or until the expiration of the SAR (if earlier). Unexercised SARs will expire without value at the close of the NYSE on the ninetieth (90</w:t>
      </w:r>
      <w:r>
        <w:rPr>
          <w:rFonts w:ascii="Arial;sans-serif" w:hAnsi="Arial;sans-serif"/>
          <w:b w:val="false"/>
          <w:color w:val="221E1F"/>
          <w:sz w:val="14"/>
        </w:rPr>
        <w:t>th</w:t>
      </w:r>
      <w:r>
        <w:rPr>
          <w:rFonts w:ascii="Arial;sans-serif" w:hAnsi="Arial;sans-serif"/>
          <w:b w:val="false"/>
          <w:color w:val="221E1F"/>
          <w:sz w:val="22"/>
        </w:rPr>
        <w:t>) day following the Termination Date, or the expiration date, whichever comes first. In the event that the date falls on a weekend or market holiday, the SARs will be cancelled at the end of the last trading day prior to the 90</w:t>
      </w:r>
      <w:r>
        <w:rPr>
          <w:rFonts w:ascii="Arial;sans-serif" w:hAnsi="Arial;sans-serif"/>
          <w:b w:val="false"/>
          <w:color w:val="221E1F"/>
          <w:sz w:val="14"/>
        </w:rPr>
        <w:t>th</w:t>
      </w:r>
      <w:r>
        <w:rPr>
          <w:color w:val="221E1F"/>
        </w:rPr>
        <w:t xml:space="preserve"> </w:t>
      </w:r>
      <w:r>
        <w:rPr>
          <w:rFonts w:ascii="Arial;sans-serif" w:hAnsi="Arial;sans-serif"/>
          <w:b w:val="false"/>
          <w:color w:val="221E1F"/>
          <w:sz w:val="22"/>
        </w:rPr>
        <w:t>day.</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vested SARs may be exercised for up to three (3) years 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 (3) years following the vesting date. </w:t>
      </w:r>
    </w:p>
    <w:p>
      <w:pPr>
        <w:pStyle w:val="TextBody"/>
        <w:bidi w:val="0"/>
        <w:spacing w:lineRule="auto" w:line="304" w:before="0" w:after="240"/>
        <w:jc w:val="left"/>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SARs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bidi w:val="0"/>
        <w:spacing w:lineRule="auto" w:line="304" w:before="0" w:after="240"/>
        <w:jc w:val="left"/>
        <w:rPr/>
      </w:pPr>
      <w:r>
        <w:rPr>
          <w:rFonts w:ascii="Arial;sans-serif" w:hAnsi="Arial;sans-serif"/>
          <w:b/>
          <w:color w:val="221E1F"/>
          <w:sz w:val="22"/>
        </w:rPr>
        <w:t xml:space="preserve">Death. </w:t>
      </w:r>
      <w:r>
        <w:rPr>
          <w:rFonts w:ascii="Arial;sans-serif" w:hAnsi="Arial;sans-serif"/>
          <w:b w:val="false"/>
          <w:color w:val="221E1F"/>
          <w:sz w:val="22"/>
        </w:rPr>
        <w:t xml:space="preserve">If a Participant dies while actively employed by the Company, or on Disability, all unvested SARs will vest as of the date of death and become exercisable. A Participant’s estate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02285"/>
                <wp:effectExtent l="0" t="0" r="0" b="0"/>
                <wp:wrapNone/>
                <wp:docPr id="97" name="Frame9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5</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5</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 </w:t>
      </w:r>
    </w:p>
    <w:p>
      <w:pPr>
        <w:pStyle w:val="TextBody"/>
        <w:bidi w:val="0"/>
        <w:spacing w:lineRule="auto" w:line="304" w:before="0" w:after="240"/>
        <w:jc w:val="both"/>
        <w:rPr>
          <w:rFonts w:ascii="Arial;sans-serif" w:hAnsi="Arial;sans-serif"/>
          <w:b w:val="false"/>
          <w:color w:val="221E1F"/>
          <w:sz w:val="22"/>
        </w:rPr>
      </w:pPr>
      <w:r>
        <w:rPr>
          <w:rFonts w:ascii="Arial;sans-serif" w:hAnsi="Arial;sans-serif"/>
          <w:b w:val="false"/>
          <w:color w:val="221E1F"/>
          <w:sz w:val="22"/>
        </w:rPr>
        <w:t>Different tax rules may apply when the estate or heir exercises the deceased Participant’s SARs. A personal tax or financial advisor should be consulted under this scenario.</w:t>
      </w:r>
    </w:p>
    <w:p>
      <w:pPr>
        <w:pStyle w:val="TextBody"/>
        <w:bidi w:val="0"/>
        <w:spacing w:lineRule="auto" w:line="304" w:before="0" w:after="240"/>
        <w:jc w:val="left"/>
        <w:rPr/>
      </w:pPr>
      <w:r>
        <w:rPr>
          <w:rFonts w:ascii="Arial;sans-serif" w:hAnsi="Arial;sans-serif"/>
          <w:b/>
          <w:color w:val="000000"/>
          <w:sz w:val="22"/>
        </w:rPr>
        <w:t>Change-in-Control Termination.</w:t>
      </w:r>
      <w:r>
        <w:rPr>
          <w:color w:val="000000"/>
        </w:rPr>
        <w:t xml:space="preserve">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304" w:before="0" w:after="240"/>
        <w:jc w:val="left"/>
        <w:rPr/>
      </w:pPr>
      <w:r>
        <w:rPr>
          <w:rFonts w:ascii="Arial;sans-serif" w:hAnsi="Arial;sans-serif"/>
          <w:b w:val="false"/>
          <w:color w:val="221E1F"/>
          <w:sz w:val="22"/>
        </w:rPr>
        <w:t xml:space="preserve">SAR Awards, including Common Stock delivered for exercised SARs, are subject to the applicable RTX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SARs, whether or not vested, may be immediately forfeited and a Participant will be obligated to repay to the Company the value realized from the prior exercise of SARs upon the occurrence of any of the following events: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(ii)Within three-years following a Participant’s Termination Date, the Committee determines that the Participant engaged in conduct that could have constituted the basis for a Termination for Cause;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(iii)Within twenty-four months following the Termination Date, the Participant: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288" w:before="0" w:after="0"/>
        <w:ind w:left="0" w:right="0" w:hanging="450"/>
        <w:jc w:val="left"/>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bidi w:val="0"/>
        <w:spacing w:before="0" w:after="0"/>
        <w:jc w:val="left"/>
        <w:rPr/>
      </w:pPr>
      <w:r>
        <w:rPr/>
      </w:r>
    </w:p>
    <w:p>
      <w:pPr>
        <w:pStyle w:val="TextBody"/>
        <w:bidi w:val="0"/>
        <w:spacing w:lineRule="auto" w:line="304"/>
        <w:ind w:left="0" w:right="0" w:hanging="450"/>
        <w:jc w:val="left"/>
        <w:rPr>
          <w:rFonts w:ascii="Arial;sans-serif" w:hAnsi="Arial;sans-serif"/>
          <w:b w:val="false"/>
          <w:color w:val="000000"/>
          <w:sz w:val="22"/>
        </w:rPr>
      </w:pPr>
      <w:r>
        <w:rPr>
          <w:rFonts w:ascii="Arial;sans-serif" w:hAnsi="Arial;sans-serif"/>
          <w:b w:val="false"/>
          <w:color w:val="000000"/>
          <w:sz w:val="22"/>
        </w:rPr>
        <w:t xml:space="preserve">(v)Except where prohibited by law, including the state of California, at any time during the twelve-month period following the Termination Date, the Participant becomes employed by, consults for, or otherwise renders services to any business entity or person: (A) engaged in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02285"/>
                <wp:effectExtent l="0" t="0" r="0" b="0"/>
                <wp:wrapNone/>
                <wp:docPr id="98" name="Frame9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6</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6</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bidi w:val="0"/>
        <w:spacing w:lineRule="auto" w:line="240" w:before="240" w:after="240"/>
        <w:ind w:left="0" w:right="0" w:hanging="450"/>
        <w:jc w:val="left"/>
        <w:rPr/>
      </w:pPr>
      <w:r>
        <w:rPr>
          <w:rFonts w:ascii="Helvetica;sans-serif" w:hAnsi="Helvetica;sans-serif"/>
          <w:b w:val="false"/>
          <w:color w:val="000000"/>
          <w:sz w:val="24"/>
        </w:rPr>
        <w:t>(vi)</w:t>
      </w:r>
      <w:r>
        <w:rPr>
          <w:rFonts w:ascii="Arial;sans-serif" w:hAnsi="Arial;sans-serif"/>
          <w:b w:val="false"/>
          <w:color w:val="221E1F"/>
          <w:sz w:val="22"/>
        </w:rPr>
        <w:t>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lineRule="auto" w:line="240" w:before="240" w:after="240"/>
        <w:ind w:left="0" w:right="0" w:hanging="450"/>
        <w:jc w:val="left"/>
        <w:rPr/>
      </w:pPr>
      <w:r>
        <w:rPr>
          <w:rFonts w:ascii="Helvetica;sans-serif" w:hAnsi="Helvetica;sans-serif"/>
          <w:b w:val="false"/>
          <w:color w:val="000000"/>
          <w:sz w:val="24"/>
        </w:rPr>
        <w:t>(vii)</w:t>
      </w:r>
      <w:r>
        <w:rPr>
          <w:rFonts w:ascii="Arial;sans-serif" w:hAnsi="Arial;sans-serif"/>
          <w:b w:val="false"/>
          <w:color w:val="221E1F"/>
          <w:sz w:val="22"/>
        </w:rPr>
        <w:t xml:space="preserve">A Participant’s misappropriation of RTX Intellectual Property or violation of his/her Intellectual Property (IP) Agreement. </w:t>
      </w:r>
    </w:p>
    <w:p>
      <w:pPr>
        <w:pStyle w:val="TextBody"/>
        <w:bidi w:val="0"/>
        <w:spacing w:lineRule="auto" w:line="304" w:before="0" w:after="0"/>
        <w:jc w:val="left"/>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 SAR Award under item (iv) above, without regard to whether a restatement is attributable to the Participant’s actions, as appropriate and determined at the Committee’s sole discretion.</w:t>
      </w:r>
    </w:p>
    <w:p>
      <w:pPr>
        <w:pStyle w:val="TextBody"/>
        <w:bidi w:val="0"/>
        <w:spacing w:before="0" w:after="0"/>
        <w:jc w:val="left"/>
        <w:rPr/>
      </w:pPr>
      <w:r>
        <w:rPr/>
      </w:r>
    </w:p>
    <w:p>
      <w:pPr>
        <w:pStyle w:val="TextBody"/>
        <w:bidi w:val="0"/>
        <w:spacing w:lineRule="auto" w:line="304" w:before="0" w:after="0"/>
        <w:jc w:val="left"/>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w:t>
      </w:r>
      <w:r>
        <w:rPr>
          <w:rFonts w:ascii="Arial;sans-serif" w:hAnsi="Arial;sans-serif"/>
          <w:b w:val="false"/>
          <w:color w:val="221E1F"/>
          <w:sz w:val="22"/>
        </w:rPr>
        <w:t xml:space="preserve">the applicable RTX Clawback Policy, available at </w:t>
      </w:r>
      <w:r>
        <w:rPr>
          <w:rFonts w:ascii="Arial;sans-serif" w:hAnsi="Arial;sans-serif"/>
          <w:b w:val="false"/>
          <w:color w:val="0000FF"/>
          <w:sz w:val="22"/>
          <w:u w:val="single"/>
        </w:rPr>
        <w:t>www.rtx.com</w:t>
      </w:r>
      <w:r>
        <w:rPr>
          <w:rFonts w:ascii="Arial;sans-serif" w:hAnsi="Arial;sans-serif"/>
          <w:b w:val="false"/>
          <w:color w:val="221E1F"/>
          <w:sz w:val="22"/>
        </w:rPr>
        <w:t>.</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Adjustments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pStyle w:val="TextBody"/>
        <w:bidi w:val="0"/>
        <w:spacing w:lineRule="auto" w:line="288" w:before="0" w:after="0"/>
        <w:jc w:val="left"/>
        <w:rPr/>
      </w:pPr>
      <w:r>
        <w:rPr>
          <w:rFonts w:ascii="Arial;sans-serif" w:hAnsi="Arial;sans-serif"/>
          <w:b w:val="false"/>
          <w:color w:val="221E1F"/>
          <w:sz w:val="22"/>
        </w:rPr>
        <w:t>Further information concerning capital adjustments is set forth in Section 3(e)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02285"/>
                <wp:effectExtent l="0" t="0" r="0" b="0"/>
                <wp:wrapNone/>
                <wp:docPr id="99" name="Frame9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7</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7</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val="false"/>
          <w:color w:val="221E1F"/>
          <w:sz w:val="22"/>
        </w:rPr>
        <w:t>Committee may deem appropriate. Further details concerning Change-in-Control are set forth in Section 10 of the LTIP, available at</w:t>
      </w:r>
      <w:r>
        <w:rPr>
          <w:color w:val="0000FF"/>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lineRule="auto" w:line="304" w:before="0" w:after="240"/>
        <w:jc w:val="left"/>
        <w:rPr/>
      </w:pPr>
      <w:r>
        <w:rPr>
          <w:rFonts w:ascii="Arial;sans-serif" w:hAnsi="Arial;sans-serif"/>
          <w:b/>
          <w:color w:val="000000"/>
          <w:sz w:val="22"/>
        </w:rPr>
        <w:t>Awards Not to Affect Certain Transactions</w:t>
      </w:r>
      <w:r>
        <w:rPr>
          <w:color w:val="FF0000"/>
        </w:rPr>
        <w:t xml:space="preserve">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Taxes / Withholding </w:t>
      </w:r>
    </w:p>
    <w:p>
      <w:pPr>
        <w:pStyle w:val="TextBody"/>
        <w:bidi w:val="0"/>
        <w:spacing w:lineRule="auto" w:line="304" w:before="0" w:after="24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SARs under the SAR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bidi w:val="0"/>
        <w:spacing w:lineRule="auto" w:line="288" w:before="0" w:after="0"/>
        <w:jc w:val="left"/>
        <w:rPr/>
      </w:pPr>
      <w:r>
        <w:rPr>
          <w:rFonts w:ascii="Arial;sans-serif" w:hAnsi="Arial;sans-serif"/>
          <w:b w:val="false"/>
          <w:color w:val="211F1F"/>
          <w:sz w:val="22"/>
        </w:rPr>
        <w:t>Important information about the U.S. Federal income tax consequences of LTIP Awards can be found in the LTIP Prospectus at</w:t>
      </w:r>
      <w:r>
        <w:rPr>
          <w:color w:val="000000"/>
        </w:rPr>
        <w:t xml:space="preserve"> </w:t>
      </w:r>
      <w:r>
        <w:rPr>
          <w:rFonts w:ascii="Arial;sans-serif" w:hAnsi="Arial;sans-serif"/>
          <w:b w:val="false"/>
          <w:color w:val="0000FF"/>
          <w:sz w:val="22"/>
          <w:u w:val="single"/>
        </w:rPr>
        <w:t>www.ubs.com/onesource/rtx.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02285"/>
                <wp:effectExtent l="0" t="0" r="0" b="0"/>
                <wp:wrapNone/>
                <wp:docPr id="100" name="Frame10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8</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8</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Nonassignability </w:t>
      </w:r>
    </w:p>
    <w:p>
      <w:pPr>
        <w:pStyle w:val="TextBody"/>
        <w:bidi w:val="0"/>
        <w:spacing w:lineRule="auto" w:line="304" w:before="0" w:after="240"/>
        <w:jc w:val="left"/>
        <w:rPr/>
      </w:pPr>
      <w:r>
        <w:rPr>
          <w:rFonts w:ascii="Arial;sans-serif" w:hAnsi="Arial;sans-serif"/>
          <w:b w:val="false"/>
          <w:color w:val="221E1F"/>
          <w:sz w:val="22"/>
        </w:rPr>
        <w:t>No</w:t>
      </w:r>
      <w:r>
        <w:rPr>
          <w:color w:val="000000"/>
        </w:rPr>
        <w:t xml:space="preserve"> </w:t>
      </w:r>
      <w:r>
        <w:rPr>
          <w:rFonts w:ascii="Arial;sans-serif" w:hAnsi="Arial;sans-serif"/>
          <w:b w:val="false"/>
          <w:color w:val="000000"/>
          <w:sz w:val="22"/>
        </w:rPr>
        <w:t>assignment or transfer of any right or interest of a Participant in any SAR Award, whether voluntary or involuntary, by operation of law or otherwise, is permitted except by will or the laws of descent and distribution.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bidi w:val="0"/>
        <w:spacing w:lineRule="auto" w:line="304" w:before="0" w:after="240"/>
        <w:jc w:val="left"/>
        <w:rPr/>
      </w:pPr>
      <w:r>
        <w:rPr>
          <w:rFonts w:ascii="Arial;sans-serif" w:hAnsi="Arial;sans-serif"/>
          <w:b/>
          <w:color w:val="000000"/>
          <w:sz w:val="22"/>
        </w:rPr>
        <w:t>Nature of Payments</w:t>
      </w:r>
      <w:r>
        <w:rPr>
          <w:color w:val="0000FF"/>
        </w:rPr>
        <w:t xml:space="preserve">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02285"/>
                <wp:effectExtent l="0" t="0" r="0" b="0"/>
                <wp:wrapNone/>
                <wp:docPr id="101" name="Frame10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9</w:t>
                            </w:r>
                            <w:r>
                              <w:br w:type="page"/>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9</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Company Compliance Policies </w:t>
      </w:r>
    </w:p>
    <w:p>
      <w:pPr>
        <w:pStyle w:val="TextBody"/>
        <w:bidi w:val="0"/>
        <w:spacing w:lineRule="auto" w:line="290" w:before="0" w:after="240"/>
        <w:jc w:val="left"/>
        <w:rPr/>
      </w:pPr>
      <w:r>
        <w:rPr>
          <w:rFonts w:ascii="Arial;sans-serif" w:hAnsi="Arial;sans-serif"/>
          <w:b w:val="false"/>
          <w:color w:val="000000"/>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000000"/>
          <w:sz w:val="22"/>
        </w:rPr>
        <w:t xml:space="preserve">. </w:t>
      </w:r>
      <w:r>
        <w:rPr>
          <w:rFonts w:ascii="Arial;sans-serif" w:hAnsi="Arial;sans-serif"/>
          <w:b w:val="false"/>
          <w:color w:val="221E1F"/>
          <w:sz w:val="22"/>
        </w:rPr>
        <w:t>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304" w:before="0" w:after="240"/>
        <w:jc w:val="left"/>
        <w:rPr/>
      </w:pPr>
      <w:r>
        <w:rPr>
          <w:rFonts w:ascii="Arial;sans-serif" w:hAnsi="Arial;sans-serif"/>
          <w:b w:val="false"/>
          <w:color w:val="221E1F"/>
          <w:sz w:val="22"/>
        </w:rPr>
        <w:t>This Schedule of Terms provides a summary of terms applicable to the SAR Award. 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FF"/>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Additional Information </w:t>
      </w:r>
    </w:p>
    <w:p>
      <w:pPr>
        <w:pStyle w:val="TextBody"/>
        <w:bidi w:val="0"/>
        <w:spacing w:lineRule="auto" w:line="304"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r>
        <w:rPr>
          <w:rFonts w:ascii="Arial;sans-serif" w:hAnsi="Arial;sans-serif"/>
          <w:b w:val="false"/>
          <w:color w:val="000000"/>
          <w:sz w:val="22"/>
        </w:rPr>
        <w:t>.</w:t>
      </w:r>
    </w:p>
    <w:p>
      <w:pPr>
        <w:pStyle w:val="TextBody"/>
        <w:bidi w:val="0"/>
        <w:spacing w:lineRule="auto" w:line="304" w:before="0" w:after="240"/>
        <w:jc w:val="left"/>
        <w:rPr/>
      </w:pPr>
      <w:r>
        <w:rPr>
          <w:rFonts w:ascii="Arial;sans-serif" w:hAnsi="Arial;sans-serif"/>
          <w:b w:val="false"/>
          <w:color w:val="000000"/>
          <w:sz w:val="22"/>
        </w:rPr>
        <w:t xml:space="preserve">The Corporation and / 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02285"/>
                <wp:effectExtent l="0" t="0" r="0" b="0"/>
                <wp:wrapNone/>
                <wp:docPr id="102" name="Frame10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right"/>
                              <w:rPr/>
                            </w:pPr>
                            <w:r>
                              <w:rPr>
                                <w:color w:val="000000"/>
                              </w:rPr>
                              <w:t>    </w:t>
                            </w:r>
                            <w:r>
                              <w:rPr>
                                <w:rFonts w:ascii="Arial;sans-serif" w:hAnsi="Arial;sans-serif"/>
                                <w:b w:val="false"/>
                                <w:color w:val="000000"/>
                                <w:sz w:val="16"/>
                              </w:rPr>
                              <w:t>10</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Arial;sans-serif" w:hAnsi="Arial;sans-serif"/>
                          <w:b w:val="false"/>
                          <w:color w:val="000000"/>
                          <w:sz w:val="16"/>
                        </w:rPr>
                        <w:t>10</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10.5</w:t>
      </w:r>
    </w:p>
    <w:p>
      <w:pPr>
        <w:pStyle w:val="TextBody"/>
        <w:bidi w:val="0"/>
        <w:spacing w:lineRule="auto" w:line="240"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bidi w:val="0"/>
        <w:spacing w:before="0" w:after="0"/>
        <w:jc w:val="center"/>
        <w:rPr/>
      </w:pPr>
      <w:r>
        <w:rPr/>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Non-Qualified Stock Option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2024)</w:t>
      </w:r>
    </w:p>
    <w:p>
      <w:pPr>
        <w:pStyle w:val="TextBody"/>
        <w:bidi w:val="0"/>
        <w:spacing w:before="2000" w:after="283"/>
        <w:jc w:val="center"/>
        <w:rPr/>
      </w:pPr>
      <w:r>
        <w:rPr/>
      </w:r>
    </w:p>
    <w:p>
      <w:pPr>
        <w:pStyle w:val="TextBody"/>
        <w:bidi w:val="0"/>
        <w:spacing w:lineRule="auto" w:line="276" w:before="0" w:after="240"/>
        <w:jc w:val="left"/>
        <w:rPr/>
      </w:pPr>
      <w:r>
        <w:rPr>
          <w:rFonts w:ascii="Arial;sans-serif" w:hAnsi="Arial;sans-serif"/>
          <w:b w:val="false"/>
          <w:color w:val="000000"/>
          <w:sz w:val="20"/>
        </w:rPr>
        <w:t xml:space="preserve">This Schedule of Terms describes the material features of the Participant’s Non-Qualified Stock Option Award (the “Option Award” or the “Award”) granted under the RTX Corporation 2018 Long-Term Incentive Plan, as amended and restated effective October 1, 2023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14960"/>
                <wp:effectExtent l="0" t="0" r="0" b="0"/>
                <wp:wrapNone/>
                <wp:docPr id="103" name="Frame10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Ce</w:t>
      </w:r>
      <w:r>
        <w:rPr>
          <w:rFonts w:ascii="Arial;sans-serif" w:hAnsi="Arial;sans-serif"/>
          <w:b/>
          <w:color w:val="000000"/>
          <w:sz w:val="22"/>
        </w:rPr>
        <w:t>rtain Definitions</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A Non-qualified Stock Option (an “Option”) represents the right to purchase a specified number of shares of Common Stock of RTX Corporation (the “Common Stock”) for a specified price (the “Exercise Price” or “Grant Price”). Upon exercise, the Participant generally receives shares of Common Stock. Options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304" w:before="0" w:after="240"/>
        <w:jc w:val="left"/>
        <w:rPr/>
      </w:pPr>
      <w:r>
        <w:rPr>
          <w:rFonts w:ascii="Arial;sans-serif" w:hAnsi="Arial;sans-serif"/>
          <w:b w:val="false"/>
          <w:color w:val="000000"/>
          <w:sz w:val="22"/>
        </w:rPr>
        <w:t xml:space="preserve">The number of Options granted under the Option Award and the </w:t>
      </w:r>
      <w:r>
        <w:rPr>
          <w:rFonts w:ascii="Arial;sans-serif" w:hAnsi="Arial;sans-serif"/>
          <w:b w:val="false"/>
          <w:color w:val="221E1F"/>
          <w:sz w:val="22"/>
        </w:rPr>
        <w:t>Option</w:t>
      </w:r>
      <w:r>
        <w:rPr>
          <w:color w:val="000000"/>
        </w:rPr>
        <w:t xml:space="preserve"> </w:t>
      </w:r>
      <w:r>
        <w:rPr>
          <w:rFonts w:ascii="Arial;sans-serif" w:hAnsi="Arial;sans-serif"/>
          <w:b w:val="false"/>
          <w:color w:val="000000"/>
          <w:sz w:val="22"/>
        </w:rPr>
        <w:t>grant price are set forth in the Award Agreement. An LTIP Award recipient (a “Participant”) must affirmatively acknowledge and accept the terms and conditions of the Option Award within 150 days following the Grant Date. A failure to acknowledge and accept the Option Award subject to the LTIP and this Schedule of Terms, within such 150-day period may result in forfeiture of the Option Award, effective as of the 150th day following the Grant Date.</w:t>
      </w:r>
    </w:p>
    <w:p>
      <w:pPr>
        <w:pStyle w:val="TextBody"/>
        <w:bidi w:val="0"/>
        <w:spacing w:lineRule="auto" w:line="290" w:before="0" w:after="240"/>
        <w:jc w:val="left"/>
        <w:rPr/>
      </w:pPr>
      <w:r>
        <w:rPr>
          <w:rFonts w:ascii="Arial;sans-serif" w:hAnsi="Arial;sans-serif"/>
          <w:b w:val="false"/>
          <w:color w:val="000000"/>
          <w:sz w:val="22"/>
        </w:rPr>
        <w:t xml:space="preserve">Participants must acknowledge and accept the terms and conditions of this Option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Calibri;sans-serif" w:hAnsi="Calibri;sans-serif"/>
          <w:b w:val="false"/>
          <w:color w:val="000000"/>
          <w:sz w:val="24"/>
        </w:rPr>
        <w:t xml:space="preserve">. </w:t>
      </w:r>
      <w:r>
        <w:rPr>
          <w:rFonts w:ascii="Arial;sans-serif" w:hAnsi="Arial;sans-serif"/>
          <w:b w:val="false"/>
          <w:color w:val="000000"/>
          <w:sz w:val="22"/>
        </w:rPr>
        <w:t>Participants based in certain countries may be required to acknowledge and accept the terms and conditions of this Option Award by signing and returning the designated hard copy portion of the Award Agreement to the Stock Plan Administrator. These countries currently include Russia, Turkey, Hungary, and Slovenia.</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Exercise Price (or “Grant Price”)</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The Grant Price represents the Fair Market Value of the Corporation’s Common Stock on the date of grant. “Fair Market Value” means, as of any given date, the closing price of the Common Stock on the New York Stock Exchange.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Vesting and Expiration</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Options will vest and expire (if unexercised) in accordance with the schedule set forth in the Award Agreement, subject to the Participant’s continued employment with the Company through each applicable vesting date. Options will be forfeited in the event of Termination of Service prior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14960"/>
                <wp:effectExtent l="0" t="0" r="0" b="0"/>
                <wp:wrapNone/>
                <wp:docPr id="104" name="Frame10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to the vesting date, except in certain earlier terminations involving Retirement, Involuntary Termination (Not for Cause), Disability, Change-in-Control Termination, or Death (see “Termination of Service” below).</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Options may be exercised on or after the vesting date until the earlier of the: </w:t>
      </w:r>
    </w:p>
    <w:p>
      <w:pPr>
        <w:pStyle w:val="TextBody"/>
        <w:bidi w:val="0"/>
        <w:spacing w:lineRule="auto" w:line="304" w:before="0" w:after="240"/>
        <w:ind w:left="0" w:right="0" w:hanging="300"/>
        <w:jc w:val="left"/>
        <w:rPr>
          <w:rFonts w:ascii="Arial;sans-serif" w:hAnsi="Arial;sans-serif"/>
          <w:b w:val="false"/>
          <w:color w:val="221E1F"/>
          <w:sz w:val="22"/>
        </w:rPr>
      </w:pPr>
      <w:r>
        <w:rPr>
          <w:rFonts w:ascii="Arial;sans-serif" w:hAnsi="Arial;sans-serif"/>
          <w:b w:val="false"/>
          <w:color w:val="221E1F"/>
          <w:sz w:val="22"/>
        </w:rPr>
        <w:t xml:space="preserve">(i) Expiration date specified in the Award Agreement, at which time the Stock Options and all associated rights lapse; or </w:t>
      </w:r>
    </w:p>
    <w:p>
      <w:pPr>
        <w:pStyle w:val="TextBody"/>
        <w:bidi w:val="0"/>
        <w:spacing w:lineRule="auto" w:line="304" w:before="0" w:after="240"/>
        <w:ind w:left="0" w:right="0" w:hanging="300"/>
        <w:jc w:val="left"/>
        <w:rPr>
          <w:rFonts w:ascii="Arial;sans-serif" w:hAnsi="Arial;sans-serif"/>
          <w:b w:val="false"/>
          <w:color w:val="221E1F"/>
          <w:sz w:val="22"/>
        </w:rPr>
      </w:pPr>
      <w:r>
        <w:rPr>
          <w:rFonts w:ascii="Arial;sans-serif" w:hAnsi="Arial;sans-serif"/>
          <w:b w:val="false"/>
          <w:color w:val="221E1F"/>
          <w:sz w:val="22"/>
        </w:rPr>
        <w:t>(ii) Last day permitted on or following Termination of Service as specified in “Termination of Service” below.</w:t>
      </w:r>
    </w:p>
    <w:p>
      <w:pPr>
        <w:pStyle w:val="TextBody"/>
        <w:bidi w:val="0"/>
        <w:spacing w:lineRule="auto" w:line="304" w:before="0" w:after="240"/>
        <w:jc w:val="left"/>
        <w:rPr/>
      </w:pPr>
      <w:r>
        <w:rPr>
          <w:rFonts w:ascii="Arial;sans-serif" w:hAnsi="Arial;sans-serif"/>
          <w:b w:val="false"/>
          <w:color w:val="221E1F"/>
          <w:sz w:val="22"/>
        </w:rPr>
        <w:t xml:space="preserve">Options </w:t>
      </w:r>
      <w:r>
        <w:rPr>
          <w:rFonts w:ascii="Arial;sans-serif" w:hAnsi="Arial;sans-serif"/>
          <w:b w:val="false"/>
          <w:color w:val="000000"/>
          <w:sz w:val="22"/>
        </w:rPr>
        <w:t xml:space="preserve">may also be forfeited and value realized from exercised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may be recouped by the Company under certain circumstances (see “Forfeiture of Award and Repayment of Realized Gains” below).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holder of an Option has no voting, dividend, or other rights accorded to owners of Common Stock, unless and until Options are exercised and settled in Common Stock.</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Exercise and Payment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While a Participant is employed by the Company, the Participant may exercise Options on or after the vesting date until the expiration date. The value a Participant will realize upon the exercise of an Option is the difference between the price of the Common Stock at the time of exercise and the Grant Price. The Participant will generally receive shares of Common Stock as soon as administratively practicable following exercise. The value of the Options may instead be paid in cash if the Committee so determines, including where local law restricts the distribution of Common Stock.</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It is the responsibility of the Participant, or a designated representative, to track the expiration of the Award and exercise Options in a timely manner. The Company assumes no responsibility for, and will make no adjustments with respect to, Options that expire unexercised. Any communication from the Company to the Participant with respect to expiration is provided as a courtesy only. </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Options upon Termination of Service depends upon the reason for termination, as detailed in the following sections. Options held for less than one year as of the Termination Date will be forfeited, except in the event of Death, Disability, or Change-in-Control Termination, as discussed below.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14960"/>
                <wp:effectExtent l="0" t="0" r="0" b="0"/>
                <wp:wrapNone/>
                <wp:docPr id="105" name="Frame10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Options held for at least one year as of the Termination Date will vest and become exercisable. For this purpose, Retirement means either a Normal Retirement or Early Retirement as defined below: </w:t>
      </w:r>
    </w:p>
    <w:p>
      <w:pPr>
        <w:pStyle w:val="TextBody"/>
        <w:bidi w:val="0"/>
        <w:spacing w:lineRule="auto" w:line="304" w:before="0" w:after="240"/>
        <w:ind w:left="0" w:right="0" w:hanging="360"/>
        <w:jc w:val="left"/>
        <w:rPr/>
      </w:pPr>
      <w:r>
        <w:rPr>
          <w:color w:val="221E1F"/>
        </w:rPr>
        <w:t>•“</w:t>
      </w:r>
      <w:r>
        <w:rPr>
          <w:rFonts w:ascii="Arial;sans-serif" w:hAnsi="Arial;sans-serif"/>
          <w:b w:val="false"/>
          <w:color w:val="221E1F"/>
          <w:sz w:val="22"/>
        </w:rPr>
        <w:t xml:space="preserve">Normal Retirement” means retirement on or after age 65; </w:t>
      </w:r>
    </w:p>
    <w:p>
      <w:pPr>
        <w:pStyle w:val="TextBody"/>
        <w:bidi w:val="0"/>
        <w:spacing w:lineRule="auto" w:line="304" w:before="0" w:after="240"/>
        <w:ind w:left="0" w:right="0" w:hanging="360"/>
        <w:jc w:val="left"/>
        <w:rPr/>
      </w:pPr>
      <w:r>
        <w:rPr>
          <w:color w:val="221E1F"/>
        </w:rPr>
        <w:t>• “</w:t>
      </w:r>
      <w:r>
        <w:rPr>
          <w:rFonts w:ascii="Arial;sans-serif" w:hAnsi="Arial;sans-serif"/>
          <w:b w:val="false"/>
          <w:color w:val="221E1F"/>
          <w:sz w:val="22"/>
        </w:rPr>
        <w:t>Early Retirement” means retirement on or after: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304" w:before="0" w:after="240"/>
        <w:ind w:left="0" w:right="0" w:hanging="360"/>
        <w:jc w:val="left"/>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Upon Retirement, vested Options may be exercised as detailed in the chart below:</w:t>
      </w:r>
    </w:p>
    <w:tbl>
      <w:tblPr>
        <w:tblW w:w="10205" w:type="dxa"/>
        <w:jc w:val="left"/>
        <w:tblInd w:w="0" w:type="dxa"/>
        <w:tblLayout w:type="fixed"/>
        <w:tblCellMar>
          <w:top w:w="28" w:type="dxa"/>
          <w:left w:w="28" w:type="dxa"/>
          <w:bottom w:w="28" w:type="dxa"/>
          <w:right w:w="28" w:type="dxa"/>
        </w:tblCellMar>
      </w:tblPr>
      <w:tblGrid>
        <w:gridCol w:w="1326"/>
        <w:gridCol w:w="1165"/>
        <w:gridCol w:w="1171"/>
        <w:gridCol w:w="691"/>
        <w:gridCol w:w="691"/>
        <w:gridCol w:w="693"/>
        <w:gridCol w:w="1430"/>
        <w:gridCol w:w="1252"/>
        <w:gridCol w:w="1786"/>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Retirement Type</w:t>
            </w:r>
          </w:p>
        </w:tc>
        <w:tc>
          <w:tcPr>
            <w:tcW w:w="2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Company Consents to Early Retirement *</w:t>
            </w:r>
          </w:p>
        </w:tc>
        <w:tc>
          <w:tcPr>
            <w:tcW w:w="44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Exercise Period</w:t>
            </w:r>
          </w:p>
        </w:tc>
      </w:tr>
      <w:tr>
        <w:trPr/>
        <w:tc>
          <w:tcPr>
            <w:tcW w:w="36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Normal Retirement (age 65)</w:t>
            </w:r>
          </w:p>
        </w:tc>
        <w:tc>
          <w:tcPr>
            <w:tcW w:w="2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N/A</w:t>
            </w:r>
          </w:p>
        </w:tc>
        <w:tc>
          <w:tcPr>
            <w:tcW w:w="44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until the expiration of their term</w:t>
            </w:r>
          </w:p>
        </w:tc>
      </w:tr>
      <w:tr>
        <w:trPr/>
        <w:tc>
          <w:tcPr>
            <w:tcW w:w="3662"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55 + 10 years of continuous service as of the Termination Date</w:t>
            </w:r>
          </w:p>
        </w:tc>
        <w:tc>
          <w:tcPr>
            <w:tcW w:w="2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4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until the expiration of their term</w:t>
            </w:r>
          </w:p>
        </w:tc>
      </w:tr>
      <w:tr>
        <w:trPr/>
        <w:tc>
          <w:tcPr>
            <w:tcW w:w="3662"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4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for three (3) years following the Termination Date or until the expiration of the Stock Option, whichever is earlier</w:t>
            </w:r>
          </w:p>
        </w:tc>
      </w:tr>
      <w:tr>
        <w:trPr/>
        <w:tc>
          <w:tcPr>
            <w:tcW w:w="3662"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50, but prior to age 55 + years of service = 65+ as of the Termination Date</w:t>
            </w:r>
          </w:p>
        </w:tc>
        <w:tc>
          <w:tcPr>
            <w:tcW w:w="2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4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 xml:space="preserve">Options may be exercised for five (5) years following the Termination Date or until the expiration of the Option, whichever is earlier </w:t>
            </w:r>
          </w:p>
        </w:tc>
      </w:tr>
      <w:tr>
        <w:trPr/>
        <w:tc>
          <w:tcPr>
            <w:tcW w:w="3662"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46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for three (3) years following the Termination Date or until the expiration of the Option, whichever is earlier</w:t>
            </w:r>
          </w:p>
        </w:tc>
      </w:tr>
      <w:tr>
        <w:trPr/>
        <w:tc>
          <w:tcPr>
            <w:tcW w:w="1020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240"/>
              <w:ind w:left="0" w:right="0" w:hanging="157"/>
              <w:jc w:val="left"/>
              <w:rPr>
                <w:rFonts w:ascii="Arial;sans-serif" w:hAnsi="Arial;sans-serif"/>
                <w:b w:val="false"/>
                <w:color w:val="221E1F"/>
                <w:sz w:val="20"/>
              </w:rPr>
            </w:pPr>
            <w:r>
              <w:rPr>
                <w:rFonts w:ascii="Arial;sans-serif" w:hAnsi="Arial;sans-serif"/>
                <w:b w:val="false"/>
                <w:color w:val="221E1F"/>
                <w:sz w:val="20"/>
              </w:rPr>
              <w:t>* The Company’s consent to the Participant’s Retirement will be at the sole discretion of the Company based on its ability to effectively transition the Participant’s responsibilities as of the Termination Date and such other factors as it may deem appropriate.</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determined under the RTX Savings Plan. The calculation to determine Early Retirement will include partial years, rounded down to the nearest full month.</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14960"/>
                <wp:effectExtent l="0" t="0" r="0" b="0"/>
                <wp:wrapNone/>
                <wp:docPr id="106" name="Frame10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A Participant will not receive Retirement treatment with respect to any Award in the event of involuntary termination by the Company for Cause. </w:t>
      </w:r>
    </w:p>
    <w:p>
      <w:pPr>
        <w:pStyle w:val="TextBody"/>
        <w:bidi w:val="0"/>
        <w:spacing w:lineRule="auto" w:line="288" w:before="0" w:after="0"/>
        <w:jc w:val="left"/>
        <w:rPr/>
      </w:pPr>
      <w:r>
        <w:rPr>
          <w:rFonts w:ascii="Arial;sans-serif" w:hAnsi="Arial;sans-serif"/>
          <w:b/>
          <w:color w:val="221E1F"/>
          <w:sz w:val="22"/>
        </w:rPr>
        <w:t>Involuntary Termination for Cause.</w:t>
      </w:r>
      <w:r>
        <w:rPr>
          <w:color w:val="221E1F"/>
        </w:rPr>
        <w:t xml:space="preserve"> </w:t>
      </w:r>
      <w:r>
        <w:rPr>
          <w:rFonts w:ascii="Arial;sans-serif" w:hAnsi="Arial;sans-serif"/>
          <w:b w:val="false"/>
          <w:color w:val="221E1F"/>
          <w:sz w:val="22"/>
        </w:rPr>
        <w:t>If the Participant’s termination results from an involuntary termination by the Company for Cause (as defined in the LTIP), both vested and unvested Options will be forfeited as of the Termination Date regardless of the Participant’s Retirement eligibility. In addition, value realized from previously exercised Option may be subject to repayment in the event of termination for Cause or certain other occurrences (see “Forfeiture of Award and Repayment of Realized Gains”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Options held for at least one year as of the Termination Date will receive pro-rata vesting treatment, subject to the Participant providing the Company with a release of claims against the Company in a form and manner satisfactory to the Company. The pro-rata vesting of an </w:t>
      </w:r>
      <w:r>
        <w:rPr>
          <w:rFonts w:ascii="Arial;sans-serif" w:hAnsi="Arial;sans-serif"/>
          <w:b w:val="false"/>
          <w:color w:val="000000"/>
          <w:sz w:val="22"/>
        </w:rPr>
        <w:t>Option</w:t>
      </w:r>
      <w:r>
        <w:rPr>
          <w:color w:val="221E1F"/>
        </w:rPr>
        <w:t xml:space="preserve"> </w:t>
      </w:r>
      <w:r>
        <w:rPr>
          <w:rFonts w:ascii="Arial;sans-serif" w:hAnsi="Arial;sans-serif"/>
          <w:b w:val="false"/>
          <w:color w:val="221E1F"/>
          <w:sz w:val="22"/>
        </w:rPr>
        <w:t xml:space="preserve">Award held for at least one year will be based on the number of months worked during the vesting period, including partial months, relative to the full vesting period. Options not vested under this pro-rata vesting formula will be forfeited as of the Termination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 xml:space="preserve">Upon involuntary termination for reasons other than Cause, vested Options may be exercised for one (1) year following the Termination Date or until the expiration of the Option, whichever is earlier. Unexercised Options will expire without value at the close of the NYSE on the first anniversary of the Termination Date, or the expiration date, whichever comes first. In the event that the date falls on a weekend or market holiday, the Options will be cancelled at the end of the last trading day prior to such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pro-rata vesting percentage.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 xml:space="preserve">Pro-rata vesting will occur for involuntary terminations resulting from workforce reductions, location closings, restructurings, layoffs, or similar events, as determined by the Committee or its delegate.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Retirement eligible Participants will vest in accordance with the Retirement provisions set forth above. Change-in-Control Terminations are subject to vesting treatment as set forth in the Change-in-Control provisions below. </w:t>
      </w:r>
      <w:r>
        <w:rPr>
          <w:rFonts w:ascii="Arial;sans-serif" w:hAnsi="Arial;sans-serif"/>
          <w:b w:val="false"/>
          <w:color w:val="221E1F"/>
          <w:sz w:val="22"/>
        </w:rPr>
        <w:t>A Participant who is involuntarily terminated for Cause is not eligible for pro-rata vesting of Awards.</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Options. Vested Options may be exercised for up to ninety (90) days from the Termination Date or until the expiration of the Option (if earlier). Unexercised Options will expire without value at the close of the NYSE on the ninetieth (90</w:t>
      </w:r>
      <w:r>
        <w:rPr>
          <w:rFonts w:ascii="Arial;sans-serif" w:hAnsi="Arial;sans-serif"/>
          <w:b w:val="false"/>
          <w:color w:val="221E1F"/>
          <w:sz w:val="14"/>
        </w:rPr>
        <w:t>th</w:t>
      </w:r>
      <w:r>
        <w:rPr>
          <w:rFonts w:ascii="Arial;sans-serif" w:hAnsi="Arial;sans-serif"/>
          <w:b w:val="false"/>
          <w:color w:val="221E1F"/>
          <w:sz w:val="22"/>
        </w:rPr>
        <w:t>) day following the Termination Date, or the expiration date, whichever comes first. In the event that the date falls on a weekend or market holiday, the Options will be cancelled at the end of the last trading day prior to the 90</w:t>
      </w:r>
      <w:r>
        <w:rPr>
          <w:rFonts w:ascii="Arial;sans-serif" w:hAnsi="Arial;sans-serif"/>
          <w:b w:val="false"/>
          <w:color w:val="221E1F"/>
          <w:sz w:val="14"/>
        </w:rPr>
        <w:t>th</w:t>
      </w:r>
      <w:r>
        <w:rPr>
          <w:color w:val="221E1F"/>
        </w:rPr>
        <w:t xml:space="preserve"> </w:t>
      </w:r>
      <w:r>
        <w:rPr>
          <w:rFonts w:ascii="Arial;sans-serif" w:hAnsi="Arial;sans-serif"/>
          <w:b w:val="false"/>
          <w:color w:val="221E1F"/>
          <w:sz w:val="22"/>
        </w:rPr>
        <w:t>day.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14960"/>
                <wp:effectExtent l="0" t="0" r="0" b="0"/>
                <wp:wrapNone/>
                <wp:docPr id="107" name="Frame10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vested Options may be exercised for up to three (3) years from the Termination Date (or until the expiration of the Option, if earlier). While a Participant remains disabled under a Company sponsored long-term disability plan, unvested Options will remain eligible to vest on the earlier of (i) the vesting date specified in the Award Agreement; or (ii) 29 months following the date a Participant incurs a Disability and may then be exercised for three (3) years following the vesting date. </w:t>
      </w:r>
    </w:p>
    <w:p>
      <w:pPr>
        <w:pStyle w:val="TextBody"/>
        <w:bidi w:val="0"/>
        <w:spacing w:lineRule="auto" w:line="304" w:before="0" w:after="240"/>
        <w:jc w:val="left"/>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Options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bidi w:val="0"/>
        <w:spacing w:lineRule="auto" w:line="304" w:before="0" w:after="240"/>
        <w:jc w:val="left"/>
        <w:rPr/>
      </w:pPr>
      <w:r>
        <w:rPr>
          <w:rFonts w:ascii="Arial;sans-serif" w:hAnsi="Arial;sans-serif"/>
          <w:b/>
          <w:color w:val="221E1F"/>
          <w:sz w:val="22"/>
        </w:rPr>
        <w:t xml:space="preserve">Death. </w:t>
      </w:r>
      <w:r>
        <w:rPr>
          <w:rFonts w:ascii="Arial;sans-serif" w:hAnsi="Arial;sans-serif"/>
          <w:b w:val="false"/>
          <w:color w:val="221E1F"/>
          <w:sz w:val="22"/>
        </w:rPr>
        <w:t xml:space="preserve">If a Participant dies while actively employed by the Company, or on Disability, all unvested Options will vest as of the date of death and become exercisable. A Participant’s estate will have three (3) years from the date of death (or until the expiration of the Options, if earlier) to exercise all outstanding Options, provided however, that if an Option expires prior to the expiration of the three-year extension period, the Option will be deemed to be exercised by the Participant’s estate as of the Option expiration date with net proceeds (where applicable) held for distribution to the estate.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Different tax rules may apply when the estate or heir exercises the deceased Participant’s Options. A personal tax or financial advisor should be consulted under this scenario.</w:t>
      </w:r>
    </w:p>
    <w:p>
      <w:pPr>
        <w:pStyle w:val="TextBody"/>
        <w:bidi w:val="0"/>
        <w:spacing w:lineRule="auto" w:line="304" w:before="0" w:after="240"/>
        <w:jc w:val="left"/>
        <w:rPr/>
      </w:pPr>
      <w:r>
        <w:rPr>
          <w:rFonts w:ascii="Arial;sans-serif" w:hAnsi="Arial;sans-serif"/>
          <w:b/>
          <w:color w:val="000000"/>
          <w:sz w:val="22"/>
        </w:rPr>
        <w:t>Change-in-Control Termination.</w:t>
      </w:r>
      <w:r>
        <w:rPr>
          <w:color w:val="000000"/>
        </w:rPr>
        <w:t xml:space="preserve"> </w:t>
      </w:r>
      <w:r>
        <w:rPr>
          <w:rFonts w:ascii="Arial;sans-serif" w:hAnsi="Arial;sans-serif"/>
          <w:b w:val="false"/>
          <w:color w:val="000000"/>
          <w:sz w:val="22"/>
        </w:rPr>
        <w:t xml:space="preserve">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 xml:space="preserve">will vest and become exercisable as of the Termination Date and all vested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 xml:space="preserve">will be exercisable until the third anniversary of the Termination Date (or until the expiration of the </w:t>
      </w:r>
      <w:r>
        <w:rPr>
          <w:rFonts w:ascii="Arial;sans-serif" w:hAnsi="Arial;sans-serif"/>
          <w:b w:val="false"/>
          <w:color w:val="221E1F"/>
          <w:sz w:val="22"/>
        </w:rPr>
        <w:t>Option</w:t>
      </w:r>
      <w:r>
        <w:rPr>
          <w:rFonts w:ascii="Arial;sans-serif" w:hAnsi="Arial;sans-serif"/>
          <w:b w:val="false"/>
          <w:color w:val="000000"/>
          <w:sz w:val="22"/>
        </w:rPr>
        <w:t>, if earlier).</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304" w:before="0" w:after="240"/>
        <w:jc w:val="left"/>
        <w:rPr/>
      </w:pPr>
      <w:r>
        <w:rPr>
          <w:rFonts w:ascii="Arial;sans-serif" w:hAnsi="Arial;sans-serif"/>
          <w:b w:val="false"/>
          <w:color w:val="221E1F"/>
          <w:sz w:val="22"/>
        </w:rPr>
        <w:t xml:space="preserve">Option Awards, including Common Stock delivered for exercised Options, are subject to the applicable RTX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Options, whether or not vested, will be immediately forfeited and a Participant may be obligated to repay to the Company the value realized from the prior exercise of Options upon the occurrence of any of the following events: </w:t>
      </w:r>
    </w:p>
    <w:p>
      <w:pPr>
        <w:pStyle w:val="TextBody"/>
        <w:bidi w:val="0"/>
        <w:spacing w:lineRule="auto" w:line="304"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bidi w:val="0"/>
        <w:spacing w:lineRule="auto" w:line="304"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(ii)Within three-years following a Participant’s Termination Date, the Committee determines that the Participant engaged in conduct that could have constituted the basis for a Termination for Cause; </w:t>
      </w:r>
    </w:p>
    <w:p>
      <w:pPr>
        <w:pStyle w:val="TextBody"/>
        <w:bidi w:val="0"/>
        <w:spacing w:lineRule="auto" w:line="304"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(iii)Within twenty-four months following the Termination Date,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14960"/>
                <wp:effectExtent l="0" t="0" r="0" b="0"/>
                <wp:wrapNone/>
                <wp:docPr id="108" name="Frame10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304"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304"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bidi w:val="0"/>
        <w:spacing w:lineRule="auto" w:line="304" w:before="0" w:after="0"/>
        <w:ind w:left="0" w:right="0" w:hanging="450"/>
        <w:jc w:val="left"/>
        <w:rPr>
          <w:rFonts w:ascii="Arial;sans-serif" w:hAnsi="Arial;sans-serif"/>
          <w:b w:val="false"/>
          <w:color w:val="000000"/>
          <w:sz w:val="22"/>
        </w:rPr>
      </w:pPr>
      <w:r>
        <w:rPr>
          <w:rFonts w:ascii="Arial;sans-serif" w:hAnsi="Arial;sans-serif"/>
          <w:b w:val="false"/>
          <w:color w:val="000000"/>
          <w:sz w:val="22"/>
        </w:rPr>
        <w:t>(v)Except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bidi w:val="0"/>
        <w:spacing w:lineRule="auto" w:line="304" w:before="240" w:after="240"/>
        <w:ind w:left="0" w:right="0" w:hanging="450"/>
        <w:jc w:val="left"/>
        <w:rPr/>
      </w:pPr>
      <w:r>
        <w:rPr>
          <w:rFonts w:ascii="Helvetica;sans-serif" w:hAnsi="Helvetica;sans-serif"/>
          <w:b w:val="false"/>
          <w:color w:val="000000"/>
          <w:sz w:val="24"/>
        </w:rPr>
        <w:t>(vi)</w:t>
      </w:r>
      <w:r>
        <w:rPr>
          <w:rFonts w:ascii="Arial;sans-serif" w:hAnsi="Arial;sans-serif"/>
          <w:b w:val="false"/>
          <w:color w:val="221E1F"/>
          <w:sz w:val="22"/>
        </w:rPr>
        <w:t>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lineRule="auto" w:line="304" w:before="240" w:after="240"/>
        <w:ind w:left="0" w:right="0" w:hanging="450"/>
        <w:jc w:val="left"/>
        <w:rPr/>
      </w:pPr>
      <w:r>
        <w:rPr>
          <w:rFonts w:ascii="Helvetica;sans-serif" w:hAnsi="Helvetica;sans-serif"/>
          <w:b w:val="false"/>
          <w:color w:val="000000"/>
          <w:sz w:val="24"/>
        </w:rPr>
        <w:t>(vii)</w:t>
      </w:r>
      <w:r>
        <w:rPr>
          <w:rFonts w:ascii="Arial;sans-serif" w:hAnsi="Arial;sans-serif"/>
          <w:b w:val="false"/>
          <w:color w:val="221E1F"/>
          <w:sz w:val="22"/>
        </w:rPr>
        <w:t>A Participant’s misappropriation of RTX Intellectual Property or violation of his/her Intellectual Property (IP) Agreement.</w:t>
      </w:r>
    </w:p>
    <w:p>
      <w:pPr>
        <w:pStyle w:val="TextBody"/>
        <w:bidi w:val="0"/>
        <w:spacing w:lineRule="auto" w:line="304" w:before="0" w:after="0"/>
        <w:jc w:val="left"/>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an Option Award under item (iv) above, without regard to whether a restatement is attributable to the Participant’s actions, as appropriate and determined at the Committee’s sole discretion.</w:t>
      </w:r>
    </w:p>
    <w:p>
      <w:pPr>
        <w:pStyle w:val="TextBody"/>
        <w:bidi w:val="0"/>
        <w:spacing w:before="0" w:after="0"/>
        <w:jc w:val="left"/>
        <w:rPr/>
      </w:pPr>
      <w:r>
        <w:rPr/>
      </w:r>
    </w:p>
    <w:p>
      <w:pPr>
        <w:pStyle w:val="TextBody"/>
        <w:bidi w:val="0"/>
        <w:spacing w:lineRule="auto" w:line="290" w:before="0" w:after="240"/>
        <w:jc w:val="left"/>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color w:val="000000"/>
        </w:rPr>
        <w:t xml:space="preserve"> </w:t>
      </w:r>
      <w:r>
        <w:rPr>
          <w:rFonts w:ascii="Arial;sans-serif" w:hAnsi="Arial;sans-serif"/>
          <w:b w:val="false"/>
          <w:color w:val="000000"/>
          <w:sz w:val="22"/>
        </w:rPr>
        <w:t>and the applicable RTX Clawback Policy,</w:t>
      </w:r>
      <w:r>
        <w:rPr>
          <w:color w:val="000000"/>
          <w:u w:val="single"/>
        </w:rPr>
        <w:t xml:space="preserve"> </w:t>
      </w:r>
      <w:r>
        <w:rPr>
          <w:rFonts w:ascii="Arial;sans-serif" w:hAnsi="Arial;sans-serif"/>
          <w:b w:val="false"/>
          <w:color w:val="000000"/>
          <w:sz w:val="22"/>
        </w:rPr>
        <w:t xml:space="preserve">available at </w:t>
      </w:r>
      <w:r>
        <w:rPr>
          <w:rFonts w:ascii="Arial;sans-serif" w:hAnsi="Arial;sans-serif"/>
          <w:b w:val="false"/>
          <w:color w:val="0000FF"/>
          <w:sz w:val="22"/>
          <w:u w:val="single"/>
        </w:rPr>
        <w:t>www.rtx.com</w:t>
      </w:r>
      <w:r>
        <w:rPr>
          <w:rFonts w:ascii="Helvetica;sans-serif" w:hAnsi="Helvetica;sans-serif"/>
          <w:b w:val="false"/>
          <w:color w:val="000000"/>
          <w:sz w:val="24"/>
        </w:rPr>
        <w:t>.</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Adjustments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If the Corporation engages in a transaction affecting its capital structure, such as a merger, distribution of a special dividend, spin-off of a business unit, stock split, subdivision or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14960"/>
                <wp:effectExtent l="0" t="0" r="0" b="0"/>
                <wp:wrapNone/>
                <wp:docPr id="109" name="Frame10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consolidation of shares of Common Stock or other events affecting the value of Common Stock, Option Awards may be adjusted as determined by the Committee, in its sole discretion.</w:t>
      </w:r>
    </w:p>
    <w:p>
      <w:pPr>
        <w:pStyle w:val="TextBody"/>
        <w:bidi w:val="0"/>
        <w:spacing w:lineRule="auto" w:line="288" w:before="0" w:after="0"/>
        <w:jc w:val="left"/>
        <w:rPr/>
      </w:pPr>
      <w:r>
        <w:rPr>
          <w:rFonts w:ascii="Arial;sans-serif" w:hAnsi="Arial;sans-serif"/>
          <w:b w:val="false"/>
          <w:color w:val="221E1F"/>
          <w:sz w:val="22"/>
        </w:rPr>
        <w:t>Further information concerning capital adjustments is set forth in Section 3(e)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FF"/>
          <w:sz w:val="22"/>
        </w:rPr>
        <w:t>.</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290" w:before="0" w:after="240"/>
        <w:jc w:val="left"/>
        <w:rPr/>
      </w:pPr>
      <w:r>
        <w:rPr>
          <w:rFonts w:ascii="Arial;sans-serif" w:hAnsi="Arial;sans-serif"/>
          <w:b w:val="false"/>
          <w:color w:val="221E1F"/>
          <w:sz w:val="22"/>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w:t>
      </w:r>
      <w:r>
        <w:rPr>
          <w:color w:val="0000FF"/>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lineRule="auto" w:line="304" w:before="0" w:after="240"/>
        <w:jc w:val="left"/>
        <w:rPr/>
      </w:pPr>
      <w:r>
        <w:rPr>
          <w:rFonts w:ascii="Arial;sans-serif" w:hAnsi="Arial;sans-serif"/>
          <w:b/>
          <w:color w:val="000000"/>
          <w:sz w:val="22"/>
        </w:rPr>
        <w:t>Awards Not to Affect Certain Transactions</w:t>
      </w:r>
      <w:r>
        <w:rPr>
          <w:color w:val="FF0000"/>
        </w:rPr>
        <w:t xml:space="preserve">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Option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Taxes / Withholding </w:t>
      </w:r>
    </w:p>
    <w:p>
      <w:pPr>
        <w:pStyle w:val="TextBody"/>
        <w:bidi w:val="0"/>
        <w:spacing w:lineRule="auto" w:line="304" w:before="0" w:after="24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Options under the Option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Option.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 xml:space="preserve">In those countries where there is no withholding on account of such Tax-Related Items, Participants must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14960"/>
                <wp:effectExtent l="0" t="0" r="0" b="0"/>
                <wp:wrapNone/>
                <wp:docPr id="110" name="Frame1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bidi w:val="0"/>
        <w:spacing w:lineRule="auto" w:line="288" w:before="0" w:after="0"/>
        <w:jc w:val="left"/>
        <w:rPr/>
      </w:pPr>
      <w:r>
        <w:rPr>
          <w:rFonts w:ascii="Arial;sans-serif" w:hAnsi="Arial;sans-serif"/>
          <w:b w:val="false"/>
          <w:color w:val="211F1F"/>
          <w:sz w:val="22"/>
        </w:rPr>
        <w:t>Important information about the U.S. Federal income tax consequences of LTIP Awards can be found in the LTIP Prospectus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Nonassignability </w:t>
      </w:r>
    </w:p>
    <w:p>
      <w:pPr>
        <w:pStyle w:val="TextBody"/>
        <w:bidi w:val="0"/>
        <w:spacing w:lineRule="auto" w:line="304" w:before="0" w:after="240"/>
        <w:jc w:val="left"/>
        <w:rPr/>
      </w:pPr>
      <w:r>
        <w:rPr>
          <w:rFonts w:ascii="Arial;sans-serif" w:hAnsi="Arial;sans-serif"/>
          <w:b w:val="false"/>
          <w:color w:val="221E1F"/>
          <w:sz w:val="22"/>
        </w:rPr>
        <w:t>No</w:t>
      </w:r>
      <w:r>
        <w:rPr>
          <w:color w:val="000000"/>
        </w:rPr>
        <w:t xml:space="preserve"> </w:t>
      </w:r>
      <w:r>
        <w:rPr>
          <w:rFonts w:ascii="Arial;sans-serif" w:hAnsi="Arial;sans-serif"/>
          <w:b w:val="false"/>
          <w:color w:val="000000"/>
          <w:sz w:val="22"/>
        </w:rPr>
        <w:t xml:space="preserve">assignment or transfer of any right or interest of a Participant in any </w:t>
      </w:r>
      <w:r>
        <w:rPr>
          <w:rFonts w:ascii="Arial;sans-serif" w:hAnsi="Arial;sans-serif"/>
          <w:b w:val="false"/>
          <w:color w:val="221E1F"/>
          <w:sz w:val="22"/>
        </w:rPr>
        <w:t>Option</w:t>
      </w:r>
      <w:r>
        <w:rPr>
          <w:color w:val="000000"/>
        </w:rPr>
        <w:t xml:space="preserve"> </w:t>
      </w:r>
      <w:r>
        <w:rPr>
          <w:rFonts w:ascii="Arial;sans-serif" w:hAnsi="Arial;sans-serif"/>
          <w:b w:val="false"/>
          <w:color w:val="000000"/>
          <w:sz w:val="22"/>
        </w:rPr>
        <w:t>Award, whether voluntary or involuntary, by operation of law or otherwise, is permitted except by will or the laws of descent and distribution.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bidi w:val="0"/>
        <w:spacing w:lineRule="auto" w:line="304" w:before="0" w:after="240"/>
        <w:jc w:val="left"/>
        <w:rPr/>
      </w:pPr>
      <w:r>
        <w:rPr>
          <w:rFonts w:ascii="Arial;sans-serif" w:hAnsi="Arial;sans-serif"/>
          <w:b/>
          <w:color w:val="000000"/>
          <w:sz w:val="22"/>
        </w:rPr>
        <w:t>Nature of Payments</w:t>
      </w:r>
      <w:r>
        <w:rPr>
          <w:color w:val="0000FF"/>
        </w:rPr>
        <w:t xml:space="preserve">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304" w:before="0" w:after="240"/>
        <w:jc w:val="left"/>
        <w:rPr/>
      </w:pPr>
      <w:r>
        <w:rPr>
          <w:rFonts w:ascii="Arial;sans-serif" w:hAnsi="Arial;sans-serif"/>
          <w:b w:val="false"/>
          <w:color w:val="211E1F"/>
          <w:sz w:val="22"/>
        </w:rPr>
        <w:t xml:space="preserve">Nothing in the LTIP or in any </w:t>
      </w:r>
      <w:r>
        <w:rPr>
          <w:rFonts w:ascii="Arial;sans-serif" w:hAnsi="Arial;sans-serif"/>
          <w:b w:val="false"/>
          <w:color w:val="221E1F"/>
          <w:sz w:val="22"/>
        </w:rPr>
        <w:t>Option</w:t>
      </w:r>
      <w:r>
        <w:rPr>
          <w:color w:val="211E1F"/>
        </w:rPr>
        <w:t xml:space="preserve"> </w:t>
      </w:r>
      <w:r>
        <w:rPr>
          <w:rFonts w:ascii="Arial;sans-serif" w:hAnsi="Arial;sans-serif"/>
          <w:b w:val="false"/>
          <w:color w:val="211E1F"/>
          <w:sz w:val="22"/>
        </w:rPr>
        <w:t>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14960"/>
                <wp:effectExtent l="0" t="0" r="0" b="0"/>
                <wp:wrapNone/>
                <wp:docPr id="111" name="Frame1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Company Compliance Policies </w:t>
      </w:r>
    </w:p>
    <w:p>
      <w:pPr>
        <w:pStyle w:val="TextBody"/>
        <w:bidi w:val="0"/>
        <w:spacing w:lineRule="auto" w:line="304" w:before="0" w:after="240"/>
        <w:jc w:val="left"/>
        <w:rPr/>
      </w:pPr>
      <w:r>
        <w:rPr>
          <w:rFonts w:ascii="Arial;sans-serif" w:hAnsi="Arial;sans-serif"/>
          <w:b w:val="false"/>
          <w:color w:val="000000"/>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000000"/>
          <w:sz w:val="22"/>
        </w:rPr>
        <w:t xml:space="preserve">. </w:t>
      </w:r>
      <w:r>
        <w:rPr>
          <w:rFonts w:ascii="Arial;sans-serif" w:hAnsi="Arial;sans-serif"/>
          <w:b w:val="false"/>
          <w:color w:val="221E1F"/>
          <w:sz w:val="22"/>
        </w:rPr>
        <w:t>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290" w:before="0" w:after="240"/>
        <w:jc w:val="left"/>
        <w:rPr/>
      </w:pPr>
      <w:r>
        <w:rPr>
          <w:rFonts w:ascii="Arial;sans-serif" w:hAnsi="Arial;sans-serif"/>
          <w:b w:val="false"/>
          <w:color w:val="221E1F"/>
          <w:sz w:val="22"/>
        </w:rPr>
        <w:t>This Schedule of Terms provides a summary of terms applicable to the Option Award. 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FF"/>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14960"/>
                <wp:effectExtent l="0" t="0" r="0" b="0"/>
                <wp:wrapNone/>
                <wp:docPr id="112" name="Frame11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r>
                              <w:br w:type="page"/>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Additional Information </w:t>
      </w:r>
    </w:p>
    <w:p>
      <w:pPr>
        <w:pStyle w:val="TextBody"/>
        <w:bidi w:val="0"/>
        <w:spacing w:lineRule="auto" w:line="304"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p>
    <w:p>
      <w:pPr>
        <w:pStyle w:val="TextBody"/>
        <w:bidi w:val="0"/>
        <w:spacing w:lineRule="auto" w:line="304" w:before="0" w:after="240"/>
        <w:jc w:val="left"/>
        <w:rPr/>
      </w:pPr>
      <w:r>
        <w:rPr>
          <w:rFonts w:ascii="Arial;sans-serif" w:hAnsi="Arial;sans-serif"/>
          <w:b w:val="false"/>
          <w:color w:val="000000"/>
          <w:sz w:val="22"/>
        </w:rPr>
        <w:t xml:space="preserve">The Corporation and / 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14960"/>
                <wp:effectExtent l="0" t="0" r="0" b="0"/>
                <wp:wrapNone/>
                <wp:docPr id="113" name="Frame11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02/2024</w:t>
                      </w:r>
                    </w:p>
                    <w:p>
                      <w:pPr>
                        <w:pStyle w:val="TextBody"/>
                        <w:bidi w:val="0"/>
                        <w:spacing w:lineRule="auto" w:line="288" w:before="0" w:after="0"/>
                        <w:jc w:val="right"/>
                        <w:rPr/>
                      </w:pPr>
                      <w:r>
                        <w:rPr>
                          <w:color w:val="000000"/>
                        </w:rPr>
                        <w:t xml:space="preserve">         </w:t>
                      </w: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10.6</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EXECUTIVE LEADERSHIP GROUP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(Rev. December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RTX</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left"/>
        <w:rPr/>
      </w:pPr>
      <w:r>
        <w:rPr>
          <w:color w:val="000000"/>
        </w:rPr>
        <w:t>    </w:t>
      </w:r>
      <w:r>
        <w:rPr>
          <w:rFonts w:ascii="Times New Roman;sans-serif" w:hAnsi="Times New Roman;sans-serif"/>
          <w:b w:val="false"/>
          <w:color w:val="000000"/>
          <w:sz w:val="24"/>
        </w:rPr>
        <w:t xml:space="preserve">This Executive Leadership Group Agreement (the “ELG Agreement”) is entered into between </w:t>
      </w:r>
      <w:r>
        <w:rPr>
          <w:rFonts w:ascii="Times New Roman;sans-serif" w:hAnsi="Times New Roman;sans-serif"/>
          <w:b w:val="false"/>
          <w:color w:val="FF0000"/>
          <w:sz w:val="24"/>
        </w:rPr>
        <w:t xml:space="preserve">[Name] </w:t>
      </w:r>
      <w:r>
        <w:rPr>
          <w:rFonts w:ascii="Times New Roman;sans-serif" w:hAnsi="Times New Roman;sans-serif"/>
          <w:b w:val="false"/>
          <w:color w:val="000000"/>
          <w:sz w:val="24"/>
        </w:rPr>
        <w:t xml:space="preserve">(hereinafter the “Executive”) and RTX Corporation (“RTX”), a Delaware corporation, with an office and place of business at 1000 Wilson Boulevard, Arlington, Virginia (RTX and all its subsidiaries, divisions and affiliates are hereinafter referred to as the “Company”). In entering into this ELG Agreement, the Executive acknowledges his or her obligations and commitments to the Company as an ELG member. </w:t>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Times New Roman;sans-serif" w:hAnsi="Times New Roman;sans-serif"/>
          <w:b w:val="false"/>
          <w:color w:val="000000"/>
          <w:sz w:val="24"/>
        </w:rPr>
        <w:t xml:space="preserve">The Executive acknowledges receipt of the materials summarizing the RTX Executive Leadership Group (“ELG”) Program and the Executive’s obligations and commitments to the Company as an ELG member. Capitalized terms are defined herein and terms not otherwise defined shall have the meanings ascribed to them in the </w:t>
      </w:r>
      <w:r>
        <w:rPr>
          <w:rFonts w:ascii="Times New Roman;sans-serif" w:hAnsi="Times New Roman;sans-serif"/>
          <w:b w:val="false"/>
          <w:i/>
          <w:color w:val="000000"/>
          <w:sz w:val="24"/>
        </w:rPr>
        <w:t xml:space="preserve">Executive Leadership Group Program Definitions, </w:t>
      </w:r>
      <w:r>
        <w:rPr>
          <w:rFonts w:ascii="Times New Roman;sans-serif" w:hAnsi="Times New Roman;sans-serif"/>
          <w:b w:val="false"/>
          <w:color w:val="000000"/>
          <w:sz w:val="24"/>
        </w:rPr>
        <w:t>attached hereto as Attachment A.</w:t>
      </w:r>
    </w:p>
    <w:p>
      <w:pPr>
        <w:pStyle w:val="TextBody"/>
        <w:bidi w:val="0"/>
        <w:spacing w:before="0" w:after="0"/>
        <w:jc w:val="left"/>
        <w:rPr/>
      </w:pPr>
      <w:r>
        <w:rPr/>
      </w:r>
    </w:p>
    <w:p>
      <w:pPr>
        <w:pStyle w:val="TextBody"/>
        <w:bidi w:val="0"/>
        <w:spacing w:lineRule="auto" w:line="417"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benefits of ELG membership include recognition of status as one of RTX’s most senior leaders, with annual Long-Term Incentive Plan awards and annual bonus awards commensurate with your ELG status. </w:t>
      </w:r>
    </w:p>
    <w:p>
      <w:pPr>
        <w:pStyle w:val="TextBody"/>
        <w:bidi w:val="0"/>
        <w:spacing w:before="0" w:after="0"/>
        <w:jc w:val="left"/>
        <w:rPr/>
      </w:pPr>
      <w:r>
        <w:rPr/>
      </w:r>
    </w:p>
    <w:p>
      <w:pPr>
        <w:pStyle w:val="TextBody"/>
        <w:bidi w:val="0"/>
        <w:spacing w:lineRule="auto" w:line="417"/>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Your ELG membership also includes a significant restricted stock unit retention award. Following three years of ELG service, the ELG Restricted Stock Unit Retention Award (the “ELG RSU Retention Award”) provides for vesting in the event of a Qualifying Separation. A “Qualifying Separation” means and includes a Mutually Agreeable Termination, a Change in Control Termination, or retirement at age 62 or later. Vesting is also subject to compliance with ELG Covenants. The ELG RSU Retention Award will not vest in the case of a Termination for Cause. The amounts realized in the event of the vesting of the ELG RSU Retention Award will be offset and reduced by the full amount (if any) of cash severance benefits that the Executive may separately be entitled to receive from the Company based on any employment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1155"/>
                <wp:effectExtent l="0" t="0" r="0" b="0"/>
                <wp:wrapNone/>
                <wp:docPr id="114" name="Frame1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other contractual obligation or statutory scheme, including mandated termination indemnities or similar benefits. The Executive agrees that in the event of such an offset, the Executive’s commitments under the ELG remain in full force and effect. </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recognition of the current and prospective benefits of ELG membership, the Executive agrees to be bound by the following covenants:</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pPr>
      <w:r>
        <w:rPr>
          <w:rFonts w:ascii="Times New Roman;sans-serif" w:hAnsi="Times New Roman;sans-serif"/>
          <w:b/>
          <w:color w:val="000000"/>
          <w:sz w:val="24"/>
        </w:rPr>
        <w:t>Non-Disclosure.</w:t>
      </w:r>
      <w:r>
        <w:rPr>
          <w:color w:val="000000"/>
        </w:rPr>
        <w:t xml:space="preserve"> </w:t>
      </w:r>
      <w:r>
        <w:rPr>
          <w:rFonts w:ascii="Times New Roman;sans-serif" w:hAnsi="Times New Roman;sans-serif"/>
          <w:b w:val="false"/>
          <w:color w:val="000000"/>
          <w:sz w:val="24"/>
        </w:rPr>
        <w:t>The Executive agrees to protect and to not disclose “Company Information” until the information has become public (through no action on the part of the Executive) or is no longer material or relevant to the Company. This obligation survives the Executive’s termination of employment. “Company Information”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pPr>
      <w:r>
        <w:rPr>
          <w:rFonts w:ascii="Times New Roman;sans-serif" w:hAnsi="Times New Roman;sans-serif"/>
          <w:b/>
          <w:color w:val="000000"/>
          <w:sz w:val="24"/>
        </w:rPr>
        <w:t>Non-disparagement.</w:t>
      </w:r>
      <w:r>
        <w:rPr>
          <w:color w:val="000000"/>
        </w:rPr>
        <w:t xml:space="preserve"> </w:t>
      </w:r>
      <w:r>
        <w:rPr>
          <w:rFonts w:ascii="Times New Roman;sans-serif" w:hAnsi="Times New Roman;sans-serif"/>
          <w:b w:val="false"/>
          <w:color w:val="000000"/>
          <w:sz w:val="24"/>
        </w:rPr>
        <w:t>For two-years following termination of employment, the Executive agrees to not directly or indirectly, in any capacity or manner, make any statements of any kind (or cause, further, assist, solicit, encourage, support or participate in the foregoing), whether verbal, in writing, electronically transferred or otherwise, or disclose any items of information, which are or may reasonably be construed to be derogatory, critical of, or adverse to the interests of the Company. The Executive agrees that he or she will not disparage the Company, its executives, directors or products.</w:t>
      </w:r>
    </w:p>
    <w:p>
      <w:pPr>
        <w:pStyle w:val="TextBody"/>
        <w:bidi w:val="0"/>
        <w:spacing w:lineRule="auto" w:line="417" w:before="0" w:after="0"/>
        <w:ind w:left="0" w:right="0" w:firstLine="720"/>
        <w:jc w:val="left"/>
        <w:rPr>
          <w:color w:val="000000"/>
        </w:rPr>
      </w:pPr>
      <w:r>
        <w:rPr>
          <w:color w:val="000000"/>
        </w:rPr>
        <w:t>    </w:t>
      </w:r>
    </w:p>
    <w:p>
      <w:pPr>
        <w:pStyle w:val="TextBody"/>
        <w:bidi w:val="0"/>
        <w:spacing w:lineRule="auto" w:line="417"/>
        <w:ind w:left="0" w:right="0" w:firstLine="720"/>
        <w:jc w:val="left"/>
        <w:rPr/>
      </w:pPr>
      <w:r>
        <w:rPr>
          <w:rFonts w:ascii="Times New Roman;sans-serif" w:hAnsi="Times New Roman;sans-serif"/>
          <w:b/>
          <w:color w:val="000000"/>
          <w:sz w:val="24"/>
        </w:rPr>
        <w:t>Non-Solicitation.</w:t>
      </w:r>
      <w:r>
        <w:rPr>
          <w:color w:val="000000"/>
        </w:rPr>
        <w:t xml:space="preserve"> </w:t>
      </w:r>
      <w:r>
        <w:rPr>
          <w:rFonts w:ascii="Times New Roman;sans-serif" w:hAnsi="Times New Roman;sans-serif"/>
          <w:b w:val="false"/>
          <w:color w:val="000000"/>
          <w:sz w:val="24"/>
        </w:rPr>
        <w:t xml:space="preserve">For two-years following termination of employment, the Executive will not initiate, cause or allow to be initiated (under those conditions which he or she controls) any action which would reasonably be expected to encourage or to induce any employee of the Company, or any individual who had been an employee of the Company within the previous three months (collectively, a “Company Employee”) to leave the employ of the Company. In this regard, the Executive agrees not to directly or indirectly recruit any Company Employee or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1155"/>
                <wp:effectExtent l="0" t="0" r="0" b="0"/>
                <wp:wrapNone/>
                <wp:docPr id="115"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provide any information or make referrals to personnel recruitment agencies or other third parties in connection with Company Employees.</w:t>
      </w:r>
    </w:p>
    <w:p>
      <w:pPr>
        <w:pStyle w:val="TextBody"/>
        <w:bidi w:val="0"/>
        <w:spacing w:lineRule="auto" w:line="417" w:before="0" w:after="0"/>
        <w:ind w:left="0" w:right="0" w:firstLine="720"/>
        <w:jc w:val="left"/>
        <w:rPr>
          <w:color w:val="000000"/>
        </w:rPr>
      </w:pPr>
      <w:r>
        <w:rPr>
          <w:color w:val="000000"/>
        </w:rPr>
        <w:t>    </w:t>
      </w:r>
    </w:p>
    <w:p>
      <w:pPr>
        <w:pStyle w:val="TextBody"/>
        <w:bidi w:val="0"/>
        <w:spacing w:lineRule="auto" w:line="417" w:before="0" w:after="0"/>
        <w:ind w:left="0" w:right="0" w:firstLine="720"/>
        <w:jc w:val="left"/>
        <w:rPr/>
      </w:pPr>
      <w:r>
        <w:rPr>
          <w:rFonts w:ascii="Times New Roman;sans-serif" w:hAnsi="Times New Roman;sans-serif"/>
          <w:b/>
          <w:color w:val="000000"/>
          <w:sz w:val="24"/>
        </w:rPr>
        <w:t>Non-Compete.</w:t>
      </w:r>
      <w:r>
        <w:rPr>
          <w:color w:val="000000"/>
        </w:rPr>
        <w:t xml:space="preserve"> </w:t>
      </w:r>
      <w:r>
        <w:rPr>
          <w:rFonts w:ascii="Times New Roman;sans-serif" w:hAnsi="Times New Roman;sans-serif"/>
          <w:b w:val="false"/>
          <w:color w:val="000000"/>
          <w:sz w:val="24"/>
        </w:rPr>
        <w:t xml:space="preserve">Except where prohibited by local law, including the state of California, while employed and for one-year following termination of employment, the Executive shall not accept employment or directly or indirectly provide services (including entering into consulting relationships or similar arrangements) with any business that: (i) engages in activities that compete directly or indirectly with any of the Company’s businesses; or (ii) is a material customer of or a material supplier to any of the Company’s businesses unless the Executive has first obtained the consent of the Corporation’s Executive Vice President and Chief Human Resources Officer, which consent shall not be unreasonably withheld. </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a Qualifying Separation, the Executive will vest in the ELG RSU Retention Award, provided the Executive agrees to certain additional commitments to the Company, including an additional one-year non-compete agreement, for a total of two-years post-termination (again, except where prohibited by local law, including the state of California), and a waiver of claims arising from or relating to the termination of the Executive’s employment. In the event payment is required under local law for enforcement of a non-compete, the Executive agrees that the Company may structure payments and/or distribution of amounts payable pursuant to this ELG Agreement, and/or the ELG RSU Retention Award, or payments in lieu thereof, at the time of separation to satisfy local requirements, which may include adjustments to the method, form and timing of benefits, provided such payments are not subject to IRC Section 409A. </w:t>
      </w:r>
    </w:p>
    <w:p>
      <w:pPr>
        <w:pStyle w:val="TextBody"/>
        <w:bidi w:val="0"/>
        <w:spacing w:before="0" w:after="0"/>
        <w:ind w:left="0" w:right="0" w:firstLine="720"/>
        <w:jc w:val="left"/>
        <w:rPr/>
      </w:pPr>
      <w:r>
        <w:rPr/>
      </w:r>
    </w:p>
    <w:p>
      <w:pPr>
        <w:pStyle w:val="TextBody"/>
        <w:bidi w:val="0"/>
        <w:spacing w:lineRule="auto" w:line="417"/>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agrees that the terms of the foregoing covenants are reasonable and that the value associated with ELG membership is fair and reasonable consideration for accepting such restrictions. In addition, the Executive agrees that if any portion of these covenants is held by a competent authority to be unenforceable (except as may be perfected by the Company as provided above), they shall be deemed amended to limit their scope to the broadest scope that such authority determines is enforceable, and as so amended shall continue in effect. These covenants are in addition to other obligations and commitments of the ELG program, the terms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1155"/>
                <wp:effectExtent l="0" t="0" r="0" b="0"/>
                <wp:wrapNone/>
                <wp:docPr id="116"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 conditions of the Company’s Long-Term Incentive Plan and the Executive’s intellectual property agreement with the Company (as each may be amended from time to time).</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pPr>
      <w:r>
        <w:rPr>
          <w:rFonts w:ascii="Times New Roman;sans-serif" w:hAnsi="Times New Roman;sans-serif"/>
          <w:b w:val="false"/>
          <w:color w:val="000000"/>
          <w:sz w:val="24"/>
        </w:rPr>
        <w:t>ELG membership requires commitment to compliance with RTX’s share ownership requirements. The value of an ELG member’s RTX share ownership must equal or exceed a minimum of three</w:t>
      </w:r>
      <w:r>
        <w:rPr>
          <w:color w:val="FF0000"/>
        </w:rPr>
        <w:t xml:space="preserve"> </w:t>
      </w:r>
      <w:r>
        <w:rPr>
          <w:rFonts w:ascii="Times New Roman;sans-serif" w:hAnsi="Times New Roman;sans-serif"/>
          <w:b w:val="false"/>
          <w:color w:val="000000"/>
          <w:sz w:val="24"/>
        </w:rPr>
        <w:t xml:space="preserve">times </w:t>
      </w:r>
      <w:r>
        <w:rPr>
          <w:rFonts w:ascii="Times New Roman;sans-serif" w:hAnsi="Times New Roman;sans-serif"/>
          <w:b w:val="false"/>
          <w:color w:val="FF0000"/>
          <w:sz w:val="24"/>
        </w:rPr>
        <w:t>(3x)</w:t>
      </w:r>
      <w:r>
        <w:rPr>
          <w:color w:val="000000"/>
        </w:rPr>
        <w:t xml:space="preserve"> </w:t>
      </w:r>
      <w:r>
        <w:rPr>
          <w:rFonts w:ascii="Times New Roman;sans-serif" w:hAnsi="Times New Roman;sans-serif"/>
          <w:b w:val="false"/>
          <w:color w:val="000000"/>
          <w:sz w:val="24"/>
        </w:rPr>
        <w:t xml:space="preserve">annual base salary within five years of appointment to the ELG. </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pPr>
      <w:r>
        <w:rPr>
          <w:rFonts w:ascii="Times New Roman;sans-serif" w:hAnsi="Times New Roman;sans-serif"/>
          <w:b w:val="false"/>
          <w:color w:val="000000"/>
          <w:sz w:val="24"/>
        </w:rPr>
        <w:t>The Executive hereby commits to membership in the ELG effective</w:t>
      </w:r>
      <w:r>
        <w:rPr>
          <w:color w:val="FF0000"/>
        </w:rPr>
        <w:t xml:space="preserve"> </w:t>
      </w:r>
      <w:r>
        <w:rPr>
          <w:rFonts w:ascii="Times New Roman;sans-serif" w:hAnsi="Times New Roman;sans-serif"/>
          <w:b w:val="false"/>
          <w:color w:val="FF0000"/>
          <w:sz w:val="24"/>
        </w:rPr>
        <w:t>[DATE]</w:t>
      </w:r>
      <w:r>
        <w:rPr>
          <w:rFonts w:ascii="Times New Roman;sans-serif" w:hAnsi="Times New Roman;sans-serif"/>
          <w:b w:val="false"/>
          <w:color w:val="000000"/>
          <w:sz w:val="24"/>
        </w:rPr>
        <w:t>, in accordance with the terms and conditions set forth in this Agreement and its Attachment A, and as further described in the ELG Program materials. In consideration of ELG membership, the Executive hereby acknowledges and accepts the obligations and commitments to the Company, including postemployment restrictions and protective covenants as described in this Agreement and the ELG Program materials. The Company, in turn, agrees to provide ELG benefits to the Executive upon receipt of this signed Agreement. The ELG Agreement shall be governed by and construed in accordance with the laws of the State of Delaware.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___________________________________________</w:t>
      </w:r>
    </w:p>
    <w:p>
      <w:pPr>
        <w:pStyle w:val="TextBody"/>
        <w:bidi w:val="0"/>
        <w:spacing w:lineRule="auto" w:line="288" w:before="0" w:after="0"/>
        <w:jc w:val="left"/>
        <w:rPr/>
      </w:pPr>
      <w:r>
        <w:rPr>
          <w:color w:val="000000"/>
        </w:rPr>
        <w:t>                    </w:t>
      </w:r>
      <w:r>
        <w:rPr>
          <w:rFonts w:ascii="Times New Roman;sans-serif" w:hAnsi="Times New Roman;sans-serif"/>
          <w:b w:val="false"/>
          <w:color w:val="FF0000"/>
          <w:sz w:val="24"/>
        </w:rPr>
        <w:t>Name</w:t>
      </w:r>
    </w:p>
    <w:p>
      <w:pPr>
        <w:pStyle w:val="TextBody"/>
        <w:bidi w:val="0"/>
        <w:spacing w:lineRule="auto" w:line="288" w:before="0" w:after="0"/>
        <w:jc w:val="left"/>
        <w:rPr>
          <w:color w:val="FF0000"/>
        </w:rPr>
      </w:pPr>
      <w:r>
        <w:rPr>
          <w:color w:val="FF0000"/>
        </w:rPr>
        <w:t>                    </w:t>
      </w:r>
      <w:r>
        <w:rPr>
          <w:rFonts w:ascii="Times New Roman;sans-serif" w:hAnsi="Times New Roman;sans-serif"/>
          <w:b w:val="false"/>
          <w:color w:val="FF0000"/>
          <w:sz w:val="24"/>
        </w:rPr>
        <w:t>Title</w:t>
      </w:r>
    </w:p>
    <w:p>
      <w:pPr>
        <w:pStyle w:val="TextBody"/>
        <w:bidi w:val="0"/>
        <w:spacing w:lineRule="auto" w:line="288" w:before="0" w:after="0"/>
        <w:jc w:val="left"/>
        <w:rPr/>
      </w:pPr>
      <w:r>
        <w:rPr>
          <w:color w:val="FF0000"/>
        </w:rPr>
        <w:t>                    </w:t>
      </w:r>
      <w:r>
        <w:rPr>
          <w:rFonts w:ascii="Times New Roman;sans-serif" w:hAnsi="Times New Roman;sans-serif"/>
          <w:b w:val="false"/>
          <w:color w:val="FF0000"/>
          <w:sz w:val="24"/>
        </w:rPr>
        <w:t>Business Unit</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___________________________________________</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color w:val="000000"/>
          <w:sz w:val="24"/>
        </w:rPr>
        <w:t>RTX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4"/>
        </w:rPr>
        <w:t>By</w:t>
      </w:r>
      <w:r>
        <w:rPr>
          <w:rFonts w:ascii="Times New Roman;sans-serif" w:hAnsi="Times New Roman;sans-serif"/>
          <w:b w:val="false"/>
          <w:color w:val="FFFFFF"/>
          <w:sz w:val="24"/>
        </w:rPr>
        <w:t>_</w:t>
      </w:r>
      <w:r>
        <w:rPr>
          <w:rFonts w:ascii="Times New Roman;sans-serif" w:hAnsi="Times New Roman;sans-serif"/>
          <w:b w:val="false"/>
          <w:color w:val="000000"/>
          <w:sz w:val="24"/>
        </w:rPr>
        <w:t>___________________________________________</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Dantaya M. Williams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Executive Vice President and Chief Human Resources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___________________________________________</w:t>
      </w:r>
    </w:p>
    <w:p>
      <w:pPr>
        <w:pStyle w:val="TextBody"/>
        <w:bidi w:val="0"/>
        <w:spacing w:lineRule="auto" w:line="288"/>
        <w:jc w:val="left"/>
        <w:rPr>
          <w:color w:val="000000"/>
        </w:rPr>
      </w:pPr>
      <w:r>
        <w:rPr>
          <w:color w:val="000000"/>
        </w:rPr>
        <w:t>                    </w:t>
      </w:r>
      <w:r>
        <w:rPr>
          <w:rFonts w:ascii="Times New Roman;sans-serif" w:hAnsi="Times New Roman;sans-serif"/>
          <w:b w:val="false"/>
          <w:color w:val="000000"/>
          <w:sz w:val="24"/>
        </w:rPr>
        <w:t>Date</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1155"/>
                <wp:effectExtent l="0" t="0" r="0" b="0"/>
                <wp:wrapNone/>
                <wp:docPr id="117"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40" w:before="0" w:after="0"/>
        <w:jc w:val="right"/>
        <w:rPr>
          <w:rFonts w:ascii="Times New Roman;sans-serif" w:hAnsi="Times New Roman;sans-serif"/>
          <w:b w:val="false"/>
          <w:i/>
          <w:color w:val="000000"/>
          <w:sz w:val="18"/>
        </w:rPr>
      </w:pPr>
      <w:r>
        <w:rPr>
          <w:rFonts w:ascii="Times New Roman;sans-serif" w:hAnsi="Times New Roman;sans-serif"/>
          <w:b w:val="false"/>
          <w:i/>
          <w:color w:val="000000"/>
          <w:sz w:val="18"/>
        </w:rPr>
        <w:t>(Rev. December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Attachment A</w:t>
      </w:r>
    </w:p>
    <w:p>
      <w:pPr>
        <w:pStyle w:val="TextBody"/>
        <w:bidi w:val="0"/>
        <w:spacing w:before="0" w:after="240"/>
        <w:jc w:val="left"/>
        <w:rPr/>
      </w:pPr>
      <w:r>
        <w:rPr/>
      </w:r>
    </w:p>
    <w:p>
      <w:pPr>
        <w:pStyle w:val="TextBody"/>
        <w:bidi w:val="0"/>
        <w:spacing w:lineRule="auto" w:line="276" w:before="0" w:after="120"/>
        <w:jc w:val="left"/>
        <w:rPr>
          <w:rFonts w:ascii="Times New Roman;sans-serif" w:hAnsi="Times New Roman;sans-serif"/>
          <w:b/>
          <w:color w:val="000000"/>
          <w:sz w:val="24"/>
        </w:rPr>
      </w:pPr>
      <w:r>
        <w:rPr>
          <w:rFonts w:ascii="Times New Roman;sans-serif" w:hAnsi="Times New Roman;sans-serif"/>
          <w:b/>
          <w:color w:val="000000"/>
          <w:sz w:val="24"/>
        </w:rPr>
        <w:t>Executive Leadership Group Program Definitions</w:t>
      </w:r>
    </w:p>
    <w:p>
      <w:pPr>
        <w:pStyle w:val="TextBody"/>
        <w:bidi w:val="0"/>
        <w:spacing w:lineRule="auto" w:line="300" w:before="40" w:after="283"/>
        <w:jc w:val="left"/>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rPr>
        <w:t>Committee” means the Compensation Committee of the Board of Directors.</w:t>
      </w:r>
    </w:p>
    <w:p>
      <w:pPr>
        <w:pStyle w:val="TextBody"/>
        <w:bidi w:val="0"/>
        <w:spacing w:before="0" w:after="0"/>
        <w:jc w:val="left"/>
        <w:rPr/>
      </w:pPr>
      <w:r>
        <w:rPr/>
      </w:r>
    </w:p>
    <w:p>
      <w:pPr>
        <w:pStyle w:val="TextBody"/>
        <w:bidi w:val="0"/>
        <w:spacing w:lineRule="auto" w:line="300" w:before="40" w:after="283"/>
        <w:jc w:val="left"/>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rPr>
        <w:t xml:space="preserve">Company” means RTX and its subsidiaries, divisions and affiliates. </w:t>
      </w:r>
    </w:p>
    <w:p>
      <w:pPr>
        <w:pStyle w:val="TextBody"/>
        <w:bidi w:val="0"/>
        <w:spacing w:before="0" w:after="0"/>
        <w:jc w:val="left"/>
        <w:rPr/>
      </w:pPr>
      <w:r>
        <w:rPr/>
      </w:r>
    </w:p>
    <w:p>
      <w:pPr>
        <w:pStyle w:val="TextBody"/>
        <w:bidi w:val="0"/>
        <w:spacing w:lineRule="auto" w:line="300" w:before="40" w:after="283"/>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"Company Information" means: (1) confidential or proprietary information, including without limitation, information received from third parties under confidential or proprietary conditions; (2) information subject to the Company’s attorney-client or work-product privilege; and (3) other technical, business or financial information, the use or disclosure of which might reasonably be construed to be contrary to the Company’s interests.</w:t>
      </w:r>
    </w:p>
    <w:p>
      <w:pPr>
        <w:pStyle w:val="TextBody"/>
        <w:bidi w:val="0"/>
        <w:spacing w:before="0" w:after="0"/>
        <w:jc w:val="left"/>
        <w:rPr/>
      </w:pPr>
      <w:r>
        <w:rPr/>
      </w:r>
    </w:p>
    <w:p>
      <w:pPr>
        <w:pStyle w:val="TextBody"/>
        <w:bidi w:val="0"/>
        <w:spacing w:lineRule="auto" w:line="300" w:before="40" w:after="283"/>
        <w:jc w:val="left"/>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rPr>
        <w:t>Qualifying Separation” means and includes a Mutually Agreeable Termination, a Change- in-Control Termination, or retirement at age 62 or later.</w:t>
      </w:r>
    </w:p>
    <w:p>
      <w:pPr>
        <w:pStyle w:val="TextBody"/>
        <w:bidi w:val="0"/>
        <w:spacing w:before="0" w:after="0"/>
        <w:jc w:val="left"/>
        <w:rPr/>
      </w:pPr>
      <w:r>
        <w:rPr/>
      </w:r>
    </w:p>
    <w:p>
      <w:pPr>
        <w:pStyle w:val="TextBody"/>
        <w:bidi w:val="0"/>
        <w:spacing w:lineRule="auto" w:line="288" w:before="40" w:after="283"/>
        <w:jc w:val="left"/>
        <w:rPr/>
      </w:pPr>
      <w:r>
        <w:rPr>
          <w:rFonts w:ascii="Times New Roman;sans-serif" w:hAnsi="Times New Roman;sans-serif"/>
          <w:b w:val="false"/>
          <w:color w:val="000000"/>
          <w:sz w:val="24"/>
        </w:rPr>
        <w:t>1.</w:t>
      </w:r>
      <w:r>
        <w:rPr>
          <w:color w:val="000000"/>
        </w:rPr>
        <w:t>“</w:t>
      </w:r>
      <w:r>
        <w:rPr>
          <w:rFonts w:ascii="Times New Roman;sans-serif" w:hAnsi="Times New Roman;sans-serif"/>
          <w:b w:val="false"/>
          <w:color w:val="000000"/>
          <w:sz w:val="24"/>
        </w:rPr>
        <w:t xml:space="preserve">Mutually Agreeable Termination” means a decision by the Company, in its sole discretion, to terminate the Executive’s employment with the Company as a result of circumstances described in this paragraph and the Executive’s acknowledgment and agreement that his/her employment will end as a result of such circumstances. Circumstances that may result in a Mutually Agreeable Termination include management realignment, change in business conditions or priorities, the sale or elimination of the Executive’s business unit or any other change in business circumstances that materially and adversely affects the Executive’s role within the Company or such circumstances that preclude continued employment at the ELG level, in all cases as determined by the Executive Vice President &amp; Chief Human Resources Officer. Neither a unilateral voluntary resignation nor a Termination for Cause will constitute a Mutually Agreeable Termination. </w:t>
      </w:r>
    </w:p>
    <w:p>
      <w:pPr>
        <w:pStyle w:val="TextBody"/>
        <w:bidi w:val="0"/>
        <w:spacing w:before="40" w:after="283"/>
        <w:jc w:val="left"/>
        <w:rPr/>
      </w:pPr>
      <w:r>
        <w:rPr/>
      </w:r>
    </w:p>
    <w:p>
      <w:pPr>
        <w:pStyle w:val="TextBody"/>
        <w:bidi w:val="0"/>
        <w:spacing w:lineRule="auto" w:line="288" w:before="40" w:after="283"/>
        <w:jc w:val="left"/>
        <w:rPr/>
      </w:pPr>
      <w:r>
        <w:rPr>
          <w:rFonts w:ascii="Times New Roman;sans-serif" w:hAnsi="Times New Roman;sans-serif"/>
          <w:b w:val="false"/>
          <w:color w:val="000000"/>
          <w:sz w:val="24"/>
        </w:rPr>
        <w:t>2.</w:t>
      </w:r>
      <w:r>
        <w:rPr>
          <w:color w:val="000000"/>
        </w:rPr>
        <w:t>“</w:t>
      </w:r>
      <w:r>
        <w:rPr>
          <w:rFonts w:ascii="Times New Roman;sans-serif" w:hAnsi="Times New Roman;sans-serif"/>
          <w:b w:val="false"/>
          <w:color w:val="000000"/>
          <w:sz w:val="24"/>
        </w:rPr>
        <w:t xml:space="preserve">Change-in-Control Termination” means either the involuntary termination of the Executive’s employment by the Company (other than a Termination for Cause) or the voluntary resignation by the Executive for Good Reason within 24 months following a Change -in-Control. </w:t>
      </w:r>
    </w:p>
    <w:p>
      <w:pPr>
        <w:pStyle w:val="TextBody"/>
        <w:bidi w:val="0"/>
        <w:spacing w:before="0" w:after="0"/>
        <w:jc w:val="left"/>
        <w:rPr/>
      </w:pPr>
      <w:r>
        <w:rPr/>
      </w:r>
    </w:p>
    <w:p>
      <w:pPr>
        <w:pStyle w:val="TextBody"/>
        <w:bidi w:val="0"/>
        <w:spacing w:lineRule="auto" w:line="288" w:before="40" w:after="283"/>
        <w:jc w:val="left"/>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rPr>
        <w:t>Change-in-Control” shall mean any of the following events:</w:t>
      </w:r>
    </w:p>
    <w:p>
      <w:pPr>
        <w:pStyle w:val="TextBody"/>
        <w:bidi w:val="0"/>
        <w:spacing w:before="40" w:after="283"/>
        <w:jc w:val="left"/>
        <w:rPr/>
      </w:pPr>
      <w:r>
        <w:rPr/>
      </w:r>
    </w:p>
    <w:p>
      <w:pPr>
        <w:pStyle w:val="TextBody"/>
        <w:bidi w:val="0"/>
        <w:spacing w:lineRule="auto" w:line="288" w:before="40" w:after="283"/>
        <w:ind w:left="0" w:right="0" w:hanging="45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i.An acquisition by any individual, entity or group (within the meaning of Section 13(d)(3) or 14(d)(2) of the Exchange Act) (a “Person”) of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18"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beneficial ownership (within the meaning of Rule 13d-3 promulgated under the Exchange Act) of 20% or more of either: (a) the then outstanding shares of common stock of the Corporation (the “Outstanding Corporation Common Stock”); or (b) the combined voting power of the then outstanding voting securities of the Corporation entitled to vote generally in the election of directors (the “Outstanding Corporation Voting Securities”); provided, however, that for purposes of this section G, the following acquisitions shall not constitute a Change-in-Control: (1) any acquisition directly from the Corporation, (2) any acquisition by the Corporation, (3) any acquisition by any employee benefit plan (or related trust) sponsored or maintained by the Corporation or any entity controlled by the Corporation, or (4) any acquisition by any entity pursuant to a transaction that complies with clauses (a), (b) and (c) of subsection (iii) of this Section D(2)(a); or </w:t>
      </w:r>
    </w:p>
    <w:p>
      <w:pPr>
        <w:pStyle w:val="TextBody"/>
        <w:bidi w:val="0"/>
        <w:spacing w:before="0" w:after="0"/>
        <w:jc w:val="left"/>
        <w:rPr/>
      </w:pPr>
      <w:r>
        <w:rPr/>
      </w:r>
    </w:p>
    <w:p>
      <w:pPr>
        <w:pStyle w:val="TextBody"/>
        <w:bidi w:val="0"/>
        <w:spacing w:lineRule="auto" w:line="288" w:before="40" w:after="283"/>
        <w:ind w:left="0" w:right="0" w:hanging="450"/>
        <w:jc w:val="left"/>
        <w:rPr>
          <w:rFonts w:ascii="Times New Roman;sans-serif" w:hAnsi="Times New Roman;sans-serif"/>
          <w:b w:val="false"/>
          <w:color w:val="000000"/>
          <w:sz w:val="24"/>
        </w:rPr>
      </w:pPr>
      <w:r>
        <w:rPr>
          <w:rFonts w:ascii="Times New Roman;sans-serif" w:hAnsi="Times New Roman;sans-serif"/>
          <w:b w:val="false"/>
          <w:color w:val="000000"/>
          <w:sz w:val="24"/>
        </w:rPr>
        <w:t>ii.A change in the composition of the Board such that the individuals who, as of the Effective Date, constitute the Board (the “Incumbent Board”) cease for any reason to constitute at least a majority of the Board; provided, however, that for purposes of this Section (d)(2)(A), any individual who becomes a member of the Board subsequent to the Effective Date whose election, or nomination for election by the Corporation’s shareowners, was approved by a vote of at least two-thirds of those individuals who are members of the Board and who were also members of the Incumbent Board (or deemed to be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pStyle w:val="TextBody"/>
        <w:bidi w:val="0"/>
        <w:spacing w:before="0" w:after="0"/>
        <w:jc w:val="left"/>
        <w:rPr/>
      </w:pPr>
      <w:r>
        <w:rPr/>
      </w:r>
    </w:p>
    <w:p>
      <w:pPr>
        <w:pStyle w:val="TextBody"/>
        <w:bidi w:val="0"/>
        <w:spacing w:lineRule="auto" w:line="300" w:before="40" w:after="283"/>
        <w:ind w:left="0" w:right="0" w:hanging="45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iii.The consummation of a reorganization, merger, statutory share exchange or consolidation or similar transaction involving the Corporation or any of its subsidiaries or a sale or other disposition of all or substantially all of the assets of the Corporation, or the acquisition of assets or stock of another entity by the Corporation or any of its subsidiaries,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(or, for a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19"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40" w:after="283"/>
        <w:jc w:val="left"/>
        <w:rPr/>
      </w:pPr>
      <w:r>
        <w:rPr>
          <w:rFonts w:ascii="Times New Roman;sans-serif" w:hAnsi="Times New Roman;sans-serif"/>
          <w:b w:val="false"/>
          <w:color w:val="000000"/>
          <w:sz w:val="24"/>
        </w:rPr>
        <w:t>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Corporation or all or substantially all of the</w:t>
      </w:r>
      <w:r>
        <w:rPr>
          <w:color w:val="000000"/>
        </w:rPr>
        <w:t xml:space="preserve"> </w:t>
      </w:r>
      <w:r>
        <w:rPr>
          <w:rFonts w:ascii="Times New Roman;sans-serif" w:hAnsi="Times New Roman;sans-serif"/>
          <w:b w:val="false"/>
          <w:color w:val="000000"/>
          <w:sz w:val="24"/>
        </w:rPr>
        <w:t>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(b) no Person (excluding any entity resulting from such Business Combination or any employee benefit plan (or related trust) of the Corporation or such entity resulting from such Business Combination) beneficially owns, directly or indirectly, 20%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pStyle w:val="TextBody"/>
        <w:bidi w:val="0"/>
        <w:spacing w:before="0" w:after="0"/>
        <w:jc w:val="left"/>
        <w:rPr/>
      </w:pPr>
      <w:r>
        <w:rPr/>
      </w:r>
    </w:p>
    <w:p>
      <w:pPr>
        <w:pStyle w:val="TextBody"/>
        <w:bidi w:val="0"/>
        <w:spacing w:lineRule="auto" w:line="300" w:before="40" w:after="283"/>
        <w:ind w:left="0" w:right="0" w:hanging="450"/>
        <w:jc w:val="left"/>
        <w:rPr>
          <w:rFonts w:ascii="Times New Roman;sans-serif" w:hAnsi="Times New Roman;sans-serif"/>
          <w:b w:val="false"/>
          <w:color w:val="000000"/>
          <w:sz w:val="24"/>
        </w:rPr>
      </w:pPr>
      <w:r>
        <w:rPr>
          <w:rFonts w:ascii="Times New Roman;sans-serif" w:hAnsi="Times New Roman;sans-serif"/>
          <w:b w:val="false"/>
          <w:color w:val="000000"/>
          <w:sz w:val="24"/>
        </w:rPr>
        <w:t>iv.The approval by the shareholders of the Corporation of a complete liquidation or dissolution of the Corporation.</w:t>
      </w:r>
    </w:p>
    <w:p>
      <w:pPr>
        <w:pStyle w:val="TextBody"/>
        <w:bidi w:val="0"/>
        <w:spacing w:before="0" w:after="0"/>
        <w:jc w:val="left"/>
        <w:rPr/>
      </w:pPr>
      <w:r>
        <w:rPr/>
      </w:r>
    </w:p>
    <w:p>
      <w:pPr>
        <w:pStyle w:val="TextBody"/>
        <w:bidi w:val="0"/>
        <w:spacing w:lineRule="auto" w:line="30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sale, merger or other transaction affecting any subsidiary or business unit of the Corporation will in no case be considered a Change-in-Control under this Program.</w:t>
      </w:r>
    </w:p>
    <w:p>
      <w:pPr>
        <w:pStyle w:val="TextBody"/>
        <w:bidi w:val="0"/>
        <w:spacing w:lineRule="auto" w:line="30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an Award is determined to constitute nonqualified deferred compensation within the meaning of Section 409A of the Code, a Change-in-Control shall not constitute a settlement or distribution event with respect to such Award, or an event that otherwise changes the timing of settlement or distribution of such Award, unless the Change-in-Control also constitutes an event described in Section 409A(a)(2)(v) of the Code and the regulations promulgated thereunder (a “Section 409A CIC”); provided, however, that whether or not a Change-in-Control is a Section 409A CIC, such Change-in-Control shall result in the accelerated vesting of such Award to the extent provided by the Award Agreement, this Plan, any Individual Agreement or otherwise by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0" name="Frame1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540"/>
        <w:jc w:val="left"/>
        <w:rPr/>
      </w:pPr>
      <w:r>
        <w:rPr>
          <w:rFonts w:ascii="Times New Roman;sans-serif" w:hAnsi="Times New Roman;sans-serif"/>
          <w:b w:val="false"/>
          <w:color w:val="000000"/>
          <w:sz w:val="24"/>
        </w:rPr>
        <w:t xml:space="preserve">b)    “Good Reason” means, voluntary termination of the Executive’s employment within twenty-four (24) months of a Change-in-Control </w:t>
      </w:r>
      <w:r>
        <w:rPr>
          <w:rFonts w:ascii="Times New Roman;sans-serif" w:hAnsi="Times New Roman;sans-serif"/>
          <w:b w:val="false"/>
          <w:i/>
          <w:color w:val="000000"/>
          <w:sz w:val="24"/>
        </w:rPr>
        <w:t>and</w:t>
      </w:r>
      <w:r>
        <w:rPr>
          <w:color w:val="000000"/>
        </w:rPr>
        <w:t xml:space="preserve"> </w:t>
      </w:r>
      <w:r>
        <w:rPr>
          <w:rFonts w:ascii="Times New Roman;sans-serif" w:hAnsi="Times New Roman;sans-serif"/>
          <w:b w:val="false"/>
          <w:color w:val="000000"/>
          <w:sz w:val="24"/>
        </w:rPr>
        <w:t>the occurrence of any of the following without a Participant’s consent: (i) a material reduction in the Participant’s annual base salary, annual bonus opportunities, long-term incentive opportunities or other compensation and benefits in the aggregate from those in effect immediately prior to the Change-in-Control; (ii) a material diminution in the Participant’s title, duties, authority, responsibilities, functions or reporting relationship from those in effect immediately prior to the Change-in-Control; (iii) a mandatory relocation of the Participant’s principal location of employment greater than 50 miles from immediately prior to the Change-in-Control; or (iv) The failure of the Company to obtain a satisfactory agreement from any successor to the Company to assume and agree to perform its obligations under this Agreement.</w:t>
      </w:r>
    </w:p>
    <w:p>
      <w:pPr>
        <w:pStyle w:val="TextBody"/>
        <w:bidi w:val="0"/>
        <w:spacing w:lineRule="auto" w:line="30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order to invoke a termination for Good Reason, the Participant shall provide written notice to the Corporation of the existence of one or more of the conditions described in clauses (i) through (iv) within 90 days following the Participant’s knowledge of the initial existence of such condition or conditions, and the Corporation shall have 30 days following receipt of such written notice (the “Cure Period”) during which it may cure the condition, if curable. If the Corporation fails to cure the condition constituting Good Reason during the Cure Period, the Participant must terminate employment, if at all, within one year following the end of the Cure Period in order for such termination to constitute a termination for Good Reason. The Participant’s mental or physical incapacity following the occurrence of an event described above in clauses (i) through (iii) shall not affect the Participant’s ability to terminate employment for Good Reason.</w:t>
      </w:r>
    </w:p>
    <w:p>
      <w:pPr>
        <w:pStyle w:val="TextBody"/>
        <w:bidi w:val="0"/>
        <w:spacing w:lineRule="auto" w:line="30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        “Termination for Cause” means a decision by the Company to terminate the Executive’s employment for (i) violation of an ELG covenant, (ii) conduct involving a felony criminal offense under U.S. federal or state law or an equivalent violation of the laws of any other country, (iii) dishonesty, fraud, self-dealing, or material violations of civil law in the course of fulfilling the Executive’s employment duties; (iv) breach of the Executive’s intellectual property agreement or other written agreement with the Company; (v) willful misconduct injurious to the Company, as determined by the Committee; (vi) negligent conduct injurious to the Company, including negligent supervision of a subordinate who causes significant harm to the Company as determined by the Committee; or (vii) prior to a Change-in-Control, such other events as shall be determined by the Committee. Following a Change-in-Control, any determination by the Committee as to whether “Cause” exists shall be subject to de novo review.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21" name="Frame1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10.7</w:t>
      </w:r>
    </w:p>
    <w:p>
      <w:pPr>
        <w:pStyle w:val="TextBody"/>
        <w:bidi w:val="0"/>
        <w:spacing w:lineRule="auto" w:line="288"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bidi w:val="0"/>
        <w:spacing w:lineRule="auto" w:line="276" w:before="3000" w:after="283"/>
        <w:jc w:val="center"/>
        <w:rPr>
          <w:rFonts w:ascii="Arial;sans-serif" w:hAnsi="Arial;sans-serif"/>
          <w:b/>
          <w:color w:val="211E1F"/>
          <w:sz w:val="48"/>
        </w:rPr>
      </w:pPr>
      <w:r>
        <w:rPr>
          <w:rFonts w:ascii="Arial;sans-serif" w:hAnsi="Arial;sans-serif"/>
          <w:b/>
          <w:color w:val="211E1F"/>
          <w:sz w:val="48"/>
        </w:rPr>
        <w:t>Executive Leadership Group</w:t>
      </w:r>
    </w:p>
    <w:p>
      <w:pPr>
        <w:pStyle w:val="TextBody"/>
        <w:bidi w:val="0"/>
        <w:spacing w:lineRule="auto" w:line="237" w:before="0" w:after="0"/>
        <w:jc w:val="center"/>
        <w:rPr>
          <w:rFonts w:ascii="Arial;sans-serif" w:hAnsi="Arial;sans-serif"/>
          <w:b/>
          <w:color w:val="211E1F"/>
          <w:sz w:val="48"/>
        </w:rPr>
      </w:pPr>
      <w:r>
        <w:rPr>
          <w:rFonts w:ascii="Arial;sans-serif" w:hAnsi="Arial;sans-serif"/>
          <w:b/>
          <w:color w:val="211E1F"/>
          <w:sz w:val="48"/>
        </w:rPr>
        <w:t>Restricted Stock Unit Retention</w:t>
      </w:r>
    </w:p>
    <w:p>
      <w:pPr>
        <w:pStyle w:val="TextBody"/>
        <w:bidi w:val="0"/>
        <w:spacing w:lineRule="auto" w:line="235" w:before="108" w:after="600"/>
        <w:jc w:val="center"/>
        <w:rPr>
          <w:rFonts w:ascii="Arial;sans-serif" w:hAnsi="Arial;sans-serif"/>
          <w:b/>
          <w:color w:val="211E1F"/>
          <w:sz w:val="48"/>
        </w:rPr>
      </w:pPr>
      <w:r>
        <w:rPr>
          <w:rFonts w:ascii="Arial;sans-serif" w:hAnsi="Arial;sans-serif"/>
          <w:b/>
          <w:color w:val="211E1F"/>
          <w:sz w:val="48"/>
        </w:rPr>
        <w:t>Award</w:t>
      </w:r>
    </w:p>
    <w:p>
      <w:pPr>
        <w:pStyle w:val="TextBody"/>
        <w:bidi w:val="0"/>
        <w:spacing w:lineRule="auto" w:line="235" w:before="108" w:after="2040"/>
        <w:jc w:val="center"/>
        <w:rPr>
          <w:rFonts w:ascii="Arial;sans-serif" w:hAnsi="Arial;sans-serif"/>
          <w:b/>
          <w:i/>
          <w:color w:val="211E1F"/>
          <w:sz w:val="36"/>
        </w:rPr>
      </w:pPr>
      <w:r>
        <w:rPr>
          <w:rFonts w:ascii="Arial;sans-serif" w:hAnsi="Arial;sans-serif"/>
          <w:b/>
          <w:i/>
          <w:color w:val="211E1F"/>
          <w:sz w:val="36"/>
        </w:rPr>
        <w:t>Schedule of Terms</w:t>
      </w:r>
    </w:p>
    <w:p>
      <w:pPr>
        <w:pStyle w:val="TextBody"/>
        <w:bidi w:val="0"/>
        <w:spacing w:lineRule="auto" w:line="235" w:before="108" w:after="1000"/>
        <w:jc w:val="center"/>
        <w:rPr>
          <w:rFonts w:ascii="Arial;sans-serif" w:hAnsi="Arial;sans-serif"/>
          <w:b/>
          <w:i/>
          <w:color w:val="211E1F"/>
          <w:sz w:val="36"/>
        </w:rPr>
      </w:pPr>
      <w:r>
        <w:rPr>
          <w:rFonts w:ascii="Arial;sans-serif" w:hAnsi="Arial;sans-serif"/>
          <w:b/>
          <w:i/>
          <w:color w:val="211E1F"/>
          <w:sz w:val="36"/>
        </w:rPr>
        <w:t>(Rev. Jan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jc w:val="left"/>
        <w:rPr/>
      </w:pPr>
      <w:r>
        <w:rPr>
          <w:rFonts w:ascii="Arial;sans-serif" w:hAnsi="Arial;sans-serif"/>
          <w:b w:val="false"/>
          <w:color w:val="000000"/>
          <w:sz w:val="20"/>
        </w:rPr>
        <w:t xml:space="preserve">This Schedule of Terms describes the material features of the Participant’s Executive Leadership Group Restricted Stock Unit Retention Award (the “ELG RSU Retention Award” or the “ELG RSU Award”) granted under the RTX Corporation 2018 Long-Term Incentive Plan, as amended and restated on October 1, 2023 (the “LTIP”), subject to this Schedule of Terms, the Award Agreement and the terms and conditions set forth in the LTIP and the ELG Program. The LTIP Prospectus contains further information about the LTIP and RSU Awards and is available at </w:t>
      </w:r>
      <w:r>
        <w:rPr>
          <w:rFonts w:ascii="Arial;sans-serif" w:hAnsi="Arial;sans-serif"/>
          <w:b w:val="false"/>
          <w:color w:val="0563C1"/>
          <w:sz w:val="20"/>
          <w:u w:val="single"/>
        </w:rPr>
        <w:t>www.ubs.com/onesource/rtx</w:t>
      </w:r>
      <w:r>
        <w:rPr>
          <w:rFonts w:ascii="Arial;sans-serif" w:hAnsi="Arial;sans-serif"/>
          <w:b w:val="false"/>
          <w:color w:val="000000"/>
          <w:sz w:val="20"/>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RTX Corporation (the “Corporation” or “RTX”) has awarded the Executive designated in the Award Statement (the “Participant” or the “Executive”), who has accepted membership in the Corporation’s Executive Leadership Group (the “ELG”), with Restricted Stock Units (the “ELG RSU Retention Award” or the “ELG RSU Award”) pursuant to the LTIP. The ELG RSU Award grant is contingent on the Executive’s signing of the ELG Agreement that was provided to the Executive upon his or her appointment into the ELG Program. </w: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Certain Definitions</w:t>
      </w:r>
    </w:p>
    <w:p>
      <w:pPr>
        <w:pStyle w:val="TextBody"/>
        <w:bidi w:val="0"/>
        <w:spacing w:lineRule="auto" w:line="304" w:before="0" w:after="240"/>
        <w:jc w:val="left"/>
        <w:rPr/>
      </w:pPr>
      <w:r>
        <w:rPr>
          <w:rFonts w:ascii="Arial;sans-serif" w:hAnsi="Arial;sans-serif"/>
          <w:b w:val="false"/>
          <w:color w:val="211E1F"/>
          <w:sz w:val="22"/>
        </w:rPr>
        <w:t xml:space="preserve">A Restricted Stock Unit (an “RSU”) represents the right to receive one share of Common Stock of the Corporation (“Common Stock”) (or a cash payment equal to the Fair Market Value thereof). RSUs generally vest and are converted into shares of Common Stock if the Participant remains employed by the Company as a member of the ELG and experiences a Qualifying Separation from the Company with at least three years of ELG service (see “Vesting” below). </w:t>
      </w:r>
      <w:r>
        <w:rPr>
          <w:color w:val="000000"/>
        </w:rPr>
        <w:t>“</w:t>
      </w:r>
      <w:r>
        <w:rPr>
          <w:rFonts w:ascii="Arial;sans-serif" w:hAnsi="Arial;sans-serif"/>
          <w:b w:val="false"/>
          <w:color w:val="000000"/>
          <w:sz w:val="22"/>
        </w:rPr>
        <w:t xml:space="preserve">Company” means the Corporation, together with its subsidiaries, divisions and affiliates. For the avoidance of doubt, absences from employment by reason of notice periods, garden leaves, or similar paid leaves associated with a Termination of Service shall not be recognized as service in determining vesting of an Award or the Termination Date for a Qualifying Separation. “Committee” means </w:t>
      </w:r>
      <w:r>
        <w:rPr>
          <w:rFonts w:ascii="Arial;sans-serif" w:hAnsi="Arial;sans-serif"/>
          <w:b w:val="false"/>
          <w:color w:val="221E1F"/>
          <w:sz w:val="22"/>
        </w:rPr>
        <w:t xml:space="preserve">the Human Capital &amp; Compensation Committee of the Board. </w:t>
      </w:r>
      <w:r>
        <w:rPr>
          <w:rFonts w:ascii="Arial;sans-serif" w:hAnsi="Arial;sans-serif"/>
          <w:b w:val="false"/>
          <w:color w:val="000000"/>
          <w:sz w:val="22"/>
        </w:rPr>
        <w:t>Capitalized terms not otherwise defined in this Schedule of Terms have the same meaning as defined in the LTIP or the ELG Program materials.</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 xml:space="preserve">The number of RSUs awarded is set forth in the Award Agreement. The Participant must affirmatively acknowledge and accept the terms and conditions of the ELG RSU Award within 150 days following the Grant Date. A failure to acknowledge and accept the ELG RSU Award subject to the LTIP, this Schedule of Terms, and ELG Program materials within such 150-day period may result in forfeiture of the ELG RSU Award, effective as of the 150th day following the Grant Date. </w:t>
      </w:r>
    </w:p>
    <w:p>
      <w:pPr>
        <w:pStyle w:val="TextBody"/>
        <w:bidi w:val="0"/>
        <w:spacing w:lineRule="auto" w:line="304" w:before="0" w:after="240"/>
        <w:jc w:val="left"/>
        <w:rPr/>
      </w:pPr>
      <w:r>
        <w:rPr>
          <w:rFonts w:ascii="Arial;sans-serif" w:hAnsi="Arial;sans-serif"/>
          <w:b w:val="false"/>
          <w:color w:val="211E1F"/>
          <w:sz w:val="22"/>
        </w:rPr>
        <w:t xml:space="preserve">Participants must acknowledge and accept the terms and conditions of this ELG RSU Award electronically via the UBS </w:t>
      </w:r>
      <w:r>
        <w:rPr>
          <w:rFonts w:ascii="Arial;sans-serif" w:hAnsi="Arial;sans-serif"/>
          <w:b w:val="false"/>
          <w:i/>
          <w:color w:val="211E1F"/>
          <w:sz w:val="22"/>
        </w:rPr>
        <w:t>One Source</w:t>
      </w:r>
      <w:r>
        <w:rPr>
          <w:color w:val="211E1F"/>
        </w:rPr>
        <w:t xml:space="preserve"> </w:t>
      </w:r>
      <w:r>
        <w:rPr>
          <w:rFonts w:ascii="Arial;sans-serif" w:hAnsi="Arial;sans-serif"/>
          <w:b w:val="false"/>
          <w:color w:val="211E1F"/>
          <w:sz w:val="22"/>
        </w:rPr>
        <w:t xml:space="preserve">website at </w:t>
      </w:r>
      <w:r>
        <w:rPr>
          <w:rFonts w:ascii="Arial;sans-serif" w:hAnsi="Arial;sans-serif"/>
          <w:b w:val="false"/>
          <w:color w:val="0563C1"/>
          <w:sz w:val="22"/>
          <w:u w:val="single"/>
        </w:rPr>
        <w:t>www.ubs.com/onesource/rtx</w:t>
      </w:r>
      <w:r>
        <w:rPr>
          <w:rFonts w:ascii="Arial;sans-serif" w:hAnsi="Arial;sans-serif"/>
          <w:b w:val="false"/>
          <w:color w:val="211E1F"/>
          <w:sz w:val="22"/>
        </w:rPr>
        <w:t>. Participants based in certain countries may be required to acknowledge and accept the terms and conditions of this ELG RSU Award by signing and returning the designated hard copy portion of the Award Agreement to the Stock Plan Administrator. These countries currently include Russia, Turkey, Hungary, and Slovenia.</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Dividend Equivalents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RSUs granted under this Award will earn dividend equivalent units each time the Corporation pays a cash dividend to Common Stock shareholders of record. Dividend equivalents will be credited as additional RSUs to Awards outstanding on the dividend payment date and will be eligible to vest under the same terms as the underlying RSUs. The number of additional RSUs that will be credited on any dividend payment date will equal (1) the per share cash dividend </w:t>
      </w:r>
    </w:p>
    <w:p>
      <w:pPr>
        <w:pStyle w:val="TextBody"/>
        <w:bidi w:val="0"/>
        <w:spacing w:before="0" w:after="0"/>
        <w:jc w:val="center"/>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7330"/>
                <wp:effectExtent l="0" t="0" r="0" b="0"/>
                <wp:wrapNone/>
                <wp:docPr id="123" name="Frame123"/>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Vesting</w:t>
      </w:r>
    </w:p>
    <w:p>
      <w:pPr>
        <w:pStyle w:val="TextBody"/>
        <w:bidi w:val="0"/>
        <w:spacing w:lineRule="auto" w:line="304" w:before="0" w:after="0"/>
        <w:jc w:val="left"/>
        <w:rPr/>
      </w:pPr>
      <w:r>
        <w:rPr>
          <w:rFonts w:ascii="Arial;sans-serif" w:hAnsi="Arial;sans-serif"/>
          <w:b w:val="false"/>
          <w:color w:val="211E1F"/>
          <w:sz w:val="22"/>
        </w:rPr>
        <w:t xml:space="preserve">RSUs vest upon a Qualifying Separation from the Company with completion of at least three years of service as a member of the ELG (the “Vesting Date”), and in the event of Death. A “Qualifying Separation” means and includes a Mutually Agreeable Termination, a Change-in-Control Termination or retirement at age 62 or later, as defined </w:t>
      </w:r>
      <w:r>
        <w:rPr>
          <w:rFonts w:ascii="Arial;sans-serif" w:hAnsi="Arial;sans-serif"/>
          <w:b w:val="false"/>
          <w:color w:val="000000"/>
          <w:sz w:val="22"/>
        </w:rPr>
        <w:t>in the ELG Agreement or Attachment A of the ELG Program materials, as applicable</w:t>
      </w:r>
      <w:r>
        <w:rPr>
          <w:rFonts w:ascii="Arial;sans-serif" w:hAnsi="Arial;sans-serif"/>
          <w:b w:val="false"/>
          <w:color w:val="211E1F"/>
          <w:sz w:val="22"/>
        </w:rPr>
        <w:t>.</w:t>
      </w:r>
    </w:p>
    <w:p>
      <w:pPr>
        <w:pStyle w:val="TextBody"/>
        <w:bidi w:val="0"/>
        <w:spacing w:before="0" w:after="0"/>
        <w:jc w:val="left"/>
        <w:rPr/>
      </w:pPr>
      <w:r>
        <w:rPr/>
      </w:r>
    </w:p>
    <w:p>
      <w:pPr>
        <w:pStyle w:val="TextBody"/>
        <w:bidi w:val="0"/>
        <w:spacing w:lineRule="auto" w:line="290" w:before="0" w:after="240"/>
        <w:jc w:val="left"/>
        <w:rPr/>
      </w:pPr>
      <w:r>
        <w:rPr>
          <w:rFonts w:ascii="Arial;sans-serif" w:hAnsi="Arial;sans-serif"/>
          <w:b w:val="false"/>
          <w:color w:val="211E1F"/>
          <w:sz w:val="22"/>
        </w:rPr>
        <w:t>Vesting is subject to entering into the ELG RSU Retention Award Vesting Agreement set forth in Attachment A of this Schedule of Terms (or similar form at the sole discretion of the Corporation) and continued compliance with ELG covenants.</w:t>
      </w:r>
      <w:r>
        <w:rPr>
          <w:color w:val="000000"/>
        </w:rPr>
        <w:t xml:space="preserve"> </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RSUs may also be forfeited and value realized from previously vested RSUs may be recouped by the Company under certain circumstances (see “Forfeiture of Award and Repayment of Realized Gains” below).</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No Shareowner Rights</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An RSU is the right to receive a share of Common Stock in the future (or a cash payment equal to the Fair Market Value), subject to continued employment, membership in the ELG, and certain other conditions. The holder of an RSU has no voting or other rights accorded to owners of Common Stock, unless and until RSUs are converted into shares of Common Stock.</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Payment / Conversion of RSUs</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 xml:space="preserve">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 </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In the event payment is required under local law for enforcement of the ELG non-compete covenants, the Participant agrees that the Company may structure distribution of the ELG RSU Award to satisfy local requirements, which may include adjustments to method, form and timing, provided such payments are not subject to IRC Section 409A.</w:t>
      </w:r>
    </w:p>
    <w:p>
      <w:pPr>
        <w:pStyle w:val="TextBody"/>
        <w:bidi w:val="0"/>
        <w:spacing w:lineRule="auto" w:line="304" w:before="0" w:after="240"/>
        <w:jc w:val="left"/>
        <w:rPr/>
      </w:pPr>
      <w:r>
        <w:rPr>
          <w:rFonts w:ascii="Arial;sans-serif" w:hAnsi="Arial;sans-serif"/>
          <w:b/>
          <w:color w:val="221E1F"/>
          <w:sz w:val="22"/>
        </w:rPr>
        <w:t>Death</w:t>
      </w:r>
      <w:r>
        <w:rPr>
          <w:color w:val="221E1F"/>
        </w:rPr>
        <w:t xml:space="preserve"> </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If the Participant dies while actively employed by the Company, all RSUs will vest as of the date of death and be converted to shares of Common Stock to be delivered to the Participant’s estate, net of taxes (where applicable) as soon as administratively practicable. </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7330"/>
                <wp:effectExtent l="0" t="0" r="0" b="0"/>
                <wp:wrapNone/>
                <wp:docPr id="124" name="Frame124"/>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left"/>
        <w:rPr/>
      </w:pPr>
      <w:r>
        <w:rPr/>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Adjustments</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 xml:space="preserve">If the Corporation engages in a transaction effecting its capital structure, such as a merger, distribution of a special dividend, spin-off of a business unit, stock split, subdivision or consolidation of shares of Common Stock or other events effecting the value of Common Stock, the ELG RSU award may be adjusted as determined by the Committee, in its sole discretion. </w:t>
      </w:r>
    </w:p>
    <w:p>
      <w:pPr>
        <w:pStyle w:val="TextBody"/>
        <w:bidi w:val="0"/>
        <w:spacing w:lineRule="auto" w:line="304" w:before="0" w:after="240"/>
        <w:jc w:val="left"/>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563C1"/>
          <w:sz w:val="22"/>
          <w:u w:val="single"/>
        </w:rPr>
        <w:t>www.ubs.com/onesource/rtx.</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ELG Covenants</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Entering into the Executive Leadership Group Agreement and acceptance of the ELG RSU Award constitutes agreement and acceptance by the Participant of the following ELG covenants:</w:t>
      </w:r>
    </w:p>
    <w:p>
      <w:pPr>
        <w:pStyle w:val="TextBody"/>
        <w:bidi w:val="0"/>
        <w:spacing w:lineRule="auto" w:line="304" w:before="0" w:after="240"/>
        <w:jc w:val="left"/>
        <w:rPr/>
      </w:pPr>
      <w:r>
        <w:rPr>
          <w:color w:val="000000"/>
        </w:rPr>
        <w:t>•</w:t>
      </w:r>
      <w:r>
        <w:rPr>
          <w:color w:val="000000"/>
          <w:u w:val="single"/>
        </w:rPr>
        <w:t xml:space="preserve"> </w:t>
      </w:r>
      <w:r>
        <w:rPr>
          <w:rFonts w:ascii="Arial;sans-serif" w:hAnsi="Arial;sans-serif"/>
          <w:b w:val="false"/>
          <w:color w:val="000000"/>
          <w:sz w:val="22"/>
          <w:u w:val="single"/>
        </w:rPr>
        <w:t>Pre-Vesting Date Covenants</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(a)During the period of the Participant’s employment, and following termination of employment, the Participant agrees to protect and to not disclose “Company Information” until the information has become public (through no action on the part of the Participant) or is no longer material or relevant to the Company. </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"Company Information"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(b)During the period of the Participant’s employment, and for a period of two years following termination of employment, the Participant agrees to not initiate, cause or allow to be initiated (under those conditions which he or she controls) any action which would reasonably be expected to encourage or to induce any employee of the Company or any of its affiliated entities, or any individual who had been an employee of the Company or any of its affiliated entities within the previous three months, to leave the employ of the Company or its affiliated entities. In this regard, the Participant agrees that he or she will not directly or indirectly recruit any executive or other employee of the Company (or individual who had been an employee of the Company within the previous three months) or provide any information or make referrals to personnel recruitment agencies or other third parties in connection with executives of the Company and other employees (or individual who had been employees of the Company within the previous three months).</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(c)During the period of the Participant’s employment, and for a period of one year following termination of employment (except where prohibited by law, including the state of California), the Participant agrees not to accept employment in any form (including entering into consulting relationships or similar arrangements) with any business that: (i) </w:t>
      </w:r>
    </w:p>
    <w:p>
      <w:pPr>
        <w:pStyle w:val="TextBody"/>
        <w:bidi w:val="0"/>
        <w:spacing w:before="0" w:after="0"/>
        <w:jc w:val="center"/>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7330"/>
                <wp:effectExtent l="0" t="0" r="0" b="0"/>
                <wp:wrapNone/>
                <wp:docPr id="125" name="Frame125"/>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engages in activities that compete directly or indirectly with any of the Company’s businesses; or (ii) is a material customer of or a material supplier to any of the Company’s businesses unless the Participant has first obtained the consent of the Executive Vice President &amp; Chief Human Resources Officer, which consent shall not be unreasonably withheld. </w:t>
      </w:r>
    </w:p>
    <w:p>
      <w:pPr>
        <w:pStyle w:val="TextBody"/>
        <w:bidi w:val="0"/>
        <w:spacing w:lineRule="auto" w:line="304" w:before="0" w:after="240"/>
        <w:jc w:val="left"/>
        <w:rPr/>
      </w:pPr>
      <w:r>
        <w:rPr>
          <w:color w:val="000000"/>
        </w:rPr>
        <w:t xml:space="preserve">• </w:t>
      </w:r>
      <w:r>
        <w:rPr>
          <w:rFonts w:ascii="Arial;sans-serif" w:hAnsi="Arial;sans-serif"/>
          <w:b w:val="false"/>
          <w:color w:val="000000"/>
          <w:sz w:val="22"/>
          <w:u w:val="single"/>
        </w:rPr>
        <w:t>Post-Vesting Date Covenants</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(a)The Pre-Vesting Date Covenant described in (a) above remains in full effect and the Pre-Vesting Date Covenants described in (b) and (c) above will remain in effect, for two years and one year respectively, as detailed above following the Vesting Date.</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(b)To further ensure the protection of Company Information, the Participant agrees (except where prohibited by law, including the state of California) to not accept employment in any form (including entering into consulting relationships or similar arrangements) for an additional one year period which shall run consecutive to the one year Pre-Vesting Date Covenant referenced above, for a total two-year noncompetition period following the Vesting Date with any business that: (i) engages in activities that compete directly or indirectly with any of the Company’s businesses; or (ii) is a material customer of or a material supplier to any of the Company’s businesses unless the Participant has first obtained the consent of the Executive Vice President &amp; Chief Human Resources Officer, which consent shall not be unreasonably withheld. </w:t>
      </w:r>
    </w:p>
    <w:p>
      <w:pPr>
        <w:pStyle w:val="TextBody"/>
        <w:bidi w:val="0"/>
        <w:spacing w:lineRule="auto" w:line="304" w:before="0" w:after="240"/>
        <w:ind w:left="0" w:right="0" w:hanging="360"/>
        <w:jc w:val="left"/>
        <w:rPr>
          <w:rFonts w:ascii="Arial;sans-serif" w:hAnsi="Arial;sans-serif"/>
          <w:b w:val="false"/>
          <w:color w:val="000000"/>
          <w:sz w:val="22"/>
        </w:rPr>
      </w:pPr>
      <w:r>
        <w:rPr>
          <w:rFonts w:ascii="Arial;sans-serif" w:hAnsi="Arial;sans-serif"/>
          <w:b w:val="false"/>
          <w:color w:val="000000"/>
          <w:sz w:val="22"/>
        </w:rPr>
        <w:t>(c)For a period of two-years following the Vesting Date, the Participant will not directly or indirectly, in any capacity or manner, make any statements of any kind (or cause, further, assist, solicit, encourage, support or participate in the foregoing), whether verbal, in writing, electronically transferred or otherwise, or disclose any items of information which, in either case are or may reasonably be construed to be derogatory, critical or adverse to the interests of the Company. The Participant agrees that he or she will not disparage the Company, its executives, directors or products.</w:t>
      </w:r>
    </w:p>
    <w:p>
      <w:pPr>
        <w:pStyle w:val="TextBody"/>
        <w:bidi w:val="0"/>
        <w:spacing w:lineRule="auto" w:line="304" w:before="0" w:after="240"/>
        <w:jc w:val="left"/>
        <w:rPr/>
      </w:pPr>
      <w:r>
        <w:rPr>
          <w:rFonts w:ascii="Arial;sans-serif" w:hAnsi="Arial;sans-serif"/>
          <w:b w:val="false"/>
          <w:color w:val="000000"/>
          <w:sz w:val="22"/>
        </w:rPr>
        <w:t xml:space="preserve">The Participant agrees that the terms of the foregoing restrictions are reasonable and that the value associated with ELG membership, including recognition of status as one of the Company’s most senior leaders, with annual LTIP awards and annual incentive awards commensurate with ELG status, is reasonable consideration for accepting such Pre-Vesting Date Restrictions; and the value of the ELG RSU Retention Award is reasonable consideration for accepting such Post-Vesting Date Restrictions. The Participant further understands and agrees that a violation of these ELG covenants will result in a forfeiture of the ELG Award and recoupment of Realized Gain (See </w:t>
      </w:r>
      <w:r>
        <w:rPr>
          <w:rFonts w:ascii="Arial;sans-serif" w:hAnsi="Arial;sans-serif"/>
          <w:b w:val="false"/>
          <w:i/>
          <w:color w:val="000000"/>
          <w:sz w:val="22"/>
        </w:rPr>
        <w:t xml:space="preserve">Forfeiture of Award and Repayment of Realized Gains </w:t>
      </w:r>
      <w:r>
        <w:rPr>
          <w:rFonts w:ascii="Arial;sans-serif" w:hAnsi="Arial;sans-serif"/>
          <w:b w:val="false"/>
          <w:color w:val="000000"/>
          <w:sz w:val="22"/>
        </w:rPr>
        <w:t xml:space="preserve">below). However, if any portion of this section is held by competent authority to be unenforceable, this section shall be deemed amended to limit its scope to the broadest scope that such authority determines is enforceable, and as so amended shall continue in effect. </w:t>
      </w:r>
    </w:p>
    <w:p>
      <w:pPr>
        <w:pStyle w:val="TextBody"/>
        <w:bidi w:val="0"/>
        <w:spacing w:lineRule="auto" w:line="304" w:before="0" w:after="240"/>
        <w:jc w:val="left"/>
        <w:rPr/>
      </w:pPr>
      <w:r>
        <w:rPr>
          <w:rFonts w:ascii="Arial;sans-serif" w:hAnsi="Arial;sans-serif"/>
          <w:b w:val="false"/>
          <w:color w:val="000000"/>
          <w:sz w:val="22"/>
        </w:rPr>
        <w:t>Further, i</w:t>
      </w:r>
      <w:r>
        <w:rPr>
          <w:rFonts w:ascii="Arial;sans-serif" w:hAnsi="Arial;sans-serif"/>
          <w:b w:val="false"/>
          <w:color w:val="211E1F"/>
          <w:sz w:val="22"/>
        </w:rPr>
        <w:t xml:space="preserve">n the event payment is required under local law for enforcement of the non-compete covenant, the Participant agrees that the Company may structure payments and/or distribution of the ELG RSU Award, or payments in lieu thereof, to satisfy local requirements, which may </w:t>
      </w:r>
    </w:p>
    <w:p>
      <w:pPr>
        <w:pStyle w:val="TextBody"/>
        <w:bidi w:val="0"/>
        <w:spacing w:before="0" w:after="0"/>
        <w:jc w:val="center"/>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7330"/>
                <wp:effectExtent l="0" t="0" r="0" b="0"/>
                <wp:wrapNone/>
                <wp:docPr id="126" name="Frame126"/>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include adjustments to method, form and timing, provided such payments are not subject to IRC Section 409A.</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ELG covenants set forth in this Schedule of Terms are in addition to other obligations and commitments of the ELG program, the terms and conditions of the LTIP and the Participant’s intellectual property agreement with the Company (as each may be amended from time to time).</w: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Specified Employees</w:t>
      </w:r>
    </w:p>
    <w:p>
      <w:pPr>
        <w:pStyle w:val="TextBody"/>
        <w:bidi w:val="0"/>
        <w:spacing w:lineRule="auto" w:line="304" w:before="0" w:after="240"/>
        <w:jc w:val="left"/>
        <w:rPr/>
      </w:pPr>
      <w:r>
        <w:rPr>
          <w:rFonts w:ascii="Arial;sans-serif" w:hAnsi="Arial;sans-serif"/>
          <w:b w:val="false"/>
          <w:color w:val="221E1F"/>
          <w:sz w:val="22"/>
        </w:rPr>
        <w:t xml:space="preserve">If a Participant is a “specified employee” within the meaning of Section 409A of the Code (i.e., generally the fifty highest paid employees, as determined by the Company) at the time of the Participant’s Qualifying Separation, then to the extent necessary to avoid the application of any additional tax or penalty under IRC Section 409A and consistent with the terms of the Plan, RSUs will be held in the Participant’s UBS account and will vest on the first day of the seventh month following the latter of the Participant’s Qualifying Separation or the signing of the </w:t>
      </w:r>
      <w:r>
        <w:rPr>
          <w:rFonts w:ascii="Arial;sans-serif" w:hAnsi="Arial;sans-serif"/>
          <w:b w:val="false"/>
          <w:color w:val="211E1F"/>
          <w:sz w:val="22"/>
        </w:rPr>
        <w:t>ELG RSU Retention Award Vesting Agreement set forth in Attachment A of this Schedule of Terms (or similar form at the Company’s discretion)</w:t>
      </w:r>
      <w:r>
        <w:rPr>
          <w:rFonts w:ascii="Arial;sans-serif" w:hAnsi="Arial;sans-serif"/>
          <w:b w:val="false"/>
          <w:color w:val="221E1F"/>
          <w:sz w:val="22"/>
        </w:rPr>
        <w:t>.</w:t>
      </w:r>
      <w:r>
        <w:rPr>
          <w:color w:val="000000"/>
        </w:rPr>
        <w:t xml:space="preserve"> </w:t>
      </w:r>
      <w:r>
        <w:rPr>
          <w:rFonts w:ascii="Arial;sans-serif" w:hAnsi="Arial;sans-serif"/>
          <w:b w:val="false"/>
          <w:color w:val="000000"/>
          <w:sz w:val="22"/>
        </w:rPr>
        <w:t>Upon vest, RSUs will convert into an equal number of shares of Common Stock (or cash). The value of the RSUs will be determined as of the vest date.</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304" w:before="0" w:after="240"/>
        <w:jc w:val="left"/>
        <w:rPr/>
      </w:pPr>
      <w:r>
        <w:rPr>
          <w:rFonts w:ascii="Arial;sans-serif" w:hAnsi="Arial;sans-serif"/>
          <w:b w:val="false"/>
          <w:color w:val="221E1F"/>
          <w:sz w:val="22"/>
        </w:rPr>
        <w:t xml:space="preserve">The ELG RSU Award, including RTX Common Stock delivered for a vested ELG RSU Award, is subject to the RTX Corporation Clawback Policy and the RTX Executive Officer Clawback Policy (if applicable), as amended from time to time, available on </w:t>
      </w:r>
      <w:r>
        <w:rPr>
          <w:rFonts w:ascii="Arial;sans-serif" w:hAnsi="Arial;sans-serif"/>
          <w:b w:val="false"/>
          <w:color w:val="0563C1"/>
          <w:sz w:val="22"/>
          <w:u w:val="single"/>
        </w:rPr>
        <w:t>www.rtx.com</w:t>
      </w:r>
      <w:r>
        <w:rPr>
          <w:rFonts w:ascii="Arial;sans-serif" w:hAnsi="Arial;sans-serif"/>
          <w:b w:val="false"/>
          <w:color w:val="221E1F"/>
          <w:sz w:val="22"/>
        </w:rPr>
        <w:t xml:space="preserve">. </w:t>
      </w:r>
      <w:r>
        <w:rPr>
          <w:rFonts w:ascii="Arial;sans-serif" w:hAnsi="Arial;sans-serif"/>
          <w:b w:val="false"/>
          <w:color w:val="000000"/>
          <w:sz w:val="22"/>
        </w:rPr>
        <w:t>The ELG RSU Retention Award will be immediately forfeited and the Participant will be obligated to repay to the Company the value realized from a vested ELG RSU Award upon the occurrence of any of the following events:</w:t>
      </w:r>
    </w:p>
    <w:p>
      <w:pPr>
        <w:pStyle w:val="TextBody"/>
        <w:bidi w:val="0"/>
        <w:spacing w:lineRule="auto" w:line="304" w:before="120" w:after="240"/>
        <w:ind w:left="0" w:right="0" w:hanging="360"/>
        <w:jc w:val="left"/>
        <w:rPr/>
      </w:pPr>
      <w:r>
        <w:rPr>
          <w:color w:val="1F497B"/>
        </w:rPr>
        <w:t>•</w:t>
      </w:r>
      <w:r>
        <w:rPr>
          <w:rFonts w:ascii="Arial;sans-serif" w:hAnsi="Arial;sans-serif"/>
          <w:b/>
          <w:color w:val="211E1F"/>
          <w:sz w:val="22"/>
        </w:rPr>
        <w:t>Membership in the ELG ceases.</w:t>
      </w:r>
      <w:r>
        <w:rPr>
          <w:color w:val="211E1F"/>
        </w:rPr>
        <w:t xml:space="preserve"> </w:t>
      </w:r>
      <w:r>
        <w:rPr>
          <w:rFonts w:ascii="Arial;sans-serif" w:hAnsi="Arial;sans-serif"/>
          <w:b w:val="false"/>
          <w:color w:val="211E1F"/>
          <w:sz w:val="22"/>
        </w:rPr>
        <w:t>While an employee of the Company, Participant’s membership in the ELG ceases for any reason.</w:t>
      </w:r>
    </w:p>
    <w:p>
      <w:pPr>
        <w:pStyle w:val="TextBody"/>
        <w:bidi w:val="0"/>
        <w:spacing w:lineRule="auto" w:line="304" w:before="120" w:after="240"/>
        <w:ind w:left="0" w:right="0" w:hanging="360"/>
        <w:jc w:val="left"/>
        <w:rPr/>
      </w:pPr>
      <w:r>
        <w:rPr>
          <w:color w:val="1F497B"/>
        </w:rPr>
        <w:t>•</w:t>
      </w:r>
      <w:r>
        <w:rPr>
          <w:rFonts w:ascii="Arial;sans-serif" w:hAnsi="Arial;sans-serif"/>
          <w:b/>
          <w:color w:val="000000"/>
          <w:sz w:val="22"/>
        </w:rPr>
        <w:t xml:space="preserve">Non-mutual termination. </w:t>
      </w:r>
      <w:r>
        <w:rPr>
          <w:rFonts w:ascii="Arial;sans-serif" w:hAnsi="Arial;sans-serif"/>
          <w:b w:val="false"/>
          <w:color w:val="000000"/>
          <w:sz w:val="22"/>
        </w:rPr>
        <w:t>Participant terminates employment and the Company wants to retain Participant’s services.</w:t>
      </w:r>
    </w:p>
    <w:p>
      <w:pPr>
        <w:pStyle w:val="TextBody"/>
        <w:bidi w:val="0"/>
        <w:spacing w:lineRule="auto" w:line="304" w:before="120" w:after="240"/>
        <w:ind w:left="0" w:right="0" w:hanging="360"/>
        <w:jc w:val="left"/>
        <w:rPr/>
      </w:pPr>
      <w:r>
        <w:rPr>
          <w:color w:val="1F497B"/>
        </w:rPr>
        <w:t>•</w:t>
      </w:r>
      <w:r>
        <w:rPr>
          <w:rFonts w:ascii="Arial;sans-serif" w:hAnsi="Arial;sans-serif"/>
          <w:b/>
          <w:color w:val="000000"/>
          <w:sz w:val="22"/>
        </w:rPr>
        <w:t xml:space="preserve">Violation of ELG Covenants. </w:t>
      </w:r>
      <w:r>
        <w:rPr>
          <w:rFonts w:ascii="Arial;sans-serif" w:hAnsi="Arial;sans-serif"/>
          <w:b w:val="false"/>
          <w:color w:val="000000"/>
          <w:sz w:val="22"/>
        </w:rPr>
        <w:t>Participant violates any of the ELG Covenants.</w:t>
      </w:r>
    </w:p>
    <w:p>
      <w:pPr>
        <w:pStyle w:val="TextBody"/>
        <w:bidi w:val="0"/>
        <w:spacing w:lineRule="auto" w:line="304" w:before="120" w:after="240"/>
        <w:ind w:left="0" w:right="0" w:hanging="360"/>
        <w:jc w:val="left"/>
        <w:rPr/>
      </w:pPr>
      <w:r>
        <w:rPr>
          <w:color w:val="1F497B"/>
        </w:rPr>
        <w:t>•</w:t>
      </w:r>
      <w:r>
        <w:rPr>
          <w:rFonts w:ascii="Arial;sans-serif" w:hAnsi="Arial;sans-serif"/>
          <w:b/>
          <w:color w:val="000000"/>
          <w:sz w:val="22"/>
        </w:rPr>
        <w:t>Self-dealing.</w:t>
      </w:r>
      <w:r>
        <w:rPr>
          <w:color w:val="000000"/>
        </w:rPr>
        <w:t xml:space="preserve"> </w:t>
      </w:r>
      <w:r>
        <w:rPr>
          <w:rFonts w:ascii="Arial;sans-serif" w:hAnsi="Arial;sans-serif"/>
          <w:b w:val="false"/>
          <w:color w:val="000000"/>
          <w:sz w:val="22"/>
        </w:rPr>
        <w:t>Participant engages in conduct which serves his or her own personal interests at the expense of the Company or permit others to do so.</w:t>
      </w:r>
    </w:p>
    <w:p>
      <w:pPr>
        <w:pStyle w:val="TextBody"/>
        <w:bidi w:val="0"/>
        <w:spacing w:lineRule="auto" w:line="304" w:before="120" w:after="240"/>
        <w:ind w:left="0" w:right="0" w:hanging="360"/>
        <w:jc w:val="left"/>
        <w:rPr/>
      </w:pPr>
      <w:r>
        <w:rPr>
          <w:color w:val="1F497B"/>
        </w:rPr>
        <w:t>•</w:t>
      </w:r>
      <w:r>
        <w:rPr>
          <w:rFonts w:ascii="Arial;sans-serif" w:hAnsi="Arial;sans-serif"/>
          <w:b/>
          <w:color w:val="000000"/>
          <w:sz w:val="22"/>
        </w:rPr>
        <w:t>Financial restatement.</w:t>
      </w:r>
      <w:r>
        <w:rPr>
          <w:color w:val="000000"/>
        </w:rPr>
        <w:t xml:space="preserve"> </w:t>
      </w:r>
      <w:r>
        <w:rPr>
          <w:rFonts w:ascii="Arial;sans-serif" w:hAnsi="Arial;sans-serif"/>
          <w:b w:val="false"/>
          <w:color w:val="000000"/>
          <w:sz w:val="22"/>
        </w:rPr>
        <w:t>A restatement of financial results attributable to Participant’s actions, whether intentional or negligent.</w:t>
      </w:r>
    </w:p>
    <w:p>
      <w:pPr>
        <w:pStyle w:val="TextBody"/>
        <w:bidi w:val="0"/>
        <w:spacing w:lineRule="auto" w:line="304" w:before="120" w:after="240"/>
        <w:ind w:left="0" w:right="0" w:hanging="360"/>
        <w:jc w:val="left"/>
        <w:rPr/>
      </w:pPr>
      <w:r>
        <w:rPr>
          <w:color w:val="1F497B"/>
        </w:rPr>
        <w:t>•</w:t>
      </w:r>
      <w:r>
        <w:rPr>
          <w:rFonts w:ascii="Arial;sans-serif" w:hAnsi="Arial;sans-serif"/>
          <w:b/>
          <w:color w:val="000000"/>
          <w:sz w:val="22"/>
        </w:rPr>
        <w:t>Improper or criminal conduct.</w:t>
      </w:r>
      <w:r>
        <w:rPr>
          <w:color w:val="000000"/>
        </w:rPr>
        <w:t xml:space="preserve"> </w:t>
      </w:r>
      <w:r>
        <w:rPr>
          <w:rFonts w:ascii="Arial;sans-serif" w:hAnsi="Arial;sans-serif"/>
          <w:b w:val="false"/>
          <w:color w:val="000000"/>
          <w:sz w:val="22"/>
        </w:rPr>
        <w:t xml:space="preserve">Participant’s discharge results from actions (or omissions) which Participant did not reasonably believe to be in the best interests of the Company. Participant must not engage in conduct that is fraudulent, dishonest, or violates federal, state or local law. </w:t>
      </w:r>
    </w:p>
    <w:p>
      <w:pPr>
        <w:pStyle w:val="TextBody"/>
        <w:bidi w:val="0"/>
        <w:spacing w:before="0" w:after="0"/>
        <w:jc w:val="center"/>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7330"/>
                <wp:effectExtent l="0" t="0" r="0" b="0"/>
                <wp:wrapNone/>
                <wp:docPr id="127" name="Frame127"/>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120" w:after="240"/>
        <w:ind w:left="0" w:right="0" w:hanging="360"/>
        <w:jc w:val="left"/>
        <w:rPr/>
      </w:pPr>
      <w:r>
        <w:rPr>
          <w:color w:val="1F497B"/>
        </w:rPr>
        <w:t>•</w:t>
      </w:r>
      <w:r>
        <w:rPr>
          <w:rFonts w:ascii="Arial;sans-serif" w:hAnsi="Arial;sans-serif"/>
          <w:b/>
          <w:color w:val="000000"/>
          <w:sz w:val="22"/>
        </w:rPr>
        <w:t>Termination for Cause.</w:t>
      </w:r>
      <w:r>
        <w:rPr>
          <w:color w:val="000000"/>
        </w:rPr>
        <w:t xml:space="preserve"> </w:t>
      </w:r>
      <w:r>
        <w:rPr>
          <w:rFonts w:ascii="Arial;sans-serif" w:hAnsi="Arial;sans-serif"/>
          <w:b w:val="false"/>
          <w:color w:val="000000"/>
          <w:sz w:val="22"/>
        </w:rPr>
        <w:t>Participant’s termination results from facts or circumstances that constitute a Termination for Cause as defined herein; or if following termination, the Company determines within three years that Participant engaged in conduct that would have constituted the basis for a Termination for Cause.</w:t>
      </w:r>
    </w:p>
    <w:p>
      <w:pPr>
        <w:pStyle w:val="TextBody"/>
        <w:bidi w:val="0"/>
        <w:spacing w:lineRule="auto" w:line="304" w:before="0" w:after="240"/>
        <w:ind w:left="0" w:right="0" w:hanging="360"/>
        <w:jc w:val="left"/>
        <w:rPr/>
      </w:pPr>
      <w:r>
        <w:rPr>
          <w:color w:val="1F497B"/>
        </w:rPr>
        <w:t>•</w:t>
      </w:r>
      <w:r>
        <w:rPr>
          <w:rFonts w:ascii="Arial;sans-serif" w:hAnsi="Arial;sans-serif"/>
          <w:b/>
          <w:color w:val="000000"/>
          <w:sz w:val="22"/>
        </w:rPr>
        <w:t>Negligent conduct injurious to the Company.</w:t>
      </w:r>
      <w:r>
        <w:rPr>
          <w:color w:val="000000"/>
        </w:rPr>
        <w:t xml:space="preserve"> </w:t>
      </w:r>
      <w:r>
        <w:rPr>
          <w:rFonts w:ascii="Arial;sans-serif" w:hAnsi="Arial;sans-serif"/>
          <w:b w:val="false"/>
          <w:color w:val="000000"/>
          <w:sz w:val="22"/>
        </w:rPr>
        <w:t>Participant’s actions, including negligent supervision of a subordinate whose action, requires a restatement of financial results, or causes other significant harm to the Company as determined by the Committee.</w:t>
      </w:r>
    </w:p>
    <w:p>
      <w:pPr>
        <w:pStyle w:val="TextBody"/>
        <w:bidi w:val="0"/>
        <w:spacing w:lineRule="auto" w:line="304" w:before="100" w:after="240"/>
        <w:jc w:val="left"/>
        <w:rPr>
          <w:rFonts w:ascii="Arial;sans-serif" w:hAnsi="Arial;sans-serif"/>
          <w:b w:val="false"/>
          <w:color w:val="000000"/>
          <w:sz w:val="22"/>
        </w:rPr>
      </w:pPr>
      <w:r>
        <w:rPr>
          <w:rFonts w:ascii="Arial;sans-serif" w:hAnsi="Arial;sans-serif"/>
          <w:b w:val="false"/>
          <w:color w:val="000000"/>
          <w:sz w:val="22"/>
        </w:rPr>
        <w:t xml:space="preserve">In addition, the Committee reserves the right to require repayment of all or any portion of the ELG RSU Award in the event of a financial restatement, without regard to whether a restatement is attributable to the Participant’s actions, as appropriate and determined at the Committee’s sole discretion. </w:t>
      </w:r>
    </w:p>
    <w:p>
      <w:pPr>
        <w:pStyle w:val="TextBody"/>
        <w:bidi w:val="0"/>
        <w:spacing w:lineRule="auto" w:line="304" w:before="100" w:after="240"/>
        <w:jc w:val="left"/>
        <w:rPr/>
      </w:pPr>
      <w:r>
        <w:rPr>
          <w:rFonts w:ascii="Arial;sans-serif" w:hAnsi="Arial;sans-serif"/>
          <w:b w:val="false"/>
          <w:color w:val="000000"/>
          <w:sz w:val="22"/>
        </w:rPr>
        <w:t>The Participant agrees that the value of</w:t>
      </w:r>
      <w:r>
        <w:rPr>
          <w:color w:val="221E1F"/>
        </w:rPr>
        <w:t xml:space="preserve"> </w:t>
      </w:r>
      <w:r>
        <w:rPr>
          <w:rFonts w:ascii="Arial;sans-serif" w:hAnsi="Arial;sans-serif"/>
          <w:b w:val="false"/>
          <w:color w:val="221E1F"/>
          <w:sz w:val="22"/>
        </w:rPr>
        <w:t>the</w:t>
      </w:r>
      <w:r>
        <w:rPr>
          <w:color w:val="000000"/>
        </w:rPr>
        <w:t xml:space="preserve"> </w:t>
      </w:r>
      <w:r>
        <w:rPr>
          <w:rFonts w:ascii="Arial;sans-serif" w:hAnsi="Arial;sans-serif"/>
          <w:b w:val="false"/>
          <w:color w:val="000000"/>
          <w:sz w:val="22"/>
        </w:rPr>
        <w:t xml:space="preserve">ELG RSU Award is reasonable consideration for accepting such forfeiture contingencies. </w:t>
      </w:r>
      <w:r>
        <w:rPr>
          <w:rFonts w:ascii="Arial;sans-serif" w:hAnsi="Arial;sans-serif"/>
          <w:b w:val="false"/>
          <w:color w:val="221E1F"/>
          <w:sz w:val="22"/>
        </w:rPr>
        <w:t xml:space="preserve">However, if any portion of this section is held by competent authority to be unenforceable, this section shall be deemed amended to limit its scope to the broadest scope that such authority determines is enforceable, and as so amended shall continue in effect. </w:t>
      </w:r>
      <w:r>
        <w:rPr>
          <w:rFonts w:ascii="Arial;sans-serif" w:hAnsi="Arial;sans-serif"/>
          <w:b w:val="false"/>
          <w:color w:val="000000"/>
          <w:sz w:val="22"/>
        </w:rPr>
        <w:t>Further details concerning the forfeiture of awards and the obligation to repay gains realized from LTIP awards are set forth in Section 14(i) of the LTIP, available</w:t>
      </w:r>
      <w:r>
        <w:rPr>
          <w:color w:val="221E1F"/>
        </w:rPr>
        <w:t xml:space="preserve"> </w:t>
      </w:r>
      <w:r>
        <w:rPr>
          <w:rFonts w:ascii="Arial;sans-serif" w:hAnsi="Arial;sans-serif"/>
          <w:b w:val="false"/>
          <w:color w:val="221E1F"/>
          <w:sz w:val="22"/>
        </w:rPr>
        <w:t>at</w:t>
      </w:r>
      <w:r>
        <w:rPr>
          <w:color w:val="221E1F"/>
          <w:u w:val="single"/>
        </w:rPr>
        <w:t xml:space="preserve"> </w:t>
      </w:r>
      <w:r>
        <w:rPr>
          <w:rFonts w:ascii="Arial;sans-serif" w:hAnsi="Arial;sans-serif"/>
          <w:b w:val="false"/>
          <w:color w:val="0563C1"/>
          <w:sz w:val="22"/>
          <w:u w:val="single"/>
        </w:rPr>
        <w:t>www.ubs.com/onesource/rtx</w:t>
      </w:r>
      <w:r>
        <w:rPr>
          <w:rFonts w:ascii="Arial;sans-serif" w:hAnsi="Arial;sans-serif"/>
          <w:b w:val="false"/>
          <w:color w:val="000000"/>
          <w:sz w:val="22"/>
        </w:rPr>
        <w:t xml:space="preserve">, and the RTX Corporation Clawback Policy, </w:t>
      </w:r>
      <w:r>
        <w:rPr>
          <w:rFonts w:ascii="Arial;sans-serif" w:hAnsi="Arial;sans-serif"/>
          <w:b w:val="false"/>
          <w:color w:val="221E1F"/>
          <w:sz w:val="22"/>
        </w:rPr>
        <w:t>and RTX Executive Officer Clawback Policy, both</w:t>
      </w:r>
      <w:r>
        <w:rPr>
          <w:color w:val="000000"/>
        </w:rPr>
        <w:t xml:space="preserve"> </w:t>
      </w:r>
      <w:r>
        <w:rPr>
          <w:rFonts w:ascii="Arial;sans-serif" w:hAnsi="Arial;sans-serif"/>
          <w:b w:val="false"/>
          <w:color w:val="000000"/>
          <w:sz w:val="22"/>
        </w:rPr>
        <w:t>available on www.rtx.com.</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ELG Definitions</w:t>
      </w:r>
    </w:p>
    <w:p>
      <w:pPr>
        <w:pStyle w:val="TextBody"/>
        <w:bidi w:val="0"/>
        <w:spacing w:lineRule="auto" w:line="304" w:before="0" w:after="0"/>
        <w:jc w:val="left"/>
        <w:rPr/>
      </w:pPr>
      <w:r>
        <w:rPr>
          <w:rFonts w:ascii="Arial;sans-serif" w:hAnsi="Arial;sans-serif"/>
          <w:b w:val="false"/>
          <w:color w:val="000000"/>
          <w:sz w:val="22"/>
        </w:rPr>
        <w:t>For purposes of the Executive Leadership Group RSU Retention Award, the following terms shall have the meanings ascribed to them in the ELG Agreement or Attachment A of the ELG Program materials, as applicable: Qualifying Separation, Mutually Agreeable Termination, Change-in-Control Termination, Good Reason, and Termination for Cause</w:t>
      </w:r>
      <w:r>
        <w:rPr>
          <w:rFonts w:ascii="Arial;sans-serif" w:hAnsi="Arial;sans-serif"/>
          <w:b w:val="false"/>
          <w:color w:val="211E1F"/>
          <w:sz w:val="22"/>
        </w:rPr>
        <w:t>.</w:t>
      </w:r>
    </w:p>
    <w:p>
      <w:pPr>
        <w:pStyle w:val="TextBody"/>
        <w:bidi w:val="0"/>
        <w:spacing w:before="0" w:after="0"/>
        <w:jc w:val="left"/>
        <w:rPr/>
      </w:pPr>
      <w:r>
        <w:rPr/>
      </w:r>
    </w:p>
    <w:p>
      <w:pPr>
        <w:pStyle w:val="TextBody"/>
        <w:bidi w:val="0"/>
        <w:spacing w:lineRule="auto" w:line="304" w:before="0" w:after="0"/>
        <w:jc w:val="left"/>
        <w:rPr>
          <w:rFonts w:ascii="Arial;sans-serif" w:hAnsi="Arial;sans-serif"/>
          <w:b/>
          <w:color w:val="211E1F"/>
          <w:sz w:val="22"/>
        </w:rPr>
      </w:pPr>
      <w:r>
        <w:rPr>
          <w:rFonts w:ascii="Arial;sans-serif" w:hAnsi="Arial;sans-serif"/>
          <w:b/>
          <w:color w:val="211E1F"/>
          <w:sz w:val="22"/>
        </w:rPr>
        <w:t>Change-in-Control</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val="false"/>
          <w:color w:val="211E1F"/>
          <w:sz w:val="22"/>
        </w:rPr>
        <w:t xml:space="preserve">In the event of a Change-in-Control or restructuring of the Company, the Committee may, in its sole discretion, take certain actions with respect to outstanding Awards to assure fair and equitable treatment of LTIP Participants. </w:t>
      </w:r>
      <w:r>
        <w:rPr>
          <w:rFonts w:ascii="Arial;sans-serif" w:hAnsi="Arial;sans-serif"/>
          <w:b w:val="false"/>
          <w:color w:val="211F1F"/>
          <w:sz w:val="22"/>
        </w:rPr>
        <w:t xml:space="preserve">Such actions may include the acceleration of vesting, canceling an outstanding Award in exchange for its equivalent cash value (as determined by the Committee), or providing for other adjustments or modifications to outstanding Awards as the Committee may deem appropriate. </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 xml:space="preserve">Awards Not to Affect Certain Transactions </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 xml:space="preserve">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w:t>
      </w: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7330"/>
                <wp:effectExtent l="0" t="0" r="0" b="0"/>
                <wp:wrapNone/>
                <wp:docPr id="128" name="Frame128"/>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liquidation of the Corporation; (v) any sale or transfer of all or any part of its assets or business; or (vi) any other corporate act or proceeding.</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Right of Offset</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The ELG RSU Retention Award will be offset and reduced by the full amount (if any) of cash severance benefits that the Participant may separately be entitled to receive from the Company based on any employment agreement, contractual obligation, or statutory scheme, including mandated termination indemnities or similar benefits. In the event of such an offset, the Participant’s commitments under the ELG remain in full force and effect. </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Taxes / Withholding</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any payment or delivery of shares due to Participant or from Participant’s regular compensation to effect compliance with all Tax-Related Items including withholding and reporting with respect to the vesting of any RSU.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bidi w:val="0"/>
        <w:spacing w:lineRule="auto" w:line="288" w:before="0" w:after="0"/>
        <w:jc w:val="left"/>
        <w:rPr>
          <w:rFonts w:ascii="Arial;sans-serif" w:hAnsi="Arial;sans-serif"/>
          <w:b w:val="false"/>
          <w:color w:val="221E1F"/>
          <w:sz w:val="22"/>
        </w:rPr>
      </w:pPr>
      <w:r>
        <w:rPr>
          <w:rFonts w:ascii="Arial;sans-serif" w:hAnsi="Arial;sans-serif"/>
          <w:b w:val="false"/>
          <w:color w:val="221E1F"/>
          <w:sz w:val="22"/>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to the vesting of the ELG RSU Award and (ii) with respect to any other Tax-Related Items, the Company shall satisfy the withholding obligation by withholding shares of Common Stock converted from RSUs under the ELG RSU Award having a Fair Market Value on the date of withholding equal to the amount required to be withheld for tax purposes (calculated using the minimum statutory withholding rate, except as otherwise approved by the Committee, or its delegate). Provided for both items (i) and (ii) above, the Committee retains the right to determine an alternative method of withholding for the Participant, at its sole discretion, provided in all cases, such determination shall be made by the Committee prior to the Tax-Related Items withholding event.</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7330"/>
                <wp:effectExtent l="0" t="0" r="0" b="0"/>
                <wp:wrapNone/>
                <wp:docPr id="129" name="Frame129"/>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563C1"/>
          <w:sz w:val="22"/>
          <w:u w:val="single"/>
        </w:rPr>
        <w:t>www.ubs.com/onesource/rtx</w:t>
      </w:r>
      <w:r>
        <w:rPr>
          <w:rFonts w:ascii="Arial;sans-serif" w:hAnsi="Arial;sans-serif"/>
          <w:b w:val="false"/>
          <w:color w:val="000000"/>
          <w:sz w:val="22"/>
        </w:rPr>
        <w:t>.</w:t>
      </w:r>
    </w:p>
    <w:p>
      <w:pPr>
        <w:pStyle w:val="TextBody"/>
        <w:bidi w:val="0"/>
        <w:spacing w:lineRule="auto" w:line="304" w:before="0" w:after="240"/>
        <w:jc w:val="left"/>
        <w:rPr>
          <w:rFonts w:ascii="Arial;sans-serif" w:hAnsi="Arial;sans-serif"/>
          <w:b/>
          <w:color w:val="211F1F"/>
          <w:sz w:val="22"/>
        </w:rPr>
      </w:pPr>
      <w:r>
        <w:rPr>
          <w:rFonts w:ascii="Arial;sans-serif" w:hAnsi="Arial;sans-serif"/>
          <w:b/>
          <w:color w:val="211F1F"/>
          <w:sz w:val="22"/>
        </w:rPr>
        <w:t>Vesting / Taxes Due</w:t>
      </w:r>
    </w:p>
    <w:p>
      <w:pPr>
        <w:pStyle w:val="TextBody"/>
        <w:bidi w:val="0"/>
        <w:spacing w:lineRule="auto" w:line="304" w:before="0" w:after="240"/>
        <w:jc w:val="left"/>
        <w:rPr/>
      </w:pPr>
      <w:r>
        <w:rPr>
          <w:rFonts w:ascii="Arial;sans-serif" w:hAnsi="Arial;sans-serif"/>
          <w:b w:val="false"/>
          <w:color w:val="211F1F"/>
          <w:sz w:val="22"/>
        </w:rPr>
        <w:t>If the Participant is subject to tax in the U.S., t</w:t>
      </w:r>
      <w:r>
        <w:rPr>
          <w:rFonts w:ascii="Arial;sans-serif" w:hAnsi="Arial;sans-serif"/>
          <w:b w:val="false"/>
          <w:color w:val="211E1F"/>
          <w:sz w:val="22"/>
        </w:rPr>
        <w:t xml:space="preserve">he value of the Award as of the Vesting Date will be subject to FICA withholding in that same calendar year. </w:t>
      </w:r>
      <w:r>
        <w:rPr>
          <w:rFonts w:ascii="Arial;sans-serif" w:hAnsi="Arial;sans-serif"/>
          <w:b w:val="false"/>
          <w:color w:val="211F1F"/>
          <w:sz w:val="22"/>
        </w:rPr>
        <w:t>If the Participant is responsible for a Tax-Related Item in a country outside the U.S. (“Foreign Country”) and if pursuant to the rules regarding such Tax-Related Item in such Foreign Country, the Participant will be liable for such Tax-Related Item prior to the date that the Participant is issued shares pursuant to this Award, the Committee, in its discretion, may accelerate vesting and settlement of a portion of the Award to the extent necessary to pay the foreign Tax-Related Items due (and any applicable U.S. income taxes due as a result of the acceleration of vesting and settlement) but only if such acceleration does not result in taxation under Section 409A (as permitted under Treasury Regulation Section 1.409A-3(j)(4)(xi)).</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Non-assignability</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No assignment or transfer of any right or interest of a Participant in an ELG RSU Award, whether voluntary or involuntary, by operation of law or otherwise, is permitted except by will or the laws of descent and distribution. Any other attempt to assign such rights or interest shall be void and without force or effect.</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Nature of Payments</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304" w:before="0" w:after="240"/>
        <w:jc w:val="left"/>
        <w:rPr>
          <w:rFonts w:ascii="Arial;sans-serif" w:hAnsi="Arial;sans-serif"/>
          <w:b w:val="false"/>
          <w:color w:val="211E1F"/>
          <w:sz w:val="22"/>
        </w:rPr>
      </w:pPr>
      <w:r>
        <w:rPr>
          <w:rFonts w:ascii="Arial;sans-serif" w:hAnsi="Arial;sans-serif"/>
          <w:b w:val="false"/>
          <w:color w:val="211E1F"/>
          <w:sz w:val="22"/>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Administration</w:t>
      </w:r>
    </w:p>
    <w:p>
      <w:pPr>
        <w:pStyle w:val="TextBody"/>
        <w:bidi w:val="0"/>
        <w:spacing w:lineRule="auto" w:line="304" w:before="0" w:after="240"/>
        <w:jc w:val="left"/>
        <w:rPr/>
      </w:pPr>
      <w:r>
        <w:rPr>
          <w:rFonts w:ascii="Arial;sans-serif" w:hAnsi="Arial;sans-serif"/>
          <w:b w:val="false"/>
          <w:color w:val="211E1F"/>
          <w:sz w:val="22"/>
        </w:rPr>
        <w:t xml:space="preserve">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w:t>
      </w:r>
      <w:r>
        <w:rPr>
          <w:rFonts w:ascii="Arial;sans-serif" w:hAnsi="Arial;sans-serif"/>
          <w:b w:val="false"/>
          <w:color w:val="000000"/>
          <w:sz w:val="22"/>
        </w:rPr>
        <w:t xml:space="preserve">The Committee has, consistent with its charter and subject to certain limitations, delegated to the Chief Executive Officer, and the Chief Human Resources Officer (and to such subordinates as she or 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w:t>
      </w:r>
    </w:p>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7330"/>
                <wp:effectExtent l="0" t="0" r="0" b="0"/>
                <wp:wrapNone/>
                <wp:docPr id="130" name="Frame130"/>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administered, and interpreted exclusively by the Committee. The Committee’s decision or that of its delegate on any matter related to an Award shall be binding, final and conclusive on all parties in interest.</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304"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a Participant does not want to have his or her personal data shared, he or she may choose to not accept this Award.</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Company Compliance Policies</w:t>
      </w:r>
    </w:p>
    <w:p>
      <w:pPr>
        <w:pStyle w:val="TextBody"/>
        <w:bidi w:val="0"/>
        <w:spacing w:lineRule="auto" w:line="304" w:before="0" w:after="240"/>
        <w:jc w:val="left"/>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563C1"/>
          <w:sz w:val="22"/>
          <w:u w:val="single"/>
        </w:rPr>
        <w:t>http://epolicy.corp.ray.com/epolicy/</w:t>
      </w:r>
      <w:r>
        <w:rPr>
          <w:rFonts w:ascii="Arial;sans-serif" w:hAnsi="Arial;sans-serif"/>
          <w:b w:val="false"/>
          <w:color w:val="221E1F"/>
          <w:sz w:val="22"/>
        </w:rPr>
        <w:t>.</w:t>
      </w:r>
    </w:p>
    <w:p>
      <w:pPr>
        <w:pStyle w:val="TextBody"/>
        <w:bidi w:val="0"/>
        <w:spacing w:lineRule="auto" w:line="304" w:before="0" w:after="240"/>
        <w:jc w:val="left"/>
        <w:rPr>
          <w:rFonts w:ascii="Arial;sans-serif" w:hAnsi="Arial;sans-serif"/>
          <w:b/>
          <w:color w:val="211E1F"/>
          <w:sz w:val="22"/>
        </w:rPr>
      </w:pPr>
      <w:r>
        <w:rPr>
          <w:rFonts w:ascii="Arial;sans-serif" w:hAnsi="Arial;sans-serif"/>
          <w:b/>
          <w:color w:val="211E1F"/>
          <w:sz w:val="22"/>
        </w:rPr>
        <w:t>Interpretations</w:t>
      </w:r>
    </w:p>
    <w:p>
      <w:pPr>
        <w:pStyle w:val="TextBody"/>
        <w:bidi w:val="0"/>
        <w:spacing w:lineRule="auto" w:line="304" w:before="0" w:after="240"/>
        <w:jc w:val="left"/>
        <w:rPr/>
      </w:pPr>
      <w:r>
        <w:rPr>
          <w:rFonts w:ascii="Arial;sans-serif" w:hAnsi="Arial;sans-serif"/>
          <w:b w:val="false"/>
          <w:color w:val="000000"/>
          <w:sz w:val="22"/>
        </w:rPr>
        <w:t xml:space="preserve">This Schedule of Terms provides a summary of terms applicable to the ELG RSU Award. This Schedule of Terms and each Award Agreement are subject in all respects to the terms of the LTIP, which can be located at </w:t>
      </w:r>
      <w:r>
        <w:rPr>
          <w:rFonts w:ascii="Arial;sans-serif" w:hAnsi="Arial;sans-serif"/>
          <w:b w:val="false"/>
          <w:color w:val="0563C1"/>
          <w:sz w:val="22"/>
          <w:u w:val="single"/>
        </w:rPr>
        <w:t>www.ubs.com/onesource/rtx</w:t>
      </w:r>
      <w:r>
        <w:rPr>
          <w:rFonts w:ascii="Arial;sans-serif" w:hAnsi="Arial;sans-serif"/>
          <w:b w:val="false"/>
          <w:color w:val="000000"/>
          <w:sz w:val="22"/>
        </w:rPr>
        <w:t>, and ELG Program materials. In the event that any provision of this Schedule of Terms or any Award Agreement is inconsistent with the terms of the LTIP or ELG Program materials, the terms of the LTIP and ELG Program materials shall govern. The ELG Program materials may impose additional obligations or restrictions beyond the terms of the LTIP. Capitalized terms used but not otherwise defined herein shall have the meanings as defined in the LTIP or ELG Program materials. In the event of a conflict between the LTIP and ELG Program materials, ELG Program materials shall control.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before="0" w:after="0"/>
        <w:jc w:val="center"/>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7330"/>
                <wp:effectExtent l="0" t="0" r="0" b="0"/>
                <wp:wrapNone/>
                <wp:docPr id="131" name="Frame131"/>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304" w:before="0" w:after="240"/>
        <w:jc w:val="left"/>
        <w:rPr>
          <w:rFonts w:ascii="Arial;sans-serif" w:hAnsi="Arial;sans-serif"/>
          <w:b/>
          <w:color w:val="221E1F"/>
          <w:sz w:val="22"/>
        </w:rPr>
      </w:pPr>
      <w:r>
        <w:rPr>
          <w:rFonts w:ascii="Arial;sans-serif" w:hAnsi="Arial;sans-serif"/>
          <w:b/>
          <w:color w:val="221E1F"/>
          <w:sz w:val="22"/>
        </w:rPr>
        <w:t xml:space="preserve">Additional Information </w:t>
      </w:r>
    </w:p>
    <w:p>
      <w:pPr>
        <w:pStyle w:val="TextBody"/>
        <w:bidi w:val="0"/>
        <w:spacing w:lineRule="auto" w:line="304" w:before="0" w:after="240"/>
        <w:jc w:val="left"/>
        <w:rPr/>
      </w:pPr>
      <w:r>
        <w:rPr>
          <w:rFonts w:ascii="Arial;sans-serif" w:hAnsi="Arial;sans-serif"/>
          <w:b w:val="false"/>
          <w:color w:val="000000"/>
          <w:sz w:val="22"/>
        </w:rPr>
        <w:t xml:space="preserve">Questions concerning the LTIP or Awards and requests for LTIP documents shall be directed to the RTX Stock Plan Administrator by emailing </w:t>
      </w:r>
      <w:r>
        <w:rPr>
          <w:rFonts w:ascii="Arial;sans-serif" w:hAnsi="Arial;sans-serif"/>
          <w:b w:val="false"/>
          <w:color w:val="0563C1"/>
          <w:sz w:val="22"/>
          <w:u w:val="single"/>
        </w:rPr>
        <w:t>RTXstockadmin@rtx.com</w:t>
      </w:r>
      <w:r>
        <w:rPr>
          <w:rFonts w:ascii="Arial;sans-serif" w:hAnsi="Arial;sans-serif"/>
          <w:b w:val="false"/>
          <w:color w:val="000000"/>
          <w:sz w:val="22"/>
        </w:rPr>
        <w:t>.</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It is the responsibility of the Participant to ensure that both the e-mail and physical address on record are up-to-date and accurate at all times to ensure delivery of Award-related communications.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5943600" cy="666750"/>
            <wp:effectExtent l="0" t="0" r="0" b="0"/>
            <wp:docPr id="1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 descr=""/>
                    <pic:cNvPicPr>
                      <a:picLocks noChangeAspect="1" noChangeArrowheads="1"/>
                    </pic:cNvPicPr>
                  </pic:nvPicPr>
                  <pic:blipFill>
                    <a:blip r:embed="rId2"/>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7330"/>
                <wp:effectExtent l="0" t="0" r="0" b="0"/>
                <wp:wrapNone/>
                <wp:docPr id="133" name="Frame132"/>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r>
                              <w:br w:type="page"/>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79" w:before="0" w:after="0"/>
        <w:jc w:val="right"/>
        <w:rPr>
          <w:rFonts w:ascii="Arial;sans-serif" w:hAnsi="Arial;sans-serif"/>
          <w:b/>
          <w:color w:val="C00000"/>
          <w:sz w:val="22"/>
        </w:rPr>
      </w:pPr>
      <w:r>
        <w:rPr>
          <w:rFonts w:ascii="Arial;sans-serif" w:hAnsi="Arial;sans-serif"/>
          <w:b/>
          <w:color w:val="C00000"/>
          <w:sz w:val="22"/>
        </w:rPr>
        <w:t>ELG RSU Retention Award Schedule of Terms</w:t>
      </w:r>
    </w:p>
    <w:p>
      <w:pPr>
        <w:pStyle w:val="TextBody"/>
        <w:bidi w:val="0"/>
        <w:spacing w:lineRule="auto" w:line="379" w:before="0" w:after="0"/>
        <w:jc w:val="right"/>
        <w:rPr/>
      </w:pPr>
      <w:r>
        <w:rPr>
          <w:rFonts w:ascii="Arial;sans-serif" w:hAnsi="Arial;sans-serif"/>
          <w:b/>
          <w:color w:val="C00000"/>
          <w:sz w:val="22"/>
        </w:rPr>
        <w:t>Attachment A</w:t>
      </w:r>
      <w:r>
        <w:rPr>
          <w:color w:val="1F497D"/>
        </w:rPr>
        <w:t xml:space="preserve"> </w:t>
      </w:r>
    </w:p>
    <w:p>
      <w:pPr>
        <w:pStyle w:val="TextBody"/>
        <w:bidi w:val="0"/>
        <w:spacing w:before="0" w:after="0"/>
        <w:jc w:val="right"/>
        <w:rPr/>
      </w:pPr>
      <w:r>
        <w:rPr/>
      </w:r>
    </w:p>
    <w:p>
      <w:pPr>
        <w:pStyle w:val="TextBody"/>
        <w:bidi w:val="0"/>
        <w:spacing w:lineRule="auto" w:line="379" w:before="0" w:after="0"/>
        <w:jc w:val="center"/>
        <w:rPr>
          <w:rFonts w:ascii="Arial;sans-serif" w:hAnsi="Arial;sans-serif"/>
          <w:b/>
          <w:color w:val="000000"/>
          <w:sz w:val="22"/>
          <w:u w:val="single"/>
        </w:rPr>
      </w:pPr>
      <w:r>
        <w:rPr>
          <w:rFonts w:ascii="Arial;sans-serif" w:hAnsi="Arial;sans-serif"/>
          <w:b/>
          <w:color w:val="000000"/>
          <w:sz w:val="22"/>
          <w:u w:val="single"/>
        </w:rPr>
        <w:t>ELG RSU RETENTION AWARD VESTING AGREEMENT</w:t>
      </w:r>
    </w:p>
    <w:p>
      <w:pPr>
        <w:pStyle w:val="TextBody"/>
        <w:bidi w:val="0"/>
        <w:spacing w:before="0" w:after="0"/>
        <w:jc w:val="left"/>
        <w:rPr/>
      </w:pPr>
      <w:r>
        <w:rPr/>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This VESTING AGREEMENT, is entered into between _______________ (hereinafter, the "Executive"), and RTX CORPORATION, a Delaware corporation, with an office and place of business at 1000 Wilson Blvd., Arlington, VA 22209 (RTX Corporation and all its subsidiaries, divisions and affiliates are hereinafter referred to as the "Company").</w:t>
      </w:r>
    </w:p>
    <w:p>
      <w:pPr>
        <w:pStyle w:val="TextBody"/>
        <w:bidi w:val="0"/>
        <w:spacing w:before="0" w:after="0"/>
        <w:jc w:val="both"/>
        <w:rPr/>
      </w:pPr>
      <w:r>
        <w:rPr/>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WHEREAS, the Executive and the Company agree that the Executive’s employment with the Company will terminate; and</w:t>
      </w:r>
    </w:p>
    <w:p>
      <w:pPr>
        <w:pStyle w:val="TextBody"/>
        <w:bidi w:val="0"/>
        <w:spacing w:before="0" w:after="0"/>
        <w:jc w:val="both"/>
        <w:rPr/>
      </w:pPr>
      <w:r>
        <w:rPr/>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 xml:space="preserve">WHEREAS, the parties wish to set forth their mutual understanding concerning the terms and conditions relative to the termination of the Executive's employment with the Company; and </w:t>
      </w:r>
    </w:p>
    <w:p>
      <w:pPr>
        <w:pStyle w:val="TextBody"/>
        <w:bidi w:val="0"/>
        <w:spacing w:before="0" w:after="0"/>
        <w:jc w:val="both"/>
        <w:rPr/>
      </w:pPr>
      <w:r>
        <w:rPr/>
      </w:r>
    </w:p>
    <w:p>
      <w:pPr>
        <w:pStyle w:val="TextBody"/>
        <w:bidi w:val="0"/>
        <w:spacing w:lineRule="auto" w:line="379" w:before="0" w:after="0"/>
        <w:jc w:val="left"/>
        <w:rPr>
          <w:color w:val="000000"/>
        </w:rPr>
      </w:pPr>
      <w:r>
        <w:rPr>
          <w:color w:val="000000"/>
        </w:rPr>
        <w:t>    </w:t>
      </w:r>
      <w:r>
        <w:rPr>
          <w:rFonts w:ascii="Arial;sans-serif" w:hAnsi="Arial;sans-serif"/>
          <w:b w:val="false"/>
          <w:color w:val="000000"/>
          <w:sz w:val="22"/>
        </w:rPr>
        <w:t xml:space="preserve">WHEREAS, the Executive has committed to membership in the Company's Executive Leadership Group (the "ELG"), which commitment signifies, among other things, the Executive's acceptance of the terms and conditions of the ELG Program, including, specifically, the terms and conditions of the ELG Restricted Stock Unit Retention Award as set forth in the Schedule of Terms applicable to such Award granted on or about [Date] (the “ELG RSU Award”); </w:t>
      </w:r>
    </w:p>
    <w:p>
      <w:pPr>
        <w:pStyle w:val="TextBody"/>
        <w:bidi w:val="0"/>
        <w:spacing w:before="0" w:after="0"/>
        <w:jc w:val="both"/>
        <w:rPr/>
      </w:pPr>
      <w:r>
        <w:rPr/>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NOW, THEREFORE, it is hereby mutually agreed as follows:</w:t>
      </w:r>
    </w:p>
    <w:p>
      <w:pPr>
        <w:pStyle w:val="TextBody"/>
        <w:bidi w:val="0"/>
        <w:spacing w:before="0" w:after="0"/>
        <w:jc w:val="both"/>
        <w:rPr/>
      </w:pPr>
      <w:r>
        <w:rPr/>
      </w:r>
    </w:p>
    <w:p>
      <w:pPr>
        <w:pStyle w:val="TextBody"/>
        <w:bidi w:val="0"/>
        <w:spacing w:lineRule="auto" w:line="379" w:before="0" w:after="0"/>
        <w:ind w:left="0" w:right="0" w:hanging="810"/>
        <w:jc w:val="both"/>
        <w:rPr>
          <w:rFonts w:ascii="Arial;sans-serif" w:hAnsi="Arial;sans-serif"/>
          <w:b w:val="false"/>
          <w:color w:val="000000"/>
          <w:sz w:val="22"/>
        </w:rPr>
      </w:pPr>
      <w:r>
        <w:rPr>
          <w:rFonts w:ascii="Arial;sans-serif" w:hAnsi="Arial;sans-serif"/>
          <w:b w:val="false"/>
          <w:color w:val="000000"/>
          <w:sz w:val="22"/>
        </w:rPr>
        <w:t xml:space="preserve">1.    (a)    The Executive's employment with the Company will terminate effective ___________ (the "Termination Date"). </w:t>
      </w:r>
    </w:p>
    <w:p>
      <w:pPr>
        <w:pStyle w:val="TextBody"/>
        <w:bidi w:val="0"/>
        <w:spacing w:before="0" w:after="0"/>
        <w:ind w:left="0" w:right="0" w:hanging="810"/>
        <w:jc w:val="both"/>
        <w:rPr/>
      </w:pPr>
      <w:r>
        <w:rPr/>
      </w:r>
    </w:p>
    <w:p>
      <w:pPr>
        <w:pStyle w:val="TextBody"/>
        <w:bidi w:val="0"/>
        <w:spacing w:lineRule="auto" w:line="379" w:before="0" w:after="0"/>
        <w:ind w:left="0" w:right="0" w:hanging="810"/>
        <w:jc w:val="both"/>
        <w:rPr/>
      </w:pPr>
      <w:r>
        <w:rPr>
          <w:rFonts w:ascii="Arial;sans-serif" w:hAnsi="Arial;sans-serif"/>
          <w:b w:val="false"/>
          <w:color w:val="FFFFFF"/>
          <w:sz w:val="22"/>
        </w:rPr>
        <w:t>1.</w:t>
      </w:r>
      <w:r>
        <w:rPr>
          <w:color w:val="000000"/>
        </w:rPr>
        <w:t>    </w:t>
      </w:r>
      <w:r>
        <w:rPr>
          <w:rFonts w:ascii="Arial;sans-serif" w:hAnsi="Arial;sans-serif"/>
          <w:b w:val="false"/>
          <w:color w:val="000000"/>
          <w:sz w:val="22"/>
        </w:rPr>
        <w:t xml:space="preserve">(b)    The parties agree that the termination of the Executive's employment shall be a Qualifying Separation from the Company, thus entitling the Executive to vest in the ELG RSU Award as of the later of the Executive’s Termination Date or the date of this Agreement (the “Vesting Date”). </w:t>
      </w:r>
      <w:r>
        <w:rPr>
          <w:rFonts w:ascii="Arial;sans-serif" w:hAnsi="Arial;sans-serif"/>
          <w:b w:val="false"/>
          <w:color w:val="FFFFFF"/>
          <w:sz w:val="22"/>
        </w:rPr>
        <w:t>_</w:t>
      </w:r>
      <w:r>
        <w:rPr>
          <w:rFonts w:ascii="Arial;sans-serif" w:hAnsi="Arial;sans-serif"/>
          <w:b w:val="false"/>
          <w:color w:val="000000"/>
          <w:sz w:val="22"/>
        </w:rPr>
        <w:t xml:space="preserve">Vesting is subject to the Executive’s compliance with the Schedule of Terms of such Award and the terms of this Agreement. </w:t>
      </w:r>
    </w:p>
    <w:p>
      <w:pPr>
        <w:pStyle w:val="TextBody"/>
        <w:bidi w:val="0"/>
        <w:spacing w:before="0" w:after="0"/>
        <w:ind w:left="0" w:right="0" w:hanging="810"/>
        <w:jc w:val="both"/>
        <w:rPr/>
      </w:pPr>
      <w:r>
        <w:rPr/>
      </w:r>
    </w:p>
    <w:p>
      <w:pPr>
        <w:pStyle w:val="TextBody"/>
        <w:bidi w:val="0"/>
        <w:spacing w:lineRule="auto" w:line="379"/>
        <w:ind w:left="0" w:right="0" w:hanging="810"/>
        <w:jc w:val="both"/>
        <w:rPr/>
      </w:pPr>
      <w:r>
        <w:rPr>
          <w:rFonts w:ascii="Arial;sans-serif" w:hAnsi="Arial;sans-serif"/>
          <w:b w:val="false"/>
          <w:color w:val="000000"/>
          <w:sz w:val="22"/>
        </w:rPr>
        <w:t xml:space="preserve">2.    (a)    Effective as of the Vesting Date, the number of ELG RSUs awarded, including dividend equivalents will convert into an equal number of shares of RTX Common Stock, less the number of shares withheld to pay taxes. The Executive acknowledges </w:t>
      </w:r>
      <w:r>
        <w:rPr>
          <w:rFonts w:ascii="Arial;sans-serif" w:hAnsi="Arial;sans-serif"/>
          <w:b/>
          <w:color w:val="000000"/>
          <w:sz w:val="22"/>
        </w:rPr>
        <w:t>[his/her]</w:t>
      </w:r>
      <w:r>
        <w:rPr>
          <w:color w:val="000000"/>
        </w:rPr>
        <w:t xml:space="preserve"> </w:t>
      </w:r>
    </w:p>
    <w:p>
      <w:pPr>
        <w:pStyle w:val="TextBody"/>
        <w:bidi w:val="0"/>
        <w:spacing w:before="0" w:after="0"/>
        <w:jc w:val="left"/>
        <w:rPr/>
      </w:pPr>
      <w:r>
        <w:rPr/>
        <w:drawing>
          <wp:inline distT="0" distB="0" distL="0" distR="0">
            <wp:extent cx="5943600" cy="666750"/>
            <wp:effectExtent l="0" t="0" r="0" b="0"/>
            <wp:docPr id="1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 descr=""/>
                    <pic:cNvPicPr>
                      <a:picLocks noChangeAspect="1" noChangeArrowheads="1"/>
                    </pic:cNvPicPr>
                  </pic:nvPicPr>
                  <pic:blipFill>
                    <a:blip r:embed="rId3"/>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64845"/>
                <wp:effectExtent l="0" t="0" r="0" b="0"/>
                <wp:wrapNone/>
                <wp:docPr id="135" name="Frame13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A-1</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A-1</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jc w:val="both"/>
        <w:rPr/>
      </w:pPr>
      <w:r>
        <w:rPr>
          <w:rFonts w:ascii="Arial;sans-serif" w:hAnsi="Arial;sans-serif"/>
          <w:b w:val="false"/>
          <w:color w:val="000000"/>
          <w:sz w:val="22"/>
        </w:rPr>
        <w:t xml:space="preserve">understanding that the vesting of this ELG RSU Award will occur in consideration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agreements and obligations set forth in this Agreement and the ELG RSU Award. </w:t>
      </w:r>
    </w:p>
    <w:p>
      <w:pPr>
        <w:pStyle w:val="TextBody"/>
        <w:bidi w:val="0"/>
        <w:spacing w:before="0" w:after="0"/>
        <w:ind w:left="0" w:right="0" w:hanging="810"/>
        <w:jc w:val="both"/>
        <w:rPr/>
      </w:pPr>
      <w:r>
        <w:rPr/>
      </w:r>
    </w:p>
    <w:p>
      <w:pPr>
        <w:pStyle w:val="TextBody"/>
        <w:bidi w:val="0"/>
        <w:spacing w:lineRule="auto" w:line="379" w:before="0" w:after="0"/>
        <w:ind w:left="0" w:right="0" w:hanging="810"/>
        <w:jc w:val="both"/>
        <w:rPr/>
      </w:pPr>
      <w:r>
        <w:rPr>
          <w:color w:val="000000"/>
        </w:rPr>
        <w:t>    </w:t>
      </w:r>
      <w:r>
        <w:rPr>
          <w:rFonts w:ascii="Arial;sans-serif" w:hAnsi="Arial;sans-serif"/>
          <w:b w:val="false"/>
          <w:color w:val="000000"/>
          <w:sz w:val="22"/>
        </w:rPr>
        <w:t xml:space="preserve">(b)    The Executive understands and agrees that the value of the ELG RSU Award will not be treated as compensation for any purpose under any of the retirement, savings, severance or other employee benefit plans in which </w:t>
      </w:r>
      <w:r>
        <w:rPr>
          <w:rFonts w:ascii="Arial;sans-serif" w:hAnsi="Arial;sans-serif"/>
          <w:b/>
          <w:color w:val="000000"/>
          <w:sz w:val="22"/>
        </w:rPr>
        <w:t>[he/she]</w:t>
      </w:r>
      <w:r>
        <w:rPr>
          <w:color w:val="000000"/>
        </w:rPr>
        <w:t xml:space="preserve"> </w:t>
      </w:r>
      <w:r>
        <w:rPr>
          <w:rFonts w:ascii="Arial;sans-serif" w:hAnsi="Arial;sans-serif"/>
          <w:b w:val="false"/>
          <w:color w:val="000000"/>
          <w:sz w:val="22"/>
        </w:rPr>
        <w:t>participated.</w:t>
      </w:r>
    </w:p>
    <w:p>
      <w:pPr>
        <w:pStyle w:val="TextBody"/>
        <w:bidi w:val="0"/>
        <w:spacing w:before="0" w:after="0"/>
        <w:jc w:val="both"/>
        <w:rPr/>
      </w:pPr>
      <w:r>
        <w:rPr/>
      </w:r>
    </w:p>
    <w:p>
      <w:pPr>
        <w:pStyle w:val="TextBody"/>
        <w:bidi w:val="0"/>
        <w:spacing w:lineRule="auto" w:line="379" w:before="0" w:after="0"/>
        <w:ind w:left="0" w:right="0" w:hanging="720"/>
        <w:jc w:val="both"/>
        <w:rPr/>
      </w:pPr>
      <w:r>
        <w:rPr>
          <w:rFonts w:ascii="Arial;sans-serif" w:hAnsi="Arial;sans-serif"/>
          <w:b w:val="false"/>
          <w:color w:val="000000"/>
          <w:sz w:val="22"/>
        </w:rPr>
        <w:t xml:space="preserve">3. (a) The Executive, for </w:t>
      </w:r>
      <w:r>
        <w:rPr>
          <w:rFonts w:ascii="Arial;sans-serif" w:hAnsi="Arial;sans-serif"/>
          <w:b/>
          <w:color w:val="000000"/>
          <w:sz w:val="22"/>
        </w:rPr>
        <w:t>[him/her]</w:t>
      </w:r>
      <w:r>
        <w:rPr>
          <w:rFonts w:ascii="Arial;sans-serif" w:hAnsi="Arial;sans-serif"/>
          <w:b w:val="false"/>
          <w:color w:val="000000"/>
          <w:sz w:val="22"/>
        </w:rPr>
        <w:t xml:space="preserve">self and on behalf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heirs, executors, assigns and successors in interest, hereby agrees to release the Company, its subsidiaries, divisions, present or former employees, officers and directors, personally and in their capacity as employees, officers and directors of the Company, from all claims or demands the Executive may have based on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employment with the Company or the termination of that employment. This includes a release of any rights or claims the Executive may have under the Age Discrimination in Employment Act of 1967, as amended from time to time, which prohibits age discrimination in employment; Title VII of the Civil Rights Act of 1964, as amended from time to time, which prohibits discrimination in employment based on race, color, national origin, religion or sex; the Equal Pay Act, which prohibits paying men and women unequal pay for equal work; the Americans with Disabilities Act which prohibits discrimination on the basis of handicap; the Employee Retirement and Income Security Act of 1974, as amended from time to time, which prohibits termination of employment for the purpose of interfering with eligibility for employee benefits, and any other federal, state or local laws or regulations prohibiting employment discrimination. This release also includes any claims or actions for wrongful discharge, breach of contract (express or implied), tort, defamation, emotional distress or any other claims otherwise related to his employment or the termination of his employment with the Company. The Executive acknowledges and agrees that this release also applies to similar claims he might assert under the laws of any other country. The Parties agree that this Agreement constitutes a comprehensive and conclusive resolution of all matters related to the termination of his employment.</w:t>
      </w:r>
    </w:p>
    <w:p>
      <w:pPr>
        <w:pStyle w:val="TextBody"/>
        <w:bidi w:val="0"/>
        <w:spacing w:before="0" w:after="0"/>
        <w:ind w:left="0" w:right="0" w:hanging="806"/>
        <w:jc w:val="both"/>
        <w:rPr/>
      </w:pPr>
      <w:r>
        <w:rPr/>
      </w:r>
    </w:p>
    <w:p>
      <w:pPr>
        <w:pStyle w:val="TextBody"/>
        <w:bidi w:val="0"/>
        <w:spacing w:lineRule="auto" w:line="379"/>
        <w:ind w:left="0" w:right="0" w:hanging="810"/>
        <w:jc w:val="both"/>
        <w:rPr/>
      </w:pPr>
      <w:r>
        <w:rPr>
          <w:color w:val="000000"/>
        </w:rPr>
        <w:t>    </w:t>
      </w:r>
      <w:r>
        <w:rPr>
          <w:rFonts w:ascii="Arial;sans-serif" w:hAnsi="Arial;sans-serif"/>
          <w:b w:val="false"/>
          <w:color w:val="000000"/>
          <w:sz w:val="22"/>
        </w:rPr>
        <w:t xml:space="preserve">(b)    This Release covers all claims based on any facts or events, whether known or unknown by the Executive that occurred on or before the effective date of this Agreement. The Executive will notify the Company of any claims that </w:t>
      </w:r>
      <w:r>
        <w:rPr>
          <w:rFonts w:ascii="Arial;sans-serif" w:hAnsi="Arial;sans-serif"/>
          <w:b/>
          <w:color w:val="000000"/>
          <w:sz w:val="22"/>
        </w:rPr>
        <w:t xml:space="preserve">[he/she] </w:t>
      </w:r>
      <w:r>
        <w:rPr>
          <w:rFonts w:ascii="Arial;sans-serif" w:hAnsi="Arial;sans-serif"/>
          <w:b w:val="false"/>
          <w:color w:val="000000"/>
          <w:sz w:val="22"/>
        </w:rPr>
        <w:t xml:space="preserve">asserts may have arisen after the effective date of this Agreement but before the Termination Date. The Executive agrees to ratify and confirm the release and waiver effective as of </w:t>
      </w:r>
    </w:p>
    <w:p>
      <w:pPr>
        <w:pStyle w:val="TextBody"/>
        <w:bidi w:val="0"/>
        <w:spacing w:before="0" w:after="0"/>
        <w:jc w:val="left"/>
        <w:rPr/>
      </w:pPr>
      <w:r>
        <w:rPr/>
        <w:drawing>
          <wp:inline distT="0" distB="0" distL="0" distR="0">
            <wp:extent cx="5943600" cy="666750"/>
            <wp:effectExtent l="0" t="0" r="0" b="0"/>
            <wp:docPr id="1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 descr=""/>
                    <pic:cNvPicPr>
                      <a:picLocks noChangeAspect="1" noChangeArrowheads="1"/>
                    </pic:cNvPicPr>
                  </pic:nvPicPr>
                  <pic:blipFill>
                    <a:blip r:embed="rId4"/>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64845"/>
                <wp:effectExtent l="0" t="0" r="0" b="0"/>
                <wp:wrapNone/>
                <wp:docPr id="137" name="Frame13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A-2</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A-2</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jc w:val="both"/>
        <w:rPr>
          <w:rFonts w:ascii="Arial;sans-serif" w:hAnsi="Arial;sans-serif"/>
          <w:b w:val="false"/>
          <w:color w:val="000000"/>
          <w:sz w:val="22"/>
        </w:rPr>
      </w:pPr>
      <w:r>
        <w:rPr>
          <w:rFonts w:ascii="Arial;sans-serif" w:hAnsi="Arial;sans-serif"/>
          <w:b w:val="false"/>
          <w:color w:val="000000"/>
          <w:sz w:val="22"/>
        </w:rPr>
        <w:t>the Termination Date as a pre-condition to receiving any of the benefits hereunder. The Executive acknowledges that he is not entitled to, and will not assert any claim for, termination related benefits under any jurisdiction outside of the United States, whether based on foreign law, regulation, collective agreement, contract or arrangement.    </w:t>
      </w:r>
    </w:p>
    <w:p>
      <w:pPr>
        <w:pStyle w:val="TextBody"/>
        <w:bidi w:val="0"/>
        <w:spacing w:before="0" w:after="0"/>
        <w:ind w:left="0" w:right="0" w:hanging="810"/>
        <w:jc w:val="both"/>
        <w:rPr/>
      </w:pPr>
      <w:r>
        <w:rPr/>
      </w:r>
    </w:p>
    <w:p>
      <w:pPr>
        <w:pStyle w:val="TextBody"/>
        <w:bidi w:val="0"/>
        <w:spacing w:lineRule="auto" w:line="379" w:before="0" w:after="0"/>
        <w:ind w:left="0" w:right="0" w:hanging="810"/>
        <w:jc w:val="both"/>
        <w:rPr/>
      </w:pPr>
      <w:r>
        <w:rPr>
          <w:color w:val="000000"/>
        </w:rPr>
        <w:t>    </w:t>
      </w:r>
      <w:r>
        <w:rPr>
          <w:rFonts w:ascii="Arial;sans-serif" w:hAnsi="Arial;sans-serif"/>
          <w:b w:val="false"/>
          <w:color w:val="000000"/>
          <w:sz w:val="22"/>
        </w:rPr>
        <w:t xml:space="preserve">(c)    This Release does not include a release of the Executive's rights to any pension, deferred compensation, health or similar benefits to which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may be entitled in accordance with the terms of the Company employee benefit plans in which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participated. </w:t>
      </w:r>
    </w:p>
    <w:p>
      <w:pPr>
        <w:pStyle w:val="TextBody"/>
        <w:bidi w:val="0"/>
        <w:spacing w:before="0" w:after="0"/>
        <w:ind w:left="0" w:right="0" w:hanging="810"/>
        <w:jc w:val="both"/>
        <w:rPr/>
      </w:pPr>
      <w:r>
        <w:rPr/>
      </w:r>
    </w:p>
    <w:p>
      <w:pPr>
        <w:pStyle w:val="TextBody"/>
        <w:bidi w:val="0"/>
        <w:spacing w:lineRule="auto" w:line="379" w:before="0" w:after="0"/>
        <w:ind w:left="0" w:right="0" w:hanging="810"/>
        <w:jc w:val="both"/>
        <w:rPr/>
      </w:pPr>
      <w:r>
        <w:rPr>
          <w:color w:val="000000"/>
        </w:rPr>
        <w:t>    </w:t>
      </w:r>
      <w:r>
        <w:rPr>
          <w:rFonts w:ascii="Arial;sans-serif" w:hAnsi="Arial;sans-serif"/>
          <w:b w:val="false"/>
          <w:color w:val="000000"/>
          <w:sz w:val="22"/>
        </w:rPr>
        <w:t xml:space="preserve">(d)    Nothing in this Agreement shall be construed to prohibit the Executive from filing a charge with, or participating in, any investigation or proceeding by the U.S. Equal Employment Opportunity Commission (EEOC), the Securities and Exchange Commission (SEC) or other comparable governmental agency. The Executive agrees, however, to waive the right to recover monetary damages in any charge, complaint or lawsuit filed by </w:t>
      </w:r>
      <w:r>
        <w:rPr>
          <w:rFonts w:ascii="Arial;sans-serif" w:hAnsi="Arial;sans-serif"/>
          <w:b/>
          <w:color w:val="000000"/>
          <w:sz w:val="22"/>
        </w:rPr>
        <w:t>[him/her]</w:t>
      </w:r>
      <w:r>
        <w:rPr>
          <w:color w:val="000000"/>
        </w:rPr>
        <w:t xml:space="preserve"> </w:t>
      </w:r>
      <w:r>
        <w:rPr>
          <w:rFonts w:ascii="Arial;sans-serif" w:hAnsi="Arial;sans-serif"/>
          <w:b w:val="false"/>
          <w:color w:val="000000"/>
          <w:sz w:val="22"/>
        </w:rPr>
        <w:t xml:space="preserve">or on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behalf with respect any claims released pursuant to this Agreement. </w:t>
      </w:r>
    </w:p>
    <w:p>
      <w:pPr>
        <w:pStyle w:val="TextBody"/>
        <w:bidi w:val="0"/>
        <w:spacing w:lineRule="auto" w:line="379" w:before="0" w:after="0"/>
        <w:ind w:left="0" w:right="0" w:hanging="810"/>
        <w:jc w:val="both"/>
        <w:rPr>
          <w:color w:val="000000"/>
        </w:rPr>
      </w:pPr>
      <w:r>
        <w:rPr>
          <w:color w:val="000000"/>
        </w:rPr>
        <w:t>    </w:t>
      </w:r>
    </w:p>
    <w:p>
      <w:pPr>
        <w:pStyle w:val="TextBody"/>
        <w:bidi w:val="0"/>
        <w:spacing w:lineRule="auto" w:line="379" w:before="0" w:after="0"/>
        <w:ind w:left="0" w:right="0" w:hanging="810"/>
        <w:jc w:val="both"/>
        <w:rPr/>
      </w:pPr>
      <w:r>
        <w:rPr>
          <w:color w:val="000000"/>
        </w:rPr>
        <w:t>    </w:t>
      </w:r>
      <w:r>
        <w:rPr>
          <w:rFonts w:ascii="Arial;sans-serif" w:hAnsi="Arial;sans-serif"/>
          <w:b w:val="false"/>
          <w:color w:val="000000"/>
          <w:sz w:val="22"/>
        </w:rPr>
        <w:t xml:space="preserve">(e)    The Executive understands and agrees that the vesting and distribution of the ELG RSU Award pursuant to this Agreement is in full and complete satisfaction of all obligations due </w:t>
      </w:r>
      <w:r>
        <w:rPr>
          <w:rFonts w:ascii="Arial;sans-serif" w:hAnsi="Arial;sans-serif"/>
          <w:b/>
          <w:color w:val="000000"/>
          <w:sz w:val="22"/>
        </w:rPr>
        <w:t>[him/her]</w:t>
      </w:r>
      <w:r>
        <w:rPr>
          <w:color w:val="000000"/>
        </w:rPr>
        <w:t xml:space="preserve"> </w:t>
      </w:r>
      <w:r>
        <w:rPr>
          <w:rFonts w:ascii="Arial;sans-serif" w:hAnsi="Arial;sans-serif"/>
          <w:b w:val="false"/>
          <w:color w:val="000000"/>
          <w:sz w:val="22"/>
        </w:rPr>
        <w:t xml:space="preserve">by the Company and that no other obligations are due </w:t>
      </w:r>
      <w:r>
        <w:rPr>
          <w:rFonts w:ascii="Arial;sans-serif" w:hAnsi="Arial;sans-serif"/>
          <w:b/>
          <w:color w:val="000000"/>
          <w:sz w:val="22"/>
        </w:rPr>
        <w:t>[him/her]</w:t>
      </w:r>
      <w:r>
        <w:rPr>
          <w:color w:val="000000"/>
        </w:rPr>
        <w:t xml:space="preserve"> </w:t>
      </w:r>
      <w:r>
        <w:rPr>
          <w:rFonts w:ascii="Arial;sans-serif" w:hAnsi="Arial;sans-serif"/>
          <w:b w:val="false"/>
          <w:color w:val="000000"/>
          <w:sz w:val="22"/>
        </w:rPr>
        <w:t xml:space="preserve">under the ELG Program. The Executive further acknowledges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shall not be entitled to any additional severance payments or payments in lieu of vacation, holiday or other fringe benefits under the ELG or any other Company program. The Executive further agrees that the ELG RSU Award shall be offset and reduced by the full amount (if any) of cash severance benefits that the Executive may separately be entitled to receive from the Company based on any employment agreement, contractual obligation or statutory scheme, including mandated termination indemnities or similar benefits. </w:t>
      </w:r>
    </w:p>
    <w:p>
      <w:pPr>
        <w:pStyle w:val="TextBody"/>
        <w:bidi w:val="0"/>
        <w:spacing w:before="0" w:after="0"/>
        <w:ind w:left="0" w:right="0" w:hanging="810"/>
        <w:jc w:val="both"/>
        <w:rPr/>
      </w:pPr>
      <w:r>
        <w:rPr/>
      </w:r>
    </w:p>
    <w:p>
      <w:pPr>
        <w:pStyle w:val="TextBody"/>
        <w:bidi w:val="0"/>
        <w:spacing w:lineRule="auto" w:line="379" w:before="0" w:after="0"/>
        <w:ind w:left="0" w:right="0" w:hanging="450"/>
        <w:jc w:val="both"/>
        <w:rPr/>
      </w:pPr>
      <w:r>
        <w:rPr>
          <w:rFonts w:ascii="Arial;sans-serif" w:hAnsi="Arial;sans-serif"/>
          <w:b w:val="false"/>
          <w:color w:val="000000"/>
          <w:sz w:val="22"/>
        </w:rPr>
        <w:t xml:space="preserve">(f)Following the Termination Date, the Executive agrees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will cooperate with the Company with respect to matters that involved </w:t>
      </w:r>
      <w:r>
        <w:rPr>
          <w:rFonts w:ascii="Arial;sans-serif" w:hAnsi="Arial;sans-serif"/>
          <w:b/>
          <w:color w:val="000000"/>
          <w:sz w:val="22"/>
        </w:rPr>
        <w:t>[him/her]</w:t>
      </w:r>
      <w:r>
        <w:rPr>
          <w:color w:val="000000"/>
        </w:rPr>
        <w:t xml:space="preserve"> </w:t>
      </w:r>
      <w:r>
        <w:rPr>
          <w:rFonts w:ascii="Arial;sans-serif" w:hAnsi="Arial;sans-serif"/>
          <w:b w:val="false"/>
          <w:color w:val="000000"/>
          <w:sz w:val="22"/>
        </w:rPr>
        <w:t xml:space="preserve">during the course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employment if such cooperation is deemed necessary or appropriate by the Company.</w:t>
      </w:r>
    </w:p>
    <w:p>
      <w:pPr>
        <w:pStyle w:val="TextBody"/>
        <w:bidi w:val="0"/>
        <w:ind w:left="0" w:right="0" w:hanging="90"/>
        <w:jc w:val="both"/>
        <w:rPr/>
      </w:pPr>
      <w:r>
        <w:rPr/>
      </w:r>
    </w:p>
    <w:p>
      <w:pPr>
        <w:pStyle w:val="TextBody"/>
        <w:bidi w:val="0"/>
        <w:spacing w:before="0" w:after="0"/>
        <w:jc w:val="left"/>
        <w:rPr/>
      </w:pPr>
      <w:r>
        <w:rPr/>
        <w:drawing>
          <wp:inline distT="0" distB="0" distL="0" distR="0">
            <wp:extent cx="5943600" cy="666750"/>
            <wp:effectExtent l="0" t="0" r="0" b="0"/>
            <wp:docPr id="1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 descr=""/>
                    <pic:cNvPicPr>
                      <a:picLocks noChangeAspect="1" noChangeArrowheads="1"/>
                    </pic:cNvPicPr>
                  </pic:nvPicPr>
                  <pic:blipFill>
                    <a:blip r:embed="rId5"/>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64845"/>
                <wp:effectExtent l="0" t="0" r="0" b="0"/>
                <wp:wrapNone/>
                <wp:docPr id="139" name="Frame13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A-3</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A-3</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ind w:left="0" w:right="0" w:hanging="450"/>
        <w:jc w:val="both"/>
        <w:rPr/>
      </w:pPr>
      <w:r>
        <w:rPr>
          <w:rFonts w:ascii="Arial;sans-serif" w:hAnsi="Arial;sans-serif"/>
          <w:b w:val="false"/>
          <w:color w:val="000000"/>
          <w:sz w:val="24"/>
        </w:rPr>
        <w:t>(g)</w:t>
      </w:r>
      <w:r>
        <w:rPr>
          <w:rFonts w:ascii="Arial;sans-serif" w:hAnsi="Arial;sans-serif"/>
          <w:b w:val="false"/>
          <w:color w:val="000000"/>
          <w:sz w:val="22"/>
        </w:rPr>
        <w:t xml:space="preserve">The Executive agrees to resign from all committees, boards, associations and other organizations, both internal and external, to which the Executive currently belongs in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capacity as a Company executive, except as mutually agreed with the Company. Following the Termination Date, the Executive will be free to join boards and affiliate with organizations provided that such affiliation will not violate or conflict with any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obligations set forth in Section 4 of this Agreement.</w:t>
      </w:r>
    </w:p>
    <w:p>
      <w:pPr>
        <w:pStyle w:val="TextBody"/>
        <w:bidi w:val="0"/>
        <w:spacing w:before="0" w:after="0"/>
        <w:ind w:left="0" w:right="0" w:hanging="90"/>
        <w:jc w:val="both"/>
        <w:rPr/>
      </w:pPr>
      <w:r>
        <w:rPr/>
      </w:r>
    </w:p>
    <w:p>
      <w:pPr>
        <w:pStyle w:val="TextBody"/>
        <w:bidi w:val="0"/>
        <w:spacing w:lineRule="auto" w:line="379" w:before="0" w:after="0"/>
        <w:ind w:left="0" w:right="0" w:hanging="450"/>
        <w:jc w:val="both"/>
        <w:rPr/>
      </w:pPr>
      <w:r>
        <w:rPr>
          <w:rFonts w:ascii="Arial;sans-serif" w:hAnsi="Arial;sans-serif"/>
          <w:b w:val="false"/>
          <w:color w:val="000000"/>
          <w:sz w:val="24"/>
        </w:rPr>
        <w:t>(h)</w:t>
      </w:r>
      <w:r>
        <w:rPr>
          <w:rFonts w:ascii="Arial;sans-serif" w:hAnsi="Arial;sans-serif"/>
          <w:b w:val="false"/>
          <w:color w:val="000000"/>
          <w:sz w:val="22"/>
        </w:rPr>
        <w:t xml:space="preserve">The Executive is encouraged, at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own expense, to consult with an attorney before signing this Agreement and acknowledges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was offered sufficient time to review and consider this Agreement.</w:t>
      </w:r>
    </w:p>
    <w:p>
      <w:pPr>
        <w:pStyle w:val="TextBody"/>
        <w:bidi w:val="0"/>
        <w:spacing w:before="0" w:after="0"/>
        <w:ind w:left="0" w:right="0" w:hanging="90"/>
        <w:jc w:val="both"/>
        <w:rPr/>
      </w:pPr>
      <w:r>
        <w:rPr/>
      </w:r>
    </w:p>
    <w:p>
      <w:pPr>
        <w:pStyle w:val="TextBody"/>
        <w:bidi w:val="0"/>
        <w:spacing w:lineRule="auto" w:line="379" w:before="0" w:after="0"/>
        <w:ind w:left="0" w:right="0" w:hanging="450"/>
        <w:jc w:val="both"/>
        <w:rPr/>
      </w:pPr>
      <w:r>
        <w:rPr>
          <w:rFonts w:ascii="Arial;sans-serif" w:hAnsi="Arial;sans-serif"/>
          <w:b w:val="false"/>
          <w:color w:val="000000"/>
          <w:sz w:val="24"/>
        </w:rPr>
        <w:t>(i)</w:t>
      </w:r>
      <w:r>
        <w:rPr>
          <w:rFonts w:ascii="Arial;sans-serif" w:hAnsi="Arial;sans-serif"/>
          <w:b w:val="false"/>
          <w:color w:val="000000"/>
          <w:sz w:val="22"/>
        </w:rPr>
        <w:t xml:space="preserve">The Executive may revoke this Agreement within seven (7) days of the date of the Executive's signature. Revocation can be made by delivering a written notice of revocation to </w:t>
      </w:r>
      <w:r>
        <w:rPr>
          <w:rFonts w:ascii="Arial;sans-serif" w:hAnsi="Arial;sans-serif"/>
          <w:b/>
          <w:color w:val="000000"/>
          <w:sz w:val="22"/>
        </w:rPr>
        <w:t>[____]</w:t>
      </w:r>
      <w:r>
        <w:rPr>
          <w:rFonts w:ascii="Arial;sans-serif" w:hAnsi="Arial;sans-serif"/>
          <w:b w:val="false"/>
          <w:color w:val="000000"/>
          <w:sz w:val="22"/>
        </w:rPr>
        <w:t xml:space="preserve">, Executive Vice President &amp; Chief Human Resources Officer, RTX Corporation, 1000 Wilson Blvd., Arlington, VA 22209. For this revocation to be effective, </w:t>
      </w:r>
      <w:r>
        <w:rPr>
          <w:rFonts w:ascii="Arial;sans-serif" w:hAnsi="Arial;sans-serif"/>
          <w:b/>
          <w:color w:val="000000"/>
          <w:sz w:val="22"/>
        </w:rPr>
        <w:t>[____]</w:t>
      </w:r>
      <w:r>
        <w:rPr>
          <w:color w:val="000000"/>
        </w:rPr>
        <w:t xml:space="preserve"> </w:t>
      </w:r>
      <w:r>
        <w:rPr>
          <w:rFonts w:ascii="Arial;sans-serif" w:hAnsi="Arial;sans-serif"/>
          <w:b w:val="false"/>
          <w:color w:val="000000"/>
          <w:sz w:val="22"/>
        </w:rPr>
        <w:t xml:space="preserve">must receive written notice no later than close of business on the seventh (7th) day after the Executive signs this Agreement. If the Executive revokes this Agreement, it shall not be effective or enforceable and the Executive will not vest in the ELG RSU Award or receive any other benefits described herein and agrees to immediately repay to the Company the value of any benefits provided prior to revocation. </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2"/>
        </w:rPr>
        <w:t xml:space="preserve">4.    In consideration of the benefits of membership in the ELG and the opportunity to vest in the ELG RSU Award, the Executive has agreed to certain restrictive covenants effective during the course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employment and additional restrictive covenants that become effective upon the termination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employment and the vesting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ELG RSU Award (the “ELG Covenants”). The Executive hereby acknowledges and affirms </w:t>
      </w:r>
      <w:r>
        <w:rPr>
          <w:rFonts w:ascii="Arial;sans-serif" w:hAnsi="Arial;sans-serif"/>
          <w:b/>
          <w:color w:val="000000"/>
          <w:sz w:val="22"/>
        </w:rPr>
        <w:t xml:space="preserve">[his/her] </w:t>
      </w:r>
      <w:r>
        <w:rPr>
          <w:rFonts w:ascii="Arial;sans-serif" w:hAnsi="Arial;sans-serif"/>
          <w:b w:val="false"/>
          <w:color w:val="000000"/>
          <w:sz w:val="22"/>
        </w:rPr>
        <w:t>ELG Covenants and makes the following representations to and additional agreements with the Company:</w:t>
      </w:r>
    </w:p>
    <w:p>
      <w:pPr>
        <w:pStyle w:val="TextBody"/>
        <w:bidi w:val="0"/>
        <w:spacing w:before="0" w:after="0"/>
        <w:jc w:val="both"/>
        <w:rPr/>
      </w:pPr>
      <w:r>
        <w:rPr/>
      </w:r>
    </w:p>
    <w:p>
      <w:pPr>
        <w:pStyle w:val="TextBody"/>
        <w:bidi w:val="0"/>
        <w:spacing w:lineRule="auto" w:line="379"/>
        <w:ind w:left="0" w:right="0" w:hanging="450"/>
        <w:jc w:val="both"/>
        <w:rPr>
          <w:rFonts w:ascii="Arial;sans-serif" w:hAnsi="Arial;sans-serif"/>
          <w:b w:val="false"/>
          <w:color w:val="000000"/>
          <w:sz w:val="22"/>
        </w:rPr>
      </w:pPr>
      <w:r>
        <w:rPr>
          <w:rFonts w:ascii="Arial;sans-serif" w:hAnsi="Arial;sans-serif"/>
          <w:b w:val="false"/>
          <w:color w:val="000000"/>
          <w:sz w:val="22"/>
        </w:rPr>
        <w:t xml:space="preserve">(a)During a period beginning on the date hereof and extending for two years after the Termination Date, the Executive will not directly or indirectly, in any capacity or manner, make any statements of any kind (or cause, further, assist, solicit, encourage, support or participate in the foregoing), whether verbal, in writing, electronically transferred or otherwise, or disclose any items of information which are or may reasonably be construed to be derogatory, critical of, or adverse to the interests of the Company. The </w:t>
      </w:r>
    </w:p>
    <w:p>
      <w:pPr>
        <w:pStyle w:val="TextBody"/>
        <w:bidi w:val="0"/>
        <w:spacing w:before="0" w:after="0"/>
        <w:jc w:val="left"/>
        <w:rPr/>
      </w:pPr>
      <w:r>
        <w:rPr/>
        <w:drawing>
          <wp:inline distT="0" distB="0" distL="0" distR="0">
            <wp:extent cx="5943600" cy="666750"/>
            <wp:effectExtent l="0" t="0" r="0" b="0"/>
            <wp:docPr id="1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 descr=""/>
                    <pic:cNvPicPr>
                      <a:picLocks noChangeAspect="1" noChangeArrowheads="1"/>
                    </pic:cNvPicPr>
                  </pic:nvPicPr>
                  <pic:blipFill>
                    <a:blip r:embed="rId6"/>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64845"/>
                <wp:effectExtent l="0" t="0" r="0" b="0"/>
                <wp:wrapNone/>
                <wp:docPr id="141" name="Frame13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A-4</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A-4</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jc w:val="both"/>
        <w:rPr/>
      </w:pPr>
      <w:r>
        <w:rPr>
          <w:rFonts w:ascii="Arial;sans-serif" w:hAnsi="Arial;sans-serif"/>
          <w:b w:val="false"/>
          <w:color w:val="000000"/>
          <w:sz w:val="22"/>
        </w:rPr>
        <w:t xml:space="preserve">Executive agrees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will not disparage the Company, its executives, directors or products. </w:t>
      </w:r>
    </w:p>
    <w:p>
      <w:pPr>
        <w:pStyle w:val="TextBody"/>
        <w:bidi w:val="0"/>
        <w:spacing w:before="0" w:after="0"/>
        <w:ind w:left="0" w:right="0" w:hanging="90"/>
        <w:jc w:val="both"/>
        <w:rPr/>
      </w:pPr>
      <w:r>
        <w:rPr/>
      </w:r>
    </w:p>
    <w:p>
      <w:pPr>
        <w:pStyle w:val="TextBody"/>
        <w:bidi w:val="0"/>
        <w:spacing w:lineRule="auto" w:line="379" w:before="0" w:after="0"/>
        <w:ind w:left="0" w:right="0" w:hanging="450"/>
        <w:jc w:val="both"/>
        <w:rPr/>
      </w:pPr>
      <w:r>
        <w:rPr>
          <w:rFonts w:ascii="Arial;sans-serif" w:hAnsi="Arial;sans-serif"/>
          <w:b w:val="false"/>
          <w:color w:val="000000"/>
          <w:sz w:val="24"/>
        </w:rPr>
        <w:t>(b)</w:t>
      </w:r>
      <w:r>
        <w:rPr>
          <w:rFonts w:ascii="Arial;sans-serif" w:hAnsi="Arial;sans-serif"/>
          <w:b w:val="false"/>
          <w:color w:val="000000"/>
          <w:sz w:val="22"/>
        </w:rPr>
        <w:t xml:space="preserve">The Executive acknowledges that in the course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employment with the Company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has acquired Company Information and that such Company Information has been disclosed to </w:t>
      </w:r>
      <w:r>
        <w:rPr>
          <w:rFonts w:ascii="Arial;sans-serif" w:hAnsi="Arial;sans-serif"/>
          <w:b/>
          <w:color w:val="000000"/>
          <w:sz w:val="22"/>
        </w:rPr>
        <w:t>[him/her]</w:t>
      </w:r>
      <w:r>
        <w:rPr>
          <w:color w:val="000000"/>
        </w:rPr>
        <w:t xml:space="preserve"> </w:t>
      </w:r>
      <w:r>
        <w:rPr>
          <w:rFonts w:ascii="Arial;sans-serif" w:hAnsi="Arial;sans-serif"/>
          <w:b w:val="false"/>
          <w:color w:val="000000"/>
          <w:sz w:val="22"/>
        </w:rPr>
        <w:t xml:space="preserve">in confidence and for the Company's use only. The Executive agrees that, except as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may otherwise be directed under this Agreement or as required by law, regulation or legal proceeding, </w:t>
      </w:r>
      <w:r>
        <w:rPr>
          <w:rFonts w:ascii="Arial;sans-serif" w:hAnsi="Arial;sans-serif"/>
          <w:b/>
          <w:color w:val="000000"/>
          <w:sz w:val="22"/>
        </w:rPr>
        <w:t xml:space="preserve">[he/she] </w:t>
      </w:r>
      <w:r>
        <w:rPr>
          <w:rFonts w:ascii="Arial;sans-serif" w:hAnsi="Arial;sans-serif"/>
          <w:b w:val="false"/>
          <w:color w:val="000000"/>
          <w:sz w:val="22"/>
        </w:rPr>
        <w:t xml:space="preserve">(i) will keep such Company Information confidential at all times, (ii) will not disclose or communicate Company Information to any third party and (iii) will not make use of Company Information on his own behalf or on behalf of any third party. In the event that the Executive becomes legally compelled to disclose any Company Information, it is agreed that the Executive will provide the Company with prompt written notice of such request(s) so that the Company may seek a protective order or other appropriate legal remedy to which it may be entitled. In view of the nature of the Executive's employment and the sensitive nature of Company Information which the Executive has received during the course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employment, the Executive agrees that any unauthorized disclosure to third parties of Company Information or other violation, or threatened violation, of this Agreement would cause irreparable damage to the trade secret, confidential or proprietary status of Company Information and to the Company. Therefore, in that event the Company shall be entitled to an injunction prohibiting the Executive from any such disclosure, attempted disclosure, violation or threatened violation. When Company Information becomes generally available to the public other than by the Executive's acts or omissions, it is no longer subject to the restrictions in this paragraph. </w:t>
      </w:r>
    </w:p>
    <w:p>
      <w:pPr>
        <w:pStyle w:val="TextBody"/>
        <w:bidi w:val="0"/>
        <w:spacing w:before="0" w:after="0"/>
        <w:ind w:left="0" w:right="0" w:hanging="360"/>
        <w:jc w:val="both"/>
        <w:rPr/>
      </w:pPr>
      <w:r>
        <w:rPr/>
      </w:r>
    </w:p>
    <w:p>
      <w:pPr>
        <w:pStyle w:val="TextBody"/>
        <w:bidi w:val="0"/>
        <w:spacing w:lineRule="auto" w:line="379" w:before="0" w:after="0"/>
        <w:ind w:left="0" w:right="0" w:hanging="555"/>
        <w:jc w:val="both"/>
        <w:rPr>
          <w:rFonts w:ascii="Arial;sans-serif" w:hAnsi="Arial;sans-serif"/>
          <w:b w:val="false"/>
          <w:color w:val="000000"/>
          <w:sz w:val="22"/>
        </w:rPr>
      </w:pPr>
      <w:r>
        <w:rPr>
          <w:rFonts w:ascii="Arial;sans-serif" w:hAnsi="Arial;sans-serif"/>
          <w:b w:val="false"/>
          <w:color w:val="000000"/>
          <w:sz w:val="22"/>
        </w:rPr>
        <w:t>(i)Notice regarding trade secrets. Under certain conditions, the Defend Trade Secrets Act of 2016 (Public Law No. 114-153, Section 7) provides immunity from liability for certain disclosures of trade secrets, in confidence or under seal, to the government or in connection with a court proceeding, when related to suspected violations of law raised in good faith. (18 U.S.C. § 1833).</w:t>
      </w:r>
    </w:p>
    <w:p>
      <w:pPr>
        <w:pStyle w:val="TextBody"/>
        <w:bidi w:val="0"/>
        <w:spacing w:before="0" w:after="0"/>
        <w:ind w:left="0" w:right="0" w:hanging="360"/>
        <w:jc w:val="both"/>
        <w:rPr/>
      </w:pPr>
      <w:r>
        <w:rPr/>
      </w:r>
    </w:p>
    <w:p>
      <w:pPr>
        <w:pStyle w:val="TextBody"/>
        <w:bidi w:val="0"/>
        <w:spacing w:lineRule="auto" w:line="379"/>
        <w:ind w:left="0" w:right="0" w:hanging="450"/>
        <w:jc w:val="both"/>
        <w:rPr/>
      </w:pPr>
      <w:r>
        <w:rPr>
          <w:rFonts w:ascii="Arial;sans-serif" w:hAnsi="Arial;sans-serif"/>
          <w:b w:val="false"/>
          <w:color w:val="000000"/>
          <w:sz w:val="24"/>
        </w:rPr>
        <w:t>(c)</w:t>
      </w:r>
      <w:r>
        <w:rPr>
          <w:rFonts w:ascii="Arial;sans-serif" w:hAnsi="Arial;sans-serif"/>
          <w:b w:val="false"/>
          <w:color w:val="000000"/>
          <w:sz w:val="22"/>
        </w:rPr>
        <w:t xml:space="preserve">Except where prohibited by law, including the state of California, to further ensure the protection of Company Information, the Executive agrees that for a period of two (2) </w:t>
      </w:r>
    </w:p>
    <w:p>
      <w:pPr>
        <w:pStyle w:val="TextBody"/>
        <w:bidi w:val="0"/>
        <w:spacing w:before="0" w:after="0"/>
        <w:jc w:val="left"/>
        <w:rPr/>
      </w:pPr>
      <w:r>
        <w:rPr/>
        <w:drawing>
          <wp:inline distT="0" distB="0" distL="0" distR="0">
            <wp:extent cx="5943600" cy="666750"/>
            <wp:effectExtent l="0" t="0" r="0" b="0"/>
            <wp:docPr id="1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 descr=""/>
                    <pic:cNvPicPr>
                      <a:picLocks noChangeAspect="1" noChangeArrowheads="1"/>
                    </pic:cNvPicPr>
                  </pic:nvPicPr>
                  <pic:blipFill>
                    <a:blip r:embed="rId7"/>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64845"/>
                <wp:effectExtent l="0" t="0" r="0" b="0"/>
                <wp:wrapNone/>
                <wp:docPr id="143" name="Frame13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A-5</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A-5</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jc w:val="both"/>
        <w:rPr/>
      </w:pPr>
      <w:r>
        <w:rPr>
          <w:rFonts w:ascii="Arial;sans-serif" w:hAnsi="Arial;sans-serif"/>
          <w:b w:val="false"/>
          <w:color w:val="000000"/>
          <w:sz w:val="22"/>
        </w:rPr>
        <w:t xml:space="preserve">years after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Termination Date,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will not accept employment in any form (including entering into consulting relationships or similar arrangements) with a business which: (i) competes directly or indirectly with </w:t>
      </w:r>
      <w:r>
        <w:rPr>
          <w:rFonts w:ascii="Arial;sans-serif" w:hAnsi="Arial;sans-serif"/>
          <w:b/>
          <w:color w:val="000000"/>
          <w:sz w:val="22"/>
        </w:rPr>
        <w:t>[any of the Company’s businesses (applies to corporate executives)] [the Executive’s business unit (includes current and past business units)]</w:t>
      </w:r>
      <w:r>
        <w:rPr>
          <w:rFonts w:ascii="Arial;sans-serif" w:hAnsi="Arial;sans-serif"/>
          <w:b w:val="false"/>
          <w:color w:val="000000"/>
          <w:sz w:val="22"/>
        </w:rPr>
        <w:t xml:space="preserve">; or (ii) is a material customer of or a material supplier to </w:t>
      </w:r>
      <w:r>
        <w:rPr>
          <w:rFonts w:ascii="Arial;sans-serif" w:hAnsi="Arial;sans-serif"/>
          <w:b/>
          <w:color w:val="000000"/>
          <w:sz w:val="22"/>
        </w:rPr>
        <w:t xml:space="preserve">[any of the Company’s businesses] [the Executive’s business unit], </w:t>
      </w:r>
      <w:r>
        <w:rPr>
          <w:rFonts w:ascii="Arial;sans-serif" w:hAnsi="Arial;sans-serif"/>
          <w:b w:val="false"/>
          <w:color w:val="000000"/>
          <w:sz w:val="22"/>
        </w:rPr>
        <w:t xml:space="preserve">unless the Executive has obtained the written consent of the Executive Vice President &amp; Chief Human Resources Officer or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successor, which consent shall be granted or withheld in his sole discretion. The Executive acknowledges that the ELG RSU Award vested and distributed pursuant to this Agreement constitutes full and adequate consideration for the Executive’s obligations set forth in this paragraph (4)(d). The parties agree that the terms of this paragraph are reasonable. However, if any portion of this paragraph is held by competent authority to be unenforceable, this paragraph shall be deemed amended to limit its scope to the broadest scope that such authority determines is enforceable, and as so amended shall continue in effect. </w:t>
      </w:r>
    </w:p>
    <w:p>
      <w:pPr>
        <w:pStyle w:val="TextBody"/>
        <w:bidi w:val="0"/>
        <w:spacing w:before="0" w:after="0"/>
        <w:ind w:left="0" w:right="0" w:hanging="90"/>
        <w:jc w:val="both"/>
        <w:rPr/>
      </w:pPr>
      <w:r>
        <w:rPr/>
      </w:r>
    </w:p>
    <w:p>
      <w:pPr>
        <w:pStyle w:val="TextBody"/>
        <w:bidi w:val="0"/>
        <w:spacing w:lineRule="auto" w:line="379" w:before="0" w:after="0"/>
        <w:ind w:left="0" w:right="0" w:hanging="450"/>
        <w:jc w:val="both"/>
        <w:rPr/>
      </w:pPr>
      <w:r>
        <w:rPr>
          <w:rFonts w:ascii="Arial;sans-serif" w:hAnsi="Arial;sans-serif"/>
          <w:b w:val="false"/>
          <w:color w:val="000000"/>
          <w:sz w:val="24"/>
        </w:rPr>
        <w:t>(d)</w:t>
      </w:r>
      <w:r>
        <w:rPr>
          <w:rFonts w:ascii="Arial;sans-serif" w:hAnsi="Arial;sans-serif"/>
          <w:b w:val="false"/>
          <w:color w:val="000000"/>
          <w:sz w:val="22"/>
        </w:rPr>
        <w:t xml:space="preserve">For a period of two (2) years following the Termination Date, the Executive will not initiate, cause or allow to be initiated (under those conditions which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controls) any action which would reasonably be expected to encourage or to induce any employee of the Company or any of its affiliated entities to leave the employ of the Company or its affiliated entities. In this regard, the Executive agrees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will not directly or indirectly recruit any Company executive or other employee or provide any information or make referrals to personnel recruitment agencies or other third parties in connection with Company executives and other employees.</w:t>
      </w:r>
    </w:p>
    <w:p>
      <w:pPr>
        <w:pStyle w:val="TextBody"/>
        <w:bidi w:val="0"/>
        <w:spacing w:before="0" w:after="0"/>
        <w:ind w:left="0" w:right="0" w:hanging="90"/>
        <w:jc w:val="both"/>
        <w:rPr/>
      </w:pPr>
      <w:r>
        <w:rPr/>
      </w:r>
    </w:p>
    <w:p>
      <w:pPr>
        <w:pStyle w:val="TextBody"/>
        <w:bidi w:val="0"/>
        <w:spacing w:lineRule="auto" w:line="300" w:before="0" w:after="0"/>
        <w:ind w:left="0" w:right="0" w:hanging="450"/>
        <w:jc w:val="both"/>
        <w:rPr/>
      </w:pPr>
      <w:r>
        <w:rPr>
          <w:rFonts w:ascii="Arial;sans-serif" w:hAnsi="Arial;sans-serif"/>
          <w:b w:val="false"/>
          <w:color w:val="000000"/>
          <w:sz w:val="24"/>
        </w:rPr>
        <w:t>(e)</w:t>
      </w:r>
      <w:r>
        <w:rPr>
          <w:rFonts w:ascii="Arial;sans-serif" w:hAnsi="Arial;sans-serif"/>
          <w:b w:val="false"/>
          <w:color w:val="000000"/>
          <w:sz w:val="22"/>
        </w:rPr>
        <w:t>The Executive acknowledges that the Intellectual Property Agreement between the Executive and the Company will continue in full force and effect following the Termination Date.</w:t>
      </w:r>
    </w:p>
    <w:p>
      <w:pPr>
        <w:pStyle w:val="TextBody"/>
        <w:bidi w:val="0"/>
        <w:spacing w:lineRule="auto" w:line="192" w:before="0" w:after="0"/>
        <w:ind w:left="0" w:right="0" w:hanging="720"/>
        <w:jc w:val="both"/>
        <w:rPr>
          <w:rFonts w:ascii="Arial;sans-serif" w:hAnsi="Arial;sans-serif"/>
          <w:b w:val="false"/>
          <w:color w:val="FFFFFF"/>
          <w:sz w:val="22"/>
        </w:rPr>
      </w:pPr>
      <w:r>
        <w:rPr>
          <w:rFonts w:ascii="Arial;sans-serif" w:hAnsi="Arial;sans-serif"/>
          <w:b w:val="false"/>
          <w:color w:val="FFFFFF"/>
          <w:sz w:val="22"/>
        </w:rPr>
        <w:t>1.</w:t>
      </w:r>
    </w:p>
    <w:p>
      <w:pPr>
        <w:pStyle w:val="TextBody"/>
        <w:bidi w:val="0"/>
        <w:spacing w:lineRule="auto" w:line="192" w:before="0" w:after="0"/>
        <w:ind w:left="0" w:right="0" w:hanging="720"/>
        <w:jc w:val="both"/>
        <w:rPr>
          <w:rFonts w:ascii="Arial;sans-serif" w:hAnsi="Arial;sans-serif"/>
          <w:b w:val="false"/>
          <w:color w:val="FFFFFF"/>
          <w:sz w:val="24"/>
        </w:rPr>
      </w:pPr>
      <w:r>
        <w:rPr>
          <w:rFonts w:ascii="Arial;sans-serif" w:hAnsi="Arial;sans-serif"/>
          <w:b w:val="false"/>
          <w:color w:val="FFFFFF"/>
          <w:sz w:val="24"/>
        </w:rPr>
        <w:t>2.</w:t>
      </w:r>
    </w:p>
    <w:p>
      <w:pPr>
        <w:pStyle w:val="TextBody"/>
        <w:bidi w:val="0"/>
        <w:spacing w:lineRule="auto" w:line="192" w:before="0" w:after="0"/>
        <w:ind w:left="0" w:right="0" w:hanging="720"/>
        <w:jc w:val="both"/>
        <w:rPr>
          <w:rFonts w:ascii="Arial;sans-serif" w:hAnsi="Arial;sans-serif"/>
          <w:b w:val="false"/>
          <w:color w:val="FFFFFF"/>
          <w:sz w:val="24"/>
        </w:rPr>
      </w:pPr>
      <w:r>
        <w:rPr>
          <w:rFonts w:ascii="Arial;sans-serif" w:hAnsi="Arial;sans-serif"/>
          <w:b w:val="false"/>
          <w:color w:val="FFFFFF"/>
          <w:sz w:val="24"/>
        </w:rPr>
        <w:t>3.</w:t>
      </w:r>
    </w:p>
    <w:p>
      <w:pPr>
        <w:pStyle w:val="TextBody"/>
        <w:bidi w:val="0"/>
        <w:spacing w:lineRule="auto" w:line="192" w:before="0" w:after="0"/>
        <w:ind w:left="0" w:right="0" w:hanging="720"/>
        <w:jc w:val="both"/>
        <w:rPr>
          <w:rFonts w:ascii="Arial;sans-serif" w:hAnsi="Arial;sans-serif"/>
          <w:b w:val="false"/>
          <w:color w:val="FFFFFF"/>
          <w:sz w:val="24"/>
        </w:rPr>
      </w:pPr>
      <w:r>
        <w:rPr>
          <w:rFonts w:ascii="Arial;sans-serif" w:hAnsi="Arial;sans-serif"/>
          <w:b w:val="false"/>
          <w:color w:val="FFFFFF"/>
          <w:sz w:val="24"/>
        </w:rPr>
        <w:t>4.</w:t>
      </w:r>
    </w:p>
    <w:p>
      <w:pPr>
        <w:pStyle w:val="TextBody"/>
        <w:bidi w:val="0"/>
        <w:spacing w:lineRule="auto" w:line="379"/>
        <w:ind w:left="0" w:right="0" w:hanging="360"/>
        <w:jc w:val="both"/>
        <w:rPr/>
      </w:pPr>
      <w:r>
        <w:rPr>
          <w:rFonts w:ascii="Arial;sans-serif" w:hAnsi="Arial;sans-serif"/>
          <w:b w:val="false"/>
          <w:color w:val="000000"/>
          <w:sz w:val="24"/>
        </w:rPr>
        <w:t>5.</w:t>
      </w:r>
      <w:r>
        <w:rPr>
          <w:rFonts w:ascii="Arial;sans-serif" w:hAnsi="Arial;sans-serif"/>
          <w:b w:val="false"/>
          <w:color w:val="000000"/>
          <w:sz w:val="22"/>
        </w:rPr>
        <w:t>The Company represents to the Executive that it is fully authorized and empowered to enter into this Agreement, and that it will safeguard this Agreement and its terms from public disclosure with the same degree of care with which the Company protects its proprietary information.</w:t>
      </w:r>
    </w:p>
    <w:p>
      <w:pPr>
        <w:pStyle w:val="TextBody"/>
        <w:bidi w:val="0"/>
        <w:spacing w:before="0" w:after="0"/>
        <w:jc w:val="left"/>
        <w:rPr/>
      </w:pPr>
      <w:r>
        <w:rPr/>
        <w:drawing>
          <wp:inline distT="0" distB="0" distL="0" distR="0">
            <wp:extent cx="5943600" cy="666750"/>
            <wp:effectExtent l="0" t="0" r="0" b="0"/>
            <wp:docPr id="1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 descr=""/>
                    <pic:cNvPicPr>
                      <a:picLocks noChangeAspect="1" noChangeArrowheads="1"/>
                    </pic:cNvPicPr>
                  </pic:nvPicPr>
                  <pic:blipFill>
                    <a:blip r:embed="rId8"/>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64845"/>
                <wp:effectExtent l="0" t="0" r="0" b="0"/>
                <wp:wrapNone/>
                <wp:docPr id="145" name="Frame13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A-6</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A-6</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hanging="36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6.</w:t>
      </w:r>
      <w:r>
        <w:rPr>
          <w:rFonts w:ascii="Arial;sans-serif" w:hAnsi="Arial;sans-serif"/>
          <w:b w:val="false"/>
          <w:color w:val="000000"/>
          <w:sz w:val="22"/>
        </w:rPr>
        <w:t xml:space="preserve">The Executive will not disclose or allow to be disclosed any of the terms or conditions of this Agreement. The Executive agrees not to make duplicate copies of this Agreement, provided, however,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may retain a copy of the Agreement; and provided further,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 xml:space="preserve">may disclose this Agreement to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spouse, attorney, financial advisor and the preparer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tax returns. Further, the Executive may, if necessary, advise a new employer of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obligations hereunder. </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7.</w:t>
      </w:r>
      <w:r>
        <w:rPr>
          <w:rFonts w:ascii="Arial;sans-serif" w:hAnsi="Arial;sans-serif"/>
          <w:b w:val="false"/>
          <w:color w:val="000000"/>
          <w:sz w:val="22"/>
        </w:rPr>
        <w:t xml:space="preserve">The obligations of the parties hereto are severable and divisible. In the event any provision hereunder is determined to be illegal or unenforceable, the remainder of this Agreement shall continue in full force and effect. </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8.</w:t>
      </w:r>
      <w:r>
        <w:rPr>
          <w:rFonts w:ascii="Arial;sans-serif" w:hAnsi="Arial;sans-serif"/>
          <w:b w:val="false"/>
          <w:color w:val="000000"/>
          <w:sz w:val="22"/>
        </w:rPr>
        <w:t>In addition to any other rights the Company may have, should the Executive breach any of the terms of this Agreement, the Company will have the right to recover the value realized from the ELG RSU Award and any other benefits provided hereunder, the amount of such recovery to be determined relative to the damages caused by the breach. Such action by the Company will not be taken capriciously and will have no effect on the Release and Waiver contained in this Agreement.</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9.</w:t>
      </w:r>
      <w:r>
        <w:rPr>
          <w:rFonts w:ascii="Arial;sans-serif" w:hAnsi="Arial;sans-serif"/>
          <w:b w:val="false"/>
          <w:color w:val="000000"/>
          <w:sz w:val="22"/>
        </w:rPr>
        <w:t xml:space="preserve">Any dispute arising between the Company and the Executive with respect to the validity, performance or interpretation of this Agreement shall be submitted to and determined in binding arbitration in Farmington, Connecticut, for resolution in accordance with the rules of the American Arbitration Association, modified to provide that the decision by the arbitrator shall be binding on the parties; shall be furnished in writing, separately and specifically stating the findings of fact and conclusions of law on which the decision is based; shall be kept confidential by the arbitrator and the parties; and shall be rendered within 60 days following empanelment of the arbitrator. Costs of the arbitration shall be borne by the party that does not prevail. The arbitrator shall be selected in accordance with the rules of the American Arbitration Association. </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10.</w:t>
      </w:r>
      <w:r>
        <w:rPr>
          <w:rFonts w:ascii="Arial;sans-serif" w:hAnsi="Arial;sans-serif"/>
          <w:b w:val="false"/>
          <w:color w:val="000000"/>
          <w:sz w:val="22"/>
        </w:rPr>
        <w:t>This Agreement shall be subject to and governed by the laws of the State of Delaware, USA, excluding its conflict of laws rules.</w:t>
      </w:r>
    </w:p>
    <w:p>
      <w:pPr>
        <w:pStyle w:val="TextBody"/>
        <w:bidi w:val="0"/>
        <w:jc w:val="both"/>
        <w:rPr/>
      </w:pPr>
      <w:r>
        <w:rPr/>
      </w:r>
    </w:p>
    <w:p>
      <w:pPr>
        <w:pStyle w:val="TextBody"/>
        <w:bidi w:val="0"/>
        <w:spacing w:before="0" w:after="0"/>
        <w:jc w:val="left"/>
        <w:rPr/>
      </w:pPr>
      <w:r>
        <w:rPr/>
        <w:drawing>
          <wp:inline distT="0" distB="0" distL="0" distR="0">
            <wp:extent cx="5943600" cy="666750"/>
            <wp:effectExtent l="0" t="0" r="0" b="0"/>
            <wp:docPr id="1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 descr=""/>
                    <pic:cNvPicPr>
                      <a:picLocks noChangeAspect="1" noChangeArrowheads="1"/>
                    </pic:cNvPicPr>
                  </pic:nvPicPr>
                  <pic:blipFill>
                    <a:blip r:embed="rId9"/>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64845"/>
                <wp:effectExtent l="0" t="0" r="0" b="0"/>
                <wp:wrapNone/>
                <wp:docPr id="147" name="Frame13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A-7</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A-7</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ind w:left="0" w:right="0" w:hanging="360"/>
        <w:jc w:val="both"/>
        <w:rPr/>
      </w:pPr>
      <w:r>
        <w:rPr>
          <w:rFonts w:ascii="Arial;sans-serif" w:hAnsi="Arial;sans-serif"/>
          <w:b w:val="false"/>
          <w:color w:val="000000"/>
          <w:sz w:val="24"/>
        </w:rPr>
        <w:t>11.</w:t>
      </w:r>
      <w:r>
        <w:rPr>
          <w:rFonts w:ascii="Arial;sans-serif" w:hAnsi="Arial;sans-serif"/>
          <w:b w:val="false"/>
          <w:color w:val="000000"/>
          <w:sz w:val="22"/>
        </w:rPr>
        <w:t>This Agreement constitutes the entire agreement between the parties and supersedes all previous communications between the parties with respect to the subject matter of this Agreement. No amendment to this Agreement shall be binding upon either party unless in writing and signed by or on behalf of such party.</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12.</w:t>
      </w:r>
      <w:r>
        <w:rPr>
          <w:rFonts w:ascii="Arial;sans-serif" w:hAnsi="Arial;sans-serif"/>
          <w:b w:val="false"/>
          <w:color w:val="000000"/>
          <w:sz w:val="22"/>
        </w:rPr>
        <w:t xml:space="preserve">Any notice under this agreement shall be in writing and addressed to the Executive at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home address of record at the Company and to the Company as follows:</w:t>
      </w:r>
    </w:p>
    <w:p>
      <w:pPr>
        <w:pStyle w:val="TextBody"/>
        <w:bidi w:val="0"/>
        <w:spacing w:before="0" w:after="0"/>
        <w:ind w:left="0" w:right="0" w:hanging="720"/>
        <w:jc w:val="both"/>
        <w:rPr/>
      </w:pPr>
      <w:r>
        <w:rPr/>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RTX Corporation</w:t>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1000 Wilson Blvd.</w:t>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Arlington, VA 22209</w:t>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 xml:space="preserve">Attention: Executive Vice President &amp; </w:t>
      </w:r>
    </w:p>
    <w:p>
      <w:pPr>
        <w:pStyle w:val="TextBody"/>
        <w:bidi w:val="0"/>
        <w:spacing w:lineRule="auto" w:line="379" w:before="0" w:after="0"/>
        <w:jc w:val="both"/>
        <w:rPr>
          <w:color w:val="000000"/>
        </w:rPr>
      </w:pPr>
      <w:r>
        <w:rPr>
          <w:color w:val="000000"/>
        </w:rPr>
        <w:t>            </w:t>
      </w:r>
      <w:r>
        <w:rPr>
          <w:rFonts w:ascii="Arial;sans-serif" w:hAnsi="Arial;sans-serif"/>
          <w:b w:val="false"/>
          <w:color w:val="000000"/>
          <w:sz w:val="22"/>
        </w:rPr>
        <w:t>Chief Human Resources Officer</w:t>
      </w:r>
    </w:p>
    <w:p>
      <w:pPr>
        <w:pStyle w:val="TextBody"/>
        <w:bidi w:val="0"/>
        <w:spacing w:before="0" w:after="0"/>
        <w:jc w:val="both"/>
        <w:rPr/>
      </w:pPr>
      <w:r>
        <w:rPr/>
      </w:r>
    </w:p>
    <w:p>
      <w:pPr>
        <w:pStyle w:val="TextBody"/>
        <w:bidi w:val="0"/>
        <w:spacing w:lineRule="auto" w:line="379" w:before="0" w:after="0"/>
        <w:ind w:left="0" w:right="0" w:hanging="720"/>
        <w:jc w:val="both"/>
        <w:rPr>
          <w:color w:val="000000"/>
        </w:rPr>
      </w:pPr>
      <w:r>
        <w:rPr>
          <w:color w:val="000000"/>
        </w:rPr>
        <w:t>    </w:t>
      </w:r>
      <w:r>
        <w:rPr>
          <w:rFonts w:ascii="Arial;sans-serif" w:hAnsi="Arial;sans-serif"/>
          <w:b w:val="false"/>
          <w:color w:val="000000"/>
          <w:sz w:val="22"/>
        </w:rPr>
        <w:t>Either party may change its address for notices by giving the other party notice of the change.</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2"/>
        </w:rPr>
        <w:t xml:space="preserve">13.The Executive, or </w:t>
      </w:r>
      <w:r>
        <w:rPr>
          <w:rFonts w:ascii="Arial;sans-serif" w:hAnsi="Arial;sans-serif"/>
          <w:b/>
          <w:color w:val="000000"/>
          <w:sz w:val="22"/>
        </w:rPr>
        <w:t>[his/her]</w:t>
      </w:r>
      <w:r>
        <w:rPr>
          <w:color w:val="000000"/>
        </w:rPr>
        <w:t xml:space="preserve"> </w:t>
      </w:r>
      <w:r>
        <w:rPr>
          <w:rFonts w:ascii="Arial;sans-serif" w:hAnsi="Arial;sans-serif"/>
          <w:b w:val="false"/>
          <w:color w:val="000000"/>
          <w:sz w:val="22"/>
        </w:rPr>
        <w:t xml:space="preserve">estate, shall be responsible for any and all tax liability imposed on amounts paid hereunder. The Company reserves the right to withhold applicable taxes from any amounts paid pursuant to this Agreement to the extent required by law. </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14.</w:t>
      </w:r>
      <w:r>
        <w:rPr>
          <w:rFonts w:ascii="Arial;sans-serif" w:hAnsi="Arial;sans-serif"/>
          <w:b w:val="false"/>
          <w:color w:val="000000"/>
          <w:sz w:val="22"/>
        </w:rPr>
        <w:t>Capitalized terms in this Agreement, not otherwise defined herein, are defined in the ELG Program materials, Schedule of Terms applicable to this ELG RSU Award, or the RTX Long Term Incentive Plan, as amended and restated.</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15.</w:t>
      </w:r>
      <w:r>
        <w:rPr>
          <w:rFonts w:ascii="Arial;sans-serif" w:hAnsi="Arial;sans-serif"/>
          <w:b w:val="false"/>
          <w:color w:val="000000"/>
          <w:sz w:val="22"/>
        </w:rPr>
        <w:t>If and to the extent any payment or benefit provided herein is determined to be deferred compensation within the meaning of Section 409A, such payment or benefit will be provided in a manner that complies with Section 409A.</w:t>
      </w:r>
    </w:p>
    <w:p>
      <w:pPr>
        <w:pStyle w:val="TextBody"/>
        <w:bidi w:val="0"/>
        <w:spacing w:before="0" w:after="0"/>
        <w:jc w:val="both"/>
        <w:rPr/>
      </w:pPr>
      <w:r>
        <w:rPr/>
      </w:r>
    </w:p>
    <w:p>
      <w:pPr>
        <w:pStyle w:val="TextBody"/>
        <w:bidi w:val="0"/>
        <w:spacing w:lineRule="auto" w:line="379"/>
        <w:ind w:left="0" w:right="0" w:hanging="360"/>
        <w:jc w:val="both"/>
        <w:rPr/>
      </w:pPr>
      <w:r>
        <w:rPr>
          <w:rFonts w:ascii="Arial;sans-serif" w:hAnsi="Arial;sans-serif"/>
          <w:b w:val="false"/>
          <w:color w:val="000000"/>
          <w:sz w:val="24"/>
        </w:rPr>
        <w:t>16.</w:t>
      </w:r>
      <w:r>
        <w:rPr>
          <w:rFonts w:ascii="Arial;sans-serif" w:hAnsi="Arial;sans-serif"/>
          <w:b w:val="false"/>
          <w:color w:val="000000"/>
          <w:sz w:val="22"/>
        </w:rPr>
        <w:t xml:space="preserve">The effective date of this Agreement shall be eight (8) days from the date in which the Agreement is signed and dated by the Executive, provided the Executive has not revoked acceptance in accordance with Paragraph 3(i) above. If the Agreement is not dated by the Executive, the effective day of the Agreement shall be eight (8) calendar days after receipt of </w:t>
      </w:r>
    </w:p>
    <w:p>
      <w:pPr>
        <w:pStyle w:val="TextBody"/>
        <w:bidi w:val="0"/>
        <w:spacing w:before="0" w:after="0"/>
        <w:jc w:val="left"/>
        <w:rPr/>
      </w:pPr>
      <w:r>
        <w:rPr/>
        <w:drawing>
          <wp:inline distT="0" distB="0" distL="0" distR="0">
            <wp:extent cx="5943600" cy="666750"/>
            <wp:effectExtent l="0" t="0" r="0" b="0"/>
            <wp:docPr id="14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 descr=""/>
                    <pic:cNvPicPr>
                      <a:picLocks noChangeAspect="1" noChangeArrowheads="1"/>
                    </pic:cNvPicPr>
                  </pic:nvPicPr>
                  <pic:blipFill>
                    <a:blip r:embed="rId10"/>
                    <a:stretch>
                      <a:fillRect/>
                    </a:stretch>
                  </pic:blipFill>
                  <pic:spPr bwMode="auto">
                    <a:xfrm>
                      <a:off x="0" y="0"/>
                      <a:ext cx="5943600" cy="666750"/>
                    </a:xfrm>
                    <a:prstGeom prst="rect">
                      <a:avLst/>
                    </a:prstGeom>
                  </pic:spPr>
                </pic:pic>
              </a:graphicData>
            </a:graphic>
          </wp:inline>
        </w:drawing>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64845"/>
                <wp:effectExtent l="0" t="0" r="0" b="0"/>
                <wp:wrapNone/>
                <wp:docPr id="149" name="Frame14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r>
                              <w:br w:type="page"/>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A-8</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A-8</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before="0" w:after="0"/>
        <w:jc w:val="center"/>
        <w:rPr/>
      </w:pPr>
      <w:r>
        <w:rPr/>
      </w:r>
    </w:p>
    <w:p>
      <w:pPr>
        <w:pStyle w:val="TextBody"/>
        <w:bidi w:val="0"/>
        <w:spacing w:lineRule="auto" w:line="379" w:before="0" w:after="0"/>
        <w:jc w:val="both"/>
        <w:rPr>
          <w:rFonts w:ascii="Arial;sans-serif" w:hAnsi="Arial;sans-serif"/>
          <w:b w:val="false"/>
          <w:color w:val="000000"/>
          <w:sz w:val="22"/>
        </w:rPr>
      </w:pPr>
      <w:r>
        <w:rPr>
          <w:rFonts w:ascii="Arial;sans-serif" w:hAnsi="Arial;sans-serif"/>
          <w:b w:val="false"/>
          <w:color w:val="000000"/>
          <w:sz w:val="22"/>
        </w:rPr>
        <w:t>the Agreement by the Company, provided the Executive has not revoked acceptance in accordance with Paragraph 3(i) above.</w:t>
      </w:r>
    </w:p>
    <w:p>
      <w:pPr>
        <w:pStyle w:val="TextBody"/>
        <w:bidi w:val="0"/>
        <w:spacing w:before="0" w:after="0"/>
        <w:jc w:val="both"/>
        <w:rPr/>
      </w:pPr>
      <w:r>
        <w:rPr/>
      </w:r>
    </w:p>
    <w:p>
      <w:pPr>
        <w:pStyle w:val="TextBody"/>
        <w:bidi w:val="0"/>
        <w:spacing w:lineRule="auto" w:line="379" w:before="0" w:after="0"/>
        <w:ind w:left="0" w:right="0" w:hanging="360"/>
        <w:jc w:val="both"/>
        <w:rPr/>
      </w:pPr>
      <w:r>
        <w:rPr>
          <w:rFonts w:ascii="Arial;sans-serif" w:hAnsi="Arial;sans-serif"/>
          <w:b w:val="false"/>
          <w:color w:val="000000"/>
          <w:sz w:val="24"/>
        </w:rPr>
        <w:t>17.</w:t>
      </w:r>
      <w:r>
        <w:rPr>
          <w:rFonts w:ascii="Arial;sans-serif" w:hAnsi="Arial;sans-serif"/>
          <w:b w:val="false"/>
          <w:color w:val="000000"/>
          <w:sz w:val="22"/>
        </w:rPr>
        <w:t xml:space="preserve">The Executive states that </w:t>
      </w:r>
      <w:r>
        <w:rPr>
          <w:rFonts w:ascii="Arial;sans-serif" w:hAnsi="Arial;sans-serif"/>
          <w:b/>
          <w:color w:val="000000"/>
          <w:sz w:val="22"/>
        </w:rPr>
        <w:t>[he/she]</w:t>
      </w:r>
      <w:r>
        <w:rPr>
          <w:color w:val="000000"/>
        </w:rPr>
        <w:t xml:space="preserve"> </w:t>
      </w:r>
      <w:r>
        <w:rPr>
          <w:rFonts w:ascii="Arial;sans-serif" w:hAnsi="Arial;sans-serif"/>
          <w:b w:val="false"/>
          <w:color w:val="000000"/>
          <w:sz w:val="22"/>
        </w:rPr>
        <w:t>has read this Agreement, including the Release and Waiver contained herein, fully understands its content and effect, and without duress or coercion, knowingly and voluntarily assents to its terms.</w:t>
      </w:r>
    </w:p>
    <w:p>
      <w:pPr>
        <w:pStyle w:val="TextBody"/>
        <w:bidi w:val="0"/>
        <w:spacing w:before="0" w:after="0"/>
        <w:jc w:val="both"/>
        <w:rPr/>
      </w:pPr>
      <w:r>
        <w:rPr/>
      </w:r>
    </w:p>
    <w:p>
      <w:pPr>
        <w:pStyle w:val="TextBody"/>
        <w:bidi w:val="0"/>
        <w:spacing w:lineRule="auto" w:line="379" w:before="0" w:after="0"/>
        <w:jc w:val="both"/>
        <w:rPr>
          <w:rFonts w:ascii="Arial;sans-serif" w:hAnsi="Arial;sans-serif"/>
          <w:b w:val="false"/>
          <w:color w:val="000000"/>
          <w:sz w:val="22"/>
        </w:rPr>
      </w:pPr>
      <w:r>
        <w:rPr>
          <w:rFonts w:ascii="Arial;sans-serif" w:hAnsi="Arial;sans-serif"/>
          <w:b w:val="false"/>
          <w:color w:val="000000"/>
          <w:sz w:val="22"/>
        </w:rPr>
        <w:t>IN WITNESS WHEREOF, the parties hereto have executed this Agreement which shall be effective as of the date of the Executive’s signature below.</w:t>
      </w:r>
    </w:p>
    <w:p>
      <w:pPr>
        <w:pStyle w:val="TextBody"/>
        <w:bidi w:val="0"/>
        <w:spacing w:before="0" w:after="0"/>
        <w:jc w:val="left"/>
        <w:rPr/>
      </w:pPr>
      <w:r>
        <w:rPr/>
      </w:r>
    </w:p>
    <w:p>
      <w:pPr>
        <w:pStyle w:val="TextBody"/>
        <w:bidi w:val="0"/>
        <w:spacing w:lineRule="auto" w:line="379" w:before="0" w:after="0"/>
        <w:jc w:val="left"/>
        <w:rPr>
          <w:rFonts w:ascii="Arial;sans-serif" w:hAnsi="Arial;sans-serif"/>
          <w:b/>
          <w:color w:val="000000"/>
          <w:sz w:val="22"/>
        </w:rPr>
      </w:pPr>
      <w:r>
        <w:rPr>
          <w:rFonts w:ascii="Arial;sans-serif" w:hAnsi="Arial;sans-serif"/>
          <w:b/>
          <w:color w:val="000000"/>
          <w:sz w:val="22"/>
        </w:rPr>
        <w:t>RTX CORPORATION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By:    </w:t>
      </w:r>
      <w:r>
        <w:rPr>
          <w:rFonts w:ascii="Arial;sans-serif" w:hAnsi="Arial;sans-serif"/>
          <w:b w:val="false"/>
          <w:color w:val="FFFFFF"/>
          <w:sz w:val="24"/>
        </w:rPr>
        <w:t>te</w:t>
      </w:r>
      <w:r>
        <w:rPr>
          <w:rFonts w:ascii="Arial;sans-serif" w:hAnsi="Arial;sans-serif"/>
          <w:b w:val="false"/>
          <w:color w:val="000000"/>
          <w:sz w:val="24"/>
        </w:rPr>
        <w:t>________________________     By:</w:t>
      </w:r>
      <w:r>
        <w:rPr>
          <w:rFonts w:ascii="Arial;sans-serif" w:hAnsi="Arial;sans-serif"/>
          <w:b w:val="false"/>
          <w:color w:val="FFFFFF"/>
          <w:sz w:val="24"/>
        </w:rPr>
        <w:t>teue</w:t>
      </w:r>
      <w:r>
        <w:rPr>
          <w:rFonts w:ascii="Arial;sans-serif" w:hAnsi="Arial;sans-serif"/>
          <w:b w:val="false"/>
          <w:color w:val="000000"/>
          <w:sz w:val="24"/>
        </w:rPr>
        <w:t xml:space="preserve">______________________ </w:t>
      </w:r>
    </w:p>
    <w:p>
      <w:pPr>
        <w:pStyle w:val="TextBody"/>
        <w:bidi w:val="0"/>
        <w:spacing w:lineRule="auto" w:line="379" w:before="0" w:after="0"/>
        <w:jc w:val="left"/>
        <w:rPr/>
      </w:pPr>
      <w:r>
        <w:rPr>
          <w:rFonts w:ascii="Arial;sans-serif" w:hAnsi="Arial;sans-serif"/>
          <w:b w:val="false"/>
          <w:color w:val="FFFFFF"/>
          <w:sz w:val="24"/>
        </w:rPr>
        <w:t>___    </w:t>
      </w:r>
      <w:r>
        <w:rPr>
          <w:rFonts w:ascii="Arial;sans-serif" w:hAnsi="Arial;sans-serif"/>
          <w:b w:val="false"/>
          <w:color w:val="FFFFFF"/>
          <w:sz w:val="22"/>
        </w:rPr>
        <w:t>_</w:t>
      </w:r>
      <w:r>
        <w:rPr>
          <w:rFonts w:ascii="Arial;sans-serif" w:hAnsi="Arial;sans-serif"/>
          <w:b w:val="false"/>
          <w:color w:val="000000"/>
          <w:sz w:val="22"/>
        </w:rPr>
        <w:t>[Name]</w:t>
      </w:r>
      <w:r>
        <w:rPr>
          <w:rFonts w:ascii="Arial;sans-serif" w:hAnsi="Arial;sans-serif"/>
          <w:b w:val="false"/>
          <w:color w:val="FFFFFF"/>
          <w:sz w:val="22"/>
        </w:rPr>
        <w:t>_</w:t>
      </w:r>
      <w:r>
        <w:rPr>
          <w:rFonts w:ascii="Arial;sans-serif" w:hAnsi="Arial;sans-serif"/>
          <w:b w:val="false"/>
          <w:color w:val="FFFFFF"/>
          <w:sz w:val="24"/>
        </w:rPr>
        <w:t>__________________________-</w:t>
      </w:r>
      <w:r>
        <w:rPr>
          <w:rFonts w:ascii="Arial;sans-serif" w:hAnsi="Arial;sans-serif"/>
          <w:b w:val="false"/>
          <w:color w:val="000000"/>
          <w:sz w:val="22"/>
        </w:rPr>
        <w:t>[Name of Executive]</w:t>
      </w:r>
    </w:p>
    <w:p>
      <w:pPr>
        <w:pStyle w:val="TextBody"/>
        <w:bidi w:val="0"/>
        <w:spacing w:lineRule="auto" w:line="379" w:before="0" w:after="0"/>
        <w:jc w:val="left"/>
        <w:rPr/>
      </w:pPr>
      <w:r>
        <w:rPr>
          <w:color w:val="000000"/>
        </w:rPr>
        <w:t>        </w:t>
      </w:r>
      <w:r>
        <w:rPr>
          <w:rFonts w:ascii="Arial;sans-serif" w:hAnsi="Arial;sans-serif"/>
          <w:b w:val="false"/>
          <w:color w:val="FFFFFF"/>
          <w:sz w:val="22"/>
        </w:rPr>
        <w:t>__-</w:t>
      </w:r>
      <w:r>
        <w:rPr>
          <w:rFonts w:ascii="Arial;sans-serif" w:hAnsi="Arial;sans-serif"/>
          <w:b w:val="false"/>
          <w:color w:val="000000"/>
          <w:sz w:val="22"/>
        </w:rPr>
        <w:t>Executive Vice President &amp;</w:t>
      </w:r>
    </w:p>
    <w:p>
      <w:pPr>
        <w:pStyle w:val="TextBody"/>
        <w:bidi w:val="0"/>
        <w:spacing w:lineRule="auto" w:line="379" w:before="0" w:after="0"/>
        <w:jc w:val="left"/>
        <w:rPr/>
      </w:pPr>
      <w:r>
        <w:rPr>
          <w:color w:val="000000"/>
        </w:rPr>
        <w:t>        </w:t>
      </w:r>
      <w:r>
        <w:rPr>
          <w:rFonts w:ascii="Arial;sans-serif" w:hAnsi="Arial;sans-serif"/>
          <w:b w:val="false"/>
          <w:color w:val="FFFFFF"/>
          <w:sz w:val="22"/>
        </w:rPr>
        <w:t>__-</w:t>
      </w:r>
      <w:r>
        <w:rPr>
          <w:rFonts w:ascii="Arial;sans-serif" w:hAnsi="Arial;sans-serif"/>
          <w:b w:val="false"/>
          <w:color w:val="000000"/>
          <w:sz w:val="22"/>
        </w:rPr>
        <w:t>Chief Human Resources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Date:    ______________________     </w:t>
      </w:r>
      <w:r>
        <w:rPr>
          <w:rFonts w:ascii="Arial;sans-serif" w:hAnsi="Arial;sans-serif"/>
          <w:b w:val="false"/>
          <w:color w:val="FFFFFF"/>
          <w:sz w:val="24"/>
        </w:rPr>
        <w:t>--</w:t>
      </w:r>
      <w:r>
        <w:rPr>
          <w:rFonts w:ascii="Arial;sans-serif" w:hAnsi="Arial;sans-serif"/>
          <w:b w:val="false"/>
          <w:color w:val="000000"/>
          <w:sz w:val="24"/>
        </w:rPr>
        <w:t xml:space="preserve">Date:    ______________________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79"/>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64845"/>
                <wp:effectExtent l="0" t="0" r="0" b="0"/>
                <wp:wrapNone/>
                <wp:docPr id="150" name="Frame14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A-9</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A-9</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RTXLGL-119815 v13 (Rev. 01//24)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F Street, N.E.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Commissioners: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We are aware that our report</w:t>
      </w:r>
      <w:r>
        <w:rPr>
          <w:color w:val="FF0000"/>
        </w:rPr>
        <w:t xml:space="preserve"> </w:t>
      </w:r>
      <w:r>
        <w:rPr>
          <w:rFonts w:ascii="Times New Roman;sans-serif" w:hAnsi="Times New Roman;sans-serif"/>
          <w:b w:val="false"/>
          <w:color w:val="000000"/>
          <w:sz w:val="20"/>
        </w:rPr>
        <w:t>dated April 23, 2024 on our review</w:t>
      </w:r>
      <w:r>
        <w:rPr>
          <w:color w:val="FF0000"/>
        </w:rPr>
        <w:t xml:space="preserve"> </w:t>
      </w:r>
      <w:r>
        <w:rPr>
          <w:rFonts w:ascii="Times New Roman;sans-serif" w:hAnsi="Times New Roman;sans-serif"/>
          <w:b w:val="false"/>
          <w:color w:val="000000"/>
          <w:sz w:val="20"/>
        </w:rPr>
        <w:t>of interim financial information of RTX Corporation, which appears in this Quarterly Report on Form 10-Q, is</w:t>
      </w:r>
      <w:r>
        <w:rPr>
          <w:color w:val="FF0000"/>
        </w:rPr>
        <w:t xml:space="preserve"> </w:t>
      </w:r>
      <w:r>
        <w:rPr>
          <w:rFonts w:ascii="Times New Roman;sans-serif" w:hAnsi="Times New Roman;sans-serif"/>
          <w:b w:val="false"/>
          <w:color w:val="000000"/>
          <w:sz w:val="20"/>
        </w:rPr>
        <w:t>incorporated by reference in the Registration Statements</w:t>
      </w:r>
      <w:r>
        <w:rPr>
          <w:color w:val="FF0000"/>
        </w:rPr>
        <w:t xml:space="preserve"> </w:t>
      </w:r>
      <w:r>
        <w:rPr>
          <w:rFonts w:ascii="Times New Roman;sans-serif" w:hAnsi="Times New Roman;sans-serif"/>
          <w:b w:val="false"/>
          <w:color w:val="000000"/>
          <w:sz w:val="20"/>
        </w:rPr>
        <w:t xml:space="preserve">on Form S-3 (No. 333-267564) and S-8 (Nos. 333-273420, 333-273414, 333-234085, 333-228649, 333-225839, 333-197704, 333-175781, 333-150643, 333-125293, 333-110020, and 333-100724) of RTX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 Gregory J. Hayes, certify that:</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433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630"/>
        <w:gridCol w:w="630"/>
        <w:gridCol w:w="8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J. HAYES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J. Hayes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Neil G. Mitchill, Jr., certify that:</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66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Amy L. Johnson, certify that:</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575"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995"/>
        <w:gridCol w:w="995"/>
        <w:gridCol w:w="14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lineRule="auto" w:line="288" w:before="180" w:after="120"/>
        <w:ind w:left="0" w:right="0" w:firstLine="495"/>
        <w:jc w:val="left"/>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RTX Corporation, a Delaware corporation (the “</w:t>
      </w:r>
      <w:r>
        <w:rPr>
          <w:rFonts w:ascii="Times New Roman;sans-serif" w:hAnsi="Times New Roman;sans-serif"/>
          <w:b w:val="false"/>
          <w:color w:val="000000"/>
          <w:sz w:val="20"/>
          <w:u w:val="single"/>
        </w:rPr>
        <w:t>Corporation</w:t>
      </w:r>
      <w:r>
        <w:rPr>
          <w:color w:val="000000"/>
        </w:rPr>
        <w:t>”</w:t>
      </w:r>
      <w:r>
        <w:rPr>
          <w:rFonts w:ascii="Times New Roman;sans-serif" w:hAnsi="Times New Roman;sans-serif"/>
          <w:b w:val="false"/>
          <w:color w:val="000000"/>
          <w:sz w:val="20"/>
        </w:rPr>
        <w:t>), does hereby certify that: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Quarterly Report on Form 10-Q for the quarter ended March 31, 2024 (the “</w:t>
      </w:r>
      <w:r>
        <w:rPr>
          <w:rFonts w:ascii="Times New Roman;sans-serif" w:hAnsi="Times New Roman;sans-serif"/>
          <w:b w:val="false"/>
          <w:color w:val="000000"/>
          <w:sz w:val="20"/>
          <w:u w:val="single"/>
        </w:rPr>
        <w:t>Form 10-Q</w:t>
      </w:r>
      <w:r>
        <w:rPr>
          <w:color w:val="000000"/>
        </w:rPr>
        <w:t>”</w:t>
      </w:r>
      <w:r>
        <w:rPr>
          <w:rFonts w:ascii="Times New Roman;sans-serif" w:hAnsi="Times New Roman;sans-serif"/>
          <w:b w:val="false"/>
          <w:color w:val="000000"/>
          <w:sz w:val="20"/>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pStyle w:val="TextBody"/>
        <w:bidi w:val="0"/>
        <w:spacing w:before="120" w:after="283"/>
        <w:ind w:left="0" w:right="0" w:firstLine="495"/>
        <w:jc w:val="left"/>
        <w:rPr/>
      </w:pPr>
      <w:r>
        <w:rPr/>
      </w:r>
    </w:p>
    <w:tbl>
      <w:tblPr>
        <w:tblW w:w="628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295"/>
        <w:gridCol w:w="1295"/>
        <w:gridCol w:w="1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J. HAYES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J. Hayes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Controller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ourier New">
    <w:altName w:val="monospace"/>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65270</Words>
  <Characters>358080</Characters>
  <CharactersWithSpaces>421492</CharactersWithSpaces>
  <Paragraphs>4211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