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____________________________________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8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001-00812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RTX CORPORATION</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 </w:t>
      </w:r>
    </w:p>
    <w:tbl>
      <w:tblPr>
        <w:tblW w:w="7631" w:type="dxa"/>
        <w:jc w:val="center"/>
        <w:tblInd w:w="0" w:type="dxa"/>
        <w:tblLayout w:type="fixed"/>
        <w:tblCellMar>
          <w:top w:w="28" w:type="dxa"/>
          <w:left w:w="28" w:type="dxa"/>
          <w:bottom w:w="28" w:type="dxa"/>
          <w:right w:w="28" w:type="dxa"/>
        </w:tblCellMar>
      </w:tblPr>
      <w:tblGrid>
        <w:gridCol w:w="1648"/>
        <w:gridCol w:w="1446"/>
        <w:gridCol w:w="1466"/>
        <w:gridCol w:w="109"/>
        <w:gridCol w:w="109"/>
        <w:gridCol w:w="109"/>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06-0570975</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4964" w:type="dxa"/>
        <w:jc w:val="center"/>
        <w:tblInd w:w="0" w:type="dxa"/>
        <w:tblLayout w:type="fixed"/>
        <w:tblCellMar>
          <w:top w:w="28" w:type="dxa"/>
          <w:left w:w="28" w:type="dxa"/>
          <w:bottom w:w="28" w:type="dxa"/>
          <w:right w:w="28" w:type="dxa"/>
        </w:tblCellMar>
      </w:tblPr>
      <w:tblGrid>
        <w:gridCol w:w="788"/>
        <w:gridCol w:w="692"/>
        <w:gridCol w:w="694"/>
        <w:gridCol w:w="324"/>
        <w:gridCol w:w="324"/>
        <w:gridCol w:w="326"/>
        <w:gridCol w:w="275"/>
        <w:gridCol w:w="275"/>
        <w:gridCol w:w="276"/>
        <w:gridCol w:w="290"/>
        <w:gridCol w:w="290"/>
        <w:gridCol w:w="410"/>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1000 Wilson Boulevard,</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Arlington,</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22209</w:t>
            </w:r>
          </w:p>
        </w:tc>
      </w:tr>
      <w:tr>
        <w:trPr/>
        <w:tc>
          <w:tcPr>
            <w:tcW w:w="3974"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(Address of principal executive offices)</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(Zip Code)</w:t>
            </w:r>
          </w:p>
        </w:tc>
      </w:tr>
    </w:tbl>
    <w:tbl>
      <w:tblPr>
        <w:tblW w:w="1499" w:type="dxa"/>
        <w:jc w:val="center"/>
        <w:tblInd w:w="0" w:type="dxa"/>
        <w:tblLayout w:type="fixed"/>
        <w:tblCellMar>
          <w:top w:w="28" w:type="dxa"/>
          <w:left w:w="28" w:type="dxa"/>
          <w:bottom w:w="28" w:type="dxa"/>
          <w:right w:w="28" w:type="dxa"/>
        </w:tblCellMar>
      </w:tblPr>
      <w:tblGrid>
        <w:gridCol w:w="200"/>
        <w:gridCol w:w="177"/>
        <w:gridCol w:w="178"/>
        <w:gridCol w:w="276"/>
        <w:gridCol w:w="276"/>
        <w:gridCol w:w="3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(781)</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522-3000</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486" w:type="dxa"/>
        <w:jc w:val="center"/>
        <w:tblInd w:w="0" w:type="dxa"/>
        <w:tblLayout w:type="fixed"/>
        <w:tblCellMar>
          <w:top w:w="28" w:type="dxa"/>
          <w:left w:w="28" w:type="dxa"/>
          <w:bottom w:w="28" w:type="dxa"/>
          <w:right w:w="28" w:type="dxa"/>
        </w:tblCellMar>
      </w:tblPr>
      <w:tblGrid>
        <w:gridCol w:w="954"/>
        <w:gridCol w:w="838"/>
        <w:gridCol w:w="848"/>
        <w:gridCol w:w="564"/>
        <w:gridCol w:w="564"/>
        <w:gridCol w:w="566"/>
        <w:gridCol w:w="109"/>
        <w:gridCol w:w="109"/>
        <w:gridCol w:w="109"/>
        <w:gridCol w:w="1118"/>
        <w:gridCol w:w="1118"/>
        <w:gridCol w:w="1589"/>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(CUSIP 75513E 101)</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2.150% Notes due 2030</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RTX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(CUSIP 75513E AB7)</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rFonts w:ascii="Times New Roman;serif" w:hAnsi="Times New Roman;serif"/>
          <w:b w:val="false"/>
          <w:color w:val="000000"/>
          <w:sz w:val="20"/>
        </w:rPr>
        <w:t>.    No  </w:t>
      </w:r>
      <w:r>
        <w:rPr>
          <w:color w:val="000000"/>
        </w:rPr>
        <w:t>☐</w:t>
      </w:r>
      <w:r>
        <w:rPr>
          <w:rFonts w:ascii="Times New Roman;serif" w:hAnsi="Times New Roman;serif"/>
          <w:b w:val="false"/>
          <w:color w:val="000000"/>
          <w:sz w:val="20"/>
        </w:rPr>
        <w:t>.</w:t>
      </w:r>
    </w:p>
    <w:p>
      <w:pPr>
        <w:pStyle w:val="TextBody"/>
        <w:bidi w:val="0"/>
        <w:spacing w:lineRule="auto" w:line="288" w:before="18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w:t>
      </w:r>
      <w:r>
        <w:rPr>
          <w:rFonts w:ascii="Times New Roman;serif" w:hAnsi="Times New Roman;serif"/>
          <w:b w:val="false"/>
          <w:color w:val="000000"/>
          <w:sz w:val="20"/>
        </w:rPr>
        <w:t>.    No  </w:t>
      </w:r>
      <w:r>
        <w:rPr>
          <w:color w:val="000000"/>
        </w:rPr>
        <w:t>☐</w:t>
      </w:r>
      <w:r>
        <w:rPr>
          <w:rFonts w:ascii="Times New Roman;serif" w:hAnsi="Times New Roman;serif"/>
          <w:b w:val="false"/>
          <w:color w:val="000000"/>
          <w:sz w:val="20"/>
        </w:rPr>
        <w: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smaller reporting company, or an emerging growth company. See the definitions of “large accelerated filer,” “accelerated filer,”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left"/>
        <w:rPr>
          <w:color w:val="000000"/>
        </w:rPr>
      </w:pPr>
      <w:r>
        <w:rPr>
          <w:color w:val="000000"/>
        </w:rPr>
        <w:t>“</w:t>
      </w:r>
      <w:r>
        <w:rPr>
          <w:rFonts w:ascii="Times New Roman;serif" w:hAnsi="Times New Roman;serif"/>
          <w:b w:val="false"/>
          <w:color w:val="000000"/>
          <w:sz w:val="20"/>
        </w:rPr>
        <w:t>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w:t>
      </w:r>
      <w:r>
        <w:rPr>
          <w:rFonts w:ascii="Times New Roman;serif" w:hAnsi="Times New Roman;serif"/>
          <w:b w:val="false"/>
          <w:color w:val="000000"/>
          <w:sz w:val="20"/>
        </w:rPr>
        <w:t>.    No  </w:t>
      </w:r>
      <w:r>
        <w:rPr>
          <w:color w:val="000000"/>
        </w:rPr>
        <w:t>☒</w:t>
      </w:r>
      <w:r>
        <w:rPr>
          <w:rFonts w:ascii="Times New Roman;serif" w:hAnsi="Times New Roman;serif"/>
          <w:b w:val="false"/>
          <w:color w:val="000000"/>
          <w:sz w:val="20"/>
        </w:rPr>
        <w: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2026, there were 1,349,440,548 shares of Common Stock outstanding.</w:t>
      </w:r>
    </w:p>
    <w:p>
      <w:pPr>
        <w:pStyle w:val="TextBody"/>
        <w:bidi w:val="0"/>
        <w:spacing w:before="180" w:after="283"/>
        <w:ind w:left="0" w:right="0" w:firstLine="495"/>
        <w:jc w:val="left"/>
        <w:rPr/>
      </w:pPr>
      <w:r>
        <w:rPr/>
      </w:r>
    </w:p>
    <w:p>
      <w:pPr>
        <w:pStyle w:val="TextBody"/>
        <w:bidi w:val="0"/>
        <w:spacing w:before="0" w:after="0"/>
        <w:jc w:val="center"/>
        <w:rPr/>
      </w:pPr>
      <w:r>
        <w:rPr/>
      </w:r>
    </w:p>
    <w:p>
      <w:pPr>
        <w:pStyle w:val="TextBody"/>
        <w:bidi w:val="0"/>
        <w:spacing w:before="1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CONTENTS OF QUARTERLY REPORT ON FORM 10-Q</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Quarter Ended September 30, 2026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10"/>
        <w:gridCol w:w="3087"/>
        <w:gridCol w:w="3096"/>
        <w:gridCol w:w="149"/>
        <w:gridCol w:w="149"/>
        <w:gridCol w:w="214"/>
      </w:tblGrid>
      <w:tr>
        <w:trPr/>
        <w:tc>
          <w:tcPr>
            <w:tcW w:w="3510"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10">
              <w:r>
                <w:rPr>
                  <w:rStyle w:val="InternetLink"/>
                  <w:rFonts w:ascii="Times New Roman;serif" w:hAnsi="Times New Roman;serif"/>
                  <w:b w:val="false"/>
                  <w:color w:val="0000FF"/>
                  <w:sz w:val="20"/>
                  <w:u w:val="single"/>
                </w:rPr>
                <w:t>PART I – FINANCIAL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10">
              <w:r>
                <w:rPr>
                  <w:rStyle w:val="InternetLink"/>
                  <w:rFonts w:ascii="Times New Roman;serif" w:hAnsi="Times New Roman;serif"/>
                  <w:b w:val="false"/>
                  <w:color w:val="0000FF"/>
                  <w:sz w:val="20"/>
                  <w:u w:val="single"/>
                </w:rPr>
                <w:t>4</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13">
              <w:r>
                <w:rPr>
                  <w:rStyle w:val="InternetLink"/>
                  <w:rFonts w:ascii="Times New Roman;serif" w:hAnsi="Times New Roman;serif"/>
                  <w:b w:val="false"/>
                  <w:color w:val="0000FF"/>
                  <w:sz w:val="20"/>
                  <w:u w:val="single"/>
                </w:rPr>
                <w:t>Item 1. Unaudited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13">
              <w:r>
                <w:rPr>
                  <w:rStyle w:val="InternetLink"/>
                  <w:rFonts w:ascii="Times New Roman;serif" w:hAnsi="Times New Roman;serif"/>
                  <w:b w:val="false"/>
                  <w:color w:val="0000FF"/>
                  <w:sz w:val="20"/>
                  <w:u w:val="single"/>
                </w:rPr>
                <w:t>4</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16">
              <w:r>
                <w:rPr>
                  <w:rStyle w:val="InternetLink"/>
                  <w:rFonts w:ascii="Times New Roman;serif" w:hAnsi="Times New Roman;serif"/>
                  <w:b w:val="false"/>
                  <w:color w:val="000080"/>
                  <w:sz w:val="20"/>
                  <w:u w:val="single"/>
                </w:rPr>
                <w:t>Condensed Consolidated Statement of Operations for the quarters and</w:t>
              </w:r>
            </w:hyperlink>
            <w:hyperlink w:anchor="i11f965f9fd7044e681b9da9eecae89df_16">
              <w:r>
                <w:rPr>
                  <w:rStyle w:val="InternetLink"/>
                  <w:rFonts w:ascii="Times New Roman;serif" w:hAnsi="Times New Roman;serif"/>
                  <w:b w:val="false"/>
                  <w:color w:val="000080"/>
                  <w:sz w:val="20"/>
                  <w:u w:val="single"/>
                </w:rPr>
                <w:t xml:space="preserve"> nine</w:t>
              </w:r>
            </w:hyperlink>
            <w:hyperlink w:anchor="i11f965f9fd7044e681b9da9eecae89df_16">
              <w:r>
                <w:rPr>
                  <w:rStyle w:val="InternetLink"/>
                  <w:rFonts w:ascii="Times New Roman;serif" w:hAnsi="Times New Roman;serif"/>
                  <w:b w:val="false"/>
                  <w:color w:val="000080"/>
                  <w:sz w:val="20"/>
                  <w:u w:val="single"/>
                </w:rPr>
                <w:t xml:space="preserve"> months ended </w:t>
              </w:r>
            </w:hyperlink>
            <w:hyperlink w:anchor="i11f965f9fd7044e681b9da9eecae89df_16">
              <w:r>
                <w:rPr>
                  <w:rStyle w:val="InternetLink"/>
                  <w:rFonts w:ascii="Times New Roman;serif" w:hAnsi="Times New Roman;serif"/>
                  <w:b w:val="false"/>
                  <w:color w:val="000080"/>
                  <w:sz w:val="20"/>
                  <w:u w:val="single"/>
                </w:rPr>
                <w:t>September</w:t>
              </w:r>
            </w:hyperlink>
            <w:hyperlink w:anchor="i11f965f9fd7044e681b9da9eecae89df_16">
              <w:r>
                <w:rPr>
                  <w:rStyle w:val="InternetLink"/>
                  <w:rFonts w:ascii="Times New Roman;serif" w:hAnsi="Times New Roman;serif"/>
                  <w:b w:val="false"/>
                  <w:color w:val="000080"/>
                  <w:sz w:val="20"/>
                  <w:u w:val="single"/>
                </w:rPr>
                <w:t xml:space="preserve"> 30,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16">
              <w:r>
                <w:rPr>
                  <w:rStyle w:val="InternetLink"/>
                  <w:rFonts w:ascii="Times New Roman;serif" w:hAnsi="Times New Roman;serif"/>
                  <w:b w:val="false"/>
                  <w:color w:val="0000FF"/>
                  <w:sz w:val="20"/>
                  <w:u w:val="single"/>
                </w:rPr>
                <w:t>4</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19">
              <w:r>
                <w:rPr>
                  <w:rStyle w:val="InternetLink"/>
                  <w:rFonts w:ascii="Times New Roman;serif" w:hAnsi="Times New Roman;serif"/>
                  <w:b w:val="false"/>
                  <w:color w:val="000080"/>
                  <w:sz w:val="20"/>
                  <w:u w:val="single"/>
                </w:rPr>
                <w:t xml:space="preserve">Condensed Consolidated Statement of Comprehensive Income for the quarters and </w:t>
              </w:r>
            </w:hyperlink>
            <w:hyperlink w:anchor="i11f965f9fd7044e681b9da9eecae89df_19">
              <w:r>
                <w:rPr>
                  <w:rStyle w:val="InternetLink"/>
                  <w:rFonts w:ascii="Times New Roman;serif" w:hAnsi="Times New Roman;serif"/>
                  <w:b w:val="false"/>
                  <w:color w:val="000080"/>
                  <w:sz w:val="20"/>
                  <w:u w:val="single"/>
                </w:rPr>
                <w:t>nine</w:t>
              </w:r>
            </w:hyperlink>
            <w:hyperlink w:anchor="i11f965f9fd7044e681b9da9eecae89df_19">
              <w:r>
                <w:rPr>
                  <w:rStyle w:val="InternetLink"/>
                  <w:rFonts w:ascii="Times New Roman;serif" w:hAnsi="Times New Roman;serif"/>
                  <w:b w:val="false"/>
                  <w:color w:val="000080"/>
                  <w:sz w:val="20"/>
                  <w:u w:val="single"/>
                </w:rPr>
                <w:t xml:space="preserve"> months ended </w:t>
              </w:r>
            </w:hyperlink>
            <w:hyperlink w:anchor="i11f965f9fd7044e681b9da9eecae89df_19">
              <w:r>
                <w:rPr>
                  <w:rStyle w:val="InternetLink"/>
                  <w:rFonts w:ascii="Times New Roman;serif" w:hAnsi="Times New Roman;serif"/>
                  <w:b w:val="false"/>
                  <w:color w:val="000080"/>
                  <w:sz w:val="20"/>
                  <w:u w:val="single"/>
                </w:rPr>
                <w:t>September</w:t>
              </w:r>
            </w:hyperlink>
            <w:hyperlink w:anchor="i11f965f9fd7044e681b9da9eecae89df_19">
              <w:r>
                <w:rPr>
                  <w:rStyle w:val="InternetLink"/>
                  <w:rFonts w:ascii="Times New Roman;serif" w:hAnsi="Times New Roman;serif"/>
                  <w:b w:val="false"/>
                  <w:color w:val="000080"/>
                  <w:sz w:val="20"/>
                  <w:u w:val="single"/>
                </w:rPr>
                <w:t xml:space="preserve"> 30,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19">
              <w:r>
                <w:rPr>
                  <w:rStyle w:val="InternetLink"/>
                  <w:rFonts w:ascii="Times New Roman;serif" w:hAnsi="Times New Roman;serif"/>
                  <w:b w:val="false"/>
                  <w:color w:val="0000FF"/>
                  <w:sz w:val="20"/>
                  <w:u w:val="single"/>
                </w:rPr>
                <w:t>5</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22">
              <w:r>
                <w:rPr>
                  <w:rStyle w:val="InternetLink"/>
                  <w:rFonts w:ascii="Times New Roman;serif" w:hAnsi="Times New Roman;serif"/>
                  <w:b w:val="false"/>
                  <w:color w:val="000080"/>
                  <w:sz w:val="20"/>
                  <w:u w:val="single"/>
                </w:rPr>
                <w:t xml:space="preserve">Condensed Consolidated Balance Sheet at </w:t>
              </w:r>
            </w:hyperlink>
            <w:hyperlink w:anchor="i11f965f9fd7044e681b9da9eecae89df_22">
              <w:r>
                <w:rPr>
                  <w:rStyle w:val="InternetLink"/>
                  <w:rFonts w:ascii="Times New Roman;serif" w:hAnsi="Times New Roman;serif"/>
                  <w:b w:val="false"/>
                  <w:color w:val="000080"/>
                  <w:sz w:val="20"/>
                  <w:u w:val="single"/>
                </w:rPr>
                <w:t xml:space="preserve">September </w:t>
              </w:r>
            </w:hyperlink>
            <w:hyperlink w:anchor="i11f965f9fd7044e681b9da9eecae89df_22">
              <w:r>
                <w:rPr>
                  <w:rStyle w:val="InternetLink"/>
                  <w:rFonts w:ascii="Times New Roman;serif" w:hAnsi="Times New Roman;serif"/>
                  <w:b w:val="false"/>
                  <w:color w:val="000080"/>
                  <w:sz w:val="20"/>
                  <w:u w:val="single"/>
                </w:rPr>
                <w:t>30, 2026 and December 31,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22">
              <w:r>
                <w:rPr>
                  <w:rStyle w:val="InternetLink"/>
                  <w:rFonts w:ascii="Times New Roman;serif" w:hAnsi="Times New Roman;serif"/>
                  <w:b w:val="false"/>
                  <w:color w:val="0000FF"/>
                  <w:sz w:val="20"/>
                  <w:u w:val="single"/>
                </w:rPr>
                <w:t>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25">
              <w:r>
                <w:rPr>
                  <w:rStyle w:val="InternetLink"/>
                  <w:rFonts w:ascii="Times New Roman;serif" w:hAnsi="Times New Roman;serif"/>
                  <w:b w:val="false"/>
                  <w:color w:val="000080"/>
                  <w:sz w:val="20"/>
                  <w:u w:val="single"/>
                </w:rPr>
                <w:t xml:space="preserve">Condensed Consolidated Statement of Cash Flows for the </w:t>
              </w:r>
            </w:hyperlink>
            <w:hyperlink w:anchor="i11f965f9fd7044e681b9da9eecae89df_25">
              <w:r>
                <w:rPr>
                  <w:rStyle w:val="InternetLink"/>
                  <w:rFonts w:ascii="Times New Roman;serif" w:hAnsi="Times New Roman;serif"/>
                  <w:b w:val="false"/>
                  <w:color w:val="000080"/>
                  <w:sz w:val="20"/>
                  <w:u w:val="single"/>
                </w:rPr>
                <w:t>nine</w:t>
              </w:r>
            </w:hyperlink>
            <w:hyperlink w:anchor="i11f965f9fd7044e681b9da9eecae89df_25">
              <w:r>
                <w:rPr>
                  <w:rStyle w:val="InternetLink"/>
                  <w:rFonts w:ascii="Times New Roman;serif" w:hAnsi="Times New Roman;serif"/>
                  <w:b w:val="false"/>
                  <w:color w:val="000080"/>
                  <w:sz w:val="20"/>
                  <w:u w:val="single"/>
                </w:rPr>
                <w:t xml:space="preserve"> months ended </w:t>
              </w:r>
            </w:hyperlink>
            <w:hyperlink w:anchor="i11f965f9fd7044e681b9da9eecae89df_25">
              <w:r>
                <w:rPr>
                  <w:rStyle w:val="InternetLink"/>
                  <w:rFonts w:ascii="Times New Roman;serif" w:hAnsi="Times New Roman;serif"/>
                  <w:b w:val="false"/>
                  <w:color w:val="000080"/>
                  <w:sz w:val="20"/>
                  <w:u w:val="single"/>
                </w:rPr>
                <w:t>September</w:t>
              </w:r>
            </w:hyperlink>
            <w:hyperlink w:anchor="i11f965f9fd7044e681b9da9eecae89df_25">
              <w:r>
                <w:rPr>
                  <w:rStyle w:val="InternetLink"/>
                  <w:rFonts w:ascii="Times New Roman;serif" w:hAnsi="Times New Roman;serif"/>
                  <w:b w:val="false"/>
                  <w:color w:val="000080"/>
                  <w:sz w:val="20"/>
                  <w:u w:val="single"/>
                </w:rPr>
                <w:t xml:space="preserve"> 30,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25">
              <w:r>
                <w:rPr>
                  <w:rStyle w:val="InternetLink"/>
                  <w:rFonts w:ascii="Times New Roman;serif" w:hAnsi="Times New Roman;serif"/>
                  <w:b w:val="false"/>
                  <w:color w:val="0000FF"/>
                  <w:sz w:val="20"/>
                  <w:u w:val="single"/>
                </w:rPr>
                <w:t>7</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28">
              <w:r>
                <w:rPr>
                  <w:rStyle w:val="InternetLink"/>
                  <w:rFonts w:ascii="Times New Roman;serif" w:hAnsi="Times New Roman;serif"/>
                  <w:b w:val="false"/>
                  <w:color w:val="000080"/>
                  <w:sz w:val="20"/>
                  <w:u w:val="single"/>
                </w:rPr>
                <w:t>Condensed Consolidated Statement of Changes in Equity for the quarters and</w:t>
              </w:r>
            </w:hyperlink>
            <w:hyperlink w:anchor="i11f965f9fd7044e681b9da9eecae89df_28">
              <w:r>
                <w:rPr>
                  <w:rStyle w:val="InternetLink"/>
                  <w:rFonts w:ascii="Times New Roman;serif" w:hAnsi="Times New Roman;serif"/>
                  <w:b w:val="false"/>
                  <w:color w:val="000080"/>
                  <w:sz w:val="20"/>
                  <w:u w:val="single"/>
                </w:rPr>
                <w:t xml:space="preserve"> nine</w:t>
              </w:r>
            </w:hyperlink>
            <w:hyperlink w:anchor="i11f965f9fd7044e681b9da9eecae89df_28">
              <w:r>
                <w:rPr>
                  <w:rStyle w:val="InternetLink"/>
                  <w:rFonts w:ascii="Times New Roman;serif" w:hAnsi="Times New Roman;serif"/>
                  <w:b w:val="false"/>
                  <w:color w:val="000080"/>
                  <w:sz w:val="20"/>
                  <w:u w:val="single"/>
                </w:rPr>
                <w:t xml:space="preserve"> months ended </w:t>
              </w:r>
            </w:hyperlink>
            <w:hyperlink w:anchor="i11f965f9fd7044e681b9da9eecae89df_28">
              <w:r>
                <w:rPr>
                  <w:rStyle w:val="InternetLink"/>
                  <w:rFonts w:ascii="Times New Roman;serif" w:hAnsi="Times New Roman;serif"/>
                  <w:b w:val="false"/>
                  <w:color w:val="000080"/>
                  <w:sz w:val="20"/>
                  <w:u w:val="single"/>
                </w:rPr>
                <w:t>September</w:t>
              </w:r>
            </w:hyperlink>
            <w:hyperlink w:anchor="i11f965f9fd7044e681b9da9eecae89df_28">
              <w:r>
                <w:rPr>
                  <w:rStyle w:val="InternetLink"/>
                  <w:rFonts w:ascii="Times New Roman;serif" w:hAnsi="Times New Roman;serif"/>
                  <w:b w:val="false"/>
                  <w:color w:val="000080"/>
                  <w:sz w:val="20"/>
                  <w:u w:val="single"/>
                </w:rPr>
                <w:t xml:space="preserve"> 30,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28">
              <w:r>
                <w:rPr>
                  <w:rStyle w:val="InternetLink"/>
                  <w:rFonts w:ascii="Times New Roman;serif" w:hAnsi="Times New Roman;serif"/>
                  <w:b w:val="false"/>
                  <w:color w:val="0000FF"/>
                  <w:sz w:val="20"/>
                  <w:u w:val="single"/>
                </w:rPr>
                <w:t>8</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31">
              <w:r>
                <w:rPr>
                  <w:rStyle w:val="InternetLink"/>
                  <w:rFonts w:ascii="Times New Roman;serif" w:hAnsi="Times New Roman;serif"/>
                  <w:b w:val="false"/>
                  <w:color w:val="0000FF"/>
                  <w:sz w:val="20"/>
                  <w:u w:val="single"/>
                </w:rPr>
                <w:t>Notes to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31">
              <w:r>
                <w:rPr>
                  <w:rStyle w:val="InternetLink"/>
                  <w:rFonts w:ascii="Times New Roman;serif" w:hAnsi="Times New Roman;serif"/>
                  <w:b w:val="false"/>
                  <w:color w:val="0000FF"/>
                  <w:sz w:val="20"/>
                  <w:u w:val="single"/>
                </w:rPr>
                <w:t>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139">
              <w:r>
                <w:rPr>
                  <w:rStyle w:val="InternetLink"/>
                  <w:rFonts w:ascii="Times New Roman;serif" w:hAnsi="Times New Roman;serif"/>
                  <w:b w:val="false"/>
                  <w:color w:val="0000FF"/>
                  <w:sz w:val="20"/>
                  <w:u w:val="single"/>
                </w:rPr>
                <w:t>Report of Independent Registered Public Accounting Firm</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139">
              <w:r>
                <w:rPr>
                  <w:rStyle w:val="InternetLink"/>
                  <w:rFonts w:ascii="Times New Roman;serif" w:hAnsi="Times New Roman;serif"/>
                  <w:b w:val="false"/>
                  <w:color w:val="0000FF"/>
                  <w:sz w:val="20"/>
                  <w:u w:val="single"/>
                </w:rPr>
                <w:t>31</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145">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145">
              <w:r>
                <w:rPr>
                  <w:rStyle w:val="InternetLink"/>
                  <w:rFonts w:ascii="Times New Roman;serif" w:hAnsi="Times New Roman;serif"/>
                  <w:b w:val="false"/>
                  <w:color w:val="0000FF"/>
                  <w:sz w:val="20"/>
                  <w:u w:val="single"/>
                </w:rPr>
                <w:t>32</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274">
              <w:r>
                <w:rPr>
                  <w:rStyle w:val="InternetLink"/>
                  <w:rFonts w:ascii="Times New Roman;serif" w:hAnsi="Times New Roman;serif"/>
                  <w:b w:val="false"/>
                  <w:color w:val="0000FF"/>
                  <w:sz w:val="20"/>
                  <w:u w:val="single"/>
                </w:rPr>
                <w:t>Item 3. 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274">
              <w:r>
                <w:rPr>
                  <w:rStyle w:val="InternetLink"/>
                  <w:rFonts w:ascii="Times New Roman;serif" w:hAnsi="Times New Roman;serif"/>
                  <w:b w:val="false"/>
                  <w:color w:val="0000FF"/>
                  <w:sz w:val="20"/>
                  <w:u w:val="single"/>
                </w:rPr>
                <w:t>49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277">
              <w:r>
                <w:rPr>
                  <w:rStyle w:val="InternetLink"/>
                  <w:rFonts w:ascii="Times New Roman;serif" w:hAnsi="Times New Roman;serif"/>
                  <w:b w:val="false"/>
                  <w:color w:val="0000FF"/>
                  <w:sz w:val="20"/>
                  <w:u w:val="single"/>
                </w:rPr>
                <w:t>Item 4. 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277">
              <w:r>
                <w:rPr>
                  <w:rStyle w:val="InternetLink"/>
                  <w:rFonts w:ascii="Times New Roman;serif" w:hAnsi="Times New Roman;serif"/>
                  <w:b w:val="false"/>
                  <w:color w:val="0000FF"/>
                  <w:sz w:val="20"/>
                  <w:u w:val="single"/>
                </w:rPr>
                <w:t>49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283">
              <w:r>
                <w:rPr>
                  <w:rStyle w:val="InternetLink"/>
                  <w:rFonts w:ascii="Times New Roman;serif" w:hAnsi="Times New Roman;serif"/>
                  <w:b w:val="false"/>
                  <w:color w:val="0000FF"/>
                  <w:sz w:val="20"/>
                  <w:u w:val="single"/>
                </w:rPr>
                <w:t>PART II –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283">
              <w:r>
                <w:rPr>
                  <w:rStyle w:val="InternetLink"/>
                  <w:rFonts w:ascii="Times New Roman;serif" w:hAnsi="Times New Roman;serif"/>
                  <w:b w:val="false"/>
                  <w:color w:val="0000FF"/>
                  <w:sz w:val="20"/>
                  <w:u w:val="single"/>
                </w:rPr>
                <w:t>51</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286">
              <w:r>
                <w:rPr>
                  <w:rStyle w:val="InternetLink"/>
                  <w:rFonts w:ascii="Times New Roman;serif" w:hAnsi="Times New Roman;serif"/>
                  <w:b w:val="false"/>
                  <w:color w:val="0000FF"/>
                  <w:sz w:val="20"/>
                  <w:u w:val="single"/>
                </w:rPr>
                <w:t>Item 1. 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286">
              <w:r>
                <w:rPr>
                  <w:rStyle w:val="InternetLink"/>
                  <w:rFonts w:ascii="Times New Roman;serif" w:hAnsi="Times New Roman;serif"/>
                  <w:b w:val="false"/>
                  <w:color w:val="0000FF"/>
                  <w:sz w:val="20"/>
                  <w:u w:val="single"/>
                </w:rPr>
                <w:t>51</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292">
              <w:r>
                <w:rPr>
                  <w:rStyle w:val="InternetLink"/>
                  <w:rFonts w:ascii="Times New Roman;serif" w:hAnsi="Times New Roman;serif"/>
                  <w:b w:val="false"/>
                  <w:color w:val="0000FF"/>
                  <w:sz w:val="20"/>
                  <w:u w:val="single"/>
                </w:rPr>
                <w:t>Item 1A. 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292">
              <w:r>
                <w:rPr>
                  <w:rStyle w:val="InternetLink"/>
                  <w:rFonts w:ascii="Times New Roman;serif" w:hAnsi="Times New Roman;serif"/>
                  <w:b w:val="false"/>
                  <w:color w:val="0000FF"/>
                  <w:sz w:val="20"/>
                  <w:u w:val="single"/>
                </w:rPr>
                <w:t>51</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295">
              <w:r>
                <w:rPr>
                  <w:rStyle w:val="InternetLink"/>
                  <w:rFonts w:ascii="Times New Roman;serif" w:hAnsi="Times New Roman;serif"/>
                  <w:b w:val="false"/>
                  <w:color w:val="0000FF"/>
                  <w:sz w:val="20"/>
                  <w:u w:val="single"/>
                </w:rPr>
                <w:t>Item 2. 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295">
              <w:r>
                <w:rPr>
                  <w:rStyle w:val="InternetLink"/>
                  <w:rFonts w:ascii="Times New Roman;serif" w:hAnsi="Times New Roman;serif"/>
                  <w:b w:val="false"/>
                  <w:color w:val="0000FF"/>
                  <w:sz w:val="20"/>
                  <w:u w:val="single"/>
                </w:rPr>
                <w:t>51</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298">
              <w:r>
                <w:rPr>
                  <w:rStyle w:val="InternetLink"/>
                  <w:rFonts w:ascii="Times New Roman;serif" w:hAnsi="Times New Roman;serif"/>
                  <w:b w:val="false"/>
                  <w:color w:val="0000FF"/>
                  <w:sz w:val="20"/>
                  <w:u w:val="single"/>
                </w:rPr>
                <w:t>Item 5.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298">
              <w:r>
                <w:rPr>
                  <w:rStyle w:val="InternetLink"/>
                  <w:rFonts w:ascii="Times New Roman;serif" w:hAnsi="Times New Roman;serif"/>
                  <w:b w:val="false"/>
                  <w:color w:val="0000FF"/>
                  <w:sz w:val="20"/>
                  <w:u w:val="single"/>
                </w:rPr>
                <w:t>52</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301">
              <w:r>
                <w:rPr>
                  <w:rStyle w:val="InternetLink"/>
                  <w:rFonts w:ascii="Times New Roman;serif" w:hAnsi="Times New Roman;serif"/>
                  <w:b w:val="false"/>
                  <w:color w:val="0000FF"/>
                  <w:sz w:val="20"/>
                  <w:u w:val="single"/>
                </w:rPr>
                <w:t>Item 6. 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301">
              <w:r>
                <w:rPr>
                  <w:rStyle w:val="InternetLink"/>
                  <w:rFonts w:ascii="Times New Roman;serif" w:hAnsi="Times New Roman;serif"/>
                  <w:b w:val="false"/>
                  <w:color w:val="0000FF"/>
                  <w:sz w:val="20"/>
                  <w:u w:val="single"/>
                </w:rPr>
                <w:t>52</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f965f9fd7044e681b9da9eecae89df_304">
              <w:r>
                <w:rPr>
                  <w:rStyle w:val="InternetLink"/>
                  <w:rFonts w:ascii="Times New Roman;serif" w:hAnsi="Times New Roman;serif"/>
                  <w:b w:val="false"/>
                  <w:color w:val="0000FF"/>
                  <w:sz w:val="20"/>
                  <w:u w:val="single"/>
                </w:rPr>
                <w:t>SIGNATURES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965f9fd7044e681b9da9eecae89df_304">
              <w:r>
                <w:rPr>
                  <w:rStyle w:val="InternetLink"/>
                  <w:rFonts w:ascii="Times New Roman;serif" w:hAnsi="Times New Roman;serif"/>
                  <w:b w:val="false"/>
                  <w:color w:val="0000FF"/>
                  <w:sz w:val="20"/>
                  <w:u w:val="single"/>
                </w:rPr>
                <w:t>53</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RTX Corporation and its subsidiaries’ names, abbreviations thereof, logos, and products and services designators are all either the registered or unregistered trademarks or tradenames of RTX Corporation and its subsidiaries. Names, abbreviations of names, logos, and products and services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CONDENSED CONSOLIDATED STATEMENT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10064" w:type="dxa"/>
        <w:jc w:val="center"/>
        <w:tblInd w:w="0" w:type="dxa"/>
        <w:tblLayout w:type="fixed"/>
        <w:tblCellMar>
          <w:top w:w="28" w:type="dxa"/>
          <w:left w:w="28" w:type="dxa"/>
          <w:bottom w:w="28" w:type="dxa"/>
          <w:right w:w="28" w:type="dxa"/>
        </w:tblCellMar>
      </w:tblPr>
      <w:tblGrid>
        <w:gridCol w:w="1694"/>
        <w:gridCol w:w="1486"/>
        <w:gridCol w:w="1499"/>
        <w:gridCol w:w="211"/>
        <w:gridCol w:w="736"/>
        <w:gridCol w:w="109"/>
        <w:gridCol w:w="109"/>
        <w:gridCol w:w="109"/>
        <w:gridCol w:w="109"/>
        <w:gridCol w:w="211"/>
        <w:gridCol w:w="721"/>
        <w:gridCol w:w="109"/>
        <w:gridCol w:w="109"/>
        <w:gridCol w:w="109"/>
        <w:gridCol w:w="109"/>
        <w:gridCol w:w="224"/>
        <w:gridCol w:w="782"/>
        <w:gridCol w:w="115"/>
        <w:gridCol w:w="115"/>
        <w:gridCol w:w="115"/>
        <w:gridCol w:w="115"/>
        <w:gridCol w:w="224"/>
        <w:gridCol w:w="766"/>
        <w:gridCol w:w="178"/>
      </w:tblGrid>
      <w:tr>
        <w:trPr/>
        <w:tc>
          <w:tcPr>
            <w:tcW w:w="1694"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ind w:left="0" w:right="0" w:firstLine="37"/>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Products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51,967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46,406 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Services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6,707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19,782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17,959 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sales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24,965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71,749</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64,365 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Costs and Expenses: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 - products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14,484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42,286</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38,865 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 - 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4,676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13,931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12,428 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2,064</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5,052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4,457 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costs and expenses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21,789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63,333</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57,768 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287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profit</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3,337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8,703</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6,704 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Non-operating expense (income), net:</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Non-service pension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(1,048)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1,188</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non-operating expense, net</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140</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3,301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8,563</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6,436 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1,449</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2,708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7,114</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5,356 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Noncontrolling interest in subsidiaries’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333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attributable to common shareowners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2,583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6,781</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5,110 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Earnings Per Share attributable to common shareowners: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5.02</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94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1.89</w:t>
            </w:r>
            <w:r>
              <w:rPr>
                <w:color w:val="000000"/>
              </w:rPr>
              <w:t>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4.96</w:t>
            </w:r>
            <w:r>
              <w:rPr>
                <w:color w:val="000000"/>
              </w:rPr>
              <w:t> </w:t>
            </w:r>
          </w:p>
        </w:tc>
        <w:tc>
          <w:tcPr>
            <w:tcW w:w="115"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3.77 </w:t>
            </w:r>
          </w:p>
        </w:tc>
        <w:tc>
          <w:tcPr>
            <w:tcW w:w="17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CONDENSED CONSOLIDATED STATEMENT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37"/>
        <w:gridCol w:w="1507"/>
        <w:gridCol w:w="1456"/>
        <w:gridCol w:w="214"/>
        <w:gridCol w:w="642"/>
        <w:gridCol w:w="110"/>
        <w:gridCol w:w="110"/>
        <w:gridCol w:w="110"/>
        <w:gridCol w:w="110"/>
        <w:gridCol w:w="214"/>
        <w:gridCol w:w="626"/>
        <w:gridCol w:w="110"/>
        <w:gridCol w:w="109"/>
        <w:gridCol w:w="109"/>
        <w:gridCol w:w="109"/>
        <w:gridCol w:w="232"/>
        <w:gridCol w:w="696"/>
        <w:gridCol w:w="119"/>
        <w:gridCol w:w="119"/>
        <w:gridCol w:w="119"/>
        <w:gridCol w:w="119"/>
        <w:gridCol w:w="232"/>
        <w:gridCol w:w="680"/>
        <w:gridCol w:w="119"/>
        <w:gridCol w:w="109"/>
        <w:gridCol w:w="109"/>
        <w:gridCol w:w="109"/>
        <w:gridCol w:w="170"/>
      </w:tblGrid>
      <w:tr>
        <w:trPr/>
        <w:tc>
          <w:tcPr>
            <w:tcW w:w="173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gridSpan w:val="2"/>
            <w:tcBorders/>
          </w:tcPr>
          <w:p>
            <w:pPr>
              <w:pStyle w:val="TableContents"/>
              <w:bidi w:val="0"/>
              <w:spacing w:before="0" w:after="283"/>
              <w:jc w:val="left"/>
              <w:rPr>
                <w:sz w:val="4"/>
                <w:szCs w:val="4"/>
              </w:rPr>
            </w:pPr>
            <w:r>
              <w:rPr>
                <w:sz w:val="4"/>
                <w:szCs w:val="4"/>
              </w:rPr>
            </w:r>
          </w:p>
        </w:tc>
      </w:tr>
      <w:tr>
        <w:trPr/>
        <w:tc>
          <w:tcPr>
            <w:tcW w:w="4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2,708</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7,114</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plans adjustments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cash flow hedging</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w:t>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(641)</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related to items of other comprehensive (loss) income</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(590)</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2,709</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6,524</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common shareowners</w:t>
            </w:r>
          </w:p>
        </w:tc>
        <w:tc>
          <w:tcPr>
            <w:tcW w:w="21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2,584</w:t>
            </w:r>
            <w:r>
              <w:rPr>
                <w:color w:val="000000"/>
              </w:rPr>
              <w:t> </w:t>
            </w:r>
          </w:p>
        </w:tc>
        <w:tc>
          <w:tcPr>
            <w:tcW w:w="1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6,191</w:t>
            </w:r>
            <w:r>
              <w:rPr>
                <w:color w:val="000000"/>
              </w:rPr>
              <w:t> </w:t>
            </w:r>
          </w:p>
        </w:tc>
        <w:tc>
          <w:tcPr>
            <w:tcW w:w="11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6,433 </w:t>
            </w:r>
          </w:p>
        </w:tc>
        <w:tc>
          <w:tcPr>
            <w:tcW w:w="11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CONDENSED CONSOLIDATED BALANCE SHEET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694" w:type="dxa"/>
        <w:jc w:val="center"/>
        <w:tblInd w:w="0" w:type="dxa"/>
        <w:tblLayout w:type="fixed"/>
        <w:tblCellMar>
          <w:top w:w="28" w:type="dxa"/>
          <w:left w:w="28" w:type="dxa"/>
          <w:bottom w:w="28" w:type="dxa"/>
          <w:right w:w="28" w:type="dxa"/>
        </w:tblCellMar>
      </w:tblPr>
      <w:tblGrid>
        <w:gridCol w:w="1914"/>
        <w:gridCol w:w="1679"/>
        <w:gridCol w:w="1686"/>
        <w:gridCol w:w="280"/>
        <w:gridCol w:w="1119"/>
        <w:gridCol w:w="145"/>
        <w:gridCol w:w="109"/>
        <w:gridCol w:w="109"/>
        <w:gridCol w:w="109"/>
        <w:gridCol w:w="273"/>
        <w:gridCol w:w="1072"/>
        <w:gridCol w:w="199"/>
      </w:tblGrid>
      <w:tr>
        <w:trPr/>
        <w:tc>
          <w:tcPr>
            <w:tcW w:w="1914"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2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9,173</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7,435 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net</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14,681</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assets, net</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18,701</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17,092 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 net</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14,953</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13,364 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 current</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8,561</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7,740 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3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66,069</w:t>
            </w: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60,332 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Customer financing assets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1,880</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Fixed assets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36,725</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35,335 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depreciation</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(19,490)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(18,467)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Fixed assets, net</w:t>
            </w:r>
          </w:p>
        </w:tc>
        <w:tc>
          <w:tcPr>
            <w:tcW w:w="13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17,235</w:t>
            </w: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16,868 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right-of-use assets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1,770</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52,969</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53,343 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net</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30,652</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31,845 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6,021</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4,672 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176,596</w:t>
            </w: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171,079 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Redeemable Noncontrolling Interest, and Equity</w:t>
            </w:r>
          </w:p>
        </w:tc>
        <w:tc>
          <w:tcPr>
            <w:tcW w:w="154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borrowings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210</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17,803</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15,895 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employee compensation</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3,155</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accrued liabilities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14,801</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liabilities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21,550</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 currently due</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5,679</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3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63,198</w:t>
            </w: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58,784 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31,490</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34,288 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 non-current</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1,495</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Future pension and postretirement benefit obligations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1,913</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7,508</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3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105,604</w:t>
            </w: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103,941 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 (Note 16)</w:t>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Redeemable noncontrolling interest</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28</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Shareowners’ Equity:</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38,673</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38,126 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Treasury stock</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(26,712)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(26,881)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60,597</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56,718 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(3,308)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shareowners’ equity</w:t>
            </w:r>
          </w:p>
        </w:tc>
        <w:tc>
          <w:tcPr>
            <w:tcW w:w="13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69,250</w:t>
            </w: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65,245 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1,714</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13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70,964</w:t>
            </w: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67,102 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redeemable noncontrolling interest, and equity</w:t>
            </w:r>
          </w:p>
        </w:tc>
        <w:tc>
          <w:tcPr>
            <w:tcW w:w="28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11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176,596</w:t>
            </w:r>
            <w:r>
              <w:rPr>
                <w:color w:val="000000"/>
              </w:rPr>
              <w:t> </w:t>
            </w:r>
          </w:p>
        </w:tc>
        <w:tc>
          <w:tcPr>
            <w:tcW w:w="14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171,079 </w:t>
            </w:r>
          </w:p>
        </w:tc>
        <w:tc>
          <w:tcPr>
            <w:tcW w:w="19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CONDENSED CONSOLIDATED STATEMENT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837" w:type="dxa"/>
        <w:jc w:val="center"/>
        <w:tblInd w:w="0" w:type="dxa"/>
        <w:tblLayout w:type="fixed"/>
        <w:tblCellMar>
          <w:top w:w="28" w:type="dxa"/>
          <w:left w:w="28" w:type="dxa"/>
          <w:bottom w:w="28" w:type="dxa"/>
          <w:right w:w="28" w:type="dxa"/>
        </w:tblCellMar>
      </w:tblPr>
      <w:tblGrid>
        <w:gridCol w:w="2612"/>
        <w:gridCol w:w="2290"/>
        <w:gridCol w:w="2298"/>
        <w:gridCol w:w="246"/>
        <w:gridCol w:w="737"/>
        <w:gridCol w:w="127"/>
        <w:gridCol w:w="127"/>
        <w:gridCol w:w="127"/>
        <w:gridCol w:w="127"/>
        <w:gridCol w:w="246"/>
        <w:gridCol w:w="720"/>
        <w:gridCol w:w="180"/>
      </w:tblGrid>
      <w:tr>
        <w:trPr/>
        <w:tc>
          <w:tcPr>
            <w:tcW w:w="2612"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Activities:</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7,114</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flows provided by operating activities: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3,218</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 provision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60</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 compensation cost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455</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periodic pension and other postretirement income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(920)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401(k) matching contributions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474</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377</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assets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(2,184)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(1,686)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(974)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liabilities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2,753</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liabilities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(688)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operating activities,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271</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provided by operating activities</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8,270</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6,402 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Investing Activities:</w:t>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(1,964)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Dispositions of businesses, net of cash transferred</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Increase in other intangible assets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(229)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Receipts from settlements of derivative contracts,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investing activities,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(224)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used in investing activities</w:t>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(2,409)</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(716)</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Financing Activities:</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 of long-term debt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(526)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paid</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(2,882)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(2,660)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 of common stock</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financing activities,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(677)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used in financing activities</w:t>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(4,085)</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(5,332)</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foreign exchange rate changes on cash and cash equivalents</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(16)</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in cash, cash equivalents, and restricted cash</w:t>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1,760</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398 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beginning of period</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7,470</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end of period</w:t>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9,230</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6,004 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Restricted cash, included in Other assets, current and Other assets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57</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end of period</w:t>
            </w:r>
          </w:p>
        </w:tc>
        <w:tc>
          <w:tcPr>
            <w:tcW w:w="2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9,173</w:t>
            </w:r>
            <w:r>
              <w:rPr>
                <w:color w:val="000000"/>
              </w:rPr>
              <w:t> </w:t>
            </w:r>
          </w:p>
        </w:tc>
        <w:tc>
          <w:tcPr>
            <w:tcW w:w="12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5,966 </w:t>
            </w:r>
          </w:p>
        </w:tc>
        <w:tc>
          <w:tcPr>
            <w:tcW w:w="18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CONDENSED CONSOLIDATED STATEMENT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10"/>
        <w:gridCol w:w="1513"/>
        <w:gridCol w:w="1518"/>
        <w:gridCol w:w="211"/>
        <w:gridCol w:w="736"/>
        <w:gridCol w:w="109"/>
        <w:gridCol w:w="109"/>
        <w:gridCol w:w="109"/>
        <w:gridCol w:w="109"/>
        <w:gridCol w:w="211"/>
        <w:gridCol w:w="721"/>
        <w:gridCol w:w="109"/>
        <w:gridCol w:w="109"/>
        <w:gridCol w:w="109"/>
        <w:gridCol w:w="109"/>
        <w:gridCol w:w="222"/>
        <w:gridCol w:w="779"/>
        <w:gridCol w:w="114"/>
        <w:gridCol w:w="114"/>
        <w:gridCol w:w="114"/>
        <w:gridCol w:w="114"/>
        <w:gridCol w:w="222"/>
        <w:gridCol w:w="763"/>
        <w:gridCol w:w="171"/>
      </w:tblGrid>
      <w:tr>
        <w:trPr/>
        <w:tc>
          <w:tcPr>
            <w:tcW w:w="181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 shares in thousands)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Equity 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68,116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67,102</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61,923 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Common Stock</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balance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38,424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38,126</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37,434 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plans activity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242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401(k) matching contributions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305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Ending balance</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38,673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37,869 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38,673</w:t>
            </w: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37,869 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Treasury Stock</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balance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(26,758)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(26,881)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(27,112)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401(k) matching contributions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169</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repurchased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Ending balance</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(26,712)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(26,712)</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(26,937)</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Retained Earnings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balance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58,020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56,718</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53,589 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attributable to common shareholders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2,583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6,781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on common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(2,762)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on ESOP common stock</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(120)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Ending balance</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60,597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60,597</w:t>
            </w: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56,014 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Accumulated Other Comprehensive Loss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balance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(2,718)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(loss) income, net of tax</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Ending balance</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(3,308)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(3,308)</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(2,432)</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Noncontrolling Interest</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balance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1,857</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333</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Redeemable noncontrolling interest net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attributable to noncontrolling interest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(475)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Ending balance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1,714</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Equity at September 30</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70,964</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66,359 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70,964</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66,359 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5" w:type="dxa"/>
            <w:gridSpan w:val="1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share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Shares of common stock issued under employee plans, net</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4,737</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5,838 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Shares of common stock repurchased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Treasury shares reissued related to 401(k) matching contributions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2,415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declared per share of common stock</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7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2.14</w:t>
            </w:r>
            <w:r>
              <w:rPr>
                <w:color w:val="000000"/>
              </w:rPr>
              <w:t> </w:t>
            </w:r>
          </w:p>
        </w:tc>
        <w:tc>
          <w:tcPr>
            <w:tcW w:w="11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1.99 </w:t>
            </w:r>
          </w:p>
        </w:tc>
        <w:tc>
          <w:tcPr>
            <w:tcW w:w="17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at September 30, 2026 and for the quarters and nine months ended September 30, 2026 and 2025 are unaudited, and in the opinion of management include adjustments of a normal recurring nature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2025 Annual Report on Form 10-K.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the terms “we,” “our,” “us,” “the Company,” and “RTX” mean RTX Corporation and its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three segments: Collins Aerospace (Collins), Pratt &amp; Whitney, and Raytheon. Raytheon follows a fiscal calendar, while Collins and Pratt &amp; Whitney use calendar quarter ends. Throughout this Form 10-Q, references to the periods as of September 30, 2026 and 2025, and to the quarters and nine months ended September 30, 2026 and 2025 for Raytheon correspond to its fiscal quarter ends of September 27, 2026 and September 28,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Acquisitions and Dispositions</w:t>
      </w:r>
    </w:p>
    <w:p>
      <w:pPr>
        <w:pStyle w:val="TextBody"/>
        <w:bidi w:val="0"/>
        <w:spacing w:lineRule="auto" w:line="288" w:before="120" w:after="283"/>
        <w:jc w:val="both"/>
        <w:rPr/>
      </w:pPr>
      <w:r>
        <w:rPr>
          <w:rFonts w:ascii="Times New Roman;serif" w:hAnsi="Times New Roman;serif"/>
          <w:b/>
          <w:color w:val="000000"/>
          <w:sz w:val="20"/>
        </w:rPr>
        <w:t>Dispositions.</w:t>
      </w:r>
      <w:r>
        <w:rPr>
          <w:color w:val="000000"/>
        </w:rPr>
        <w:t xml:space="preserve"> </w:t>
      </w:r>
      <w:r>
        <w:rPr>
          <w:rFonts w:ascii="Times New Roman;serif" w:hAnsi="Times New Roman;serif"/>
          <w:b w:val="false"/>
          <w:color w:val="000000"/>
          <w:sz w:val="20"/>
        </w:rPr>
        <w:t>On June 19, 2026, we entered into a definitive agreement to sell our Blue Canyon Technologies (BCT) business within our Raytheon segment for proceeds of approximately $0.6 billion. The closing of the transaction is subject to regulatory approvals and other customary closing conditions.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21, 2025, we completed the sale of the actuation and flight control business within our Collins segment for gross proceeds of $1.8 billion. Cash received of $1.6 billion, net of cash transferred, included amounts attributable to continuing service agreements supporting the buyer post-closing. The sale resulted in a pre-tax gain of $0.1 billion in the third quarter ended September 30, 2025, which was recorded in Other income, net within the Condensed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Goodwill and Intangible Assets</w:t>
      </w:r>
    </w:p>
    <w:p>
      <w:pPr>
        <w:pStyle w:val="TextBody"/>
        <w:bidi w:val="0"/>
        <w:spacing w:lineRule="auto" w:line="288" w:before="120" w:after="283"/>
        <w:jc w:val="both"/>
        <w:rPr/>
      </w:pPr>
      <w:r>
        <w:rPr>
          <w:rFonts w:ascii="Times New Roman;serif" w:hAnsi="Times New Roman;serif"/>
          <w:b/>
          <w:color w:val="000000"/>
          <w:sz w:val="20"/>
        </w:rPr>
        <w:t>Goodwill.</w:t>
      </w:r>
      <w:r>
        <w:rPr>
          <w:color w:val="000000"/>
        </w:rPr>
        <w:t xml:space="preserve"> </w:t>
      </w:r>
      <w:r>
        <w:rPr>
          <w:rFonts w:ascii="Times New Roman;serif" w:hAnsi="Times New Roman;serif"/>
          <w:b w:val="false"/>
          <w:color w:val="000000"/>
          <w:sz w:val="20"/>
        </w:rPr>
        <w:t>Changes in our goodwill balances for the nine months ended September 30, 2026 were as follows:</w:t>
      </w:r>
    </w:p>
    <w:tbl>
      <w:tblPr>
        <w:tblW w:w="10205" w:type="dxa"/>
        <w:jc w:val="left"/>
        <w:tblInd w:w="0" w:type="dxa"/>
        <w:tblLayout w:type="fixed"/>
        <w:tblCellMar>
          <w:top w:w="28" w:type="dxa"/>
          <w:left w:w="28" w:type="dxa"/>
          <w:bottom w:w="28" w:type="dxa"/>
          <w:right w:w="28" w:type="dxa"/>
        </w:tblCellMar>
      </w:tblPr>
      <w:tblGrid>
        <w:gridCol w:w="646"/>
        <w:gridCol w:w="566"/>
        <w:gridCol w:w="483"/>
        <w:gridCol w:w="354"/>
        <w:gridCol w:w="1211"/>
        <w:gridCol w:w="183"/>
        <w:gridCol w:w="109"/>
        <w:gridCol w:w="109"/>
        <w:gridCol w:w="109"/>
        <w:gridCol w:w="414"/>
        <w:gridCol w:w="945"/>
        <w:gridCol w:w="214"/>
        <w:gridCol w:w="109"/>
        <w:gridCol w:w="109"/>
        <w:gridCol w:w="109"/>
        <w:gridCol w:w="109"/>
        <w:gridCol w:w="109"/>
        <w:gridCol w:w="560"/>
        <w:gridCol w:w="1279"/>
        <w:gridCol w:w="290"/>
        <w:gridCol w:w="109"/>
        <w:gridCol w:w="109"/>
        <w:gridCol w:w="109"/>
        <w:gridCol w:w="354"/>
        <w:gridCol w:w="1239"/>
        <w:gridCol w:w="268"/>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Acquisitions and Divestitures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Balance as of September 30, 2026</w:t>
            </w:r>
          </w:p>
        </w:tc>
      </w:tr>
      <w:tr>
        <w:trPr/>
        <w:tc>
          <w:tcPr>
            <w:tcW w:w="16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32,776 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(182)</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32,594</w:t>
            </w:r>
            <w:r>
              <w:rPr>
                <w:color w:val="000000"/>
              </w:rPr>
              <w:t> </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1,577</w:t>
            </w: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Raytheon </w:t>
            </w:r>
            <w:r>
              <w:rPr>
                <w:rFonts w:ascii="Times New Roman;serif" w:hAnsi="Times New Roman;serif"/>
                <w:b w:val="false"/>
                <w:color w:val="000000"/>
                <w:sz w:val="13"/>
              </w:rPr>
              <w:t>(1)</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18,781</w:t>
            </w: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Segments</w:t>
            </w:r>
          </w:p>
        </w:tc>
        <w:tc>
          <w:tcPr>
            <w:tcW w:w="15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53,326 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(193)</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(181)</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52,952</w:t>
            </w:r>
            <w:r>
              <w:rPr>
                <w:color w:val="000000"/>
              </w:rPr>
              <w:t> </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 and other</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53,343 </w:t>
            </w:r>
          </w:p>
        </w:tc>
        <w:tc>
          <w:tcPr>
            <w:tcW w:w="18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(193)</w:t>
            </w:r>
          </w:p>
        </w:tc>
        <w:tc>
          <w:tcPr>
            <w:tcW w:w="21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(181)</w:t>
            </w:r>
          </w:p>
        </w:tc>
        <w:tc>
          <w:tcPr>
            <w:tcW w:w="29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52,969</w:t>
            </w:r>
            <w:r>
              <w:rPr>
                <w:color w:val="000000"/>
              </w:rPr>
              <w:t> </w:t>
            </w:r>
          </w:p>
        </w:tc>
        <w:tc>
          <w:tcPr>
            <w:tcW w:w="26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    The reduction related to Acquisitions and Divestitures includes the reclassification of goodwill to assets held for sale and presented in Other assets, current within the Condensed Consolidated Balance Sheet during the quarter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pPr>
      <w:r>
        <w:rPr>
          <w:rFonts w:ascii="Times New Roman;serif" w:hAnsi="Times New Roman;serif"/>
          <w:b/>
          <w:color w:val="000000"/>
          <w:sz w:val="20"/>
        </w:rPr>
        <w:t>Intangible Assets.</w:t>
      </w:r>
      <w:r>
        <w:rPr>
          <w:color w:val="000000"/>
        </w:rPr>
        <w:t xml:space="preserve"> </w:t>
      </w:r>
      <w:r>
        <w:rPr>
          <w:rFonts w:ascii="Times New Roman;serif" w:hAnsi="Times New Roman;serif"/>
          <w:b w:val="false"/>
          <w:color w:val="000000"/>
          <w:sz w:val="20"/>
        </w:rPr>
        <w:t>Identifiable intangible assets are comprised of the following:</w:t>
      </w:r>
    </w:p>
    <w:tbl>
      <w:tblPr>
        <w:tblW w:w="10205" w:type="dxa"/>
        <w:jc w:val="left"/>
        <w:tblInd w:w="0" w:type="dxa"/>
        <w:tblLayout w:type="fixed"/>
        <w:tblCellMar>
          <w:top w:w="28" w:type="dxa"/>
          <w:left w:w="28" w:type="dxa"/>
          <w:bottom w:w="28" w:type="dxa"/>
          <w:right w:w="28" w:type="dxa"/>
        </w:tblCellMar>
      </w:tblPr>
      <w:tblGrid>
        <w:gridCol w:w="1005"/>
        <w:gridCol w:w="879"/>
        <w:gridCol w:w="878"/>
        <w:gridCol w:w="230"/>
        <w:gridCol w:w="805"/>
        <w:gridCol w:w="121"/>
        <w:gridCol w:w="109"/>
        <w:gridCol w:w="109"/>
        <w:gridCol w:w="109"/>
        <w:gridCol w:w="387"/>
        <w:gridCol w:w="1464"/>
        <w:gridCol w:w="200"/>
        <w:gridCol w:w="109"/>
        <w:gridCol w:w="109"/>
        <w:gridCol w:w="109"/>
        <w:gridCol w:w="234"/>
        <w:gridCol w:w="800"/>
        <w:gridCol w:w="122"/>
        <w:gridCol w:w="109"/>
        <w:gridCol w:w="109"/>
        <w:gridCol w:w="109"/>
        <w:gridCol w:w="380"/>
        <w:gridCol w:w="1437"/>
        <w:gridCol w:w="282"/>
      </w:tblGrid>
      <w:tr>
        <w:trPr/>
        <w:tc>
          <w:tcPr>
            <w:tcW w:w="100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r>
      <w:tr>
        <w:trPr/>
        <w:tc>
          <w:tcPr>
            <w:tcW w:w="27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assets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6,308</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(2,628)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Exclusivity assets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4,246</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 and other</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1,128</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29,234</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(15,048)</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(13,989)</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40,916</w:t>
            </w: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(18,733)</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40,744 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(17,379)</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other</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8,469</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49,385</w:t>
            </w:r>
            <w:r>
              <w:rPr>
                <w:color w:val="000000"/>
              </w:rPr>
              <w:t> </w:t>
            </w:r>
          </w:p>
        </w:tc>
        <w:tc>
          <w:tcPr>
            <w:tcW w:w="1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(18,733)</w:t>
            </w:r>
          </w:p>
        </w:tc>
        <w:tc>
          <w:tcPr>
            <w:tcW w:w="20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49,224 </w:t>
            </w:r>
          </w:p>
        </w:tc>
        <w:tc>
          <w:tcPr>
            <w:tcW w:w="12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(17,379)</w:t>
            </w:r>
          </w:p>
        </w:tc>
        <w:tc>
          <w:tcPr>
            <w:tcW w:w="28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Amortization of intangible assets for the quarters and nine months ended September 30, 2026 and 2025 was $496 million and $1,484 million and $520 million and $1,529 million, respectively. The following is the expected amortization of intangible assets for the remainder of 2026 through 2031:</w:t>
      </w:r>
      <w:r>
        <w:rPr>
          <w:color w:val="000000"/>
        </w:rPr>
        <w:t> </w:t>
      </w:r>
    </w:p>
    <w:tbl>
      <w:tblPr>
        <w:tblW w:w="9881" w:type="dxa"/>
        <w:jc w:val="left"/>
        <w:tblInd w:w="0" w:type="dxa"/>
        <w:tblLayout w:type="fixed"/>
        <w:tblCellMar>
          <w:top w:w="28" w:type="dxa"/>
          <w:left w:w="28" w:type="dxa"/>
          <w:bottom w:w="28" w:type="dxa"/>
          <w:right w:w="28" w:type="dxa"/>
        </w:tblCellMar>
      </w:tblPr>
      <w:tblGrid>
        <w:gridCol w:w="691"/>
        <w:gridCol w:w="606"/>
        <w:gridCol w:w="608"/>
        <w:gridCol w:w="109"/>
        <w:gridCol w:w="109"/>
        <w:gridCol w:w="109"/>
        <w:gridCol w:w="345"/>
        <w:gridCol w:w="764"/>
        <w:gridCol w:w="180"/>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2031</w:t>
            </w:r>
          </w:p>
        </w:tc>
      </w:tr>
      <w:tr>
        <w:trPr/>
        <w:tc>
          <w:tcPr>
            <w:tcW w:w="190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8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Earnings Per Share</w:t>
      </w:r>
    </w:p>
    <w:tbl>
      <w:tblPr>
        <w:tblW w:w="10205" w:type="dxa"/>
        <w:jc w:val="left"/>
        <w:tblInd w:w="0" w:type="dxa"/>
        <w:tblLayout w:type="fixed"/>
        <w:tblCellMar>
          <w:top w:w="28" w:type="dxa"/>
          <w:left w:w="28" w:type="dxa"/>
          <w:bottom w:w="28" w:type="dxa"/>
          <w:right w:w="28" w:type="dxa"/>
        </w:tblCellMar>
      </w:tblPr>
      <w:tblGrid>
        <w:gridCol w:w="1464"/>
        <w:gridCol w:w="1209"/>
        <w:gridCol w:w="1220"/>
        <w:gridCol w:w="401"/>
        <w:gridCol w:w="1201"/>
        <w:gridCol w:w="206"/>
        <w:gridCol w:w="209"/>
        <w:gridCol w:w="211"/>
        <w:gridCol w:w="616"/>
        <w:gridCol w:w="109"/>
        <w:gridCol w:w="231"/>
        <w:gridCol w:w="450"/>
        <w:gridCol w:w="1347"/>
        <w:gridCol w:w="235"/>
        <w:gridCol w:w="109"/>
        <w:gridCol w:w="211"/>
        <w:gridCol w:w="616"/>
        <w:gridCol w:w="160"/>
      </w:tblGrid>
      <w:tr>
        <w:trPr/>
        <w:tc>
          <w:tcPr>
            <w:tcW w:w="146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263"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6" w:type="dxa"/>
            <w:gridSpan w:val="4"/>
            <w:tcBorders/>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and shares in millions, except per share amounts)</w:t>
            </w:r>
          </w:p>
        </w:tc>
        <w:tc>
          <w:tcPr>
            <w:tcW w:w="1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2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31" w:type="dxa"/>
            <w:tcBorders/>
            <w:vAlign w:val="center"/>
          </w:tcPr>
          <w:p>
            <w:pPr>
              <w:pStyle w:val="TableContents"/>
              <w:bidi w:val="0"/>
              <w:spacing w:before="0" w:after="283"/>
              <w:jc w:val="left"/>
              <w:rPr>
                <w:sz w:val="4"/>
                <w:szCs w:val="4"/>
              </w:rPr>
            </w:pPr>
            <w:r>
              <w:rPr>
                <w:sz w:val="4"/>
                <w:szCs w:val="4"/>
              </w:rPr>
            </w:r>
          </w:p>
        </w:tc>
        <w:tc>
          <w:tcPr>
            <w:tcW w:w="2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93"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893"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893"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8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2,583</w:t>
            </w:r>
            <w:r>
              <w:rPr>
                <w:color w:val="000000"/>
              </w:rPr>
              <w:t>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6,781</w:t>
            </w:r>
            <w:r>
              <w:rPr>
                <w:color w:val="000000"/>
              </w:rPr>
              <w:t>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shares outstanding</w:t>
            </w:r>
          </w:p>
        </w:tc>
        <w:tc>
          <w:tcPr>
            <w:tcW w:w="1602"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1,352.2</w:t>
            </w:r>
            <w:r>
              <w:rPr>
                <w:color w:val="000000"/>
              </w:rPr>
              <w:t> </w:t>
            </w:r>
          </w:p>
        </w:tc>
        <w:tc>
          <w:tcPr>
            <w:tcW w:w="206"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1,343.1 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1,350.2</w:t>
            </w:r>
            <w:r>
              <w:rPr>
                <w:color w:val="000000"/>
              </w:rPr>
              <w:t> </w:t>
            </w:r>
          </w:p>
        </w:tc>
        <w:tc>
          <w:tcPr>
            <w:tcW w:w="235"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1,340.2 </w:t>
            </w:r>
          </w:p>
        </w:tc>
        <w:tc>
          <w:tcPr>
            <w:tcW w:w="160"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 and equity units (share equivalent)</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shares outstanding</w:t>
            </w:r>
          </w:p>
        </w:tc>
        <w:tc>
          <w:tcPr>
            <w:tcW w:w="1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1,368.1</w:t>
            </w:r>
            <w:r>
              <w:rPr>
                <w:color w:val="000000"/>
              </w:rPr>
              <w:t>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1,365.8</w:t>
            </w:r>
            <w:r>
              <w:rPr>
                <w:color w:val="000000"/>
              </w:rPr>
              <w:t>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shareowners:</w:t>
            </w:r>
          </w:p>
        </w:tc>
        <w:tc>
          <w:tcPr>
            <w:tcW w:w="180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893"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w:t>
            </w: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893"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893"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893"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60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w:t>
            </w:r>
            <w:r>
              <w:rPr>
                <w:color w:val="000000"/>
              </w:rPr>
              <w:t> </w:t>
            </w:r>
          </w:p>
        </w:tc>
        <w:tc>
          <w:tcPr>
            <w:tcW w:w="20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9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w:t>
            </w:r>
            <w:r>
              <w:rPr>
                <w:color w:val="000000"/>
              </w:rPr>
              <w:t> </w:t>
            </w:r>
          </w:p>
        </w:tc>
        <w:tc>
          <w:tcPr>
            <w:tcW w:w="235"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6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release or exercise of stock awards when the awards’ assumed proceeds exceed the average market price of the common shares during the period. For the quarter and nine months ended September 30, 2026, the number of stock awards excluded from the computation was 1.2 million and 1.7 million, respectively. For the quarter and nine months ended September 30, 2025, the number of stock awards excluded from the computation was 0.7 million and 1.9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Changes in Contract Estimates at Completion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complex, subject to many inputs,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revenues and costs, including estimates of labor productivity and availability, the complexity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and scope of the work to be performed, the availability and cost of materials including any impact from changing costs or inflation,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In particular, fixed-price development programs involve significant management judgment, as development contracts by nature have elements that have not been done before and thus, are highly subject to future unexpected cost changes.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percentage-of-completion in the current period. A significant change in one or more of these estimates could affect the profitability of one or more of our performance obligations. Our EAC adjustments also include the establishment of, and changes to, loss provisions for our contracts accounted for on a percentage-of-completion basis.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EAC adjustments had the following impact on our operating results:</w:t>
      </w:r>
    </w:p>
    <w:tbl>
      <w:tblPr>
        <w:tblW w:w="10205" w:type="dxa"/>
        <w:jc w:val="left"/>
        <w:tblInd w:w="0" w:type="dxa"/>
        <w:tblLayout w:type="fixed"/>
        <w:tblCellMar>
          <w:top w:w="28" w:type="dxa"/>
          <w:left w:w="28" w:type="dxa"/>
          <w:bottom w:w="28" w:type="dxa"/>
          <w:right w:w="28" w:type="dxa"/>
        </w:tblCellMar>
      </w:tblPr>
      <w:tblGrid>
        <w:gridCol w:w="1819"/>
        <w:gridCol w:w="1558"/>
        <w:gridCol w:w="1571"/>
        <w:gridCol w:w="109"/>
        <w:gridCol w:w="228"/>
        <w:gridCol w:w="571"/>
        <w:gridCol w:w="117"/>
        <w:gridCol w:w="117"/>
        <w:gridCol w:w="117"/>
        <w:gridCol w:w="117"/>
        <w:gridCol w:w="228"/>
        <w:gridCol w:w="629"/>
        <w:gridCol w:w="117"/>
        <w:gridCol w:w="109"/>
        <w:gridCol w:w="109"/>
        <w:gridCol w:w="109"/>
        <w:gridCol w:w="250"/>
        <w:gridCol w:w="687"/>
        <w:gridCol w:w="128"/>
        <w:gridCol w:w="128"/>
        <w:gridCol w:w="128"/>
        <w:gridCol w:w="128"/>
        <w:gridCol w:w="250"/>
        <w:gridCol w:w="687"/>
        <w:gridCol w:w="194"/>
      </w:tblGrid>
      <w:tr>
        <w:trPr/>
        <w:tc>
          <w:tcPr>
            <w:tcW w:w="181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w:t>
            </w: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income attributable to common shareowners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earnings per share attributable to common shareowners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0.03</w:t>
            </w:r>
            <w:r>
              <w:rPr>
                <w:color w:val="000000"/>
              </w:rPr>
              <w:t> </w:t>
            </w:r>
          </w:p>
        </w:tc>
        <w:tc>
          <w:tcPr>
            <w:tcW w:w="11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1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(0.10)</w:t>
            </w:r>
          </w:p>
        </w:tc>
        <w:tc>
          <w:tcPr>
            <w:tcW w:w="12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9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Amounts reflect a U.S. statutory tax rate of 21%, which approximates our tax rate on our EAC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6: Accounts Receivable,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w:t>
      </w:r>
    </w:p>
    <w:tbl>
      <w:tblPr>
        <w:tblW w:w="6490" w:type="dxa"/>
        <w:jc w:val="left"/>
        <w:tblInd w:w="0" w:type="dxa"/>
        <w:tblLayout w:type="fixed"/>
        <w:tblCellMar>
          <w:top w:w="28" w:type="dxa"/>
          <w:left w:w="28" w:type="dxa"/>
          <w:bottom w:w="28" w:type="dxa"/>
          <w:right w:w="28" w:type="dxa"/>
        </w:tblCellMar>
      </w:tblPr>
      <w:tblGrid>
        <w:gridCol w:w="1115"/>
        <w:gridCol w:w="978"/>
        <w:gridCol w:w="981"/>
        <w:gridCol w:w="308"/>
        <w:gridCol w:w="1077"/>
        <w:gridCol w:w="159"/>
        <w:gridCol w:w="109"/>
        <w:gridCol w:w="109"/>
        <w:gridCol w:w="109"/>
        <w:gridCol w:w="300"/>
        <w:gridCol w:w="1026"/>
        <w:gridCol w:w="219"/>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15,096</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15,041 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30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14,681</w:t>
            </w:r>
            <w:r>
              <w:rPr>
                <w:color w:val="000000"/>
              </w:rPr>
              <w:t> </w:t>
            </w:r>
          </w:p>
        </w:tc>
        <w:tc>
          <w:tcPr>
            <w:tcW w:w="15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14,701 </w:t>
            </w:r>
          </w:p>
        </w:tc>
        <w:tc>
          <w:tcPr>
            <w:tcW w:w="21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Contract Assets and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Contract assets reflect revenue recognized and performance obligations satisfied in advance of customer billings. Contract liabilities relate to payments received in advance of the satisfaction of performance under the contract. We receive payments from customers based on the terms established in our contracts. Total contract assets and contract liabilities were as follows:</w:t>
      </w:r>
    </w:p>
    <w:tbl>
      <w:tblPr>
        <w:tblW w:w="6491" w:type="dxa"/>
        <w:jc w:val="left"/>
        <w:tblInd w:w="0" w:type="dxa"/>
        <w:tblLayout w:type="fixed"/>
        <w:tblCellMar>
          <w:top w:w="28" w:type="dxa"/>
          <w:left w:w="28" w:type="dxa"/>
          <w:bottom w:w="28" w:type="dxa"/>
          <w:right w:w="28" w:type="dxa"/>
        </w:tblCellMar>
      </w:tblPr>
      <w:tblGrid>
        <w:gridCol w:w="1115"/>
        <w:gridCol w:w="978"/>
        <w:gridCol w:w="982"/>
        <w:gridCol w:w="308"/>
        <w:gridCol w:w="1077"/>
        <w:gridCol w:w="159"/>
        <w:gridCol w:w="109"/>
        <w:gridCol w:w="109"/>
        <w:gridCol w:w="109"/>
        <w:gridCol w:w="300"/>
        <w:gridCol w:w="1026"/>
        <w:gridCol w:w="219"/>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19,640</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17,768 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13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18,701</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17,092 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(21,550)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liabilities</w:t>
            </w:r>
          </w:p>
        </w:tc>
        <w:tc>
          <w:tcPr>
            <w:tcW w:w="30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(2,849)</w:t>
            </w:r>
          </w:p>
        </w:tc>
        <w:tc>
          <w:tcPr>
            <w:tcW w:w="15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w:t>
            </w:r>
          </w:p>
        </w:tc>
        <w:tc>
          <w:tcPr>
            <w:tcW w:w="21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Contract assets, net increased $1.6 billion during the nine months ended September 30, 2026 primarily due to sales in excess of billings on certain contracts at Pratt &amp; Whitney and Raytheon. The allowance for expected credit losses increased $0.3 billion in the nine months ended September 30, 2026, primarily driven by a customer bankruptcy recorded at Pratt &amp; Whitney in the third quarter of 2026, partially offset by a write-off related to unrecoverable contract assets reserved in a prior year. Contract liabilities decreased $0.1 billion during the nine months ended September 30, 2026 primarily due to sales in excess of advances received and billings on certain contracts at Pratt &amp; Whitney and Raytheon. We recognized revenue of $2.3 billion and $8.3 billion during the quarter and nine months ended September 30, 2026 related to contract liabilities outstanding as of January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2026 and recognized revenue of $1.5 billion and $6.5 billion during the quarter and nine months ended September 30, 2025, related to contract liabilities outstanding as of January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 Inventory,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Inventory, net consisted of the following:</w:t>
      </w:r>
    </w:p>
    <w:tbl>
      <w:tblPr>
        <w:tblW w:w="5155" w:type="dxa"/>
        <w:jc w:val="left"/>
        <w:tblInd w:w="0" w:type="dxa"/>
        <w:tblLayout w:type="fixed"/>
        <w:tblCellMar>
          <w:top w:w="28" w:type="dxa"/>
          <w:left w:w="28" w:type="dxa"/>
          <w:bottom w:w="28" w:type="dxa"/>
          <w:right w:w="28" w:type="dxa"/>
        </w:tblCellMar>
      </w:tblPr>
      <w:tblGrid>
        <w:gridCol w:w="631"/>
        <w:gridCol w:w="553"/>
        <w:gridCol w:w="555"/>
        <w:gridCol w:w="308"/>
        <w:gridCol w:w="1077"/>
        <w:gridCol w:w="159"/>
        <w:gridCol w:w="109"/>
        <w:gridCol w:w="109"/>
        <w:gridCol w:w="109"/>
        <w:gridCol w:w="300"/>
        <w:gridCol w:w="1026"/>
        <w:gridCol w:w="219"/>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5,370</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4,976</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4,607</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 net</w:t>
            </w:r>
          </w:p>
        </w:tc>
        <w:tc>
          <w:tcPr>
            <w:tcW w:w="30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14,953</w:t>
            </w:r>
            <w:r>
              <w:rPr>
                <w:color w:val="000000"/>
              </w:rPr>
              <w:t> </w:t>
            </w:r>
          </w:p>
        </w:tc>
        <w:tc>
          <w:tcPr>
            <w:tcW w:w="15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13,364 </w:t>
            </w:r>
          </w:p>
        </w:tc>
        <w:tc>
          <w:tcPr>
            <w:tcW w:w="21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 Borrowings and Lines of Credit</w:t>
      </w:r>
    </w:p>
    <w:p>
      <w:pPr>
        <w:pStyle w:val="TextBody"/>
        <w:bidi w:val="0"/>
        <w:spacing w:lineRule="auto" w:line="288" w:before="120" w:after="283"/>
        <w:jc w:val="both"/>
        <w:rPr/>
      </w:pPr>
      <w:r>
        <w:rPr>
          <w:rFonts w:ascii="Times New Roman;serif" w:hAnsi="Times New Roman;serif"/>
          <w:b w:val="false"/>
          <w:color w:val="000000"/>
          <w:sz w:val="20"/>
        </w:rPr>
        <w:t xml:space="preserve">In August 2026, we renewed our revolving credit agreement with various banks permitting aggregate borrowings of up to $5.0 billion, which expires in August 2031. As </w:t>
      </w:r>
      <w:r>
        <w:rPr>
          <w:rFonts w:ascii="Times New Roman;serif" w:hAnsi="Times New Roman;serif"/>
          <w:b w:val="false"/>
          <w:color w:val="000000"/>
          <w:sz w:val="20"/>
          <w:shd w:fill="FFFFFF" w:val="clear"/>
        </w:rPr>
        <w:t xml:space="preserve">of September 30, 2026, there were no borrowings outstanding under this agreement.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use commercial paper borrowings for general corporate purposes, including short-term funding related to potential acquisitions, pension contributions, debt refinancing, dividend payments, and repurchases of our common stock. The commercial paper notes have original maturities of not more than 364 days from the date of issuance. As of September 30, 2026, our maximum commercial paper borrowing limit was $5.0 billion as the commercial paper is backed by our $5.0 billion revolving credit agreement. At September 30, 2026 and December 31, 2025, we had no commercial paper borrowings outstanding. There were no new borrowings or repayments of commercial paper with maturities greater than 90 days during the nine months ended September 30, 2026 and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made the following repayments of long-term debt during the nine months ended September 30, 2026 and 2025:</w:t>
      </w:r>
    </w:p>
    <w:tbl>
      <w:tblPr>
        <w:tblW w:w="8759" w:type="dxa"/>
        <w:jc w:val="left"/>
        <w:tblInd w:w="0" w:type="dxa"/>
        <w:tblLayout w:type="fixed"/>
        <w:tblCellMar>
          <w:top w:w="28" w:type="dxa"/>
          <w:left w:w="28" w:type="dxa"/>
          <w:bottom w:w="28" w:type="dxa"/>
          <w:right w:w="28" w:type="dxa"/>
        </w:tblCellMar>
      </w:tblPr>
      <w:tblGrid>
        <w:gridCol w:w="578"/>
        <w:gridCol w:w="509"/>
        <w:gridCol w:w="517"/>
        <w:gridCol w:w="1338"/>
        <w:gridCol w:w="1338"/>
        <w:gridCol w:w="1344"/>
        <w:gridCol w:w="780"/>
        <w:gridCol w:w="1780"/>
        <w:gridCol w:w="575"/>
      </w:tblGrid>
      <w:tr>
        <w:trPr/>
        <w:tc>
          <w:tcPr>
            <w:tcW w:w="57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Notes</w:t>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Principal Balance (in millions)</w:t>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40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5.000% notes due 2026 </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18, 2025</w:t>
            </w:r>
          </w:p>
        </w:tc>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3.950% notes due 2025</w:t>
            </w:r>
          </w:p>
        </w:tc>
        <w:tc>
          <w:tcPr>
            <w:tcW w:w="2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2025</w:t>
            </w:r>
          </w:p>
        </w:tc>
        <w:tc>
          <w:tcPr>
            <w:tcW w:w="402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Month SOFR plus 1.225% term loan due 2025</w:t>
            </w:r>
          </w:p>
        </w:tc>
        <w:tc>
          <w:tcPr>
            <w:tcW w:w="256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575"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8172" w:type="dxa"/>
        <w:jc w:val="left"/>
        <w:tblInd w:w="0" w:type="dxa"/>
        <w:tblLayout w:type="fixed"/>
        <w:tblCellMar>
          <w:top w:w="28" w:type="dxa"/>
          <w:left w:w="28" w:type="dxa"/>
          <w:bottom w:w="28" w:type="dxa"/>
          <w:right w:w="28" w:type="dxa"/>
        </w:tblCellMar>
      </w:tblPr>
      <w:tblGrid>
        <w:gridCol w:w="1725"/>
        <w:gridCol w:w="1512"/>
        <w:gridCol w:w="1518"/>
        <w:gridCol w:w="449"/>
        <w:gridCol w:w="864"/>
        <w:gridCol w:w="232"/>
        <w:gridCol w:w="109"/>
        <w:gridCol w:w="109"/>
        <w:gridCol w:w="109"/>
        <w:gridCol w:w="392"/>
        <w:gridCol w:w="866"/>
        <w:gridCol w:w="287"/>
      </w:tblGrid>
      <w:tr>
        <w:trPr/>
        <w:tc>
          <w:tcPr>
            <w:tcW w:w="1725"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7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5.000% notes due 2026 </w:t>
            </w:r>
            <w:r>
              <w:rPr>
                <w:rFonts w:ascii="Times New Roman;serif" w:hAnsi="Times New Roman;serif"/>
                <w:b w:val="false"/>
                <w:color w:val="000000"/>
                <w:sz w:val="13"/>
              </w:rPr>
              <w:t>(1)</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2.650% notes due 2026 </w:t>
            </w:r>
            <w:r>
              <w:rPr>
                <w:rFonts w:ascii="Times New Roman;serif" w:hAnsi="Times New Roman;serif"/>
                <w:b w:val="false"/>
                <w:color w:val="000000"/>
                <w:sz w:val="13"/>
              </w:rPr>
              <w:t>(1)</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w:t>
            </w: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Month SOFR plus 1.225% term loan due 2026</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900</w:t>
            </w: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5.750% notes due 2026 </w:t>
            </w:r>
            <w:r>
              <w:rPr>
                <w:rFonts w:ascii="Times New Roman;serif" w:hAnsi="Times New Roman;serif"/>
                <w:b w:val="false"/>
                <w:color w:val="000000"/>
                <w:sz w:val="13"/>
              </w:rPr>
              <w:t>(1)</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w:t>
            </w: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3.125% notes due 2027 </w:t>
            </w:r>
            <w:r>
              <w:rPr>
                <w:rFonts w:ascii="Times New Roman;serif" w:hAnsi="Times New Roman;serif"/>
                <w:b w:val="false"/>
                <w:color w:val="000000"/>
                <w:sz w:val="13"/>
              </w:rPr>
              <w:t>(1)</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w:t>
            </w: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3.500% notes due 2027 </w:t>
            </w:r>
            <w:r>
              <w:rPr>
                <w:rFonts w:ascii="Times New Roman;serif" w:hAnsi="Times New Roman;serif"/>
                <w:b w:val="false"/>
                <w:color w:val="000000"/>
                <w:sz w:val="13"/>
              </w:rPr>
              <w:t>(1)</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w:t>
            </w: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7.200% notes due 2027 </w:t>
            </w:r>
            <w:r>
              <w:rPr>
                <w:rFonts w:ascii="Times New Roman;serif" w:hAnsi="Times New Roman;serif"/>
                <w:b w:val="false"/>
                <w:color w:val="000000"/>
                <w:sz w:val="13"/>
              </w:rPr>
              <w:t>(1)</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w:t>
            </w: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7.100% notes due 2027</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6.700% notes due 2028</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w:t>
            </w: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7.000% notes due 2028 </w:t>
            </w:r>
            <w:r>
              <w:rPr>
                <w:rFonts w:ascii="Times New Roman;serif" w:hAnsi="Times New Roman;serif"/>
                <w:b w:val="false"/>
                <w:color w:val="000000"/>
                <w:sz w:val="13"/>
              </w:rPr>
              <w:t>(1)</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w:t>
            </w: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4.125% notes due 2028 </w:t>
            </w:r>
            <w:r>
              <w:rPr>
                <w:rFonts w:ascii="Times New Roman;serif" w:hAnsi="Times New Roman;serif"/>
                <w:b w:val="false"/>
                <w:color w:val="000000"/>
                <w:sz w:val="13"/>
              </w:rPr>
              <w:t>(1)</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3,000</w:t>
            </w: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5.750% notes due 2029 </w:t>
            </w:r>
            <w:r>
              <w:rPr>
                <w:rFonts w:ascii="Times New Roman;serif" w:hAnsi="Times New Roman;serif"/>
                <w:b w:val="false"/>
                <w:color w:val="000000"/>
                <w:sz w:val="13"/>
              </w:rPr>
              <w:t>(1)</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7.500% notes due 2029 </w:t>
            </w:r>
            <w:r>
              <w:rPr>
                <w:rFonts w:ascii="Times New Roman;serif" w:hAnsi="Times New Roman;serif"/>
                <w:b w:val="false"/>
                <w:color w:val="000000"/>
                <w:sz w:val="13"/>
              </w:rPr>
              <w:t>(1)</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414</w:t>
            </w: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2.150% notes due 2030 (€500 million principal value) </w:t>
            </w:r>
            <w:r>
              <w:rPr>
                <w:rFonts w:ascii="Times New Roman;serif" w:hAnsi="Times New Roman;serif"/>
                <w:b w:val="false"/>
                <w:color w:val="000000"/>
                <w:sz w:val="13"/>
              </w:rPr>
              <w:t>(1)</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570</w:t>
            </w: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2.250% notes due 2030 </w:t>
            </w:r>
            <w:r>
              <w:rPr>
                <w:rFonts w:ascii="Times New Roman;serif" w:hAnsi="Times New Roman;serif"/>
                <w:b w:val="false"/>
                <w:color w:val="000000"/>
                <w:sz w:val="13"/>
              </w:rPr>
              <w:t>(1)</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6.000% notes due 2031 </w:t>
            </w:r>
            <w:r>
              <w:rPr>
                <w:rFonts w:ascii="Times New Roman;serif" w:hAnsi="Times New Roman;serif"/>
                <w:b w:val="false"/>
                <w:color w:val="000000"/>
                <w:sz w:val="13"/>
              </w:rPr>
              <w:t>(1)</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1.900% notes due 2031 </w:t>
            </w:r>
            <w:r>
              <w:rPr>
                <w:rFonts w:ascii="Times New Roman;serif" w:hAnsi="Times New Roman;serif"/>
                <w:b w:val="false"/>
                <w:color w:val="000000"/>
                <w:sz w:val="13"/>
              </w:rPr>
              <w:t>(1)</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2.375% notes due 2032 </w:t>
            </w:r>
            <w:r>
              <w:rPr>
                <w:rFonts w:ascii="Times New Roman;serif" w:hAnsi="Times New Roman;serif"/>
                <w:b w:val="false"/>
                <w:color w:val="000000"/>
                <w:sz w:val="13"/>
              </w:rPr>
              <w:t>(1)</w:t>
            </w:r>
          </w:p>
        </w:tc>
        <w:tc>
          <w:tcPr>
            <w:tcW w:w="131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23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478"/>
        <w:gridCol w:w="2161"/>
        <w:gridCol w:w="2171"/>
        <w:gridCol w:w="305"/>
        <w:gridCol w:w="1069"/>
        <w:gridCol w:w="157"/>
        <w:gridCol w:w="109"/>
        <w:gridCol w:w="109"/>
        <w:gridCol w:w="109"/>
        <w:gridCol w:w="297"/>
        <w:gridCol w:w="1018"/>
        <w:gridCol w:w="222"/>
      </w:tblGrid>
      <w:tr>
        <w:trPr/>
        <w:tc>
          <w:tcPr>
            <w:tcW w:w="2478"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8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5.150% notes due 2033 </w:t>
            </w:r>
            <w:r>
              <w:rPr>
                <w:rFonts w:ascii="Times New Roman;serif" w:hAnsi="Times New Roman;serif"/>
                <w:b w:val="false"/>
                <w:color w:val="000000"/>
                <w:sz w:val="13"/>
              </w:rPr>
              <w:t>(1)</w:t>
            </w:r>
          </w:p>
        </w:tc>
        <w:tc>
          <w:tcPr>
            <w:tcW w:w="13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6.100% notes due 2034 </w:t>
            </w:r>
            <w:r>
              <w:rPr>
                <w:rFonts w:ascii="Times New Roman;serif" w:hAnsi="Times New Roman;serif"/>
                <w:b w:val="false"/>
                <w:color w:val="000000"/>
                <w:sz w:val="13"/>
              </w:rPr>
              <w:t>(1)</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5.400% notes due 2035 </w:t>
            </w:r>
            <w:r>
              <w:rPr>
                <w:rFonts w:ascii="Times New Roman;serif" w:hAnsi="Times New Roman;serif"/>
                <w:b w:val="false"/>
                <w:color w:val="000000"/>
                <w:sz w:val="13"/>
              </w:rPr>
              <w:t>(1)</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6.050% notes due 2036 </w:t>
            </w:r>
            <w:r>
              <w:rPr>
                <w:rFonts w:ascii="Times New Roman;serif" w:hAnsi="Times New Roman;serif"/>
                <w:b w:val="false"/>
                <w:color w:val="000000"/>
                <w:sz w:val="13"/>
              </w:rPr>
              <w:t>(1)</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6.800% notes due 2036 </w:t>
            </w:r>
            <w:r>
              <w:rPr>
                <w:rFonts w:ascii="Times New Roman;serif" w:hAnsi="Times New Roman;serif"/>
                <w:b w:val="false"/>
                <w:color w:val="000000"/>
                <w:sz w:val="13"/>
              </w:rPr>
              <w:t>(1)</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7.000% notes due 2038</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6.125% notes due 2038 </w:t>
            </w:r>
            <w:r>
              <w:rPr>
                <w:rFonts w:ascii="Times New Roman;serif" w:hAnsi="Times New Roman;serif"/>
                <w:b w:val="false"/>
                <w:color w:val="000000"/>
                <w:sz w:val="13"/>
              </w:rPr>
              <w:t>(1)</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575</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4.450% notes due 2038 </w:t>
            </w:r>
            <w:r>
              <w:rPr>
                <w:rFonts w:ascii="Times New Roman;serif" w:hAnsi="Times New Roman;serif"/>
                <w:b w:val="false"/>
                <w:color w:val="000000"/>
                <w:sz w:val="13"/>
              </w:rPr>
              <w:t>(1)</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5.700% notes due 2040 </w:t>
            </w:r>
            <w:r>
              <w:rPr>
                <w:rFonts w:ascii="Times New Roman;serif" w:hAnsi="Times New Roman;serif"/>
                <w:b w:val="false"/>
                <w:color w:val="000000"/>
                <w:sz w:val="13"/>
              </w:rPr>
              <w:t>(1)</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553</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4.875% notes due 2040 </w:t>
            </w:r>
            <w:r>
              <w:rPr>
                <w:rFonts w:ascii="Times New Roman;serif" w:hAnsi="Times New Roman;serif"/>
                <w:b w:val="false"/>
                <w:color w:val="000000"/>
                <w:sz w:val="13"/>
              </w:rPr>
              <w:t>(1)</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4.700% notes due 2041 </w:t>
            </w:r>
            <w:r>
              <w:rPr>
                <w:rFonts w:ascii="Times New Roman;serif" w:hAnsi="Times New Roman;serif"/>
                <w:b w:val="false"/>
                <w:color w:val="000000"/>
                <w:sz w:val="13"/>
              </w:rPr>
              <w:t>(1)</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4.500% notes due 2042 </w:t>
            </w:r>
            <w:r>
              <w:rPr>
                <w:rFonts w:ascii="Times New Roman;serif" w:hAnsi="Times New Roman;serif"/>
                <w:b w:val="false"/>
                <w:color w:val="000000"/>
                <w:sz w:val="13"/>
              </w:rPr>
              <w:t>(1)</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4.800% notes due 2043 </w:t>
            </w:r>
            <w:r>
              <w:rPr>
                <w:rFonts w:ascii="Times New Roman;serif" w:hAnsi="Times New Roman;serif"/>
                <w:b w:val="false"/>
                <w:color w:val="000000"/>
                <w:sz w:val="13"/>
              </w:rPr>
              <w:t>(1)</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4.200% notes due 2044 </w:t>
            </w:r>
            <w:r>
              <w:rPr>
                <w:rFonts w:ascii="Times New Roman;serif" w:hAnsi="Times New Roman;serif"/>
                <w:b w:val="false"/>
                <w:color w:val="000000"/>
                <w:sz w:val="13"/>
              </w:rPr>
              <w:t>(1)</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4.150% notes due 2045 </w:t>
            </w:r>
            <w:r>
              <w:rPr>
                <w:rFonts w:ascii="Times New Roman;serif" w:hAnsi="Times New Roman;serif"/>
                <w:b w:val="false"/>
                <w:color w:val="000000"/>
                <w:sz w:val="13"/>
              </w:rPr>
              <w:t>(1)</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850</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3.750% notes due 2046 </w:t>
            </w:r>
            <w:r>
              <w:rPr>
                <w:rFonts w:ascii="Times New Roman;serif" w:hAnsi="Times New Roman;serif"/>
                <w:b w:val="false"/>
                <w:color w:val="000000"/>
                <w:sz w:val="13"/>
              </w:rPr>
              <w:t>(1)</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4.050% notes due 2047 </w:t>
            </w:r>
            <w:r>
              <w:rPr>
                <w:rFonts w:ascii="Times New Roman;serif" w:hAnsi="Times New Roman;serif"/>
                <w:b w:val="false"/>
                <w:color w:val="000000"/>
                <w:sz w:val="13"/>
              </w:rPr>
              <w:t>(1)</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4.350% notes due 2047 </w:t>
            </w:r>
            <w:r>
              <w:rPr>
                <w:rFonts w:ascii="Times New Roman;serif" w:hAnsi="Times New Roman;serif"/>
                <w:b w:val="false"/>
                <w:color w:val="000000"/>
                <w:sz w:val="13"/>
              </w:rPr>
              <w:t>(1)</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4.625% notes due 2048 </w:t>
            </w:r>
            <w:r>
              <w:rPr>
                <w:rFonts w:ascii="Times New Roman;serif" w:hAnsi="Times New Roman;serif"/>
                <w:b w:val="false"/>
                <w:color w:val="000000"/>
                <w:sz w:val="13"/>
              </w:rPr>
              <w:t>(1)</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1,750</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3.125% notes due 2050 </w:t>
            </w:r>
            <w:r>
              <w:rPr>
                <w:rFonts w:ascii="Times New Roman;serif" w:hAnsi="Times New Roman;serif"/>
                <w:b w:val="false"/>
                <w:color w:val="000000"/>
                <w:sz w:val="13"/>
              </w:rPr>
              <w:t>(1)</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2.820% notes due 2051 </w:t>
            </w:r>
            <w:r>
              <w:rPr>
                <w:rFonts w:ascii="Times New Roman;serif" w:hAnsi="Times New Roman;serif"/>
                <w:b w:val="false"/>
                <w:color w:val="000000"/>
                <w:sz w:val="13"/>
              </w:rPr>
              <w:t>(1)</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3.030% notes due 2052 </w:t>
            </w:r>
            <w:r>
              <w:rPr>
                <w:rFonts w:ascii="Times New Roman;serif" w:hAnsi="Times New Roman;serif"/>
                <w:b w:val="false"/>
                <w:color w:val="000000"/>
                <w:sz w:val="13"/>
              </w:rPr>
              <w:t>(1)</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5.375% notes due 2053 </w:t>
            </w:r>
            <w:r>
              <w:rPr>
                <w:rFonts w:ascii="Times New Roman;serif" w:hAnsi="Times New Roman;serif"/>
                <w:b w:val="false"/>
                <w:color w:val="000000"/>
                <w:sz w:val="13"/>
              </w:rPr>
              <w:t>(1)</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6.400% notes due 2054 </w:t>
            </w:r>
            <w:r>
              <w:rPr>
                <w:rFonts w:ascii="Times New Roman;serif" w:hAnsi="Times New Roman;serif"/>
                <w:b w:val="false"/>
                <w:color w:val="000000"/>
                <w:sz w:val="13"/>
              </w:rPr>
              <w:t>(1)</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(including finance leases)</w:t>
            </w:r>
            <w:r>
              <w:rPr>
                <w:color w:val="000000"/>
              </w:rPr>
              <w:t xml:space="preserve"> </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long-term debt</w:t>
            </w:r>
          </w:p>
        </w:tc>
        <w:tc>
          <w:tcPr>
            <w:tcW w:w="13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37,253</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37,777 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(fair market value adjustments, (discounts)/premiums, and debt issuance costs)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3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37,169</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37,700 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30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31,490</w:t>
            </w:r>
            <w:r>
              <w:rPr>
                <w:color w:val="000000"/>
              </w:rPr>
              <w:t> </w:t>
            </w:r>
          </w:p>
        </w:tc>
        <w:tc>
          <w:tcPr>
            <w:tcW w:w="15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34,288 </w:t>
            </w:r>
          </w:p>
        </w:tc>
        <w:tc>
          <w:tcPr>
            <w:tcW w:w="22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6"/>
        </w:rPr>
        <w:t>(1)</w:t>
      </w:r>
      <w:r>
        <w:rPr>
          <w:color w:val="000000"/>
        </w:rPr>
        <w:t>    </w:t>
      </w:r>
      <w:r>
        <w:rPr>
          <w:rFonts w:ascii="Times New Roman;serif" w:hAnsi="Times New Roman;serif"/>
          <w:b w:val="false"/>
          <w:color w:val="000000"/>
          <w:sz w:val="16"/>
        </w:rPr>
        <w:t>We may redeem these notes, in whole or in part, at our option pursuant to their terms prior to the applicable maturity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average maturity of our long-term debt as of September 30, 2026 is approximately 12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10: Employee Benefit Plans</w:t>
      </w:r>
    </w:p>
    <w:p>
      <w:pPr>
        <w:pStyle w:val="TextBody"/>
        <w:bidi w:val="0"/>
        <w:spacing w:lineRule="auto" w:line="288" w:before="120" w:after="283"/>
        <w:jc w:val="both"/>
        <w:rPr/>
      </w:pPr>
      <w:r>
        <w:rPr>
          <w:rFonts w:ascii="Times New Roman;serif" w:hAnsi="Times New Roman;serif"/>
          <w:b/>
          <w:color w:val="000000"/>
          <w:sz w:val="20"/>
        </w:rPr>
        <w:t>Pension and Postretirement Plans.</w:t>
      </w:r>
      <w:r>
        <w:rPr>
          <w:color w:val="000000"/>
        </w:rPr>
        <w:t xml:space="preserve"> </w:t>
      </w:r>
      <w:r>
        <w:rPr>
          <w:rFonts w:ascii="Times New Roman;serif" w:hAnsi="Times New Roman;serif"/>
          <w:b w:val="false"/>
          <w:color w:val="000000"/>
          <w:sz w:val="20"/>
        </w:rPr>
        <w:t xml:space="preserve">We sponsor both funded and unfunded domestic and foreign defined benefit pension and postretirement benefit (PRB) plans and defined contribution plans.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Contributions to our plans were as follows:</w:t>
      </w:r>
    </w:p>
    <w:tbl>
      <w:tblPr>
        <w:tblW w:w="7548" w:type="dxa"/>
        <w:jc w:val="left"/>
        <w:tblInd w:w="0" w:type="dxa"/>
        <w:tblLayout w:type="fixed"/>
        <w:tblCellMar>
          <w:top w:w="28" w:type="dxa"/>
          <w:left w:w="28" w:type="dxa"/>
          <w:bottom w:w="28" w:type="dxa"/>
          <w:right w:w="28" w:type="dxa"/>
        </w:tblCellMar>
      </w:tblPr>
      <w:tblGrid>
        <w:gridCol w:w="838"/>
        <w:gridCol w:w="734"/>
        <w:gridCol w:w="737"/>
        <w:gridCol w:w="251"/>
        <w:gridCol w:w="573"/>
        <w:gridCol w:w="129"/>
        <w:gridCol w:w="129"/>
        <w:gridCol w:w="129"/>
        <w:gridCol w:w="129"/>
        <w:gridCol w:w="251"/>
        <w:gridCol w:w="555"/>
        <w:gridCol w:w="129"/>
        <w:gridCol w:w="109"/>
        <w:gridCol w:w="109"/>
        <w:gridCol w:w="109"/>
        <w:gridCol w:w="246"/>
        <w:gridCol w:w="737"/>
        <w:gridCol w:w="127"/>
        <w:gridCol w:w="127"/>
        <w:gridCol w:w="127"/>
        <w:gridCol w:w="127"/>
        <w:gridCol w:w="246"/>
        <w:gridCol w:w="720"/>
        <w:gridCol w:w="180"/>
      </w:tblGrid>
      <w:tr>
        <w:trPr/>
        <w:tc>
          <w:tcPr>
            <w:tcW w:w="83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contribution plans</w:t>
            </w:r>
          </w:p>
        </w:tc>
        <w:tc>
          <w:tcPr>
            <w:tcW w:w="2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w:t>
            </w:r>
            <w:r>
              <w:rPr>
                <w:color w:val="000000"/>
              </w:rPr>
              <w:t> </w:t>
            </w:r>
          </w:p>
        </w:tc>
        <w:tc>
          <w:tcPr>
            <w:tcW w:w="12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2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1,154</w:t>
            </w:r>
            <w:r>
              <w:rPr>
                <w:color w:val="000000"/>
              </w:rPr>
              <w:t> </w:t>
            </w:r>
          </w:p>
        </w:tc>
        <w:tc>
          <w:tcPr>
            <w:tcW w:w="12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8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amounts recognized in the Condensed Consolidated Balance Sheet consist of:</w:t>
      </w:r>
    </w:p>
    <w:tbl>
      <w:tblPr>
        <w:tblW w:w="10205" w:type="dxa"/>
        <w:jc w:val="left"/>
        <w:tblInd w:w="0" w:type="dxa"/>
        <w:tblLayout w:type="fixed"/>
        <w:tblCellMar>
          <w:top w:w="28" w:type="dxa"/>
          <w:left w:w="28" w:type="dxa"/>
          <w:bottom w:w="28" w:type="dxa"/>
          <w:right w:w="28" w:type="dxa"/>
        </w:tblCellMar>
      </w:tblPr>
      <w:tblGrid>
        <w:gridCol w:w="2469"/>
        <w:gridCol w:w="2160"/>
        <w:gridCol w:w="2169"/>
        <w:gridCol w:w="341"/>
        <w:gridCol w:w="1021"/>
        <w:gridCol w:w="176"/>
        <w:gridCol w:w="109"/>
        <w:gridCol w:w="109"/>
        <w:gridCol w:w="109"/>
        <w:gridCol w:w="330"/>
        <w:gridCol w:w="966"/>
        <w:gridCol w:w="246"/>
      </w:tblGrid>
      <w:tr>
        <w:trPr/>
        <w:tc>
          <w:tcPr>
            <w:tcW w:w="2469"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7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pension assets (included in Other assets)</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3,216</w:t>
            </w: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pension and PRB liabilities (included in Accrued employee compensation)</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8"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pension and postretirement benefit obligations</w:t>
            </w:r>
          </w:p>
        </w:tc>
        <w:tc>
          <w:tcPr>
            <w:tcW w:w="13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1,913</w:t>
            </w:r>
            <w:r>
              <w:rPr>
                <w:color w:val="000000"/>
              </w:rPr>
              <w:t> </w:t>
            </w:r>
          </w:p>
        </w:tc>
        <w:tc>
          <w:tcPr>
            <w:tcW w:w="17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24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amounts recognized in Future pension and postretirement benefit obligations consist of:</w:t>
      </w:r>
    </w:p>
    <w:tbl>
      <w:tblPr>
        <w:tblW w:w="7900" w:type="dxa"/>
        <w:jc w:val="left"/>
        <w:tblInd w:w="0" w:type="dxa"/>
        <w:tblLayout w:type="fixed"/>
        <w:tblCellMar>
          <w:top w:w="28" w:type="dxa"/>
          <w:left w:w="28" w:type="dxa"/>
          <w:bottom w:w="28" w:type="dxa"/>
          <w:right w:w="28" w:type="dxa"/>
        </w:tblCellMar>
      </w:tblPr>
      <w:tblGrid>
        <w:gridCol w:w="1626"/>
        <w:gridCol w:w="1427"/>
        <w:gridCol w:w="1431"/>
        <w:gridCol w:w="343"/>
        <w:gridCol w:w="1025"/>
        <w:gridCol w:w="177"/>
        <w:gridCol w:w="109"/>
        <w:gridCol w:w="109"/>
        <w:gridCol w:w="109"/>
        <w:gridCol w:w="332"/>
        <w:gridCol w:w="970"/>
        <w:gridCol w:w="242"/>
      </w:tblGrid>
      <w:tr>
        <w:trPr/>
        <w:tc>
          <w:tcPr>
            <w:tcW w:w="162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pension liabilities</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1,389</w:t>
            </w:r>
            <w:r>
              <w:rPr>
                <w:color w:val="000000"/>
              </w:rPr>
              <w:t>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PRB liabilities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454</w:t>
            </w: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PRB related items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pension and postretirement benefit obligations</w:t>
            </w:r>
          </w:p>
        </w:tc>
        <w:tc>
          <w:tcPr>
            <w:tcW w:w="34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1,913</w:t>
            </w:r>
            <w:r>
              <w:rPr>
                <w:color w:val="000000"/>
              </w:rPr>
              <w:t> </w:t>
            </w:r>
          </w:p>
        </w:tc>
        <w:tc>
          <w:tcPr>
            <w:tcW w:w="17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24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net periodic income for our defined pension plans were as follows:</w:t>
      </w:r>
    </w:p>
    <w:tbl>
      <w:tblPr>
        <w:tblW w:w="10205" w:type="dxa"/>
        <w:jc w:val="left"/>
        <w:tblInd w:w="0" w:type="dxa"/>
        <w:tblLayout w:type="fixed"/>
        <w:tblCellMar>
          <w:top w:w="28" w:type="dxa"/>
          <w:left w:w="28" w:type="dxa"/>
          <w:bottom w:w="28" w:type="dxa"/>
          <w:right w:w="28" w:type="dxa"/>
        </w:tblCellMar>
      </w:tblPr>
      <w:tblGrid>
        <w:gridCol w:w="1872"/>
        <w:gridCol w:w="1637"/>
        <w:gridCol w:w="1597"/>
        <w:gridCol w:w="230"/>
        <w:gridCol w:w="581"/>
        <w:gridCol w:w="119"/>
        <w:gridCol w:w="119"/>
        <w:gridCol w:w="119"/>
        <w:gridCol w:w="119"/>
        <w:gridCol w:w="230"/>
        <w:gridCol w:w="581"/>
        <w:gridCol w:w="119"/>
        <w:gridCol w:w="109"/>
        <w:gridCol w:w="109"/>
        <w:gridCol w:w="109"/>
        <w:gridCol w:w="241"/>
        <w:gridCol w:w="608"/>
        <w:gridCol w:w="124"/>
        <w:gridCol w:w="124"/>
        <w:gridCol w:w="124"/>
        <w:gridCol w:w="124"/>
        <w:gridCol w:w="241"/>
        <w:gridCol w:w="608"/>
        <w:gridCol w:w="361"/>
      </w:tblGrid>
      <w:tr>
        <w:trPr/>
        <w:tc>
          <w:tcPr>
            <w:tcW w:w="1872"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(income)</w:t>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1,521</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(2,507)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actuarial net loss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settlement, curtailment, and special termination benefit loss (gain)</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1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pension income</w:t>
            </w:r>
          </w:p>
        </w:tc>
        <w:tc>
          <w:tcPr>
            <w:tcW w:w="8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(347)</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(1,049)</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periodic pension income</w:t>
            </w:r>
          </w:p>
        </w:tc>
        <w:tc>
          <w:tcPr>
            <w:tcW w:w="230"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1"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(306)</w:t>
            </w:r>
          </w:p>
        </w:tc>
        <w:tc>
          <w:tcPr>
            <w:tcW w:w="119"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19"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8"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(926)</w:t>
            </w:r>
          </w:p>
        </w:tc>
        <w:tc>
          <w:tcPr>
            <w:tcW w:w="124"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w:t>
            </w:r>
          </w:p>
        </w:tc>
        <w:tc>
          <w:tcPr>
            <w:tcW w:w="361"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set aside assets in separate trusts, which we expect to be used to pay for certain nonqualified defined benefit and defined contribution plan obligations in excess of qualified plan limits. These assets are included in Other assets in our Condensed Consolidated Balance Sheet. The fair value of marketable securities held in trusts was as follows:</w:t>
      </w:r>
    </w:p>
    <w:tbl>
      <w:tblPr>
        <w:tblW w:w="6372" w:type="dxa"/>
        <w:jc w:val="left"/>
        <w:tblInd w:w="0" w:type="dxa"/>
        <w:tblLayout w:type="fixed"/>
        <w:tblCellMar>
          <w:top w:w="28" w:type="dxa"/>
          <w:left w:w="28" w:type="dxa"/>
          <w:bottom w:w="28" w:type="dxa"/>
          <w:right w:w="28" w:type="dxa"/>
        </w:tblCellMar>
      </w:tblPr>
      <w:tblGrid>
        <w:gridCol w:w="1072"/>
        <w:gridCol w:w="940"/>
        <w:gridCol w:w="943"/>
        <w:gridCol w:w="406"/>
        <w:gridCol w:w="928"/>
        <w:gridCol w:w="211"/>
        <w:gridCol w:w="109"/>
        <w:gridCol w:w="109"/>
        <w:gridCol w:w="109"/>
        <w:gridCol w:w="392"/>
        <w:gridCol w:w="866"/>
        <w:gridCol w:w="287"/>
      </w:tblGrid>
      <w:tr>
        <w:trPr/>
        <w:tc>
          <w:tcPr>
            <w:tcW w:w="107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5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held in trusts</w:t>
            </w:r>
          </w:p>
        </w:tc>
        <w:tc>
          <w:tcPr>
            <w:tcW w:w="40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707</w:t>
            </w:r>
            <w:r>
              <w:rPr>
                <w:color w:val="000000"/>
              </w:rPr>
              <w:t> </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8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11: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for the quarter and nine months ended September 30, 2026 was 18.0% and 16.9%, respectively, as compared to 17.7% and 16.8% for the quarter and nine months ended September 30,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quarter and nine months ended September 30, 2026 compared to the quarter and nine months ended September 30, 2025 are relatively consistent. The effective tax rate for the quarter and nine months ended September 30, 2026 includes a lower forecasted annualized effective tax rate for 2026 principally due to a higher Foreign Derived Deduction Eligible Income benefit resulting from the U.S. tax legislation enacted in 2025. The effective tax rate for the quarter and nine months ended September 30, 2025 includes tax benefits for certain legal entity reorganizations partially offset by tax expense due to the sale of the Collins actuation and flight control business.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 business globally and, as a result, RTX or one or more of our subsidiaries files income tax returns in the U.S. federal jurisdiction and various state and foreign jurisdictions. In the normal course of business, we are subject to examination by taxing authorities throughout the world, including the United States and other jurisdictions, such as Canada, China, France, Germany, India, Poland, Singapore, Switzerland, and the United Kingdom. With few exceptions, we are no longer subject to U.S. federal, state and local, or non-U.S. income tax examinations for years before 2014.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certain IRS audits, the Company has previously filed protests with respect to certain IRS proposed adjustments for RTX (formerly United Technologies Corporation) tax years 2017 and 2018, pre-acquisition Rockwell Collins tax years 2016, 2017, and 2018, and pre-merger Raytheon Company tax years 2017, 2018, and 2019 as well as certain refund claims of Raytheon Company for tax years 2014, 2015, and 2016 filed prior to the Raytheon merger. The Company is in the process of disputing these adjustments at the Appeals Division of the IRS. The Company currently expects resolution at the Appeals Division for the RTX, Rockwell, and Raytheon Company protests within the next twelve to eighteen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12: Financial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w:t>
      </w:r>
    </w:p>
    <w:p>
      <w:pPr>
        <w:pStyle w:val="TextBody"/>
        <w:bidi w:val="0"/>
        <w:spacing w:lineRule="auto" w:line="276" w:before="120" w:after="283"/>
        <w:jc w:val="both"/>
        <w:rPr/>
      </w:pPr>
      <w:r>
        <w:rPr>
          <w:rFonts w:ascii="Times New Roman;serif" w:hAnsi="Times New Roman;serif"/>
          <w:b w:val="false"/>
          <w:color w:val="000000"/>
          <w:sz w:val="20"/>
        </w:rPr>
        <w:t>The present value of the aggregate notional principal of our outstanding foreign currency hedges</w:t>
      </w:r>
      <w:r>
        <w:rPr>
          <w:color w:val="000000"/>
          <w:shd w:fill="FFFFFF" w:val="clear"/>
        </w:rPr>
        <w:t xml:space="preserve"> </w:t>
      </w:r>
      <w:r>
        <w:rPr>
          <w:rFonts w:ascii="Times New Roman;serif" w:hAnsi="Times New Roman;serif"/>
          <w:b w:val="false"/>
          <w:color w:val="000000"/>
          <w:sz w:val="20"/>
          <w:shd w:fill="FFFFFF" w:val="clear"/>
        </w:rPr>
        <w:t xml:space="preserve">was $25 billion and </w:t>
      </w:r>
      <w:r>
        <w:rPr>
          <w:rFonts w:ascii="Times New Roman;serif" w:hAnsi="Times New Roman;serif"/>
          <w:b w:val="false"/>
          <w:color w:val="000000"/>
          <w:sz w:val="20"/>
        </w:rPr>
        <w:t xml:space="preserve">$26 billion </w:t>
      </w:r>
      <w:r>
        <w:rPr>
          <w:rFonts w:ascii="Times New Roman;serif" w:hAnsi="Times New Roman;serif"/>
          <w:b w:val="false"/>
          <w:color w:val="000000"/>
          <w:sz w:val="20"/>
          <w:shd w:fill="FFFFFF" w:val="clear"/>
        </w:rPr>
        <w:t>at</w:t>
      </w:r>
      <w:r>
        <w:rPr>
          <w:color w:val="000000"/>
        </w:rPr>
        <w:t xml:space="preserve"> </w:t>
      </w:r>
      <w:r>
        <w:rPr>
          <w:rFonts w:ascii="Times New Roman;serif" w:hAnsi="Times New Roman;serif"/>
          <w:b w:val="false"/>
          <w:color w:val="000000"/>
          <w:sz w:val="20"/>
        </w:rPr>
        <w:t>September 30, 2026 and December 31, 2025, respectively. The following table summarizes the fair value and presentation in the Condensed Consolidated Balance Sheet for derivative instruments:</w:t>
      </w:r>
    </w:p>
    <w:tbl>
      <w:tblPr>
        <w:tblW w:w="9865" w:type="dxa"/>
        <w:jc w:val="left"/>
        <w:tblInd w:w="0" w:type="dxa"/>
        <w:tblLayout w:type="fixed"/>
        <w:tblCellMar>
          <w:top w:w="28" w:type="dxa"/>
          <w:left w:w="28" w:type="dxa"/>
          <w:bottom w:w="28" w:type="dxa"/>
          <w:right w:w="28" w:type="dxa"/>
        </w:tblCellMar>
      </w:tblPr>
      <w:tblGrid>
        <w:gridCol w:w="1594"/>
        <w:gridCol w:w="1397"/>
        <w:gridCol w:w="1403"/>
        <w:gridCol w:w="684"/>
        <w:gridCol w:w="684"/>
        <w:gridCol w:w="686"/>
        <w:gridCol w:w="406"/>
        <w:gridCol w:w="928"/>
        <w:gridCol w:w="211"/>
        <w:gridCol w:w="109"/>
        <w:gridCol w:w="109"/>
        <w:gridCol w:w="109"/>
        <w:gridCol w:w="392"/>
        <w:gridCol w:w="866"/>
        <w:gridCol w:w="287"/>
      </w:tblGrid>
      <w:tr>
        <w:trPr/>
        <w:tc>
          <w:tcPr>
            <w:tcW w:w="159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tc>
        <w:tc>
          <w:tcPr>
            <w:tcW w:w="2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current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w:t>
            </w: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2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current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334"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w:t>
            </w:r>
            <w:r>
              <w:rPr>
                <w:color w:val="000000"/>
              </w:rPr>
              <w:t> </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8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At September 30, 2026, all derivative contracts accounted for as cash flow hedges will m</w:t>
      </w:r>
      <w:r>
        <w:rPr>
          <w:rFonts w:ascii="Times New Roman;serif" w:hAnsi="Times New Roman;serif"/>
          <w:b w:val="false"/>
          <w:color w:val="000000"/>
          <w:sz w:val="20"/>
          <w:shd w:fill="FFFFFF" w:val="clear"/>
        </w:rPr>
        <w:t xml:space="preserve">ature by May 2036. </w:t>
      </w:r>
      <w:r>
        <w:rPr>
          <w:rFonts w:ascii="Times New Roman;serif" w:hAnsi="Times New Roman;serif"/>
          <w:b w:val="false"/>
          <w:color w:val="000000"/>
          <w:sz w:val="20"/>
        </w:rPr>
        <w:t>Cash receipts or payments on derivatives designated as cash flow hedges are recorded in Other operating activities, net within the Condensed Consolidated Statement of Cash Flows. The Company utilizes the critical terms match method for cash flow hedges in assessing derivatives for hedge effectiveness. Gains or losses attributable to cash flow hedging contract activity are primarily recorded as a component of Products sales when reclassified from Accumulated other comprehensive loss.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forward exchange contracts to partially hedge its net investment in certain foreign subsidiaries denominated in EUR and CAD. The Company assesses the effectiveness of its net investment hedges using the spot method. Cash receipts or payments on derivatives designated as net investment hedges are recorded as investing cash flows within the Condensed Consolidated Statement of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2026, a portion of our €500 million euro-denominated long-term debt was designated as a net investment hedge against our investments in European businesses.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 of cash flow hedging and net investment hedging relationships on Accumulated other comprehensive loss and on the Condensed Consolidated Statement of Operations in the quarters and nine months ended September 30, 2026 and 2025 are presented in “Note 17: Equity.” The hedged items and derivatives designated as hedging instruments are highly effective.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 of derivatives not designated as hedging instruments and related items is included within Other income, net, on the Condensed Consolidated Statement of Operations and is not significant. Cash receipts or payments related to the settlement of derivatives not designated as hedging instruments are recorded as investing cash flows within the Condensed Consolidated Statement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13: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the valuation hierarchy classification of assets and liabilities that are carried at fair value and measured on a recurring basis in our Condensed Consolidated Balance Sheet:</w:t>
      </w:r>
    </w:p>
    <w:tbl>
      <w:tblPr>
        <w:tblW w:w="7034" w:type="dxa"/>
        <w:jc w:val="left"/>
        <w:tblInd w:w="0" w:type="dxa"/>
        <w:tblLayout w:type="fixed"/>
        <w:tblCellMar>
          <w:top w:w="28" w:type="dxa"/>
          <w:left w:w="28" w:type="dxa"/>
          <w:bottom w:w="28" w:type="dxa"/>
          <w:right w:w="28" w:type="dxa"/>
        </w:tblCellMar>
      </w:tblPr>
      <w:tblGrid>
        <w:gridCol w:w="1082"/>
        <w:gridCol w:w="949"/>
        <w:gridCol w:w="953"/>
        <w:gridCol w:w="211"/>
        <w:gridCol w:w="481"/>
        <w:gridCol w:w="109"/>
        <w:gridCol w:w="109"/>
        <w:gridCol w:w="109"/>
        <w:gridCol w:w="109"/>
        <w:gridCol w:w="211"/>
        <w:gridCol w:w="481"/>
        <w:gridCol w:w="109"/>
        <w:gridCol w:w="109"/>
        <w:gridCol w:w="109"/>
        <w:gridCol w:w="109"/>
        <w:gridCol w:w="211"/>
        <w:gridCol w:w="376"/>
        <w:gridCol w:w="109"/>
        <w:gridCol w:w="109"/>
        <w:gridCol w:w="109"/>
        <w:gridCol w:w="109"/>
        <w:gridCol w:w="211"/>
        <w:gridCol w:w="406"/>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9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fair value measurements: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held in trusts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69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tbl>
      <w:tblPr>
        <w:tblW w:w="6989" w:type="dxa"/>
        <w:jc w:val="left"/>
        <w:tblInd w:w="0" w:type="dxa"/>
        <w:tblLayout w:type="fixed"/>
        <w:tblCellMar>
          <w:top w:w="28" w:type="dxa"/>
          <w:left w:w="28" w:type="dxa"/>
          <w:bottom w:w="28" w:type="dxa"/>
          <w:right w:w="28" w:type="dxa"/>
        </w:tblCellMar>
      </w:tblPr>
      <w:tblGrid>
        <w:gridCol w:w="1082"/>
        <w:gridCol w:w="949"/>
        <w:gridCol w:w="953"/>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211"/>
        <w:gridCol w:w="406"/>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9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fair value measurements: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held in trusts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67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color w:val="000000"/>
          <w:sz w:val="20"/>
        </w:rPr>
        <w:t>Valuation Techniques.</w:t>
      </w:r>
      <w:r>
        <w:rPr>
          <w:color w:val="000000"/>
        </w:rPr>
        <w:t xml:space="preserve"> </w:t>
      </w:r>
      <w:r>
        <w:rPr>
          <w:rFonts w:ascii="Times New Roman;serif" w:hAnsi="Times New Roman;serif"/>
          <w:b w:val="false"/>
          <w:color w:val="000000"/>
          <w:sz w:val="20"/>
        </w:rPr>
        <w:t>Our derivative assets and liabilities include foreign exchange contracts that are measured at fair value using internal models based on observable market inputs such as forward rates, interest rates, our own credit risk, and our counterparties’ credit risks.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2026, there has not been any significant impact to the fair value of our derivative liabilities due to our own credit risk. Similarly, there has not been any significant adverse impact to our derivative assets based on our evaluation of our counterparties’ credit risks.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carrying amounts and fair values of financial instruments that are not carried at fair value in our Condensed Consolidated Balance Sheet:</w:t>
      </w:r>
    </w:p>
    <w:tbl>
      <w:tblPr>
        <w:tblW w:w="8760" w:type="dxa"/>
        <w:jc w:val="left"/>
        <w:tblInd w:w="0" w:type="dxa"/>
        <w:tblLayout w:type="fixed"/>
        <w:tblCellMar>
          <w:top w:w="28" w:type="dxa"/>
          <w:left w:w="28" w:type="dxa"/>
          <w:bottom w:w="28" w:type="dxa"/>
          <w:right w:w="28" w:type="dxa"/>
        </w:tblCellMar>
      </w:tblPr>
      <w:tblGrid>
        <w:gridCol w:w="1284"/>
        <w:gridCol w:w="1126"/>
        <w:gridCol w:w="1130"/>
        <w:gridCol w:w="211"/>
        <w:gridCol w:w="736"/>
        <w:gridCol w:w="109"/>
        <w:gridCol w:w="109"/>
        <w:gridCol w:w="109"/>
        <w:gridCol w:w="109"/>
        <w:gridCol w:w="211"/>
        <w:gridCol w:w="736"/>
        <w:gridCol w:w="109"/>
        <w:gridCol w:w="109"/>
        <w:gridCol w:w="109"/>
        <w:gridCol w:w="109"/>
        <w:gridCol w:w="211"/>
        <w:gridCol w:w="721"/>
        <w:gridCol w:w="109"/>
        <w:gridCol w:w="109"/>
        <w:gridCol w:w="109"/>
        <w:gridCol w:w="109"/>
        <w:gridCol w:w="211"/>
        <w:gridCol w:w="721"/>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finance leases)</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37,106</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32,932</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37,627 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35,733 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the valuation hierarchy classification of assets and liabilities that are not carried at fair value in our Condensed Consolidated Balance Sheet:</w:t>
      </w:r>
    </w:p>
    <w:tbl>
      <w:tblPr>
        <w:tblW w:w="8205" w:type="dxa"/>
        <w:jc w:val="left"/>
        <w:tblInd w:w="0" w:type="dxa"/>
        <w:tblLayout w:type="fixed"/>
        <w:tblCellMar>
          <w:top w:w="28" w:type="dxa"/>
          <w:left w:w="28" w:type="dxa"/>
          <w:bottom w:w="28" w:type="dxa"/>
          <w:right w:w="28" w:type="dxa"/>
        </w:tblCellMar>
      </w:tblPr>
      <w:tblGrid>
        <w:gridCol w:w="1284"/>
        <w:gridCol w:w="1126"/>
        <w:gridCol w:w="1130"/>
        <w:gridCol w:w="211"/>
        <w:gridCol w:w="736"/>
        <w:gridCol w:w="109"/>
        <w:gridCol w:w="109"/>
        <w:gridCol w:w="109"/>
        <w:gridCol w:w="109"/>
        <w:gridCol w:w="211"/>
        <w:gridCol w:w="406"/>
        <w:gridCol w:w="109"/>
        <w:gridCol w:w="109"/>
        <w:gridCol w:w="109"/>
        <w:gridCol w:w="109"/>
        <w:gridCol w:w="211"/>
        <w:gridCol w:w="736"/>
        <w:gridCol w:w="109"/>
        <w:gridCol w:w="109"/>
        <w:gridCol w:w="109"/>
        <w:gridCol w:w="109"/>
        <w:gridCol w:w="211"/>
        <w:gridCol w:w="481"/>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finance leases)</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32,932</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31,977</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955</w:t>
            </w:r>
            <w:r>
              <w:rPr>
                <w:color w:val="000000"/>
              </w:rPr>
              <w:t>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tbl>
      <w:tblPr>
        <w:tblW w:w="8160" w:type="dxa"/>
        <w:jc w:val="center"/>
        <w:tblInd w:w="0" w:type="dxa"/>
        <w:tblLayout w:type="fixed"/>
        <w:tblCellMar>
          <w:top w:w="28" w:type="dxa"/>
          <w:left w:w="28" w:type="dxa"/>
          <w:bottom w:w="28" w:type="dxa"/>
          <w:right w:w="28" w:type="dxa"/>
        </w:tblCellMar>
      </w:tblPr>
      <w:tblGrid>
        <w:gridCol w:w="1284"/>
        <w:gridCol w:w="1126"/>
        <w:gridCol w:w="1130"/>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466"/>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finance leases)</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35,733 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34,800 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our Short-term borrowings approximates the carrying value due to their short-term nature and is classified as level 3 within the fair value hierarchy.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financial instruments listed in the tables above, we also make strategic investments through RTX Ventures in companies that we believe are advancing or developing new technologies applicable to our business. These investments are primarily in early</w:t>
        <w:noBreakHyphen/>
        <w:t>stage companies and may be in the form of convertible debt or equity investments. Most of these investments are in equity securities without readily determinable fair values. These securities are measured at cost with adjustments recorded for observable price changes. The carrying amounts of the investments were approximately $0.6 billion and $0.3 billion at September 30, 2026 and December 31, 2025, respectively. Net gains recorded due to adjustments in valuation and/or sales of investments were $0.2 billion the quarter ended September 30, 2026 and $0.3 billion for the nine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14: Variable Interest Entities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the International Aero Engines, LLC (IAE LLC) collaboration, whose business purpose is to coordinate the design, development, manufacturing, and product support for the PW1100G-JM engine for the Airbus A320neo family of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 &amp; Whitney as the primary beneficiary. IAE and IAE LLC have, therefore, been consolidated. Other collaborators participate in Pratt &amp; Whitney’s program share interest in IAE and IAE LLC. Pratt &amp; Whitney’s net program share interest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IAE and IAE LLC, after considering its sub-collaborator share, is 57% and 51%, respectively. The carrying amounts and classification of assets and liabilities for variable interest entities in our Condensed Consolidated Balance Sheet are as follows:</w:t>
      </w:r>
    </w:p>
    <w:tbl>
      <w:tblPr>
        <w:tblW w:w="5336" w:type="dxa"/>
        <w:jc w:val="left"/>
        <w:tblInd w:w="0" w:type="dxa"/>
        <w:tblLayout w:type="fixed"/>
        <w:tblCellMar>
          <w:top w:w="28" w:type="dxa"/>
          <w:left w:w="28" w:type="dxa"/>
          <w:bottom w:w="28" w:type="dxa"/>
          <w:right w:w="28" w:type="dxa"/>
        </w:tblCellMar>
      </w:tblPr>
      <w:tblGrid>
        <w:gridCol w:w="697"/>
        <w:gridCol w:w="610"/>
        <w:gridCol w:w="613"/>
        <w:gridCol w:w="308"/>
        <w:gridCol w:w="1077"/>
        <w:gridCol w:w="159"/>
        <w:gridCol w:w="109"/>
        <w:gridCol w:w="109"/>
        <w:gridCol w:w="109"/>
        <w:gridCol w:w="300"/>
        <w:gridCol w:w="1026"/>
        <w:gridCol w:w="219"/>
      </w:tblGrid>
      <w:tr>
        <w:trPr/>
        <w:tc>
          <w:tcPr>
            <w:tcW w:w="69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16,511</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14,703 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1,299</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17,810</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15,894 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08"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17,635</w:t>
            </w:r>
            <w:r>
              <w:rPr>
                <w:color w:val="000000"/>
              </w:rPr>
              <w:t> </w:t>
            </w:r>
          </w:p>
        </w:tc>
        <w:tc>
          <w:tcPr>
            <w:tcW w:w="15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16,265 </w:t>
            </w:r>
          </w:p>
        </w:tc>
        <w:tc>
          <w:tcPr>
            <w:tcW w:w="21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0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17,717</w:t>
            </w:r>
            <w:r>
              <w:rPr>
                <w:color w:val="000000"/>
              </w:rPr>
              <w:t> </w:t>
            </w:r>
          </w:p>
        </w:tc>
        <w:tc>
          <w:tcPr>
            <w:tcW w:w="15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16,381 </w:t>
            </w:r>
          </w:p>
        </w:tc>
        <w:tc>
          <w:tcPr>
            <w:tcW w:w="21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15: Guarantees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extend a variety of financial, market value, and product performance guarantees to third parties. These instruments expire on various dates through 2062. Additional guarantees of project performance for which there is no stated value also remain outstanding. A portion of our third party guarantees are subject to indemnification for our benefit for any liabilities that could arise. As of September 30, 2026 and December 31, 2025, the following financial guarantees were outstanding:</w:t>
      </w:r>
    </w:p>
    <w:tbl>
      <w:tblPr>
        <w:tblW w:w="10205" w:type="dxa"/>
        <w:jc w:val="left"/>
        <w:tblInd w:w="0" w:type="dxa"/>
        <w:tblLayout w:type="fixed"/>
        <w:tblCellMar>
          <w:top w:w="28" w:type="dxa"/>
          <w:left w:w="28" w:type="dxa"/>
          <w:bottom w:w="28" w:type="dxa"/>
          <w:right w:w="28" w:type="dxa"/>
        </w:tblCellMar>
      </w:tblPr>
      <w:tblGrid>
        <w:gridCol w:w="1031"/>
        <w:gridCol w:w="888"/>
        <w:gridCol w:w="792"/>
        <w:gridCol w:w="489"/>
        <w:gridCol w:w="875"/>
        <w:gridCol w:w="256"/>
        <w:gridCol w:w="109"/>
        <w:gridCol w:w="109"/>
        <w:gridCol w:w="109"/>
        <w:gridCol w:w="466"/>
        <w:gridCol w:w="900"/>
        <w:gridCol w:w="245"/>
        <w:gridCol w:w="109"/>
        <w:gridCol w:w="109"/>
        <w:gridCol w:w="109"/>
        <w:gridCol w:w="433"/>
        <w:gridCol w:w="960"/>
        <w:gridCol w:w="227"/>
        <w:gridCol w:w="109"/>
        <w:gridCol w:w="109"/>
        <w:gridCol w:w="109"/>
        <w:gridCol w:w="453"/>
        <w:gridCol w:w="870"/>
        <w:gridCol w:w="339"/>
      </w:tblGrid>
      <w:tr>
        <w:trPr/>
        <w:tc>
          <w:tcPr>
            <w:tcW w:w="103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Potential Payment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of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Potential Payment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of Liability</w:t>
            </w:r>
          </w:p>
        </w:tc>
      </w:tr>
      <w:tr>
        <w:trPr/>
        <w:tc>
          <w:tcPr>
            <w:tcW w:w="27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 financing arrangements</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party guarantees</w:t>
            </w:r>
          </w:p>
        </w:tc>
        <w:tc>
          <w:tcPr>
            <w:tcW w:w="1364"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25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2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made residual value and other guarantees related to various commercial aerospace customer financing arrangements. The estimated fair market values of the guaranteed assets equal or exceed the value of the related guarantees.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service and product warranties and product performance guarantees for the nine months ended September 30, 2026 and 2025 were as follows:</w:t>
      </w:r>
    </w:p>
    <w:tbl>
      <w:tblPr>
        <w:tblW w:w="6440" w:type="dxa"/>
        <w:jc w:val="left"/>
        <w:tblInd w:w="0" w:type="dxa"/>
        <w:tblLayout w:type="fixed"/>
        <w:tblCellMar>
          <w:top w:w="28" w:type="dxa"/>
          <w:left w:w="28" w:type="dxa"/>
          <w:bottom w:w="28" w:type="dxa"/>
          <w:right w:w="28" w:type="dxa"/>
        </w:tblCellMar>
      </w:tblPr>
      <w:tblGrid>
        <w:gridCol w:w="1398"/>
        <w:gridCol w:w="1226"/>
        <w:gridCol w:w="1230"/>
        <w:gridCol w:w="109"/>
        <w:gridCol w:w="109"/>
        <w:gridCol w:w="109"/>
        <w:gridCol w:w="211"/>
        <w:gridCol w:w="631"/>
        <w:gridCol w:w="109"/>
        <w:gridCol w:w="109"/>
        <w:gridCol w:w="109"/>
        <w:gridCol w:w="109"/>
        <w:gridCol w:w="211"/>
        <w:gridCol w:w="61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and performance guarantees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1,022</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Product and service guarantees incurred in connection with long term production contracts and certain aftermarket arrangements are generally accounted for within the contract estimates at completion.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16: 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Except as otherwise noted, while we are unable to predict the final outcome, based on information currently available, we do not believe that resolution of any of the following matters will have a material adverse effect upon our competitive position, results of operations, financial condition, or liquidity.</w:t>
      </w:r>
    </w:p>
    <w:p>
      <w:pPr>
        <w:pStyle w:val="TextBody"/>
        <w:bidi w:val="0"/>
        <w:spacing w:lineRule="auto" w:line="288" w:before="120" w:after="283"/>
        <w:jc w:val="both"/>
        <w:rPr/>
      </w:pPr>
      <w:r>
        <w:rPr>
          <w:rFonts w:ascii="Times New Roman;serif" w:hAnsi="Times New Roman;serif"/>
          <w:b/>
          <w:color w:val="000000"/>
          <w:sz w:val="20"/>
        </w:rPr>
        <w:t>Environmental.</w:t>
      </w:r>
      <w:r>
        <w:rPr>
          <w:color w:val="000000"/>
        </w:rPr>
        <w:t xml:space="preserve"> </w:t>
      </w:r>
      <w:r>
        <w:rPr>
          <w:rFonts w:ascii="Times New Roman;serif" w:hAnsi="Times New Roman;serif"/>
          <w:b w:val="false"/>
          <w:color w:val="000000"/>
          <w:sz w:val="20"/>
        </w:rPr>
        <w:t xml:space="preserve">Our operations are subject to environmental regulation by federal, state, and local authorities in the United States and regulatory authorities with jurisdiction over our foreign operations. We have accrued for the costs of environmental remediation activities, including but not limited to investigatory, remediation, operating and maintenance costs,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performance guarantees, and periodically reassess these amounts. We do not expect any additional liability to have a material adverse effect on our results of operations, financial condition, or liquidity. As of both September 30, 2026 and December 31, 2025, we had $0.8 billion reserved for environmental remediation.</w:t>
      </w:r>
    </w:p>
    <w:p>
      <w:pPr>
        <w:pStyle w:val="TextBody"/>
        <w:bidi w:val="0"/>
        <w:spacing w:lineRule="auto" w:line="288" w:before="120" w:after="283"/>
        <w:jc w:val="both"/>
        <w:rPr/>
      </w:pPr>
      <w:r>
        <w:rPr>
          <w:rFonts w:ascii="Times New Roman;serif" w:hAnsi="Times New Roman;serif"/>
          <w:b/>
          <w:color w:val="000000"/>
          <w:sz w:val="20"/>
        </w:rPr>
        <w:t>Commercial Aerospace Financing and Other Commitments.</w:t>
      </w:r>
      <w:r>
        <w:rPr>
          <w:color w:val="000000"/>
        </w:rPr>
        <w:t xml:space="preserve"> </w:t>
      </w:r>
      <w:r>
        <w:rPr>
          <w:rFonts w:ascii="Times New Roman;serif" w:hAnsi="Times New Roman;serif"/>
          <w:b w:val="false"/>
          <w:color w:val="000000"/>
          <w:sz w:val="20"/>
        </w:rPr>
        <w:t xml:space="preserve">We had commercial aerospace financing commitments and other contractual commitments of approximately $12 billion and $13 billion as of September 30, 2026 and December 31, 2025, respectively, on a gross basis before reduction for our collaboration partners’ share. Aircraft financing commitments, in the form of debt or lease financing, are provided to certain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pay deposits on behalf of our customers to secure production slots with the airframers (pre-delivery payments). Our financing commitments with customers are contingent upon maintenance of certain levels of financial condition by our customers. Associated risks on these commitments are mitigated due to the fact that interest rates are variable during the commitment term and are set at the date of funding based on current market conditions, the fair value of the underlying collateral, and the creditworthiness of our customers. As a result, the fair value of these financing commitments is expected to equal the amounts funded.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other contractual commitments to make payments to secure certain contractual rights to provide product on new aircraft platforms. The estimated amount and timing of these payments are generally based on future sales or engine flight hours. Payments made on these contractual commitments are included within intangible assets as exclusivity assets and are amortized over the term of underlying economic benefit. We have entered into certain collaboration arrangements, which may include participation by our collaboration partners in these commitments. 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will be capitalized as collaboration intangible assets as payments are made. </w:t>
      </w:r>
    </w:p>
    <w:p>
      <w:pPr>
        <w:pStyle w:val="TextBody"/>
        <w:bidi w:val="0"/>
        <w:spacing w:lineRule="auto" w:line="288" w:before="120" w:after="283"/>
        <w:jc w:val="both"/>
        <w:rPr/>
      </w:pPr>
      <w:r>
        <w:rPr>
          <w:rFonts w:ascii="Times New Roman;serif" w:hAnsi="Times New Roman;serif"/>
          <w:b/>
          <w:color w:val="000000"/>
          <w:sz w:val="20"/>
        </w:rPr>
        <w:t>Other Financing Arrangements.</w:t>
      </w:r>
      <w:r>
        <w:rPr>
          <w:color w:val="000000"/>
        </w:rPr>
        <w:t xml:space="preserve"> </w:t>
      </w:r>
      <w:r>
        <w:rPr>
          <w:rFonts w:ascii="Times New Roman;serif" w:hAnsi="Times New Roman;serif"/>
          <w:b w:val="false"/>
          <w:color w:val="000000"/>
          <w:sz w:val="20"/>
        </w:rPr>
        <w:t>We have entered into standby letters of credit and surety bonds with financial institutions to meet various bid, performance, warranty, retention, guarantee, and advance payment obligations for us or our affiliates. We enter into these agreements to assist certain affiliates in obtaining financing on more favorable terms, making bids on contracts, and performing their contractual and other obligations. The stated values of these letters of credit agreements and surety bonds totaled $4.2 billion as of September 30, 2026.</w:t>
      </w:r>
    </w:p>
    <w:p>
      <w:pPr>
        <w:pStyle w:val="TextBody"/>
        <w:bidi w:val="0"/>
        <w:spacing w:lineRule="auto" w:line="288" w:before="120" w:after="283"/>
        <w:jc w:val="both"/>
        <w:rPr/>
      </w:pPr>
      <w:r>
        <w:rPr>
          <w:rFonts w:ascii="Times New Roman;serif" w:hAnsi="Times New Roman;serif"/>
          <w:b/>
          <w:color w:val="000000"/>
          <w:sz w:val="20"/>
        </w:rPr>
        <w:t>Offset / Industrial Participation Obligations.</w:t>
      </w:r>
      <w:r>
        <w:rPr>
          <w:color w:val="000000"/>
        </w:rPr>
        <w:t xml:space="preserve"> </w:t>
      </w:r>
      <w:r>
        <w:rPr>
          <w:rFonts w:ascii="Times New Roman;serif" w:hAnsi="Times New Roman;serif"/>
          <w:b w:val="false"/>
          <w:color w:val="000000"/>
          <w:sz w:val="20"/>
        </w:rPr>
        <w:t>We have entered into industrial cooperation agreements, sometimes in the form of either offset agreements or ICIP agreements, as a condition to obtaining orders for our products and services from certain customers in foreign countries. At September 30, 2026, the aggregate amount of these agreements, both agreed to and anticipated to be agreed to, had an outstanding notional value of approximately $13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pStyle w:val="TextBody"/>
        <w:bidi w:val="0"/>
        <w:spacing w:lineRule="auto" w:line="288" w:before="120" w:after="283"/>
        <w:jc w:val="both"/>
        <w:rPr/>
      </w:pPr>
      <w:r>
        <w:rPr>
          <w:rFonts w:ascii="Times New Roman;serif" w:hAnsi="Times New Roman;serif"/>
          <w:b/>
          <w:color w:val="000000"/>
          <w:sz w:val="20"/>
        </w:rPr>
        <w:t>Government Oversight.</w:t>
      </w:r>
      <w:r>
        <w:rPr>
          <w:color w:val="000000"/>
        </w:rPr>
        <w:t xml:space="preserve"> </w:t>
      </w:r>
      <w:r>
        <w:rPr>
          <w:rFonts w:ascii="Times New Roman;serif" w:hAnsi="Times New Roman;serif"/>
          <w:b w:val="false"/>
          <w:color w:val="000000"/>
          <w:sz w:val="20"/>
        </w:rPr>
        <w:t xml:space="preserve">In the ordinary course of business, the Company and its subsidiaries and our properties are subject to regulatory and governmental examinations, information gathering requests, inquiries, investigations, and threatened legal actions and proceedings. For example, we are now, and believe that, in light of the current U.S. government contracting and overall enforcement environment, we will continue to be the subject of one or more U.S. government investigations. Our contracts with the U.S. government are also subject to audits. Agencies that oversee contract performance include: the Defense Contract Audit Agency (DCAA), the Defense Contract Management Agency (DCMA), the Inspectors General of the U.S. Department of War (DoW)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administrative, civil, or criminal liabilities, including the imposition of repayment obligations, fines, treble or other damages, forfeitures, disgorgement, restitution, or penalties, the suspension of government export licenses, and/or suspension or debarment from future U.S. government contracting. They could also result in deferred prosecution agreements, administrative orders, consent agreements, guilty plea agreements, and/or imposition of an independent compliance monitor. U.S. government investigations often take years to complete. In particular, in 2024 the Company entered into a deferred prosecution agreement (DPA) (DPA-1) with the DOJ and the Company settled an administrative proceeding with the Securities and Exchange Commission (SEC) (the SEC Administrative Order) to resolve the previously disclosed criminal and civil government investigations into payments made by Raytheon Company and its joint venture, Thales-Raytheon Systems (TRS), in connection with certain Middle East contracts since 2012 (Thales-Raytheon Systems and Related Matters). The Company also entered into a DPA (DPA-2) and a False Claims Act (FCA) settlement agreement with the DOJ to resolve previously disclosed criminal and civil government investigations into defective pricing claims for certain legacy Raytheon Company contracts entered into between 2011 and 2013 and in 2017 (DOJ Investigation and Contract Pricing Disputes).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these DPAs and the SEC Administrative Order, Raytheon Company and the Company are required to undertake certain cooperation and disclosure obligations (for a term commencing on the effective date of DPA-1 and the SEC Administrative Order, as applicable, and ending three years from the date on which Raytheon Company and the Company engage an independent compliance monitor satisfactory to the DOJ and SEC). A single independent compliance monitor was selected to oversee Raytheon Company’s and the Company’s compliance with their respective obligations under the DPAs and the SEC Administrative Order, and that monitor was engaged in April 2026. In 2024, the Company also resolved certain voluntarily disclosed export controls violations primarily identified in connection with the integration of Rockwell Collins and, to a lesser extent, Raytheon Company, including certain violations that were resolved pursuant to a Consent Agreement (CA) with the Department of State (DOS). The CA, which has a three-year term, requires the Company to implement remedial compliance measures and to conduct an external audit of the Company’s International Traffic in Arms Regulations (ITAR) compliance program. The CA also requires appointment of an external, independent Special Compliance Officer (SCO). The Company appointed its SCO on September 27, 2024. </w:t>
      </w:r>
    </w:p>
    <w:p>
      <w:pPr>
        <w:pStyle w:val="TextBody"/>
        <w:bidi w:val="0"/>
        <w:spacing w:lineRule="auto" w:line="288" w:before="120" w:after="283"/>
        <w:jc w:val="both"/>
        <w:rPr/>
      </w:pPr>
      <w:r>
        <w:rPr>
          <w:rFonts w:ascii="Times New Roman;serif" w:hAnsi="Times New Roman;serif"/>
          <w:b w:val="false"/>
          <w:color w:val="000000"/>
          <w:sz w:val="20"/>
        </w:rPr>
        <w:t>Related to the DPAs, FCA settlement agreement, and CA, on September 21, 2026, Raytheon Company and the Company entered into an Administrative Agreement (AA) with the Department of the Navy (DON) Acquisition Integrity Office (AIO), where DON officials determined that suspension or debarment proceedings are not necessary to protect the U.S. government’s interests. During the AA’s three-year term, Raytheon Company and the Company are required to undertake certain cooperation and disclosure obligations consistent with the obligations of the DPAs, FCA settlement agreement, and CA. The independent compliance monitor engaged in April 2026 pursuant to the DPAs and SEC Administrative Order will also act as the independent compliance monitor as required by the AA.</w:t>
      </w:r>
      <w:r>
        <w:rPr>
          <w:color w:val="000000"/>
        </w:rPr>
        <w:t xml:space="preserve"> </w:t>
      </w:r>
      <w:r>
        <w:rPr>
          <w:rFonts w:ascii="Times New Roman;serif" w:hAnsi="Times New Roman;serif"/>
          <w:b w:val="false"/>
          <w:color w:val="000000"/>
          <w:sz w:val="20"/>
        </w:rPr>
        <w:t>During the term of the AA, Raytheon Company and the Company remain eligible to receive U.S. government contracts.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noted above, the U.S. government reserves the right to suspend or debar a contractor from receiving new government contracts for fraudulent, criminal, or other seriously improper conduct. The U.S. government could also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Our final 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Arms Export Control Act (AECA), Export Administration Regulations (EAR), Foreign Corrupt Practices Act (FCPA), and ITAR) may also be investigated or audited. In addition, we accrue for liabilities 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10-Q, we do not expect these audits, investigations, or disputes to have a material effect on our results of operations, financial condition, or liquidity, either individually or in the aggregate.</w:t>
      </w:r>
    </w:p>
    <w:p>
      <w:pPr>
        <w:pStyle w:val="TextBody"/>
        <w:bidi w:val="0"/>
        <w:spacing w:lineRule="auto" w:line="288" w:before="120" w:after="283"/>
        <w:jc w:val="both"/>
        <w:rPr/>
      </w:pPr>
      <w:r>
        <w:rPr>
          <w:rFonts w:ascii="Times New Roman;serif" w:hAnsi="Times New Roman;serif"/>
          <w:b/>
          <w:color w:val="000000"/>
          <w:sz w:val="20"/>
        </w:rPr>
        <w:t>Pratt &amp; Whitney Powder Metal Matter.</w:t>
      </w:r>
      <w:r>
        <w:rPr>
          <w:color w:val="000000"/>
        </w:rPr>
        <w:t xml:space="preserve"> </w:t>
      </w:r>
      <w:r>
        <w:rPr>
          <w:rFonts w:ascii="Times New Roman;serif" w:hAnsi="Times New Roman;serif"/>
          <w:b w:val="false"/>
          <w:color w:val="000000"/>
          <w:sz w:val="20"/>
        </w:rPr>
        <w:t xml:space="preserve">In 2023, Pratt &amp; Whitney determined that a rare condition in powder metal used to manufacture certain engine parts requires accelerated inspection of the PW1100 GTF fleet, which powers the A320neo.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determination was made pursuant to Pratt &amp; Whitney’s safety management system.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4, 2023, Pratt &amp; Whitney issued a special instruction (SI) to operators of PW1100 GTF powered A320neo aircraft, which required accelerated inspections and engine removals covering an initial subset of operational engines, no later than September 15, 2023. During the third quarter of 2023, through its safety management system, Pratt &amp; Whitney continued its engineering and industrial assessment, which resulted in an updated fleet management plan for the remaining PW1100 fleet. This updated plan requires a combination of part inspections and retirements for some high pressure turbine and high pressure compressor parts made from affected raw material. Guidance to affected operators was released via service bulletins (SB) and SI in November 2023, and this guidance has been reflected in airworthiness directives issued by the Federal Aviation Administration (FAA). Consistent with previous information, the actions are resulting in significant incremental shop visits.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this matter, Pratt &amp; Whitney expects aircraft on ground levels for the PW1100 powered A320neo fleet to remain elevated through 2026. As a result of anticipated increased aircraft on ground levels and expected compensation to customers for this disruption, as well as incremental maintenance costs resulting from increased inspections and shop visits, Pratt &amp; Whitney recorded a pre-tax operating profit charge in the third quarter of 2023 of $2.9 billion, reflecting Pratt &amp; Whitney’s net 51% program share of the PW1100 program. This amount reflected our best estimate of expected customer compensation for the estimated duration of the disruption as well as the EAC adjustment impact of this matter to Pratt &amp; Whitney’s long-term maintenance contracts. The incremental costs to the business’s long-term maintenance contracts include the estimated cost of additional inspections, replacement of parts, and other related impacts.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charge recorded in the third quarter of 2023 resulted in a net increase in Other accrued liabilities of $2.8 billion, which principally related to our 51% share of an accrual for expected customer compensation. At September 30, 2026 and December 31, 2025, we had other accrued liabilities of $0.2 billion and $0.7 billion, respectively, related to expected compensation to customers. The decrease in the accrual during the nine months ended September 30, 2026 was primarily due to customer compensation in the form of credits issued to customers during the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engine models within Pratt &amp; Whitney’s fleet contain parts manufactured with affected powder metal, but we do not currently believe there will be any resultant significant financial impact with respect to these other engine models at this time. The financial impact of the powder metal issue is based on historical experience and is subject to various assumptions and judgments, most notably, the number and expected timing of shop visits, inspection results and scope of work to be performed, turnaround time, availability of parts, available capacity at overhaul facilities, and outcomes of negotiations with impacted customers. While these assumptions reflect our best estimates at this time, they are subject to variability. Potential changes to these assumptions and actual incurred costs could significantly affect the estimates inherent in our financial statements and could have a material effect on the Company’s results of operations for the periods in which they are recognized.</w:t>
      </w:r>
    </w:p>
    <w:p>
      <w:pPr>
        <w:pStyle w:val="TextBody"/>
        <w:bidi w:val="0"/>
        <w:spacing w:lineRule="auto" w:line="288" w:before="120" w:after="283"/>
        <w:jc w:val="both"/>
        <w:rPr/>
      </w:pPr>
      <w:r>
        <w:rPr>
          <w:rFonts w:ascii="Times New Roman;serif" w:hAnsi="Times New Roman;serif"/>
          <w:b/>
          <w:color w:val="000000"/>
          <w:sz w:val="20"/>
        </w:rPr>
        <w:t xml:space="preserve">Legal Proceedings. </w:t>
      </w:r>
      <w:r>
        <w:rPr>
          <w:rFonts w:ascii="Times New Roman;serif" w:hAnsi="Times New Roman;serif"/>
          <w:b w:val="false"/>
          <w:color w:val="000000"/>
          <w:sz w:val="20"/>
        </w:rPr>
        <w:t>The Company and its subsidiaries are subject to various contract pricing disputes, government investigations, and litigation matters across jurisdictions, updates to certain of which are set forth below.</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Cost Accounting Standards Claims</w:t>
      </w:r>
    </w:p>
    <w:p>
      <w:pPr>
        <w:pStyle w:val="TextBody"/>
        <w:bidi w:val="0"/>
        <w:spacing w:lineRule="auto" w:line="288" w:before="120" w:after="283"/>
        <w:jc w:val="both"/>
        <w:rPr/>
      </w:pPr>
      <w:r>
        <w:rPr>
          <w:rFonts w:ascii="Times New Roman;serif" w:hAnsi="Times New Roman;serif"/>
          <w:b w:val="false"/>
          <w:color w:val="000000"/>
          <w:sz w:val="20"/>
        </w:rPr>
        <w:t xml:space="preserve">As previously disclosed, in April 2019, a Divisional Administrative Contracting Officer (DACO) of the United States DCMA asserted a claim against Pratt &amp; Whitney to recover alleged overpayments of approximately $1.7 billion plus interest ($1.6 billion at September 30, 2026).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 </w:t>
      </w:r>
      <w:r>
        <w:rPr>
          <w:rFonts w:ascii="Times New Roman;serif" w:hAnsi="Times New Roman;serif"/>
          <w:b w:val="false"/>
          <w:color w:val="000000"/>
          <w:sz w:val="20"/>
          <w:shd w:fill="FFFFFF" w:val="clear"/>
        </w:rPr>
        <w:t xml:space="preserve">On September 30, 2024, a DCMA DACO issued a second claim against Pratt &amp; Whitney that similarly alleges that Pratt &amp; Whitney was noncompliant with CAS due to its method of allocating independent research and development costs to government contracts from April 1, 2019 to December 31, 2023. The second claim demands payment of $1.1 billion plus interest ($490 million at </w:t>
      </w:r>
      <w:r>
        <w:rPr>
          <w:rFonts w:ascii="Times New Roman;serif" w:hAnsi="Times New Roman;serif"/>
          <w:b w:val="false"/>
          <w:color w:val="000000"/>
          <w:sz w:val="20"/>
        </w:rPr>
        <w:t>September 30, 2026</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Pratt &amp; Whitney believes the second claim is without merit and filed an appeal to the ASBCA on October 15,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December 2013, a DCMA DACO asserted a claim against Pratt &amp; Whitney to recover alleged overpayments of approximately $177 million plus interest ($229 million at September 30, 2026). The claim is based on Pratt &amp; 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On November 22, 2021, the ASBCA issued its written decision sustaining in part and denying in part Pratt &amp; Whitney’s appeal. The ASBCA rejected the DCMA’s asserted measure of the cost of collaborator parts, and ruled substantially in Pratt &amp; Whitney’s favor on other liability issues. The ASBCA remanded the appeal to the parties for resolution of damages issues, which could require further proceedings at the ASBCA. On December 23, 2021, the DCMA filed a motion with the ASBCA seeking partial reconsideration of the November 22, 2021 decision. The motion for reconsideration was denied on August 29, 2022. On December 23,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government filed an appeal to the United States Court of Appeals for the Federal Circuit (CAFC). On December 5, 2025, the CAFC issued an opinion which dismissed in part the government’s appeal for lack of jurisdiction, reversed in part the ASBCA’s November 22, 2021 decision with respect to the enforceability of a provision within a 2006 agreement between DCMA and Pratt &amp; Whitney, and remanded the case to the ASBCA for further proceedings. We continue to believe that the ASBCA’s rejection of the DCMA’s asserted measure of the cost of collaborator parts is well supported in fact and law. In December 2018, a DCMA DACO issued a second claim against Pratt &amp; Whitney that similarly alleges that its method of determining the cost of collaborator parts does not comply with the CAS for calendar years 2013 through 2017. This second claim, which asserts the same measure of the cost of collaborator parts rejected by the ASBCA’s November 22, 2021 decision, demands payment of $269 million plus interest ($210 million at September 30, 2026). Pratt &amp; Whitney appealed this second claim to the ASBCA in January 2019. In December 2023, a DCMA DACO issued a third claim against Pratt &amp; Whitney that similarly alleges that its method of determining the cost of collaborator parts does not comply with the CAS for calendar years 2018 through 2022. This third claim, which asserts the same measure of the cost of collaborator parts rejected by the ASBCA’s prior decision, demands payment of $277 million plus interest ($125 million at September 30, 2026). Pratt &amp; Whitney appealed this third claim to the ASBCA at the end of December 2023. Although subject to further litigation at the ASBCA and potentially further appellate proceedings, we continue to believe that the November 22, 2021 decision in the first claim will apply with equal legal effect to the second and third claims. Accordingly, we believe that the amounts demanded by the DCMA as set forth in the three claims are without legal basis and that any damages owed to the U.S. government for the three claims will not have a material adverse effect on our results of operations, financial condition, or liquidity.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Thales-Raytheon Systems and Related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October 15, 2024, Raytheon Company entered into DPA-1 with the DOJ and on October 16, 2024, the Company became subject to an administrative order issued by the SEC (the SEC Administrative Order) to resolve the previously disclosed criminal and civil government investigations into payments made by Raytheon Company and its joint venture, TRS, since 2012 in connection with certain Middle East contracts. Pursuant to DPA-1, among other terms, the DOJ will defer, for a period of three years, criminal prosecution of Raytheon Company related to one count of conspiracy to violate the anti-bribery provisions of the FCPA and one count of conspiracy to violate the AECA by failing to make related disclosures of certain payments that qualified as fees, commissions, and/or political contributions under Part 130 of ITAR. If Raytheon Company and the Company fully comply with all of their respective obligations under DPA-1 during its three-year term (commencing on the effective date of DPA-1 and ending three years from the date on which the monitor is engaged), the DOJ will move for dismissal with prejudice of the deferred charges against Raytheon Company. Under DPA-1, the SEC Administrative Order, and DPA-2 discussed in “DOJ Investigation and Contract Pricing Disputes” below, Raytheon Company and the Company are required, to undertake certain cooperation and disclosure obligations (for a term commencing on the effective date of DPA-1 and the SEC Administrative Order, as applicable, and ending three years from the date on which Raytheon Company and the Company engage an independent compliance monitor satisfactory to the DOJ and SEC). A single independent compliance monitor was selected to oversee Raytheon Company’s and the Company’s compliance with their respective obligations under DPA-1, the SEC Administrative Order, and DPA-2 discussed in “DOJ Investigation and Contract Pricing Disputes” below, and that monitor was engaged in April 2026. During the fourth quarter of 2024, the Company paid $384 million in the aggregate for DPA-1 and the SEC Administrative Order which was consistent with amounts accrued.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as described in “Government Oversight” above, on September 21, 2026, Raytheon Company and the Company entered into an AA with the DON AIO related to DPA-1, DPA-2 and the FCA settlement agreement discussed in “DOJ Investigation and Contract Pricing Disputes” below, and the CA discussed in “Trade Compliance Matters” below.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does not believe that these matters will have a material adverse effect on our results of operations, financial condition, or liquidity.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DOJ Investigation and Contract Pricing Disputes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October 16, 2024, Raytheon Company entered into DPA-2 and a FCA settlement agreement with the DOJ to resolve previously disclosed criminal and civil government investigations into defective pricing claims for certain legacy Raytheon Company contracts entered into between 2011 and 2013, and in 2017. Pursuant to DPA-2, among other terms, the DOJ will defer, for a period of three years, criminal prosecution of Raytheon Company related to two counts of major fraud against the United States by Raytheon Company involving two legacy contracts. If Raytheon Company and the Company fully comply with all of their respective obligations in DPA-2 during its three-year term (commencing on the effective date of DPA-1 and ending three years from the date on which the monitor is engaged), the DOJ will move for dismissal with prejudice of the deferred charges against Raytheon Company. Under DPA-2 as well as DPA-1 and the SEC Administrative Order discussed in “Thales-Raytheon Systems and Related Matters” above, Raytheon Company and the Company are required to undertake certain cooperation and disclosure obligations (for a term commencing on the effective date of DPA-1 and the SEC Administrative Order, as applicable, and ending three years from the date on which Raytheon Company and the Company engage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independent compliance monitor satisfactory to the DOJ and SEC). A single independent compliance monitor was selected to oversee Raytheon Company’s and the Company’s compliance with their respective obligations under DPA-2 as well as DPA-1 and the SEC Administrative Order discussed in “Thales-Raytheon Systems and Related Matters” above, and that monitor was engaged in April 2026. During the fourth quarter of 2024, the Company paid $580 million in the aggregate for DPA-2 and the FCA Settlement Agreement which was consistent with amounts accrued plus interest.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as described in “Government Oversight” above, on September 21, 2026, Raytheon Company and the Company entered into an AA with the DON AIO related to DPA-2 and the FCA settlement agreement, DPA-1 discussed in “Thales Raytheon Systems and Related Matters” above, and the CA discussed in “Trade Compliance Matters” below.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does not believe that these matters will have a material adverse effect on our results of operations, financial condition, or liquidity.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Trade Compliance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identify, investigate, remediate, and voluntarily disclose violations or potential violations of the ITAR and EAR to the relevant regulators. In May 2024, the DOS Office of Defense Trade Controls Compliance (DTCC) informed the Company of its intent to seek administrative penalties for alleged violations of the AECA and the ITAR. The DTCC informed us that it considers certain of our voluntary disclosures, primarily identified in connection with the integration of Rockwell Collins and, to a lesser extent, Raytheon Company, filed since 2019 to reflect deficiencies warranting a civil penalty. On August 29, 2024, the Company entered into a CA with the DOS to resolve these matters. The CA settles certain AECA and ITAR compliance matters with the DTCC and the Directorate of Defense Trade Controls. The CA has a three-year term and provides for: (i) a civil penalty of $200 million, $100 million of which is suspended on the condition that such amount is applied to DTCC-approved remedial compliance measures; (ii) the appointment of an external Special Compliance Officer (SCO) to oversee compliance with the CA, the AECA, and the ITAR; (iii) an external audit of the Company’s AECA and ITAR compliance program; and (iv) implementation of additional remedial compliance measures related to AECA and ITAR compliance. The $100 million portion of the settlement that is not subject to suspension has been paid in full. As previously disclosed, the Company has determined that there is a probable risk of liability for potential penalties related to other export compliance matters which have been voluntarily disclosed to the cognizant regulators, but which are not subject to the CA. We have $185 million accrued in the aggregate as of September 30, 2026 for these matters and the matters being resolved pursuant to the CA. We are currently unable to estimate the timing or outcome of the other voluntarily disclosed export compliance matters that are not subject to the CA.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as described in “Government Oversight” above, on September 21, 2026, Raytheon Company and the Company entered into an AA with the DON AIO related to the CA, DPA-1 discussed in “Thales Raytheon Systems and Related Matters” above, and DPA-2 and the FCA settlement agreement discussed in “DOJ Investigation and Contract Pricing Disputes” above.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does not believe these matters will have a material adverse effect on our results of operations, financial condition, or liquidity.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Powder Metal Disclosure Litigation and SEC Investigation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Following the Company’s disclosures of a rare condition in powder metal used to manufacture certain Pratt &amp; Whitney engine parts, two sets of civil actions were filed against RTX. First, two putative federal securities class action lawsuits were filed in the United States District Court for the District of Connecticut against the Company and certain current and former executives of the Company. The lawsuits allege that defendants violated federal securities laws by making material misstatements and omitting material facts relating to Pratt &amp; Whitney’s GTF engine fleet, including the impact of the powder metal issue on the fleet, in various regulatory filings. The lawsuits were consolidated, and on September 12, 2025, the Court granted the defendants’ motion to dismiss the consolidated case. On October 14, 2025, plaintiffs filed a Notice of Appeal to the United States Court of Appeals for the Second Circuit. Second, multiple shareholder derivative lawsuits have been filed against current and former officers and directors of the Company in the United States District Court for the District of Delaware. The complaints in these actions allege that the defendants caused the Company to make materially false and misleading statements relating to Pratt &amp; Whitney’s GTF engines, and failed to maintain an adequate system of oversight, disclosure controls and procedures, and internal controls over financial reporting. Based on the information available to date, we do not believe that either matter will have a material adverse effect on our results of operations, financial condition, or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received subpoenas from the SEC seeking engineering, operational, organizational, accounting, and financial documents and witness testimony in connection with an investigation relating to the Company’s disclosures in 2023 of issues arising from Pratt &amp; Whitney’s use of powder metal in manufacturing various engine parts, its identification of certain risks associated with those manufacturing processes, and corrective actions identified by Pratt &amp; Whitney to mitigate those risks.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Company is continuing to cooperate with the SEC’s ongoing investigation. At this time, we are unable to predict the timing or outcome of this SEC investigation.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Where appropriate, we have recorded loss contingency accruals for the above-referenced matters. Unless noted above, loss contingency accruals are immaterial individually or in the aggregate. </w:t>
      </w:r>
    </w:p>
    <w:p>
      <w:pPr>
        <w:pStyle w:val="TextBody"/>
        <w:bidi w:val="0"/>
        <w:spacing w:lineRule="auto" w:line="288" w:before="120" w:after="283"/>
        <w:jc w:val="both"/>
        <w:rPr/>
      </w:pPr>
      <w:r>
        <w:rPr>
          <w:rFonts w:ascii="Times New Roman;serif" w:hAnsi="Times New Roman;serif"/>
          <w:b/>
          <w:color w:val="000000"/>
          <w:sz w:val="20"/>
        </w:rPr>
        <w:t>Other.</w:t>
      </w:r>
      <w:r>
        <w:rPr>
          <w:color w:val="000000"/>
        </w:rPr>
        <w:t xml:space="preserve"> </w:t>
      </w:r>
      <w:r>
        <w:rPr>
          <w:rFonts w:ascii="Times New Roman;serif" w:hAnsi="Times New Roman;serif"/>
          <w:b w:val="false"/>
          <w:color w:val="000000"/>
          <w:sz w:val="20"/>
        </w:rPr>
        <w:t>As described in “Note 15: Guarantees,”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results of operations, financial condition,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17: Equity</w:t>
      </w:r>
    </w:p>
    <w:p>
      <w:pPr>
        <w:pStyle w:val="TextBody"/>
        <w:bidi w:val="0"/>
        <w:spacing w:lineRule="auto" w:line="288" w:before="120" w:after="283"/>
        <w:jc w:val="both"/>
        <w:rPr/>
      </w:pPr>
      <w:r>
        <w:rPr>
          <w:rFonts w:ascii="Times New Roman;serif" w:hAnsi="Times New Roman;serif"/>
          <w:b/>
          <w:color w:val="000000"/>
          <w:sz w:val="20"/>
        </w:rPr>
        <w:t xml:space="preserve">Accumulated Other Comprehensive Loss. </w:t>
      </w:r>
      <w:r>
        <w:rPr>
          <w:rFonts w:ascii="Times New Roman;serif" w:hAnsi="Times New Roman;serif"/>
          <w:b w:val="false"/>
          <w:color w:val="000000"/>
          <w:sz w:val="20"/>
        </w:rPr>
        <w:t>A summary of the changes in each component of Accumulated other comprehensive loss, net of tax for the quarters and nine months ended September 30, 2026 and 2025 is provided below:</w:t>
      </w:r>
    </w:p>
    <w:tbl>
      <w:tblPr>
        <w:tblW w:w="10205" w:type="dxa"/>
        <w:jc w:val="left"/>
        <w:tblInd w:w="0" w:type="dxa"/>
        <w:tblLayout w:type="fixed"/>
        <w:tblCellMar>
          <w:top w:w="28" w:type="dxa"/>
          <w:left w:w="28" w:type="dxa"/>
          <w:bottom w:w="28" w:type="dxa"/>
          <w:right w:w="28" w:type="dxa"/>
        </w:tblCellMar>
      </w:tblPr>
      <w:tblGrid>
        <w:gridCol w:w="1061"/>
        <w:gridCol w:w="839"/>
        <w:gridCol w:w="718"/>
        <w:gridCol w:w="372"/>
        <w:gridCol w:w="849"/>
        <w:gridCol w:w="192"/>
        <w:gridCol w:w="109"/>
        <w:gridCol w:w="109"/>
        <w:gridCol w:w="109"/>
        <w:gridCol w:w="432"/>
        <w:gridCol w:w="1294"/>
        <w:gridCol w:w="225"/>
        <w:gridCol w:w="109"/>
        <w:gridCol w:w="109"/>
        <w:gridCol w:w="109"/>
        <w:gridCol w:w="370"/>
        <w:gridCol w:w="854"/>
        <w:gridCol w:w="192"/>
        <w:gridCol w:w="109"/>
        <w:gridCol w:w="109"/>
        <w:gridCol w:w="109"/>
        <w:gridCol w:w="385"/>
        <w:gridCol w:w="1152"/>
        <w:gridCol w:w="289"/>
      </w:tblGrid>
      <w:tr>
        <w:trPr/>
        <w:tc>
          <w:tcPr>
            <w:tcW w:w="106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Foreign Currency Translation</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and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Hedging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6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 Ended September 30, 2026</w:t>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net</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pre-tax</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benefit (expense) </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w:t>
            </w:r>
            <w:r>
              <w:rPr>
                <w:color w:val="000000"/>
              </w:rPr>
              <w:t>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(3,349)</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(112)</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(3,308)</w:t>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2026</w:t>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 net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(540)</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pre-tax</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(expense) benefit </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37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w:t>
            </w:r>
            <w:r>
              <w:rPr>
                <w:color w:val="000000"/>
              </w:rPr>
              <w:t> </w:t>
            </w:r>
          </w:p>
        </w:tc>
        <w:tc>
          <w:tcPr>
            <w:tcW w:w="19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(3,349)</w:t>
            </w:r>
          </w:p>
        </w:tc>
        <w:tc>
          <w:tcPr>
            <w:tcW w:w="22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(112)</w:t>
            </w:r>
          </w:p>
        </w:tc>
        <w:tc>
          <w:tcPr>
            <w:tcW w:w="19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(3,308)</w:t>
            </w:r>
          </w:p>
        </w:tc>
        <w:tc>
          <w:tcPr>
            <w:tcW w:w="28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amount of foreign currency translation recognized in Other Comprehensive (Loss) Income (OCI) includes gains (losses) relating to net investment hedges, as further discussed in “Note 12: Financial Instruments”.</w:t>
      </w:r>
    </w:p>
    <w:tbl>
      <w:tblPr>
        <w:tblW w:w="10205" w:type="dxa"/>
        <w:jc w:val="left"/>
        <w:tblInd w:w="0" w:type="dxa"/>
        <w:tblLayout w:type="fixed"/>
        <w:tblCellMar>
          <w:top w:w="28" w:type="dxa"/>
          <w:left w:w="28" w:type="dxa"/>
          <w:bottom w:w="28" w:type="dxa"/>
          <w:right w:w="28" w:type="dxa"/>
        </w:tblCellMar>
      </w:tblPr>
      <w:tblGrid>
        <w:gridCol w:w="1061"/>
        <w:gridCol w:w="839"/>
        <w:gridCol w:w="718"/>
        <w:gridCol w:w="372"/>
        <w:gridCol w:w="849"/>
        <w:gridCol w:w="192"/>
        <w:gridCol w:w="109"/>
        <w:gridCol w:w="109"/>
        <w:gridCol w:w="109"/>
        <w:gridCol w:w="432"/>
        <w:gridCol w:w="1294"/>
        <w:gridCol w:w="225"/>
        <w:gridCol w:w="109"/>
        <w:gridCol w:w="109"/>
        <w:gridCol w:w="109"/>
        <w:gridCol w:w="370"/>
        <w:gridCol w:w="854"/>
        <w:gridCol w:w="192"/>
        <w:gridCol w:w="109"/>
        <w:gridCol w:w="109"/>
        <w:gridCol w:w="109"/>
        <w:gridCol w:w="385"/>
        <w:gridCol w:w="1152"/>
        <w:gridCol w:w="289"/>
      </w:tblGrid>
      <w:tr>
        <w:trPr/>
        <w:tc>
          <w:tcPr>
            <w:tcW w:w="106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Foreign Currency Translation</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and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Hedging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6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 Ended September 30, 2025</w:t>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net</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pre-tax</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(expense)</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w:t>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net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pre-tax</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(expense)</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7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9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w:t>
            </w:r>
          </w:p>
        </w:tc>
        <w:tc>
          <w:tcPr>
            <w:tcW w:w="22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9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w:t>
            </w:r>
          </w:p>
        </w:tc>
        <w:tc>
          <w:tcPr>
            <w:tcW w:w="28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amount of foreign currency translation recognized in OCI includes gains (losses) relating to net investment hedges, as further discussed in “Note 12: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18: Segment Financial Data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for the periods presented herein, are classified into three principal segments: Collins, Pratt &amp; Whitney, and Raytheon. Our segments are generally based on the management structure of the businesses and the grouping of similar operating companies, where each management organization has general operating autonomy over diversified products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RTX’s chief operating decision maker (CODM) is our Chairman and Chief Executive Officer. The CODM uses segment operating profit as a profitability measure to assess actual and forecasted segment performance to make decisions regarding incentive compensation and the allocation of capital and other investments. Total sales and operating profit by segment include inter-segment sales which are generally recorded at cost-plus a specified fee or at a negotiated fixed price. These pricing arrangements may result in margins different than what the purchasing segment realizes on the ultimate third-party sale. </w:t>
      </w:r>
    </w:p>
    <w:p>
      <w:pPr>
        <w:pStyle w:val="TextBody"/>
        <w:bidi w:val="0"/>
        <w:spacing w:lineRule="auto" w:line="288" w:before="120" w:after="283"/>
        <w:jc w:val="both"/>
        <w:rPr/>
      </w:pPr>
      <w:r>
        <w:rPr>
          <w:rFonts w:ascii="Times New Roman;serif" w:hAnsi="Times New Roman;serif"/>
          <w:b w:val="false"/>
          <w:color w:val="000000"/>
          <w:sz w:val="20"/>
        </w:rPr>
        <w:t>We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PRB expense under U.S. government Cost Accounting Standards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r>
        <w:rPr>
          <w:rFonts w:ascii="Times New Roman;serif" w:hAnsi="Times New Roman;serif"/>
          <w:b w:val="false"/>
          <w:color w:val="000000"/>
          <w:sz w:val="20"/>
          <w:shd w:fill="FFFFFF" w:val="clear"/>
        </w:rPr>
        <w:t>.</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These adjustments are not considered part of management’s evaluation of segment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Results for the quarters ended September 30, 2026 and 2025 are as follows:</w:t>
      </w:r>
    </w:p>
    <w:tbl>
      <w:tblPr>
        <w:tblW w:w="10205" w:type="dxa"/>
        <w:jc w:val="left"/>
        <w:tblInd w:w="0" w:type="dxa"/>
        <w:tblLayout w:type="fixed"/>
        <w:tblCellMar>
          <w:top w:w="28" w:type="dxa"/>
          <w:left w:w="28" w:type="dxa"/>
          <w:bottom w:w="28" w:type="dxa"/>
          <w:right w:w="28" w:type="dxa"/>
        </w:tblCellMar>
      </w:tblPr>
      <w:tblGrid>
        <w:gridCol w:w="1138"/>
        <w:gridCol w:w="997"/>
        <w:gridCol w:w="942"/>
        <w:gridCol w:w="211"/>
        <w:gridCol w:w="736"/>
        <w:gridCol w:w="109"/>
        <w:gridCol w:w="446"/>
        <w:gridCol w:w="1021"/>
        <w:gridCol w:w="232"/>
        <w:gridCol w:w="293"/>
        <w:gridCol w:w="1085"/>
        <w:gridCol w:w="151"/>
        <w:gridCol w:w="265"/>
        <w:gridCol w:w="793"/>
        <w:gridCol w:w="137"/>
        <w:gridCol w:w="369"/>
        <w:gridCol w:w="304"/>
        <w:gridCol w:w="976"/>
      </w:tblGrid>
      <w:tr>
        <w:trPr/>
        <w:tc>
          <w:tcPr>
            <w:tcW w:w="113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16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15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Segment Items </w:t>
            </w:r>
            <w:r>
              <w:rPr>
                <w:rFonts w:ascii="Times New Roman;serif" w:hAnsi="Times New Roman;serif"/>
                <w:b/>
                <w:color w:val="000000"/>
                <w:sz w:val="10"/>
              </w:rPr>
              <w:t>(1)</w:t>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w:t>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 Margin</w:t>
            </w:r>
          </w:p>
        </w:tc>
      </w:tr>
      <w:tr>
        <w:trPr/>
        <w:tc>
          <w:tcPr>
            <w:tcW w:w="30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(309)</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(6,284)</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1,789</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w:t>
            </w:r>
            <w:r>
              <w:rPr>
                <w:color w:val="000000"/>
              </w:rPr>
              <w:t> </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608</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(138)</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(6,760)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1,133</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w:t>
            </w:r>
            <w:r>
              <w:rPr>
                <w:color w:val="000000"/>
              </w:rPr>
              <w:t> </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(713)</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(21,401)</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3,530</w:t>
            </w: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24,965</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3,337</w:t>
            </w:r>
            <w:r>
              <w:rPr>
                <w:color w:val="000000"/>
              </w:rPr>
              <w:t> </w:t>
            </w:r>
          </w:p>
        </w:tc>
        <w:tc>
          <w:tcPr>
            <w:tcW w:w="1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97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Cost of sales, Selling, general, and administrative expenses, and Other income, net.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the operating results of certain smaller operations.</w:t>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1142"/>
        <w:gridCol w:w="1001"/>
        <w:gridCol w:w="947"/>
        <w:gridCol w:w="211"/>
        <w:gridCol w:w="721"/>
        <w:gridCol w:w="109"/>
        <w:gridCol w:w="447"/>
        <w:gridCol w:w="1025"/>
        <w:gridCol w:w="233"/>
        <w:gridCol w:w="294"/>
        <w:gridCol w:w="1088"/>
        <w:gridCol w:w="151"/>
        <w:gridCol w:w="268"/>
        <w:gridCol w:w="785"/>
        <w:gridCol w:w="138"/>
        <w:gridCol w:w="373"/>
        <w:gridCol w:w="322"/>
        <w:gridCol w:w="950"/>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1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15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Segment Items </w:t>
            </w:r>
            <w:r>
              <w:rPr>
                <w:rFonts w:ascii="Times New Roman;serif" w:hAnsi="Times New Roman;serif"/>
                <w:b/>
                <w:color w:val="000000"/>
                <w:sz w:val="10"/>
              </w:rPr>
              <w:t>(1)</w:t>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w:t>
            </w:r>
          </w:p>
        </w:tc>
        <w:tc>
          <w:tcPr>
            <w:tcW w:w="1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 Margin</w:t>
            </w:r>
          </w:p>
        </w:tc>
      </w:tr>
      <w:tr>
        <w:trPr/>
        <w:tc>
          <w:tcPr>
            <w:tcW w:w="30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9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(19,530)</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9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22,478 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3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95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Cost of sales, Selling, general, and administrative expenses, and Other income, net.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the operating results of certain smaller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Results for the nine months ended September 30, 2026 and 2025 are as follows:</w:t>
      </w:r>
    </w:p>
    <w:tbl>
      <w:tblPr>
        <w:tblW w:w="10205" w:type="dxa"/>
        <w:jc w:val="left"/>
        <w:tblInd w:w="0" w:type="dxa"/>
        <w:tblLayout w:type="fixed"/>
        <w:tblCellMar>
          <w:top w:w="28" w:type="dxa"/>
          <w:left w:w="28" w:type="dxa"/>
          <w:bottom w:w="28" w:type="dxa"/>
          <w:right w:w="28" w:type="dxa"/>
        </w:tblCellMar>
      </w:tblPr>
      <w:tblGrid>
        <w:gridCol w:w="1137"/>
        <w:gridCol w:w="996"/>
        <w:gridCol w:w="942"/>
        <w:gridCol w:w="211"/>
        <w:gridCol w:w="736"/>
        <w:gridCol w:w="109"/>
        <w:gridCol w:w="377"/>
        <w:gridCol w:w="1128"/>
        <w:gridCol w:w="195"/>
        <w:gridCol w:w="293"/>
        <w:gridCol w:w="1085"/>
        <w:gridCol w:w="151"/>
        <w:gridCol w:w="265"/>
        <w:gridCol w:w="793"/>
        <w:gridCol w:w="137"/>
        <w:gridCol w:w="369"/>
        <w:gridCol w:w="304"/>
        <w:gridCol w:w="977"/>
      </w:tblGrid>
      <w:tr>
        <w:trPr/>
        <w:tc>
          <w:tcPr>
            <w:tcW w:w="1137"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1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15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Segment Items </w:t>
            </w:r>
            <w:r>
              <w:rPr>
                <w:rFonts w:ascii="Times New Roman;serif" w:hAnsi="Times New Roman;serif"/>
                <w:b/>
                <w:color w:val="000000"/>
                <w:sz w:val="10"/>
              </w:rPr>
              <w:t>(1)</w:t>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w:t>
            </w:r>
          </w:p>
        </w:tc>
        <w:tc>
          <w:tcPr>
            <w:tcW w:w="1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 Margin</w:t>
            </w:r>
          </w:p>
        </w:tc>
      </w:tr>
      <w:tr>
        <w:trPr/>
        <w:tc>
          <w:tcPr>
            <w:tcW w:w="3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24,194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(938)</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(18,854)</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4,402</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w:t>
            </w:r>
            <w:r>
              <w:rPr>
                <w:color w:val="000000"/>
              </w:rPr>
              <w:t> </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(23,499)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2,056</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w:t>
            </w:r>
            <w:r>
              <w:rPr>
                <w:color w:val="000000"/>
              </w:rPr>
              <w:t> </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(19,837)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3,016</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w:t>
            </w:r>
            <w:r>
              <w:rPr>
                <w:color w:val="000000"/>
              </w:rPr>
              <w:t> </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73,732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(2,068)</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(62,190)</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9,474</w:t>
            </w: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w:t>
            </w:r>
            <w:r>
              <w:rPr>
                <w:color w:val="000000"/>
              </w:rPr>
              <w:t> </w:t>
            </w:r>
          </w:p>
        </w:tc>
        <w:tc>
          <w:tcPr>
            <w:tcW w:w="9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514</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(1,393)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71,749</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8,703</w:t>
            </w:r>
            <w:r>
              <w:rPr>
                <w:color w:val="000000"/>
              </w:rPr>
              <w:t> </w:t>
            </w:r>
          </w:p>
        </w:tc>
        <w:tc>
          <w:tcPr>
            <w:tcW w:w="1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97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Cost of sales, Selling, general, and administrative expenses, and Other income, net.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the operating results of certain smaller operations.</w:t>
      </w:r>
    </w:p>
    <w:tbl>
      <w:tblPr>
        <w:tblW w:w="10205" w:type="dxa"/>
        <w:jc w:val="left"/>
        <w:tblInd w:w="0" w:type="dxa"/>
        <w:tblLayout w:type="fixed"/>
        <w:tblCellMar>
          <w:top w:w="28" w:type="dxa"/>
          <w:left w:w="28" w:type="dxa"/>
          <w:bottom w:w="28" w:type="dxa"/>
          <w:right w:w="28" w:type="dxa"/>
        </w:tblCellMar>
      </w:tblPr>
      <w:tblGrid>
        <w:gridCol w:w="1142"/>
        <w:gridCol w:w="1001"/>
        <w:gridCol w:w="947"/>
        <w:gridCol w:w="211"/>
        <w:gridCol w:w="721"/>
        <w:gridCol w:w="109"/>
        <w:gridCol w:w="378"/>
        <w:gridCol w:w="1132"/>
        <w:gridCol w:w="196"/>
        <w:gridCol w:w="294"/>
        <w:gridCol w:w="1088"/>
        <w:gridCol w:w="151"/>
        <w:gridCol w:w="268"/>
        <w:gridCol w:w="785"/>
        <w:gridCol w:w="138"/>
        <w:gridCol w:w="373"/>
        <w:gridCol w:w="322"/>
        <w:gridCol w:w="949"/>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1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15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Segment Items </w:t>
            </w:r>
            <w:r>
              <w:rPr>
                <w:rFonts w:ascii="Times New Roman;serif" w:hAnsi="Times New Roman;serif"/>
                <w:b/>
                <w:color w:val="000000"/>
                <w:sz w:val="10"/>
              </w:rPr>
              <w:t>(1)</w:t>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w:t>
            </w:r>
          </w:p>
        </w:tc>
        <w:tc>
          <w:tcPr>
            <w:tcW w:w="1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 Margin</w:t>
            </w:r>
          </w:p>
        </w:tc>
      </w:tr>
      <w:tr>
        <w:trPr/>
        <w:tc>
          <w:tcPr>
            <w:tcW w:w="30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(17,991)</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(56,552)</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64,365 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6,704 </w:t>
            </w:r>
          </w:p>
        </w:tc>
        <w:tc>
          <w:tcPr>
            <w:tcW w:w="13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94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Cost of sales, Selling, general, and administrative expenses, and Other income, net.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the operating results of certain smaller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Capital Expenditures and Depreciation and Amortization segment information for the quarters ended September 30, 2026 and 2025 are as follows:</w:t>
      </w:r>
    </w:p>
    <w:tbl>
      <w:tblPr>
        <w:tblW w:w="7580" w:type="dxa"/>
        <w:jc w:val="left"/>
        <w:tblInd w:w="0" w:type="dxa"/>
        <w:tblLayout w:type="fixed"/>
        <w:tblCellMar>
          <w:top w:w="28" w:type="dxa"/>
          <w:left w:w="28" w:type="dxa"/>
          <w:bottom w:w="28" w:type="dxa"/>
          <w:right w:w="28" w:type="dxa"/>
        </w:tblCellMar>
      </w:tblPr>
      <w:tblGrid>
        <w:gridCol w:w="1110"/>
        <w:gridCol w:w="973"/>
        <w:gridCol w:w="977"/>
        <w:gridCol w:w="211"/>
        <w:gridCol w:w="481"/>
        <w:gridCol w:w="109"/>
        <w:gridCol w:w="109"/>
        <w:gridCol w:w="109"/>
        <w:gridCol w:w="109"/>
        <w:gridCol w:w="211"/>
        <w:gridCol w:w="466"/>
        <w:gridCol w:w="109"/>
        <w:gridCol w:w="109"/>
        <w:gridCol w:w="109"/>
        <w:gridCol w:w="109"/>
        <w:gridCol w:w="213"/>
        <w:gridCol w:w="637"/>
        <w:gridCol w:w="110"/>
        <w:gridCol w:w="110"/>
        <w:gridCol w:w="110"/>
        <w:gridCol w:w="110"/>
        <w:gridCol w:w="213"/>
        <w:gridCol w:w="621"/>
        <w:gridCol w:w="155"/>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 &amp; Amortization</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0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555</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eliminations, and 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1,068</w:t>
            </w:r>
            <w:r>
              <w:rPr>
                <w:color w:val="000000"/>
              </w:rPr>
              <w:t> </w:t>
            </w:r>
          </w:p>
        </w:tc>
        <w:tc>
          <w:tcPr>
            <w:tcW w:w="1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5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and Depreciation and Amortization segment information for the nine months ended September 30, 2026 and 2025 are as follows:</w:t>
      </w:r>
    </w:p>
    <w:tbl>
      <w:tblPr>
        <w:tblW w:w="7880" w:type="dxa"/>
        <w:jc w:val="left"/>
        <w:tblInd w:w="0" w:type="dxa"/>
        <w:tblLayout w:type="fixed"/>
        <w:tblCellMar>
          <w:top w:w="28" w:type="dxa"/>
          <w:left w:w="28" w:type="dxa"/>
          <w:bottom w:w="28" w:type="dxa"/>
          <w:right w:w="28" w:type="dxa"/>
        </w:tblCellMar>
      </w:tblPr>
      <w:tblGrid>
        <w:gridCol w:w="1110"/>
        <w:gridCol w:w="973"/>
        <w:gridCol w:w="977"/>
        <w:gridCol w:w="211"/>
        <w:gridCol w:w="631"/>
        <w:gridCol w:w="109"/>
        <w:gridCol w:w="109"/>
        <w:gridCol w:w="109"/>
        <w:gridCol w:w="109"/>
        <w:gridCol w:w="211"/>
        <w:gridCol w:w="616"/>
        <w:gridCol w:w="109"/>
        <w:gridCol w:w="109"/>
        <w:gridCol w:w="109"/>
        <w:gridCol w:w="109"/>
        <w:gridCol w:w="213"/>
        <w:gridCol w:w="637"/>
        <w:gridCol w:w="110"/>
        <w:gridCol w:w="110"/>
        <w:gridCol w:w="110"/>
        <w:gridCol w:w="110"/>
        <w:gridCol w:w="213"/>
        <w:gridCol w:w="621"/>
        <w:gridCol w:w="155"/>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 &amp; Amortization</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0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677</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r>
      <w:tr>
        <w:trPr/>
        <w:tc>
          <w:tcPr>
            <w:tcW w:w="30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1,680</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eliminations,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1,964</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3,218</w:t>
            </w:r>
            <w:r>
              <w:rPr>
                <w:color w:val="000000"/>
              </w:rPr>
              <w:t> </w:t>
            </w:r>
          </w:p>
        </w:tc>
        <w:tc>
          <w:tcPr>
            <w:tcW w:w="1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15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Total assets by segment are as follows:</w:t>
      </w:r>
    </w:p>
    <w:tbl>
      <w:tblPr>
        <w:tblW w:w="6295" w:type="dxa"/>
        <w:jc w:val="left"/>
        <w:tblInd w:w="0" w:type="dxa"/>
        <w:tblLayout w:type="fixed"/>
        <w:tblCellMar>
          <w:top w:w="28" w:type="dxa"/>
          <w:left w:w="28" w:type="dxa"/>
          <w:bottom w:w="28" w:type="dxa"/>
          <w:right w:w="28" w:type="dxa"/>
        </w:tblCellMar>
      </w:tblPr>
      <w:tblGrid>
        <w:gridCol w:w="1050"/>
        <w:gridCol w:w="921"/>
        <w:gridCol w:w="924"/>
        <w:gridCol w:w="280"/>
        <w:gridCol w:w="1119"/>
        <w:gridCol w:w="145"/>
        <w:gridCol w:w="109"/>
        <w:gridCol w:w="109"/>
        <w:gridCol w:w="109"/>
        <w:gridCol w:w="271"/>
        <w:gridCol w:w="1061"/>
        <w:gridCol w:w="197"/>
      </w:tblGrid>
      <w:tr>
        <w:trPr/>
        <w:tc>
          <w:tcPr>
            <w:tcW w:w="10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28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Collins Aerospace </w:t>
            </w:r>
            <w:r>
              <w:rPr>
                <w:rFonts w:ascii="Times New Roman;serif" w:hAnsi="Times New Roman;serif"/>
                <w:b w:val="false"/>
                <w:color w:val="000000"/>
                <w:sz w:val="13"/>
              </w:rPr>
              <w:t>(1)</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72,105</w:t>
            </w: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71,680 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Pratt &amp; Whitney </w:t>
            </w:r>
            <w:r>
              <w:rPr>
                <w:rFonts w:ascii="Times New Roman;serif" w:hAnsi="Times New Roman;serif"/>
                <w:b w:val="false"/>
                <w:color w:val="000000"/>
                <w:sz w:val="13"/>
              </w:rPr>
              <w:t>(1)</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54,954</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Raytheon </w:t>
            </w:r>
            <w:r>
              <w:rPr>
                <w:rFonts w:ascii="Times New Roman;serif" w:hAnsi="Times New Roman;serif"/>
                <w:b w:val="false"/>
                <w:color w:val="000000"/>
                <w:sz w:val="13"/>
              </w:rPr>
              <w:t>(1)</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44,827</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13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171,886</w:t>
            </w: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168,957 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eliminations, and other</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4,710</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8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176,596</w:t>
            </w:r>
            <w:r>
              <w:rPr>
                <w:color w:val="000000"/>
              </w:rPr>
              <w:t> </w:t>
            </w:r>
          </w:p>
        </w:tc>
        <w:tc>
          <w:tcPr>
            <w:tcW w:w="14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171,079 </w:t>
            </w:r>
          </w:p>
        </w:tc>
        <w:tc>
          <w:tcPr>
            <w:tcW w:w="19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Total assets include acquired intangible assets and the property, plant, and equipment fair value adjustment. Related amortization expense is included in Acquisition accounting adjustments.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disaggregate our contracts from customers by geographic region based on customer location, by type of customer, and by sales type. Our geographic region based on customer location uses end user customer location where known or practical to determine, or in instances where the end user customer is not known or not practical to determine, uses “ship to” location as the customer location. In addition, for our Raytheon segment, we disaggregate our contracts from customers by contract type. We believe these categories best depict how the nature, amount, timing, and uncertainty of our revenue and cash flows are affected by economic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Segment sales disaggregated by geographic region based on customer location for the quarters ended September 30, 2026 and 2025 are as follows:</w:t>
      </w:r>
    </w:p>
    <w:tbl>
      <w:tblPr>
        <w:tblW w:w="10205" w:type="dxa"/>
        <w:jc w:val="left"/>
        <w:tblInd w:w="0" w:type="dxa"/>
        <w:tblLayout w:type="fixed"/>
        <w:tblCellMar>
          <w:top w:w="28" w:type="dxa"/>
          <w:left w:w="28" w:type="dxa"/>
          <w:bottom w:w="28" w:type="dxa"/>
          <w:right w:w="28" w:type="dxa"/>
        </w:tblCellMar>
      </w:tblPr>
      <w:tblGrid>
        <w:gridCol w:w="689"/>
        <w:gridCol w:w="228"/>
        <w:gridCol w:w="231"/>
        <w:gridCol w:w="200"/>
        <w:gridCol w:w="582"/>
        <w:gridCol w:w="111"/>
        <w:gridCol w:w="199"/>
        <w:gridCol w:w="580"/>
        <w:gridCol w:w="110"/>
        <w:gridCol w:w="196"/>
        <w:gridCol w:w="571"/>
        <w:gridCol w:w="109"/>
        <w:gridCol w:w="196"/>
        <w:gridCol w:w="438"/>
        <w:gridCol w:w="109"/>
        <w:gridCol w:w="196"/>
        <w:gridCol w:w="661"/>
        <w:gridCol w:w="109"/>
        <w:gridCol w:w="109"/>
        <w:gridCol w:w="109"/>
        <w:gridCol w:w="109"/>
        <w:gridCol w:w="200"/>
        <w:gridCol w:w="568"/>
        <w:gridCol w:w="111"/>
        <w:gridCol w:w="199"/>
        <w:gridCol w:w="565"/>
        <w:gridCol w:w="110"/>
        <w:gridCol w:w="196"/>
        <w:gridCol w:w="556"/>
        <w:gridCol w:w="109"/>
        <w:gridCol w:w="196"/>
        <w:gridCol w:w="438"/>
        <w:gridCol w:w="109"/>
        <w:gridCol w:w="196"/>
        <w:gridCol w:w="646"/>
        <w:gridCol w:w="164"/>
      </w:tblGrid>
      <w:tr>
        <w:trPr/>
        <w:tc>
          <w:tcPr>
            <w:tcW w:w="68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(dollars in millions)</w:t>
            </w:r>
          </w:p>
        </w:tc>
        <w:tc>
          <w:tcPr>
            <w:tcW w:w="8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8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7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8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7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1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4,118</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3,632</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5,441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13,241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11,734 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2,457</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986</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1,964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Middle East and North Africa</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regions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1,019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1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7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7,696</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9,220</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7,998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24,965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22,478 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686</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20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8,382</w:t>
            </w:r>
            <w:r>
              <w:rPr>
                <w:color w:val="000000"/>
              </w:rPr>
              <w:t> </w:t>
            </w:r>
          </w:p>
        </w:tc>
        <w:tc>
          <w:tcPr>
            <w:tcW w:w="1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9,231</w:t>
            </w:r>
            <w:r>
              <w:rPr>
                <w:color w:val="000000"/>
              </w:rPr>
              <w:t> </w:t>
            </w:r>
          </w:p>
        </w:tc>
        <w:tc>
          <w:tcPr>
            <w:tcW w:w="11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8,031</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(679)</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24,965</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7,621 </w:t>
            </w:r>
          </w:p>
        </w:tc>
        <w:tc>
          <w:tcPr>
            <w:tcW w:w="1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8,423 </w:t>
            </w:r>
          </w:p>
        </w:tc>
        <w:tc>
          <w:tcPr>
            <w:tcW w:w="11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7,045 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22,478 </w:t>
            </w:r>
          </w:p>
        </w:tc>
        <w:tc>
          <w:tcPr>
            <w:tcW w:w="16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Segment sales disaggregated by geographic region for the nine months ended September 30, 2026 and 2025 are as follows:</w:t>
      </w:r>
    </w:p>
    <w:tbl>
      <w:tblPr>
        <w:tblW w:w="10888" w:type="dxa"/>
        <w:jc w:val="left"/>
        <w:tblInd w:w="0" w:type="dxa"/>
        <w:tblLayout w:type="fixed"/>
        <w:tblCellMar>
          <w:top w:w="28" w:type="dxa"/>
          <w:left w:w="28" w:type="dxa"/>
          <w:bottom w:w="28" w:type="dxa"/>
          <w:right w:w="28" w:type="dxa"/>
        </w:tblCellMar>
      </w:tblPr>
      <w:tblGrid>
        <w:gridCol w:w="684"/>
        <w:gridCol w:w="205"/>
        <w:gridCol w:w="207"/>
        <w:gridCol w:w="196"/>
        <w:gridCol w:w="661"/>
        <w:gridCol w:w="109"/>
        <w:gridCol w:w="196"/>
        <w:gridCol w:w="661"/>
        <w:gridCol w:w="109"/>
        <w:gridCol w:w="196"/>
        <w:gridCol w:w="661"/>
        <w:gridCol w:w="109"/>
        <w:gridCol w:w="196"/>
        <w:gridCol w:w="571"/>
        <w:gridCol w:w="109"/>
        <w:gridCol w:w="196"/>
        <w:gridCol w:w="661"/>
        <w:gridCol w:w="109"/>
        <w:gridCol w:w="109"/>
        <w:gridCol w:w="109"/>
        <w:gridCol w:w="109"/>
        <w:gridCol w:w="196"/>
        <w:gridCol w:w="646"/>
        <w:gridCol w:w="109"/>
        <w:gridCol w:w="196"/>
        <w:gridCol w:w="646"/>
        <w:gridCol w:w="109"/>
        <w:gridCol w:w="196"/>
        <w:gridCol w:w="646"/>
        <w:gridCol w:w="109"/>
        <w:gridCol w:w="196"/>
        <w:gridCol w:w="571"/>
        <w:gridCol w:w="109"/>
        <w:gridCol w:w="196"/>
        <w:gridCol w:w="64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(dollars in millions)</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10,540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38,247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Middle East and North Africa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regions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22,182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26,274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23,132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71,749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64,365 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24,194</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26,293</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23,245</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(1,983)</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71,749</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22,460 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23,420 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20,386 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64,365 </w:t>
            </w:r>
          </w:p>
        </w:tc>
        <w:tc>
          <w:tcPr>
            <w:tcW w:w="15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Segment sales disaggregated by type of customer for the quarters ended September 30, 2026 and 2025 are as follows:</w:t>
      </w:r>
    </w:p>
    <w:tbl>
      <w:tblPr>
        <w:tblW w:w="10205" w:type="dxa"/>
        <w:jc w:val="left"/>
        <w:tblInd w:w="0" w:type="dxa"/>
        <w:tblLayout w:type="fixed"/>
        <w:tblCellMar>
          <w:top w:w="28" w:type="dxa"/>
          <w:left w:w="28" w:type="dxa"/>
          <w:bottom w:w="28" w:type="dxa"/>
          <w:right w:w="28" w:type="dxa"/>
        </w:tblCellMar>
      </w:tblPr>
      <w:tblGrid>
        <w:gridCol w:w="661"/>
        <w:gridCol w:w="277"/>
        <w:gridCol w:w="236"/>
        <w:gridCol w:w="198"/>
        <w:gridCol w:w="578"/>
        <w:gridCol w:w="110"/>
        <w:gridCol w:w="198"/>
        <w:gridCol w:w="577"/>
        <w:gridCol w:w="110"/>
        <w:gridCol w:w="196"/>
        <w:gridCol w:w="571"/>
        <w:gridCol w:w="109"/>
        <w:gridCol w:w="196"/>
        <w:gridCol w:w="437"/>
        <w:gridCol w:w="109"/>
        <w:gridCol w:w="196"/>
        <w:gridCol w:w="661"/>
        <w:gridCol w:w="109"/>
        <w:gridCol w:w="109"/>
        <w:gridCol w:w="109"/>
        <w:gridCol w:w="109"/>
        <w:gridCol w:w="199"/>
        <w:gridCol w:w="564"/>
        <w:gridCol w:w="110"/>
        <w:gridCol w:w="198"/>
        <w:gridCol w:w="562"/>
        <w:gridCol w:w="110"/>
        <w:gridCol w:w="196"/>
        <w:gridCol w:w="556"/>
        <w:gridCol w:w="109"/>
        <w:gridCol w:w="196"/>
        <w:gridCol w:w="437"/>
        <w:gridCol w:w="109"/>
        <w:gridCol w:w="196"/>
        <w:gridCol w:w="646"/>
        <w:gridCol w:w="161"/>
      </w:tblGrid>
      <w:tr>
        <w:trPr/>
        <w:tc>
          <w:tcPr>
            <w:tcW w:w="66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(dollars in millions)</w:t>
            </w:r>
          </w:p>
        </w:tc>
        <w:tc>
          <w:tcPr>
            <w:tcW w:w="8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8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7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Collins Aerospace </w:t>
            </w:r>
          </w:p>
        </w:tc>
        <w:tc>
          <w:tcPr>
            <w:tcW w:w="8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7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10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1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Sales to the U.S. government</w:t>
            </w:r>
            <w:r>
              <w:rPr>
                <w:color w:val="000000"/>
              </w:rPr>
              <w:t xml:space="preserve"> </w:t>
            </w:r>
            <w:r>
              <w:rPr>
                <w:rFonts w:ascii="Times New Roman;serif" w:hAnsi="Times New Roman;serif"/>
                <w:b w:val="false"/>
                <w:color w:val="000000"/>
                <w:sz w:val="12"/>
              </w:rPr>
              <w:t>(1)</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1,865</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1,672</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5,289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military sales through the U.S. government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 direct commercial sales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276</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aerospace and other commercial sales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5,453</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6,611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12,217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7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7,696</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9,220</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24,965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19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8,382</w:t>
            </w:r>
            <w:r>
              <w:rPr>
                <w:color w:val="000000"/>
              </w:rPr>
              <w:t> </w:t>
            </w:r>
          </w:p>
        </w:tc>
        <w:tc>
          <w:tcPr>
            <w:tcW w:w="1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9,231</w:t>
            </w:r>
            <w:r>
              <w:rPr>
                <w:color w:val="000000"/>
              </w:rPr>
              <w:t> </w:t>
            </w:r>
          </w:p>
        </w:tc>
        <w:tc>
          <w:tcPr>
            <w:tcW w:w="1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8,031</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(679)</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24,965</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7,621 </w:t>
            </w:r>
          </w:p>
        </w:tc>
        <w:tc>
          <w:tcPr>
            <w:tcW w:w="1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8,423 </w:t>
            </w:r>
          </w:p>
        </w:tc>
        <w:tc>
          <w:tcPr>
            <w:tcW w:w="1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7,045 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22,478 </w:t>
            </w:r>
          </w:p>
        </w:tc>
        <w:tc>
          <w:tcPr>
            <w:tcW w:w="1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Excludes foreign military sales through the U.S. government.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Segment sales disaggregated by type of customer for the nine months ended September 30, 2026 and 2025 are as follows:</w:t>
      </w:r>
    </w:p>
    <w:tbl>
      <w:tblPr>
        <w:tblW w:w="10888" w:type="dxa"/>
        <w:jc w:val="left"/>
        <w:tblInd w:w="0" w:type="dxa"/>
        <w:tblLayout w:type="fixed"/>
        <w:tblCellMar>
          <w:top w:w="28" w:type="dxa"/>
          <w:left w:w="28" w:type="dxa"/>
          <w:bottom w:w="28" w:type="dxa"/>
          <w:right w:w="28" w:type="dxa"/>
        </w:tblCellMar>
      </w:tblPr>
      <w:tblGrid>
        <w:gridCol w:w="640"/>
        <w:gridCol w:w="249"/>
        <w:gridCol w:w="207"/>
        <w:gridCol w:w="196"/>
        <w:gridCol w:w="661"/>
        <w:gridCol w:w="109"/>
        <w:gridCol w:w="196"/>
        <w:gridCol w:w="661"/>
        <w:gridCol w:w="109"/>
        <w:gridCol w:w="196"/>
        <w:gridCol w:w="661"/>
        <w:gridCol w:w="109"/>
        <w:gridCol w:w="196"/>
        <w:gridCol w:w="571"/>
        <w:gridCol w:w="109"/>
        <w:gridCol w:w="196"/>
        <w:gridCol w:w="661"/>
        <w:gridCol w:w="109"/>
        <w:gridCol w:w="109"/>
        <w:gridCol w:w="109"/>
        <w:gridCol w:w="109"/>
        <w:gridCol w:w="196"/>
        <w:gridCol w:w="646"/>
        <w:gridCol w:w="109"/>
        <w:gridCol w:w="196"/>
        <w:gridCol w:w="646"/>
        <w:gridCol w:w="109"/>
        <w:gridCol w:w="196"/>
        <w:gridCol w:w="646"/>
        <w:gridCol w:w="109"/>
        <w:gridCol w:w="196"/>
        <w:gridCol w:w="571"/>
        <w:gridCol w:w="109"/>
        <w:gridCol w:w="196"/>
        <w:gridCol w:w="64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(dollars in millions)</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Sales to the U.S. government</w:t>
            </w:r>
            <w:r>
              <w:rPr>
                <w:color w:val="000000"/>
              </w:rPr>
              <w:t xml:space="preserve"> </w:t>
            </w:r>
            <w:r>
              <w:rPr>
                <w:rFonts w:ascii="Times New Roman;serif" w:hAnsi="Times New Roman;serif"/>
                <w:b w:val="false"/>
                <w:color w:val="000000"/>
                <w:sz w:val="12"/>
              </w:rPr>
              <w:t>(1)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26,143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military sales through the U.S. government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 direct commercial sales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aerospace and other commercial sales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18,882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34,667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22,182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26,274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23,132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71,749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24,194</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26,293</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23,245</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(1,983)</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71,749</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22,460 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23,420 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20,386 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64,365 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Excludes foreign military sales through the U.S. government as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Segment sales disaggregated by sales type for the quarters ended September 30, 2026 and 2025 are as follows:</w:t>
      </w:r>
    </w:p>
    <w:tbl>
      <w:tblPr>
        <w:tblW w:w="10205" w:type="dxa"/>
        <w:jc w:val="left"/>
        <w:tblInd w:w="0" w:type="dxa"/>
        <w:tblLayout w:type="fixed"/>
        <w:tblCellMar>
          <w:top w:w="28" w:type="dxa"/>
          <w:left w:w="28" w:type="dxa"/>
          <w:bottom w:w="28" w:type="dxa"/>
          <w:right w:w="28" w:type="dxa"/>
        </w:tblCellMar>
      </w:tblPr>
      <w:tblGrid>
        <w:gridCol w:w="555"/>
        <w:gridCol w:w="352"/>
        <w:gridCol w:w="227"/>
        <w:gridCol w:w="200"/>
        <w:gridCol w:w="585"/>
        <w:gridCol w:w="111"/>
        <w:gridCol w:w="199"/>
        <w:gridCol w:w="582"/>
        <w:gridCol w:w="111"/>
        <w:gridCol w:w="196"/>
        <w:gridCol w:w="571"/>
        <w:gridCol w:w="109"/>
        <w:gridCol w:w="196"/>
        <w:gridCol w:w="439"/>
        <w:gridCol w:w="109"/>
        <w:gridCol w:w="196"/>
        <w:gridCol w:w="661"/>
        <w:gridCol w:w="109"/>
        <w:gridCol w:w="109"/>
        <w:gridCol w:w="109"/>
        <w:gridCol w:w="109"/>
        <w:gridCol w:w="201"/>
        <w:gridCol w:w="570"/>
        <w:gridCol w:w="111"/>
        <w:gridCol w:w="200"/>
        <w:gridCol w:w="567"/>
        <w:gridCol w:w="111"/>
        <w:gridCol w:w="196"/>
        <w:gridCol w:w="556"/>
        <w:gridCol w:w="109"/>
        <w:gridCol w:w="196"/>
        <w:gridCol w:w="439"/>
        <w:gridCol w:w="109"/>
        <w:gridCol w:w="196"/>
        <w:gridCol w:w="646"/>
        <w:gridCol w:w="163"/>
      </w:tblGrid>
      <w:tr>
        <w:trPr/>
        <w:tc>
          <w:tcPr>
            <w:tcW w:w="55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(dollars in millions)</w:t>
            </w:r>
          </w:p>
        </w:tc>
        <w:tc>
          <w:tcPr>
            <w:tcW w:w="8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8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7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8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7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10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1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6,105</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4,956</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18,258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16,264 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4,264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7,696</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9,220</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24,965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20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8,382</w:t>
            </w:r>
            <w:r>
              <w:rPr>
                <w:color w:val="000000"/>
              </w:rPr>
              <w:t> </w:t>
            </w:r>
          </w:p>
        </w:tc>
        <w:tc>
          <w:tcPr>
            <w:tcW w:w="1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9,231</w:t>
            </w:r>
            <w:r>
              <w:rPr>
                <w:color w:val="000000"/>
              </w:rPr>
              <w:t> </w:t>
            </w:r>
          </w:p>
        </w:tc>
        <w:tc>
          <w:tcPr>
            <w:tcW w:w="1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8,031</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(679)</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24,965</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7,621 </w:t>
            </w:r>
          </w:p>
        </w:tc>
        <w:tc>
          <w:tcPr>
            <w:tcW w:w="1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8,423 </w:t>
            </w:r>
          </w:p>
        </w:tc>
        <w:tc>
          <w:tcPr>
            <w:tcW w:w="1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7,045 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22,478 </w:t>
            </w:r>
          </w:p>
        </w:tc>
        <w:tc>
          <w:tcPr>
            <w:tcW w:w="1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Segment sales disaggregated by sales type for the nine months ended September 30, 2026 and 2025 are as follows:</w:t>
      </w:r>
    </w:p>
    <w:tbl>
      <w:tblPr>
        <w:tblW w:w="10888" w:type="dxa"/>
        <w:jc w:val="left"/>
        <w:tblInd w:w="0" w:type="dxa"/>
        <w:tblLayout w:type="fixed"/>
        <w:tblCellMar>
          <w:top w:w="28" w:type="dxa"/>
          <w:left w:w="28" w:type="dxa"/>
          <w:bottom w:w="28" w:type="dxa"/>
          <w:right w:w="28" w:type="dxa"/>
        </w:tblCellMar>
      </w:tblPr>
      <w:tblGrid>
        <w:gridCol w:w="550"/>
        <w:gridCol w:w="339"/>
        <w:gridCol w:w="207"/>
        <w:gridCol w:w="196"/>
        <w:gridCol w:w="661"/>
        <w:gridCol w:w="109"/>
        <w:gridCol w:w="196"/>
        <w:gridCol w:w="661"/>
        <w:gridCol w:w="109"/>
        <w:gridCol w:w="196"/>
        <w:gridCol w:w="661"/>
        <w:gridCol w:w="109"/>
        <w:gridCol w:w="196"/>
        <w:gridCol w:w="571"/>
        <w:gridCol w:w="109"/>
        <w:gridCol w:w="196"/>
        <w:gridCol w:w="661"/>
        <w:gridCol w:w="109"/>
        <w:gridCol w:w="109"/>
        <w:gridCol w:w="109"/>
        <w:gridCol w:w="109"/>
        <w:gridCol w:w="196"/>
        <w:gridCol w:w="646"/>
        <w:gridCol w:w="109"/>
        <w:gridCol w:w="196"/>
        <w:gridCol w:w="646"/>
        <w:gridCol w:w="109"/>
        <w:gridCol w:w="196"/>
        <w:gridCol w:w="646"/>
        <w:gridCol w:w="109"/>
        <w:gridCol w:w="196"/>
        <w:gridCol w:w="571"/>
        <w:gridCol w:w="109"/>
        <w:gridCol w:w="196"/>
        <w:gridCol w:w="646"/>
        <w:gridCol w:w="154"/>
      </w:tblGrid>
      <w:tr>
        <w:trPr/>
        <w:tc>
          <w:tcPr>
            <w:tcW w:w="55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(dollars in millions)</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Products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17,470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20,458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51,967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Services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12,370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19,782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22,182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26,274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23,132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71,749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24,194</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26,293</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23,245</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(1,983)</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71,749</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22,460 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23,420 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20,386 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64,365 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Raytheon segment sales disaggregated by contract type for the quarters ended September 30, 2026 and 2025 are as follows:</w:t>
      </w:r>
    </w:p>
    <w:tbl>
      <w:tblPr>
        <w:tblW w:w="3894" w:type="dxa"/>
        <w:jc w:val="left"/>
        <w:tblInd w:w="0" w:type="dxa"/>
        <w:tblLayout w:type="fixed"/>
        <w:tblCellMar>
          <w:top w:w="28" w:type="dxa"/>
          <w:left w:w="28" w:type="dxa"/>
          <w:bottom w:w="28" w:type="dxa"/>
          <w:right w:w="28" w:type="dxa"/>
        </w:tblCellMar>
      </w:tblPr>
      <w:tblGrid>
        <w:gridCol w:w="648"/>
        <w:gridCol w:w="567"/>
        <w:gridCol w:w="570"/>
        <w:gridCol w:w="196"/>
        <w:gridCol w:w="571"/>
        <w:gridCol w:w="109"/>
        <w:gridCol w:w="109"/>
        <w:gridCol w:w="109"/>
        <w:gridCol w:w="109"/>
        <w:gridCol w:w="196"/>
        <w:gridCol w:w="556"/>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Fixed-price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Cost-type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8,031</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7,045 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Raytheon segment sales disaggregated by contract type for the nine months ended September 30, 2026 and 2025 are as follows:</w:t>
      </w:r>
    </w:p>
    <w:tbl>
      <w:tblPr>
        <w:tblW w:w="4074" w:type="dxa"/>
        <w:jc w:val="left"/>
        <w:tblInd w:w="0" w:type="dxa"/>
        <w:tblLayout w:type="fixed"/>
        <w:tblCellMar>
          <w:top w:w="28" w:type="dxa"/>
          <w:left w:w="28" w:type="dxa"/>
          <w:bottom w:w="28" w:type="dxa"/>
          <w:right w:w="28" w:type="dxa"/>
        </w:tblCellMar>
      </w:tblPr>
      <w:tblGrid>
        <w:gridCol w:w="648"/>
        <w:gridCol w:w="567"/>
        <w:gridCol w:w="570"/>
        <w:gridCol w:w="196"/>
        <w:gridCol w:w="661"/>
        <w:gridCol w:w="109"/>
        <w:gridCol w:w="109"/>
        <w:gridCol w:w="109"/>
        <w:gridCol w:w="109"/>
        <w:gridCol w:w="196"/>
        <w:gridCol w:w="646"/>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Fixed-price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Cost-type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9,166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23,132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23,245</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20,386 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19: Remaining Performance Obligations (RPO)</w:t>
      </w:r>
    </w:p>
    <w:p>
      <w:pPr>
        <w:pStyle w:val="TextBody"/>
        <w:bidi w:val="0"/>
        <w:spacing w:lineRule="auto" w:line="288" w:before="120" w:after="283"/>
        <w:jc w:val="both"/>
        <w:rPr/>
      </w:pPr>
      <w:r>
        <w:rPr>
          <w:rFonts w:ascii="Times New Roman;serif" w:hAnsi="Times New Roman;serif"/>
          <w:b w:val="false"/>
          <w:color w:val="000000"/>
          <w:sz w:val="20"/>
        </w:rPr>
        <w:t xml:space="preserve">RPO represents the aggregate amount of total contract transaction price that is unsatisfied or partially unsatisfied. </w:t>
      </w:r>
      <w:r>
        <w:rPr>
          <w:rFonts w:ascii="Times New Roman;serif" w:hAnsi="Times New Roman;serif"/>
          <w:b w:val="false"/>
          <w:color w:val="000000"/>
          <w:sz w:val="20"/>
          <w:shd w:fill="FFFFFF" w:val="clear"/>
        </w:rPr>
        <w:t xml:space="preserve">Total RPO was approximately $340 billion as of September 30, 2026. Of the total RPO as of September 30, 2026, we </w:t>
      </w:r>
      <w:r>
        <w:rPr>
          <w:rFonts w:ascii="Times New Roman;serif" w:hAnsi="Times New Roman;serif"/>
          <w:b w:val="false"/>
          <w:color w:val="000000"/>
          <w:sz w:val="20"/>
        </w:rPr>
        <w:t xml:space="preserve">expect approximately 25% will be recognized as revenue over the next 12 months. Approximately 40% of our RPO relates to long-term commercial aerospace maintenance contracts at Pratt &amp; Whitney, which are generally expected to be realized over a span of up to 20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20: Accounting Pronouncements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May 2026, the Financial Accounting Standards Board (FASB) issued Accounting Standard Update (ASU) 2026-02; Environmental Credits and Environmental Credit Obligations, which provides guidance on how companies should recognize, measure, and present environmental credits and environmental credit obligations in their financial statements. The new standard is effective for annual and interim reporting periods beginning after December 15, 2027, on a modified retrospective basis. Early adoption is permitted. We are currently evaluating the impact of adopting this new pronouncement.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2025-10; Accounting for Government Grants Received by Business Entities, which provides guidance on how companies should recognize, measure, and present government grants received. The new standard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effective for annual and interim reporting periods beginning after December 15, 2028. The standard allows for a modified prospective, modified retrospective, or retrospective transition. Early adoption is permitted. We are currently evaluating the impact of adopting this new pronouncement.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Targeted Improvements to the Accounting for Internal-Use Software, which better aligns the accounting guidance to how software is developed by eliminating project stages from capitalization criteria. The new standard is effective for annual reporting periods beginning after December 15, 2027 and interim periods within those annual reporting periods. The standard allows for prospective, modified, or retrospective transition. Early adoption is permitted. We are currently evaluating the impact of adopting this new pronouncement.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which requires a tabular disclosure of the amounts of specified natural expense categories included in each relevant expense caption. Additionally, the standard requires the disclosure of the total amount of selling expenses and, in annual reporting periods, an entity’s definition of selling expenses. The new standard is effective for annual reporting periods beginning after December 15, 2026, and interim periods within fiscal years beginning after December 15, 2027, on a prospective basis. Early adoption is permitted. We are currently evaluating the impact on our disclosures of adopting this new pronouncement.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new pronouncements issued but not effective until after September 30, 2026 are not expected to have a material impact on our results of operations, financial condition,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the unaudited condensed consolidated financial information of RTX for the quarters and nine months ended September 30, 2026 and 2025, PricewaterhouseCoopers LLP (PwC) reported that it has applied limited procedures in accordance with professional standards for a review of such information. However, its report dated October 20, 2026,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Shareowners and Board of Directors of RTX Corporation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Results of Review of Interim Financial Information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reviewed the accompanying condensed consolidated balance sheet of RTX Corporation and its subsidiaries (the “Company”) as of September 30, 2026, and the related condensed consolidated statements of operations, of comprehensive income, and of changes in equity for the three-month and nine-month periods ended September 30, 2026 and 2025 and the condensed consolidated statement of cash flows for the nine-month periods ended September 30, 2026 and 2025,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previously audited, in accordance with the standards of the Public Company Accounting Oversight Board (United States), the consolidated balance sheet of the Company as of December 31, 2025, and the related consolidated statements of operations, of comprehensive income, of changes in equity, and of cash flows for the year then ended (not presented herein), and in our report dated February 6, 2026, we expressed an unqualified opinion on those consolidated financial statements. In our opinion, the information set forth in the accompanying condensed consolidated balance sheet as of December 31, 2025, is fairly stated, in all material respects, in relation to the consolidated balance sheet from which it has been derived.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for Review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interim financial information is the responsibility of the Company’s management.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October 20,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 global premier systems provider of high technology products and services to the aerospace and defense industries.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the terms “we,” “our,” “us,” “the Company,” and “RTX” mean RTX Corporation and its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three segments: Collins Aerospace (Collins), Pratt &amp; Whitney, and Raytheon. Raytheon follows a fiscal calendar, while Collins and Pratt &amp; Whitney use calendar quarter ends. Throughout this Form 10-Q, references to the periods as of September 30, 2026 and 2025, and to the quarters and nine months ended September 30, 2026 and 2025 for Raytheon correspond to its fiscal quarter ends of September 27, 2026 and September 28, 2025,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current status of significant factors affecting our business environment in 2026 is discussed below. For additional discussion, refer to the “Business Overview” section in Management’s Discussion and Analysis of Financial Condition and Results of Operations (MD&amp;A) in our 2025 Annual Report on Form 10-K.</w:t>
      </w:r>
    </w:p>
    <w:p>
      <w:pPr>
        <w:pStyle w:val="TextBody"/>
        <w:bidi w:val="0"/>
        <w:spacing w:lineRule="auto" w:line="288" w:before="120" w:after="283"/>
        <w:jc w:val="left"/>
        <w:rPr>
          <w:rFonts w:ascii="Times New Roman;serif" w:hAnsi="Times New Roman;serif"/>
          <w:b/>
          <w:i/>
          <w:color w:val="000000"/>
          <w:sz w:val="20"/>
          <w:u w:val="single"/>
        </w:rPr>
      </w:pPr>
      <w:r>
        <w:rPr>
          <w:rFonts w:ascii="Times New Roman;serif" w:hAnsi="Times New Roman;serif"/>
          <w:b/>
          <w:i/>
          <w:color w:val="000000"/>
          <w:sz w:val="20"/>
          <w:u w:val="single"/>
        </w:rPr>
        <w:t>Industry Considerations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Government legislation, policies, and regulations can impact our business and operations. Changes in environmental and climate change-related laws or regulations, including regulations on greenhouse gas emissions, carbon pricing, and energy taxes, could lead to new or additional investment in product designs and facility upgrades and could increase our operational and environmental compliance expenditures, including increased energy and raw materials costs and costs associated with manufacturing changes. In addition, government and industry-driven safety and performance regulations, restrictions on aircraft engine noise and emissions, government imposed travel restrictions, and government procurement practices can impact our businesses.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Collins and Pratt &amp; Whitney serve both commercial and government aerospace customers. Revenue passenger miles (RPMs), available seat miles, and the general economic health of airline carriers and airframers, as well as the financial strength and performance of airframers, are key barometers for our commercial aerospace operations. Performance in the general aviation sector is closely tied to the overall health of the economy and is positively correlated to corporate profits. Many of our aerospace customers are covered under long-term aftermarket service agreements at both Collins and Pratt &amp; Whitney, which are inclusive of both spare parts and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defense operations are affected by U.S. Department of War (DoW) budget and spending levels, changes in demand, changes in policy positions or priorities, the domestic and global political and economic environment, and the evolving nature of the global and national security threat environment. In addition, our defense businesses engage in both direct commercial sales, which generally require U.S. government licenses and approvals, as well as foreign military sales, which are government-to-government transactions initiated by and carried out at the direction of, the U.S. government. Changes in these budget and spending levels, policies, or priorities, which are subject to U.S. domestic and foreign geopolitical risks and threats, may impact our defense businesses, including the timing of and delays in U.S. government licenses and approvals for sales, the risk of sanctions, or other restrictions.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Other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Global, economic, and political conditions, changes in raw material and commodity prices and supply, labor availability and costs, inflation, interest rates, potential changes in U.S. government policy positions or priorities, including changes in DoW policies or priorities, geopolitical conflicts and strained intercountry relations, U.S. and non-U.S. tax law changes,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currency exchange rates, sanctions, tariffs, energy costs and supply, levels of air travel, the financial condition of commercial airlines, and the impact from natural disasters and weather conditions create uncertainties that could impact our businesses.</w:t>
      </w:r>
    </w:p>
    <w:p>
      <w:pPr>
        <w:pStyle w:val="TextBody"/>
        <w:bidi w:val="0"/>
        <w:spacing w:lineRule="auto" w:line="288" w:before="120" w:after="283"/>
        <w:jc w:val="both"/>
        <w:rPr/>
      </w:pPr>
      <w:r>
        <w:rPr>
          <w:rFonts w:ascii="Times New Roman;serif" w:hAnsi="Times New Roman;serif"/>
          <w:b/>
          <w:color w:val="000000"/>
          <w:sz w:val="20"/>
        </w:rPr>
        <w:t>Legal Matters.</w:t>
      </w:r>
      <w:r>
        <w:rPr>
          <w:color w:val="000000"/>
        </w:rPr>
        <w:t xml:space="preserve"> </w:t>
      </w:r>
      <w:r>
        <w:rPr>
          <w:rFonts w:ascii="Times New Roman;serif" w:hAnsi="Times New Roman;serif"/>
          <w:b w:val="false"/>
          <w:color w:val="000000"/>
          <w:sz w:val="20"/>
        </w:rPr>
        <w:t>As previously disclosed and described further in “Note 16: Commitments and Contingencies”, within Item 1 of this Form 10-Q under the headings “Thales-Raytheon Systems and Related Matters,” “DOJ Investigation and Contract Pricing Disputes,” and “Trade Compliance Matters”, in 2024 the Company resolved several outstanding legal matters.</w:t>
      </w:r>
    </w:p>
    <w:p>
      <w:pPr>
        <w:pStyle w:val="TextBody"/>
        <w:bidi w:val="0"/>
        <w:spacing w:lineRule="auto" w:line="288" w:before="120" w:after="283"/>
        <w:jc w:val="both"/>
        <w:rPr/>
      </w:pPr>
      <w:r>
        <w:rPr>
          <w:rFonts w:ascii="Times New Roman;serif" w:hAnsi="Times New Roman;serif"/>
          <w:b/>
          <w:color w:val="000000"/>
          <w:sz w:val="20"/>
        </w:rPr>
        <w:t>Pratt &amp; Whitney Powder Metal Matter.</w:t>
      </w:r>
      <w:r>
        <w:rPr>
          <w:color w:val="000000"/>
        </w:rPr>
        <w:t xml:space="preserve"> </w:t>
      </w:r>
      <w:r>
        <w:rPr>
          <w:rFonts w:ascii="Times New Roman;serif" w:hAnsi="Times New Roman;serif"/>
          <w:b w:val="false"/>
          <w:color w:val="000000"/>
          <w:sz w:val="20"/>
        </w:rPr>
        <w:t>As described further in “Note 16: Commitments and Contingencies,” within Item 1 of this Form 10-Q, in 2023, Pratt &amp; Whitney determined that a rare condition in powder metal used to manufacture certain engine parts requires accelerated inspection of the PW1100G-JM (PW1100) Geared Turbofan (GTF) fleet, which powers the A320neo family of aircraft (A320neo) (herein referred to as the “Powder Metal Matter”).</w:t>
      </w:r>
    </w:p>
    <w:p>
      <w:pPr>
        <w:pStyle w:val="TextBody"/>
        <w:bidi w:val="0"/>
        <w:spacing w:lineRule="auto" w:line="288" w:before="120" w:after="283"/>
        <w:jc w:val="both"/>
        <w:rPr/>
      </w:pPr>
      <w:r>
        <w:rPr>
          <w:rFonts w:ascii="Times New Roman;serif" w:hAnsi="Times New Roman;serif"/>
          <w:b/>
          <w:color w:val="000000"/>
          <w:sz w:val="20"/>
        </w:rPr>
        <w:t>Global Supply Chain.</w:t>
      </w:r>
      <w:r>
        <w:rPr>
          <w:color w:val="000000"/>
        </w:rPr>
        <w:t xml:space="preserve"> </w:t>
      </w:r>
      <w:r>
        <w:rPr>
          <w:rFonts w:ascii="Times New Roman;serif" w:hAnsi="Times New Roman;serif"/>
          <w:b w:val="false"/>
          <w:color w:val="000000"/>
          <w:sz w:val="20"/>
        </w:rPr>
        <w:t>We are dependent on a global supply chain and have experienced supply chain disruptions that resulted in delays and increased costs and adversely affected our performance. These disruptions have impacted our ability to procure raw materials, including certain rare earth elements, microelectronics, and certain commodities on a timely basis and/or at expected prices, and are driven by supply chain market constraints and macroeconomic conditions, including inflation and labor market shortages. Current geopolitical conditions, including conflicts and other causes of strained intercountry relations, as well as sanctions and other trade restrictive activities, such as tariffs and export controls, are contributing to these issues. Furthermore, our suppliers and subcontractors have been impacted by these same issues. We have implemented actions and programs to mitigate some of the impacts but anticipate supply chain disruptions to continue.</w:t>
      </w:r>
    </w:p>
    <w:p>
      <w:pPr>
        <w:pStyle w:val="TextBody"/>
        <w:bidi w:val="0"/>
        <w:spacing w:lineRule="auto" w:line="288" w:before="120" w:after="283"/>
        <w:jc w:val="both"/>
        <w:rPr/>
      </w:pPr>
      <w:r>
        <w:rPr>
          <w:rFonts w:ascii="Times New Roman;serif" w:hAnsi="Times New Roman;serif"/>
          <w:b/>
          <w:color w:val="000000"/>
          <w:sz w:val="20"/>
        </w:rPr>
        <w:t>Economic Environment.</w:t>
      </w:r>
      <w:r>
        <w:rPr>
          <w:color w:val="000000"/>
        </w:rPr>
        <w:t xml:space="preserve"> </w:t>
      </w:r>
      <w:r>
        <w:rPr>
          <w:rFonts w:ascii="Times New Roman;serif" w:hAnsi="Times New Roman;serif"/>
          <w:b w:val="false"/>
          <w:color w:val="000000"/>
          <w:sz w:val="20"/>
        </w:rPr>
        <w:t>The inflationary environment has increased material and component prices, labor rates, and supplier costs and has negatively impacted our performance, including our productivity expectations. Due to the nature of our government and commercial aerospace businesses, and their respective customer and supplier contracts, we are not always able to offset cost increases by increasing our contract value or pricing, in particular on our fixed-price contracts. Increasing material, component, and labor prices could subject us to losses in our fixed-price contracts in the event of cost overruns. In addition, higher interest rates have increased the cost of borrowing and tightened the availability of capital. Among other things, these effects can constrain our customers’ purchasing power and decrease orders for our products and services and impact the ability of our customers to make payments and our suppliers to perform. Moreover, changes in the macroeconomic environment, including volatility with respect to global trade policy, interest rates, and financial markets, can lead to economic uncertainty, an economic downturn or recession and impact the demand for our products and services as well as our supply chain. We continue to pursue strategic and operational initiatives to help address these macroeconomic pressures, including our digital transformation, operational modernization, cost reduction, and advanced technology programs, and we apply our Customer Oriented Results and Excellence (CORE) operating platform to the execution of these initiatives. However, the impact of these pressures and corresponding initiatives is uncertain and subject to a range of factors and future developments.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global trade environment is highly dynamic. Since February 2025, the U.S. government has imposed tariffs on imports from all countries with which the U.S. engages in trade. In response, certain countries have announced, and in some cases imposed, tariffs, and non-tariff countermeasures on goods that are imported from the U.S. Our businesses and suppliers import goods subject to U.S. imposed tariffs, as well as goods subject to counter tariffs imposed by other countries. In February 2026, the U.S. Supreme Court ruled that tariffs imposed under the International Emergency Economic Powers Act (IEEPA) on goods imported into the United States were unauthorized. The Company is the importer of record for certain products that were previously subject to IEEPA tariffs and has paid approximately $0.5 billion of such tariffs since their inception. The U.S. Court of International Trade (CIT) has ordered U.S. Customs and Border Protection (CBP) to refund the collected IEEPA tariffs. On April 20, 2026, CBP established an online portal through which companies can submit certain IEEPA tariff refund requests. On June 2, 2026, the U.S. government appealed the CIT’s order to issue refunds, however, the appeal has not prevented importers from submitting claims and receiving refunds to-date. As of September 30, 2026, the Company has submitted claims and recognized approximately $0.4 billion of approved refunds of which approximately $0.3 billion has been received. Following the Supreme Court’s ruling invalidating IEEPA tariffs, the U.S. government imposed new and revised tariffs under various available regimes which may apply to certain products for which the Company is the importer of record.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pursue available options to mitigate the impact of tariffs and countermeasures, including (i) utilizing available exemptions or exclusions to tariffs, such as trade agreements, treaties or other statutory relief, (ii) evaluating operational and supply chain changes, and (iii) where feasible, increasing the prices of our goods and services. Our results for the quarter and nine months ended September 30, 2026, reflect our best estimate of the impact of the tariffs then in effect. As the duration, extent and enforceability of the tariffs and counter tariffs in effect remain uncertain, we are continuing to evaluate the potential future impacts of the imposition of tariffs to our business and financial condition. Based on current conditions, we do not believe that the tariffs announced by the U.S. or counter tariffs or other actions taken by other countries will have a material adverse effect upon our results of operations, financial condition, or cash flows. However, the actual financial impacts of tariffs are dependent upon various factors, most notably, the scope of goods covered by tariffs, the value of our imports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tariffs, the rate of tariffs applied, the timing and duration of tariffs, the recoverability and timing of refunds, the enforceability of tariffs and counter-tariffs, the implementation of tariff and non-tariff countermeasures by countries subject to U.S. tariffs, and our and our suppliers’ ability to mitigate the impacts of tariffs. Changes in any of these factors and actual tariff costs incurred could significantly affect the estimates inherent in our financial statements, including those used in our estimates-at-completion (EACs), and estimates supporting the recoverability of our inventories, contract fulfillment costs, deferred tax assets, intangible assets and goodwill, and could have a material effect on our results of operations and cash flows in the periods recognized and paid.</w:t>
      </w:r>
    </w:p>
    <w:p>
      <w:pPr>
        <w:pStyle w:val="TextBody"/>
        <w:bidi w:val="0"/>
        <w:spacing w:lineRule="auto" w:line="288" w:before="120" w:after="283"/>
        <w:jc w:val="both"/>
        <w:rPr/>
      </w:pPr>
      <w:r>
        <w:rPr>
          <w:rFonts w:ascii="Times New Roman;serif" w:hAnsi="Times New Roman;serif"/>
          <w:b/>
          <w:color w:val="000000"/>
          <w:sz w:val="20"/>
        </w:rPr>
        <w:t>U.S. Government’s Budget, Tax Legislation and Executive Orders.</w:t>
      </w:r>
      <w:r>
        <w:rPr>
          <w:color w:val="000000"/>
        </w:rPr>
        <w:t xml:space="preserve"> </w:t>
      </w:r>
      <w:r>
        <w:rPr>
          <w:rFonts w:ascii="Times New Roman;serif" w:hAnsi="Times New Roman;serif"/>
          <w:b w:val="false"/>
          <w:color w:val="000000"/>
          <w:sz w:val="20"/>
        </w:rPr>
        <w:t>On February 3, 2026, Congress passed and the President signed a spending package providing full-year funding for most federal agencies through September 30, 2026. On September 2, 2026, the President signed a Continuing Resolution maintaining Fiscal Year 2026 funding levels for federal agencies beyond the September 30 deadline through December 11, 2026. On April 21, 2026, the President’s proposed Fiscal Year 2027 defense budget seeking $1.5 trillion was released, consisting of $1.15 trillion in base discretionary budget and $350 billion of mandatory funding through reconciliation. The President submitted a separate supplemental funding request to Congress on June 24, 2026, with approximately $67 billion of the request intended for defense spending, including $21 billion for munitions replenishment. We continue to closely monitor the movement of the requests through Congress.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“An Act to Provide for Reconciliation Pursuant to Title II of the H. Con. Res. 14” (the Act) was enacted. The Act provides for several corporate tax changes including, but not limited to, restoring full expensing of domestic research and development costs, restoring immediate deductibility of certain capital expenditures, and changes in the computations of U.S. taxation on international earnings.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Act also provides a supplementary $156.2 billion to the DoW for obligations through 2029, which includes $24.4 billion for the Golden Dome for America project. The project, outlined in a January 27, 2025 Executive Order, calls for the development and deployment of a next-generation missile defense shield. RTX’s portfolio is well-positioned to deliver key solutions for the project. Whether this Executive Order or corresponding funding will have a material impact on our business or results of operations will depend on a variety of factors, including actual awards, award timelines, mission priorities, and future budget determinations. The Act also includes $25.4 billion in funding to enhance DoW resources for munitions and supply chain resiliency. As a leading munitions manufacturer, RTX is strategically situated to play a key role in supporting this initiative.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President has also issued multiple executive orders, including one intended to reform the DoW’s defense acquisition processes and promote expedited and streamlined acquisitions. Following issuance of those orders, the Secretary of War issued a memorandum and released the DoW’s Acquisition Transformation Strategy, which is aligned with the executive orders and seeks to overhaul the existing defense acquisition system through process changes that prioritize speed, flexibility, and rigorous execution. A subsequent executive order was issued that may limit corporate distributions, share repurchases, and executive compensation incentives during periods of defense contractor underperformance, insufficient prioritization, investment or production speed under their U.S. government contracts. We are monitoring how these executive orders and related actions will be implemented and any potential future impacts to our business. While those impacts are uncertain, a limitation on our ability to issue distributions or engage in share repurchases related to the defense contractor performance executive order could adversely affect the market price of our common stock.</w:t>
      </w:r>
    </w:p>
    <w:p>
      <w:pPr>
        <w:pStyle w:val="TextBody"/>
        <w:bidi w:val="0"/>
        <w:spacing w:lineRule="auto" w:line="288" w:before="120" w:after="283"/>
        <w:jc w:val="both"/>
        <w:rPr/>
      </w:pPr>
      <w:r>
        <w:rPr>
          <w:rFonts w:ascii="Times New Roman;serif" w:hAnsi="Times New Roman;serif"/>
          <w:b/>
          <w:color w:val="000000"/>
          <w:sz w:val="20"/>
        </w:rPr>
        <w:t xml:space="preserve">Critical Munitions Agreements. </w:t>
      </w:r>
      <w:r>
        <w:rPr>
          <w:rFonts w:ascii="Times New Roman;serif" w:hAnsi="Times New Roman;serif"/>
          <w:b w:val="false"/>
          <w:color w:val="000000"/>
          <w:sz w:val="20"/>
        </w:rPr>
        <w:t xml:space="preserve">In the third quarter and early fourth quarter of 2026, the DoW awarded Raytheon four undefinitized contract actions (UCA) to substantially increase production of certain critical munitions. Specifically, the DoW awarded Raytheon a seven-year UCA valued at up to approximately $23 billion for Tomahawk cruise missiles and the following five-year UCAs, each with two one-year options: Advanced Medium-Range Air-to-Air Missiles (AMRAAM) with a total value of up to $20.7 billion, Standard Missile 6 (SM-6) with a total value of up to $24.4 billion, and Standard Missile-3 Block IB interceptors (SM-3 IB) with a total value of up to $6.3 billion. Funding for each UCA is subject to Congressional appropriations made on a fiscal year basis. The Company has and will continue to invest in technology, capacity expansion, and hiring, while also executing long-term agreements with suppliers to support the increased production levels required by the UCAs. If appropriate funding is not provided, Raytheon has certain contractual recovery remedies. </w:t>
      </w:r>
    </w:p>
    <w:p>
      <w:pPr>
        <w:pStyle w:val="TextBody"/>
        <w:bidi w:val="0"/>
        <w:spacing w:lineRule="auto" w:line="288" w:before="120" w:after="283"/>
        <w:jc w:val="both"/>
        <w:rPr/>
      </w:pPr>
      <w:r>
        <w:rPr>
          <w:rFonts w:ascii="Times New Roman;serif" w:hAnsi="Times New Roman;serif"/>
          <w:b/>
          <w:color w:val="000000"/>
          <w:sz w:val="20"/>
        </w:rPr>
        <w:t xml:space="preserve">Geopolitical Matters. </w:t>
      </w:r>
      <w:r>
        <w:rPr>
          <w:rFonts w:ascii="Times New Roman;serif" w:hAnsi="Times New Roman;serif"/>
          <w:b w:val="false"/>
          <w:color w:val="000000"/>
          <w:sz w:val="20"/>
        </w:rPr>
        <w:t xml:space="preserve">In response to Russia’s invasion of Ukraine, the U.S. government and the governments of various jurisdictions in which we operate, have imposed broad economic sanctions and export controls targeting specific industries, entities, and individuals in Russia. The Russian government has implemented similar counter-sanctions and export controls, including targeting certain members of the Company’s management team and Board of Directors. Similarly, in February 2023, China announced sanctions against Raytheon Missiles &amp; Defense (RMD) (a former RTX business segment which became part of the Raytheon business during the third quarter of 2023), and previously announced it may take measures against RTX, in connection with certain foreign military sales to Taiwan. Since that time, China has announced additional sanctions against the Raytheon business and a Collins joint venture. We do not currently expect these measures to have a material adverse effect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financial results, but we will continue to monitor future developments, including additional measures that could adversely affect the Company and/or our supply chain, business partners, or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direct commercial sales contracts for products and services to certain foreign customers, for which U.S. government review and approval have been pending. The U.S. government’s approval of these sales is subject to a range of factors, including its foreign policies related to these customers, which are subject to continuing review and potential changes. Likewise, regulatory approvals previously granted for prior sales can be paused or revoked if the products and services have not yet been delivered to the customer. In addition, certain programs require approvals by foreign governments, and those approvals may not be obtained on a timely basis or at all or may be revoked. If we ultimately do not receive all of the regulatory approvals, or those approvals are revoked, it could have a material effect on our financial results.</w:t>
      </w:r>
    </w:p>
    <w:p>
      <w:pPr>
        <w:pStyle w:val="TextBody"/>
        <w:bidi w:val="0"/>
        <w:spacing w:lineRule="auto" w:line="288" w:before="120" w:after="283"/>
        <w:jc w:val="both"/>
        <w:rPr/>
      </w:pPr>
      <w:r>
        <w:rPr>
          <w:rFonts w:ascii="Times New Roman;serif" w:hAnsi="Times New Roman;serif"/>
          <w:b w:val="false"/>
          <w:color w:val="000000"/>
          <w:sz w:val="20"/>
        </w:rPr>
        <w:t xml:space="preserve">We continue to closely monitor impacts to RTX’s business, customers, suppliers, employees, and operations in Israel, the Middle East, and the region at large due to ongoing conflicts and increased regional instability and tensions. RTX has employees, facilities, and operations in the Middle East and we reassess operations regularly, based upon the security situation. Our and our suppliers’ operations in the region have not been impacted in any material respect, although we could experience future delivery delays of certain products as the conflict continues. </w:t>
      </w:r>
      <w:r>
        <w:rPr>
          <w:rFonts w:ascii="Times New Roman;serif" w:hAnsi="Times New Roman;serif"/>
          <w:b w:val="false"/>
          <w:color w:val="002060"/>
          <w:sz w:val="20"/>
        </w:rPr>
        <w:t xml:space="preserve">Our commercial airline customers are experiencing elevated jet fuel prices due to the conflict, and sustained fuel-cost increases may reduce passenger demand or capacity and affect demand for our products and services. We are monitoring these conditions closely, as sustained fuel cost increases and macroeconomic pressures, also could negatively affect the financial condition of certain airline customers, particularly low-cost carriers. </w:t>
      </w:r>
      <w:r>
        <w:rPr>
          <w:rFonts w:ascii="Times New Roman;serif" w:hAnsi="Times New Roman;serif"/>
          <w:b w:val="false"/>
          <w:color w:val="000000"/>
          <w:sz w:val="20"/>
        </w:rPr>
        <w:t>Given the volatile nature of the situation, the potential impacts to RTX are subject to change.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Part I, Item 1A, “Risk Factors” in our 2025 Annual Report on Form 10-K for further discussion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See “Critical Accounting Estimates” within Item 7 and “Note 1: Basis of Presentation and Summary of Accounting Principles” within Item 8 of our 2025 Annual Report on Form 10-K, which describe the significant accounting estimates and policies used in preparation of the Consolidated Financial Statements. Actual results in these areas could differ from management’s estimates. There have been no significant changes in our critical accounting estimates during the nine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described in our “Cautionary Note Concerning Factors That May Affect Future Results” of this Form 10-Q, our interim period results of operations and period-to-period comparisons of our results, particularly at a segment level, may not be indicative of our future operating results. The following discussions of comparative results among periods, including the discussion of segment results, should be viewed in this context.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provide the organic change in Net sales and Cost of sales for our consolidated results of operations as well as the organic change in Net sales and Operating profit for our segments. We believe that these non-Generally Accepted Accounting Principles (non-GAAP) measures are useful to investors because they provide transparency to the underlying performance of our business, which allows for better year-over-year comparability. The organic change in Net sales, Cost of sales, and Operating profit excludes acquisitions and divestitures, net, and the effect of foreign currency exchange rate translation fluctuations and other significant non-operational items and/or significant operational items that may occur at irregular intervals (Other). Additionally, the organic change in Cost of sales and Operating profit excludes restructuring costs, the FAS/CAS operating adjustment, and acquisition accounting adjustments. Restructuring costs generally arise from severance related to workforce reductions and facility exit costs. We are continuously evaluating our cost structure and implement restructuring actions in an effort to keep our cost structure competitive. The FAS/CAS operating adjustment represents the difference between the service cost component of our pension and postretirement benefit (PRB) expense under the Financial Accounting Standards (FAS) requirements of U.S. GAAP and our pension and PRB expense under U.S. government Cost Accounting Standards (CAS), primarily related to our Raytheon segment. 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ind w:left="0" w:right="0" w:firstLine="720"/>
        <w:jc w:val="center"/>
        <w:rPr>
          <w:rFonts w:ascii="Times New Roman;serif" w:hAnsi="Times New Roman;serif"/>
          <w:b/>
          <w:i/>
          <w:color w:val="000000"/>
          <w:sz w:val="20"/>
          <w:u w:val="single"/>
        </w:rPr>
      </w:pPr>
      <w:r>
        <w:rPr>
          <w:rFonts w:ascii="Times New Roman;serif" w:hAnsi="Times New Roman;serif"/>
          <w:b/>
          <w:i/>
          <w:color w:val="000000"/>
          <w:sz w:val="20"/>
          <w:u w:val="single"/>
        </w:rPr>
        <w:t>Net Sales</w:t>
      </w:r>
    </w:p>
    <w:tbl>
      <w:tblPr>
        <w:tblW w:w="8609" w:type="dxa"/>
        <w:jc w:val="center"/>
        <w:tblInd w:w="0" w:type="dxa"/>
        <w:tblLayout w:type="fixed"/>
        <w:tblCellMar>
          <w:top w:w="28" w:type="dxa"/>
          <w:left w:w="28" w:type="dxa"/>
          <w:bottom w:w="28" w:type="dxa"/>
          <w:right w:w="28" w:type="dxa"/>
        </w:tblCellMar>
      </w:tblPr>
      <w:tblGrid>
        <w:gridCol w:w="544"/>
        <w:gridCol w:w="477"/>
        <w:gridCol w:w="479"/>
        <w:gridCol w:w="413"/>
        <w:gridCol w:w="1441"/>
        <w:gridCol w:w="213"/>
        <w:gridCol w:w="213"/>
        <w:gridCol w:w="211"/>
        <w:gridCol w:w="721"/>
        <w:gridCol w:w="109"/>
        <w:gridCol w:w="204"/>
        <w:gridCol w:w="204"/>
        <w:gridCol w:w="204"/>
        <w:gridCol w:w="396"/>
        <w:gridCol w:w="1381"/>
        <w:gridCol w:w="204"/>
        <w:gridCol w:w="109"/>
        <w:gridCol w:w="211"/>
        <w:gridCol w:w="72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195" w:type="dxa"/>
            <w:gridSpan w:val="4"/>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2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213"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0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4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24,965</w:t>
            </w:r>
            <w:r>
              <w:rPr>
                <w:color w:val="000000"/>
              </w:rPr>
              <w:t> </w:t>
            </w:r>
          </w:p>
        </w:tc>
        <w:tc>
          <w:tcPr>
            <w:tcW w:w="2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22,478 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8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71,749</w:t>
            </w:r>
            <w:r>
              <w:rPr>
                <w:color w:val="000000"/>
              </w:rPr>
              <w:t> </w:t>
            </w:r>
          </w:p>
        </w:tc>
        <w:tc>
          <w:tcPr>
            <w:tcW w:w="20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64,365 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factors contributing to the change year-over-year in total net sales for the quarter and nine months ended September 30, 2026 are as follows:</w:t>
      </w:r>
    </w:p>
    <w:tbl>
      <w:tblPr>
        <w:tblW w:w="8890" w:type="dxa"/>
        <w:jc w:val="left"/>
        <w:tblInd w:w="0" w:type="dxa"/>
        <w:tblLayout w:type="fixed"/>
        <w:tblCellMar>
          <w:top w:w="28" w:type="dxa"/>
          <w:left w:w="28" w:type="dxa"/>
          <w:bottom w:w="28" w:type="dxa"/>
          <w:right w:w="28" w:type="dxa"/>
        </w:tblCellMar>
      </w:tblPr>
      <w:tblGrid>
        <w:gridCol w:w="1028"/>
        <w:gridCol w:w="901"/>
        <w:gridCol w:w="905"/>
        <w:gridCol w:w="595"/>
        <w:gridCol w:w="1782"/>
        <w:gridCol w:w="308"/>
        <w:gridCol w:w="109"/>
        <w:gridCol w:w="109"/>
        <w:gridCol w:w="109"/>
        <w:gridCol w:w="644"/>
        <w:gridCol w:w="1928"/>
        <w:gridCol w:w="472"/>
      </w:tblGrid>
      <w:tr>
        <w:trPr/>
        <w:tc>
          <w:tcPr>
            <w:tcW w:w="10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r>
      <w:tr>
        <w:trPr/>
        <w:tc>
          <w:tcPr>
            <w:tcW w:w="28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Organic </w:t>
            </w:r>
            <w:r>
              <w:rPr>
                <w:rFonts w:ascii="Times New Roman;serif" w:hAnsi="Times New Roman;serif"/>
                <w:b w:val="false"/>
                <w:color w:val="000000"/>
                <w:sz w:val="13"/>
              </w:rPr>
              <w:t>(1)</w:t>
            </w:r>
          </w:p>
        </w:tc>
        <w:tc>
          <w:tcPr>
            <w:tcW w:w="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2,611</w:t>
            </w:r>
            <w:r>
              <w:rPr>
                <w:color w:val="000000"/>
              </w:rPr>
              <w:t>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8,199</w:t>
            </w:r>
            <w:r>
              <w:rPr>
                <w:color w:val="000000"/>
              </w:rPr>
              <w:t>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divestitures, net</w:t>
            </w:r>
          </w:p>
        </w:tc>
        <w:tc>
          <w:tcPr>
            <w:tcW w:w="2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(885)</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w:t>
            </w:r>
          </w:p>
        </w:tc>
        <w:tc>
          <w:tcPr>
            <w:tcW w:w="59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2,487</w:t>
            </w:r>
            <w:r>
              <w:rPr>
                <w:color w:val="000000"/>
              </w:rPr>
              <w:t> </w:t>
            </w:r>
          </w:p>
        </w:tc>
        <w:tc>
          <w:tcPr>
            <w:tcW w:w="30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2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7,384</w:t>
            </w:r>
            <w:r>
              <w:rPr>
                <w:color w:val="000000"/>
              </w:rPr>
              <w:t> </w:t>
            </w:r>
          </w:p>
        </w:tc>
        <w:tc>
          <w:tcPr>
            <w:tcW w:w="47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See “Results of Operations” for definition of organic. A reconciliation of this measure to reported U.S. GAAP amounts is provided in the table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increased $2.6 billion organically in the quarter ended September 30, 2026, primarily due to higher organic net sales of $1.0 billion at Raytheon, $0.9 billion at Collins, and $0.8 billion at Pratt &amp; Whitney.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increased $8.2 billion organically in the nine months ended September 30, 2026, primarily due to higher organic net sales of $2.9 billion at Pratt &amp; Whitney, $2.8 billion at Raytheon, and $2.6 billion at Collins.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net sales due to Acquisitions and divestitures, net of $0.1 billion and $0.9 billion for the quarter and nine months ended September 30, 2026, respectively, was driven by divestitures within our Collins segment including the actuation and flight control business and the Simmonds Precision Products business completed in 2025.</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“Segment Review” below for further information by segment.</w:t>
      </w:r>
    </w:p>
    <w:tbl>
      <w:tblPr>
        <w:tblW w:w="6416" w:type="dxa"/>
        <w:jc w:val="left"/>
        <w:tblInd w:w="0" w:type="dxa"/>
        <w:tblLayout w:type="fixed"/>
        <w:tblCellMar>
          <w:top w:w="28" w:type="dxa"/>
          <w:left w:w="28" w:type="dxa"/>
          <w:bottom w:w="28" w:type="dxa"/>
          <w:right w:w="28" w:type="dxa"/>
        </w:tblCellMar>
      </w:tblPr>
      <w:tblGrid>
        <w:gridCol w:w="544"/>
        <w:gridCol w:w="477"/>
        <w:gridCol w:w="479"/>
        <w:gridCol w:w="211"/>
        <w:gridCol w:w="736"/>
        <w:gridCol w:w="109"/>
        <w:gridCol w:w="109"/>
        <w:gridCol w:w="109"/>
        <w:gridCol w:w="109"/>
        <w:gridCol w:w="211"/>
        <w:gridCol w:w="721"/>
        <w:gridCol w:w="109"/>
        <w:gridCol w:w="109"/>
        <w:gridCol w:w="109"/>
        <w:gridCol w:w="109"/>
        <w:gridCol w:w="263"/>
        <w:gridCol w:w="263"/>
        <w:gridCol w:w="360"/>
        <w:gridCol w:w="130"/>
        <w:gridCol w:w="130"/>
        <w:gridCol w:w="130"/>
        <w:gridCol w:w="255"/>
        <w:gridCol w:w="256"/>
        <w:gridCol w:w="378"/>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Net Sales</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73.1</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w:t>
            </w: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24,965</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22,478 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6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 to “Note 18: Segment Financial Data” within Item 1 of this Form 10-Q for the composition of external net sales by products and services by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products sales increased $2.0 billion in the quarter ended September 30, 2026 compared to the quarter ended September 30, 2025 primarily due to increases in external products sales of $1.1 billion at Raytheon, $0.7 billion at Collins, and $0.2 billion at Pratt &amp; Whitney.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services sales increased $0.5 billion in the quarter ended September 30, 2026 compared to the quarter ended September 30, 2025 primarily due to increases in external services sales of $0.6 billion at Pratt &amp; Whitney partially offset by a decrease in external service sales of $0.1 billion at Raytheon.</w:t>
      </w:r>
    </w:p>
    <w:tbl>
      <w:tblPr>
        <w:tblW w:w="6582" w:type="dxa"/>
        <w:jc w:val="left"/>
        <w:tblInd w:w="0" w:type="dxa"/>
        <w:tblLayout w:type="fixed"/>
        <w:tblCellMar>
          <w:top w:w="28" w:type="dxa"/>
          <w:left w:w="28" w:type="dxa"/>
          <w:bottom w:w="28" w:type="dxa"/>
          <w:right w:w="28" w:type="dxa"/>
        </w:tblCellMar>
      </w:tblPr>
      <w:tblGrid>
        <w:gridCol w:w="544"/>
        <w:gridCol w:w="477"/>
        <w:gridCol w:w="479"/>
        <w:gridCol w:w="225"/>
        <w:gridCol w:w="788"/>
        <w:gridCol w:w="116"/>
        <w:gridCol w:w="116"/>
        <w:gridCol w:w="116"/>
        <w:gridCol w:w="116"/>
        <w:gridCol w:w="225"/>
        <w:gridCol w:w="772"/>
        <w:gridCol w:w="116"/>
        <w:gridCol w:w="109"/>
        <w:gridCol w:w="109"/>
        <w:gridCol w:w="109"/>
        <w:gridCol w:w="263"/>
        <w:gridCol w:w="263"/>
        <w:gridCol w:w="360"/>
        <w:gridCol w:w="130"/>
        <w:gridCol w:w="130"/>
        <w:gridCol w:w="130"/>
        <w:gridCol w:w="255"/>
        <w:gridCol w:w="256"/>
        <w:gridCol w:w="378"/>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Net Sales</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51,967</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72.4</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19,782</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w:t>
            </w: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2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71,749</w:t>
            </w:r>
            <w:r>
              <w:rPr>
                <w:color w:val="000000"/>
              </w:rPr>
              <w:t> </w:t>
            </w:r>
          </w:p>
        </w:tc>
        <w:tc>
          <w:tcPr>
            <w:tcW w:w="1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64,365 </w:t>
            </w:r>
          </w:p>
        </w:tc>
        <w:tc>
          <w:tcPr>
            <w:tcW w:w="1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6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products sales increased $5.6 billion in the nine months ended September 30, 2026 compared to the nine months ended September 30, 2025 primarily driven by increases in external products sales of $3.1 billion at Raytheon, $1.5 billion at Collins, and $1.0 billion at Pratt &amp; Whitney.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services sales increased $1.8 billion in the nine months ended September 30, 2026 compared to the nine months ended September 30, 2025 primarily driven by increases in external services sales of $1.9 billion at Pratt &amp; Whitney and $0.1 billion at Collins, partially offset by a decrease in external service sales of $0.2 billion at Raytheon.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sales to major customers were as follows:</w:t>
      </w:r>
    </w:p>
    <w:tbl>
      <w:tblPr>
        <w:tblW w:w="9175" w:type="dxa"/>
        <w:jc w:val="left"/>
        <w:tblInd w:w="0" w:type="dxa"/>
        <w:tblLayout w:type="fixed"/>
        <w:tblCellMar>
          <w:top w:w="28" w:type="dxa"/>
          <w:left w:w="28" w:type="dxa"/>
          <w:bottom w:w="28" w:type="dxa"/>
          <w:right w:w="28" w:type="dxa"/>
        </w:tblCellMar>
      </w:tblPr>
      <w:tblGrid>
        <w:gridCol w:w="1545"/>
        <w:gridCol w:w="1354"/>
        <w:gridCol w:w="1360"/>
        <w:gridCol w:w="211"/>
        <w:gridCol w:w="736"/>
        <w:gridCol w:w="109"/>
        <w:gridCol w:w="109"/>
        <w:gridCol w:w="109"/>
        <w:gridCol w:w="109"/>
        <w:gridCol w:w="211"/>
        <w:gridCol w:w="721"/>
        <w:gridCol w:w="109"/>
        <w:gridCol w:w="109"/>
        <w:gridCol w:w="109"/>
        <w:gridCol w:w="109"/>
        <w:gridCol w:w="263"/>
        <w:gridCol w:w="263"/>
        <w:gridCol w:w="360"/>
        <w:gridCol w:w="130"/>
        <w:gridCol w:w="130"/>
        <w:gridCol w:w="130"/>
        <w:gridCol w:w="255"/>
        <w:gridCol w:w="256"/>
        <w:gridCol w:w="378"/>
      </w:tblGrid>
      <w:tr>
        <w:trPr/>
        <w:tc>
          <w:tcPr>
            <w:tcW w:w="15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Net Sales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 to the U.S. government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w:t>
            </w:r>
            <w:r>
              <w:rPr>
                <w:color w:val="000000"/>
              </w:rPr>
              <w:t> </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military sales through the U.S. government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direct commercial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 and other commercial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24,965</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22,478 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6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Excludes foreign military sales through the U.S. government.</w:t>
      </w:r>
    </w:p>
    <w:tbl>
      <w:tblPr>
        <w:tblW w:w="9341" w:type="dxa"/>
        <w:jc w:val="left"/>
        <w:tblInd w:w="0" w:type="dxa"/>
        <w:tblLayout w:type="fixed"/>
        <w:tblCellMar>
          <w:top w:w="28" w:type="dxa"/>
          <w:left w:w="28" w:type="dxa"/>
          <w:bottom w:w="28" w:type="dxa"/>
          <w:right w:w="28" w:type="dxa"/>
        </w:tblCellMar>
      </w:tblPr>
      <w:tblGrid>
        <w:gridCol w:w="1545"/>
        <w:gridCol w:w="1354"/>
        <w:gridCol w:w="1360"/>
        <w:gridCol w:w="225"/>
        <w:gridCol w:w="788"/>
        <w:gridCol w:w="116"/>
        <w:gridCol w:w="116"/>
        <w:gridCol w:w="116"/>
        <w:gridCol w:w="116"/>
        <w:gridCol w:w="225"/>
        <w:gridCol w:w="772"/>
        <w:gridCol w:w="116"/>
        <w:gridCol w:w="109"/>
        <w:gridCol w:w="109"/>
        <w:gridCol w:w="109"/>
        <w:gridCol w:w="263"/>
        <w:gridCol w:w="263"/>
        <w:gridCol w:w="360"/>
        <w:gridCol w:w="130"/>
        <w:gridCol w:w="130"/>
        <w:gridCol w:w="130"/>
        <w:gridCol w:w="255"/>
        <w:gridCol w:w="256"/>
        <w:gridCol w:w="378"/>
      </w:tblGrid>
      <w:tr>
        <w:trPr/>
        <w:tc>
          <w:tcPr>
            <w:tcW w:w="15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Net Sales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 to the U.S. government </w:t>
            </w:r>
            <w:r>
              <w:rPr>
                <w:rFonts w:ascii="Times New Roman;serif" w:hAnsi="Times New Roman;serif"/>
                <w:b w:val="false"/>
                <w:color w:val="000000"/>
                <w:sz w:val="13"/>
              </w:rPr>
              <w:t>(1)</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26,143</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w:t>
            </w:r>
            <w:r>
              <w:rPr>
                <w:color w:val="000000"/>
              </w:rPr>
              <w:t> </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military sales through the U.S. government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5,936</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direct commercial sales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5,003</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 and other commercial sales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34,667</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2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71,749</w:t>
            </w:r>
            <w:r>
              <w:rPr>
                <w:color w:val="000000"/>
              </w:rPr>
              <w:t> </w:t>
            </w:r>
          </w:p>
        </w:tc>
        <w:tc>
          <w:tcPr>
            <w:tcW w:w="1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64,365 </w:t>
            </w:r>
          </w:p>
        </w:tc>
        <w:tc>
          <w:tcPr>
            <w:tcW w:w="1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6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(1)    Excludes foreign military sales through the U.S. government.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i/>
          <w:color w:val="000000"/>
          <w:sz w:val="20"/>
          <w:u w:val="single"/>
        </w:rPr>
      </w:pPr>
      <w:r>
        <w:rPr>
          <w:rFonts w:ascii="Times New Roman;serif" w:hAnsi="Times New Roman;serif"/>
          <w:b/>
          <w:i/>
          <w:color w:val="000000"/>
          <w:sz w:val="20"/>
          <w:u w:val="single"/>
        </w:rPr>
        <w:t>Cost of Sales</w:t>
      </w:r>
    </w:p>
    <w:tbl>
      <w:tblPr>
        <w:tblW w:w="7499" w:type="dxa"/>
        <w:jc w:val="left"/>
        <w:tblInd w:w="0" w:type="dxa"/>
        <w:tblLayout w:type="fixed"/>
        <w:tblCellMar>
          <w:top w:w="28" w:type="dxa"/>
          <w:left w:w="28" w:type="dxa"/>
          <w:bottom w:w="28" w:type="dxa"/>
          <w:right w:w="28" w:type="dxa"/>
        </w:tblCellMar>
      </w:tblPr>
      <w:tblGrid>
        <w:gridCol w:w="707"/>
        <w:gridCol w:w="620"/>
        <w:gridCol w:w="623"/>
        <w:gridCol w:w="312"/>
        <w:gridCol w:w="242"/>
        <w:gridCol w:w="497"/>
        <w:gridCol w:w="161"/>
        <w:gridCol w:w="161"/>
        <w:gridCol w:w="161"/>
        <w:gridCol w:w="312"/>
        <w:gridCol w:w="245"/>
        <w:gridCol w:w="483"/>
        <w:gridCol w:w="109"/>
        <w:gridCol w:w="109"/>
        <w:gridCol w:w="109"/>
        <w:gridCol w:w="351"/>
        <w:gridCol w:w="181"/>
        <w:gridCol w:w="501"/>
        <w:gridCol w:w="181"/>
        <w:gridCol w:w="181"/>
        <w:gridCol w:w="181"/>
        <w:gridCol w:w="351"/>
        <w:gridCol w:w="184"/>
        <w:gridCol w:w="537"/>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19,160</w:t>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56,217</w:t>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51,293</w:t>
            </w:r>
          </w:p>
        </w:tc>
      </w:tr>
      <w:tr>
        <w:trPr/>
        <w:tc>
          <w:tcPr>
            <w:tcW w:w="195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554"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w:t>
            </w:r>
            <w:r>
              <w:rPr>
                <w:color w:val="000000"/>
              </w:rPr>
              <w:t> </w:t>
            </w:r>
          </w:p>
        </w:tc>
        <w:tc>
          <w:tcPr>
            <w:tcW w:w="497"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483"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w:t>
            </w:r>
            <w:r>
              <w:rPr>
                <w:color w:val="000000"/>
              </w:rPr>
              <w:t> </w:t>
            </w:r>
          </w:p>
        </w:tc>
        <w:tc>
          <w:tcPr>
            <w:tcW w:w="50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537"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pPr>
      <w:r>
        <w:rPr>
          <w:rFonts w:ascii="Times New Roman;serif" w:hAnsi="Times New Roman;serif"/>
          <w:b w:val="false"/>
          <w:color w:val="000000"/>
          <w:sz w:val="20"/>
        </w:rPr>
        <w:t>The factors contributing to the change year-over-year in total cost of sales for the quarter and nine months ended September 30, 2026 are as follows:</w:t>
      </w:r>
      <w:r>
        <w:rPr>
          <w:color w:val="000000"/>
        </w:rPr>
        <w:t> </w:t>
      </w:r>
    </w:p>
    <w:tbl>
      <w:tblPr>
        <w:tblW w:w="9116" w:type="dxa"/>
        <w:jc w:val="left"/>
        <w:tblInd w:w="0" w:type="dxa"/>
        <w:tblLayout w:type="fixed"/>
        <w:tblCellMar>
          <w:top w:w="28" w:type="dxa"/>
          <w:left w:w="28" w:type="dxa"/>
          <w:bottom w:w="28" w:type="dxa"/>
          <w:right w:w="28" w:type="dxa"/>
        </w:tblCellMar>
      </w:tblPr>
      <w:tblGrid>
        <w:gridCol w:w="1110"/>
        <w:gridCol w:w="973"/>
        <w:gridCol w:w="977"/>
        <w:gridCol w:w="595"/>
        <w:gridCol w:w="1782"/>
        <w:gridCol w:w="308"/>
        <w:gridCol w:w="109"/>
        <w:gridCol w:w="109"/>
        <w:gridCol w:w="109"/>
        <w:gridCol w:w="644"/>
        <w:gridCol w:w="1928"/>
        <w:gridCol w:w="472"/>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r>
      <w:tr>
        <w:trPr/>
        <w:tc>
          <w:tcPr>
            <w:tcW w:w="30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Organic </w:t>
            </w:r>
            <w:r>
              <w:rPr>
                <w:rFonts w:ascii="Times New Roman;serif" w:hAnsi="Times New Roman;serif"/>
                <w:b w:val="false"/>
                <w:color w:val="000000"/>
                <w:sz w:val="13"/>
              </w:rPr>
              <w:t>(1)</w:t>
            </w:r>
          </w:p>
        </w:tc>
        <w:tc>
          <w:tcPr>
            <w:tcW w:w="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1,447</w:t>
            </w:r>
            <w:r>
              <w:rPr>
                <w:color w:val="000000"/>
              </w:rPr>
              <w:t>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5,753</w:t>
            </w:r>
            <w:r>
              <w:rPr>
                <w:color w:val="000000"/>
              </w:rPr>
              <w:t>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divestitures, net</w:t>
            </w:r>
          </w:p>
        </w:tc>
        <w:tc>
          <w:tcPr>
            <w:tcW w:w="2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(812)</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2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2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2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w:t>
            </w: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w:t>
            </w:r>
          </w:p>
        </w:tc>
        <w:tc>
          <w:tcPr>
            <w:tcW w:w="59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1,262</w:t>
            </w:r>
            <w:r>
              <w:rPr>
                <w:color w:val="000000"/>
              </w:rPr>
              <w:t> </w:t>
            </w:r>
          </w:p>
        </w:tc>
        <w:tc>
          <w:tcPr>
            <w:tcW w:w="30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2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4,924</w:t>
            </w:r>
            <w:r>
              <w:rPr>
                <w:color w:val="000000"/>
              </w:rPr>
              <w:t> </w:t>
            </w:r>
          </w:p>
        </w:tc>
        <w:tc>
          <w:tcPr>
            <w:tcW w:w="47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See “Results of Operations” for definition of organic. A reconciliation of this measure to reported U.S. GAAP amounts is provided in the table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cost of sales increased $1.4 billion and $5.8 billion organically for the quarter and nine months ended September 30, 2026, respectively, primarily driven by the organic net sales increases at Raytheon, Pratt &amp; Whitney and Collins noted above. Organic cost of sales for the quarter and nine months ended September 30, 2026 at Pratt &amp; Whitney and Collins includes the benefit of $0.4 billion of tariff refunds.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total cost of sales due to Acquisitions and divestitures, net of $0.1 billion and $0.8 billion for the quarter and nine months ended September 30, 2026, respectively, was driven by divestitures completed in 2025 within our Collins segment noted above.</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decrease in restructuring costs in the </w:t>
      </w:r>
      <w:r>
        <w:rPr>
          <w:rFonts w:ascii="Times New Roman;serif" w:hAnsi="Times New Roman;serif"/>
          <w:b w:val="false"/>
          <w:color w:val="000000"/>
          <w:sz w:val="20"/>
        </w:rPr>
        <w:t>nine months ended September 30, 2026, was primarily due to lower severance related costs recognized</w:t>
      </w:r>
      <w:r>
        <w:rPr>
          <w:color w:val="000000"/>
          <w:shd w:fill="FFFFFF" w:val="clear"/>
        </w:rPr>
        <w:t xml:space="preserve"> </w:t>
      </w:r>
      <w:r>
        <w:rPr>
          <w:rFonts w:ascii="Times New Roman;serif" w:hAnsi="Times New Roman;serif"/>
          <w:b w:val="false"/>
          <w:color w:val="000000"/>
          <w:sz w:val="20"/>
          <w:shd w:fill="FFFFFF" w:val="clear"/>
        </w:rPr>
        <w:t>in 2026 at Collins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decrease in Other cost of sales in the </w:t>
      </w:r>
      <w:r>
        <w:rPr>
          <w:rFonts w:ascii="Times New Roman;serif" w:hAnsi="Times New Roman;serif"/>
          <w:b w:val="false"/>
          <w:color w:val="000000"/>
          <w:sz w:val="20"/>
        </w:rPr>
        <w:t xml:space="preserve">nine months ended September 30, 2026, was primarily driven by favorable foreign exchange rate impacts.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discussion on FAS/CAS operating adjustment, see the “FAS/CAS operating adjustment” subsection under the “Segment Review” section below. For discussion on Acquisition accounting adjustments, see the “Acquisition accounting adjustments” subsection under the “Segment Review” section below.</w:t>
      </w:r>
    </w:p>
    <w:tbl>
      <w:tblPr>
        <w:tblW w:w="6491" w:type="dxa"/>
        <w:jc w:val="left"/>
        <w:tblInd w:w="0" w:type="dxa"/>
        <w:tblLayout w:type="fixed"/>
        <w:tblCellMar>
          <w:top w:w="28" w:type="dxa"/>
          <w:left w:w="28" w:type="dxa"/>
          <w:bottom w:w="28" w:type="dxa"/>
          <w:right w:w="28" w:type="dxa"/>
        </w:tblCellMar>
      </w:tblPr>
      <w:tblGrid>
        <w:gridCol w:w="571"/>
        <w:gridCol w:w="501"/>
        <w:gridCol w:w="503"/>
        <w:gridCol w:w="211"/>
        <w:gridCol w:w="736"/>
        <w:gridCol w:w="109"/>
        <w:gridCol w:w="109"/>
        <w:gridCol w:w="109"/>
        <w:gridCol w:w="109"/>
        <w:gridCol w:w="211"/>
        <w:gridCol w:w="721"/>
        <w:gridCol w:w="109"/>
        <w:gridCol w:w="109"/>
        <w:gridCol w:w="109"/>
        <w:gridCol w:w="109"/>
        <w:gridCol w:w="263"/>
        <w:gridCol w:w="263"/>
        <w:gridCol w:w="360"/>
        <w:gridCol w:w="130"/>
        <w:gridCol w:w="130"/>
        <w:gridCol w:w="130"/>
        <w:gridCol w:w="255"/>
        <w:gridCol w:w="256"/>
        <w:gridCol w:w="378"/>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Net Sales</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w:t>
            </w: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5"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19,160</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17,898 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w:t>
            </w:r>
            <w:r>
              <w:rPr>
                <w:color w:val="000000"/>
              </w:rPr>
              <w:t> </w:t>
            </w:r>
          </w:p>
        </w:tc>
        <w:tc>
          <w:tcPr>
            <w:tcW w:w="36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37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products cost of sales increased $0.9 billion in the quarter ended September 30, 2026 compared to the quarter ended September 30, 2025, primarily driven by increases in external products cost of sales at Raytheon, Collins, and Pratt &amp; Whitney each driven by the products sales changes noted above partially offset by $0.4 billion of tariff refunds recognized at Pratt &amp; Whitney and Collins.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services cost of sales increased $0.4 billion in the quarter ended September 30, 2026 compared to the quarter ended September 30, 2025, primarily driven by increases in external services cost of sales at Pratt &amp; Whitney and Collins, each driven by the services sales changes noted above, slightly offset by lower service cost of sales at Raytheon.</w:t>
      </w:r>
    </w:p>
    <w:tbl>
      <w:tblPr>
        <w:tblW w:w="6657" w:type="dxa"/>
        <w:jc w:val="left"/>
        <w:tblInd w:w="0" w:type="dxa"/>
        <w:tblLayout w:type="fixed"/>
        <w:tblCellMar>
          <w:top w:w="28" w:type="dxa"/>
          <w:left w:w="28" w:type="dxa"/>
          <w:bottom w:w="28" w:type="dxa"/>
          <w:right w:w="28" w:type="dxa"/>
        </w:tblCellMar>
      </w:tblPr>
      <w:tblGrid>
        <w:gridCol w:w="571"/>
        <w:gridCol w:w="501"/>
        <w:gridCol w:w="503"/>
        <w:gridCol w:w="225"/>
        <w:gridCol w:w="788"/>
        <w:gridCol w:w="116"/>
        <w:gridCol w:w="116"/>
        <w:gridCol w:w="116"/>
        <w:gridCol w:w="116"/>
        <w:gridCol w:w="225"/>
        <w:gridCol w:w="772"/>
        <w:gridCol w:w="116"/>
        <w:gridCol w:w="109"/>
        <w:gridCol w:w="109"/>
        <w:gridCol w:w="109"/>
        <w:gridCol w:w="263"/>
        <w:gridCol w:w="263"/>
        <w:gridCol w:w="360"/>
        <w:gridCol w:w="130"/>
        <w:gridCol w:w="130"/>
        <w:gridCol w:w="130"/>
        <w:gridCol w:w="255"/>
        <w:gridCol w:w="256"/>
        <w:gridCol w:w="378"/>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Net Sales</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42,286</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58.9</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13,931</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w:t>
            </w: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5"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2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56,217</w:t>
            </w:r>
            <w:r>
              <w:rPr>
                <w:color w:val="000000"/>
              </w:rPr>
              <w:t> </w:t>
            </w:r>
          </w:p>
        </w:tc>
        <w:tc>
          <w:tcPr>
            <w:tcW w:w="1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51,293 </w:t>
            </w:r>
          </w:p>
        </w:tc>
        <w:tc>
          <w:tcPr>
            <w:tcW w:w="1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w:t>
            </w:r>
            <w:r>
              <w:rPr>
                <w:color w:val="000000"/>
              </w:rPr>
              <w:t> </w:t>
            </w:r>
          </w:p>
        </w:tc>
        <w:tc>
          <w:tcPr>
            <w:tcW w:w="36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37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products cost of sales increased $3.4 billion in the nine months ended September 30, 2026 compared to the nine months ended September 30, 2025, primarily driven by increases in external products cost of sales at Raytheon, Collins, and Pratt &amp; Whitney, each driven by the products sales changes noted above partially offset by $0.4 billion of tariff refunds recognized at Pratt &amp; Whitney and Collins.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services cost of sales increased $1.5 billion in the nine months ended September 30, 2026 compared to the nine months ended September 30, 2025, primarily driven by increases in external service cost of sales at Pratt &amp; Whitney and Collins, each driven by the service sales changes noted above, slightly offset by lower service cost of sales at Raytheon.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pPr>
      <w:r>
        <w:rPr>
          <w:rFonts w:ascii="Times New Roman;serif" w:hAnsi="Times New Roman;serif"/>
          <w:b/>
          <w:i/>
          <w:color w:val="000000"/>
          <w:sz w:val="20"/>
          <w:u w:val="single"/>
        </w:rPr>
        <w:t>Research and Development</w:t>
      </w:r>
      <w:r>
        <w:rPr>
          <w:color w:val="000000"/>
        </w:rPr>
        <w:t> </w:t>
      </w:r>
    </w:p>
    <w:tbl>
      <w:tblPr>
        <w:tblW w:w="7228" w:type="dxa"/>
        <w:jc w:val="center"/>
        <w:tblInd w:w="0" w:type="dxa"/>
        <w:tblLayout w:type="fixed"/>
        <w:tblCellMar>
          <w:top w:w="28" w:type="dxa"/>
          <w:left w:w="28" w:type="dxa"/>
          <w:bottom w:w="28" w:type="dxa"/>
          <w:right w:w="28" w:type="dxa"/>
        </w:tblCellMar>
      </w:tblPr>
      <w:tblGrid>
        <w:gridCol w:w="706"/>
        <w:gridCol w:w="619"/>
        <w:gridCol w:w="624"/>
        <w:gridCol w:w="312"/>
        <w:gridCol w:w="161"/>
        <w:gridCol w:w="446"/>
        <w:gridCol w:w="161"/>
        <w:gridCol w:w="161"/>
        <w:gridCol w:w="161"/>
        <w:gridCol w:w="312"/>
        <w:gridCol w:w="203"/>
        <w:gridCol w:w="401"/>
        <w:gridCol w:w="109"/>
        <w:gridCol w:w="109"/>
        <w:gridCol w:w="109"/>
        <w:gridCol w:w="351"/>
        <w:gridCol w:w="181"/>
        <w:gridCol w:w="501"/>
        <w:gridCol w:w="181"/>
        <w:gridCol w:w="181"/>
        <w:gridCol w:w="181"/>
        <w:gridCol w:w="351"/>
        <w:gridCol w:w="181"/>
        <w:gridCol w:w="526"/>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Company-funded</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711</w:t>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2,064</w:t>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Customer-funded </w:t>
            </w:r>
            <w:r>
              <w:rPr>
                <w:rFonts w:ascii="Times New Roman;serif" w:hAnsi="Times New Roman;serif"/>
                <w:b w:val="false"/>
                <w:color w:val="000000"/>
                <w:sz w:val="13"/>
              </w:rPr>
              <w:t>(1)</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1,339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3,846</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w:t>
            </w:r>
          </w:p>
        </w:tc>
      </w:tr>
      <w:tr>
        <w:trPr/>
        <w:tc>
          <w:tcPr>
            <w:tcW w:w="194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473"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44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0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50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2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    Included in Cost of sales in our Condensed Consolidated Statement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spending is subject to the variable nature of program development schedules and, therefore, year-over-year fluctuations in spending levels are expected.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increase in customer-funded research and development expenses of $0.1 billion for the quarter ended September 30, 2026 was primarily driven by increased spending on various military and commercial programs at Collins and increased spending on military development programs at Raytheon, partially offset by decreased spending on military development programs at Pratt &amp; Whitney.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increase in customer-funded research and development expenses of $0.1 billion for the nine months ended September 30, 2026 was primarily driven by increased spending on various military and commercial programs at Collins, partially offset by decreased spending on military development programs at Pratt &amp; Whitney.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i/>
          <w:color w:val="000000"/>
          <w:sz w:val="20"/>
          <w:u w:val="single"/>
        </w:rPr>
      </w:pPr>
      <w:r>
        <w:rPr>
          <w:rFonts w:ascii="Times New Roman;serif" w:hAnsi="Times New Roman;serif"/>
          <w:b/>
          <w:i/>
          <w:color w:val="000000"/>
          <w:sz w:val="20"/>
          <w:u w:val="single"/>
        </w:rPr>
        <w:t>Selling, General, and Administrative</w:t>
      </w:r>
    </w:p>
    <w:tbl>
      <w:tblPr>
        <w:tblW w:w="8246" w:type="dxa"/>
        <w:jc w:val="center"/>
        <w:tblInd w:w="0" w:type="dxa"/>
        <w:tblLayout w:type="fixed"/>
        <w:tblCellMar>
          <w:top w:w="28" w:type="dxa"/>
          <w:left w:w="28" w:type="dxa"/>
          <w:bottom w:w="28" w:type="dxa"/>
          <w:right w:w="28" w:type="dxa"/>
        </w:tblCellMar>
      </w:tblPr>
      <w:tblGrid>
        <w:gridCol w:w="1088"/>
        <w:gridCol w:w="954"/>
        <w:gridCol w:w="958"/>
        <w:gridCol w:w="312"/>
        <w:gridCol w:w="161"/>
        <w:gridCol w:w="446"/>
        <w:gridCol w:w="161"/>
        <w:gridCol w:w="161"/>
        <w:gridCol w:w="161"/>
        <w:gridCol w:w="312"/>
        <w:gridCol w:w="163"/>
        <w:gridCol w:w="408"/>
        <w:gridCol w:w="109"/>
        <w:gridCol w:w="109"/>
        <w:gridCol w:w="109"/>
        <w:gridCol w:w="351"/>
        <w:gridCol w:w="181"/>
        <w:gridCol w:w="501"/>
        <w:gridCol w:w="181"/>
        <w:gridCol w:w="181"/>
        <w:gridCol w:w="181"/>
        <w:gridCol w:w="351"/>
        <w:gridCol w:w="181"/>
        <w:gridCol w:w="526"/>
      </w:tblGrid>
      <w:tr>
        <w:trPr/>
        <w:tc>
          <w:tcPr>
            <w:tcW w:w="108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1,918</w:t>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5,052</w:t>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w:t>
            </w:r>
          </w:p>
        </w:tc>
      </w:tr>
      <w:tr>
        <w:trPr/>
        <w:tc>
          <w:tcPr>
            <w:tcW w:w="300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473"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w:t>
            </w:r>
            <w:r>
              <w:rPr>
                <w:color w:val="000000"/>
              </w:rPr>
              <w:t> </w:t>
            </w:r>
          </w:p>
        </w:tc>
        <w:tc>
          <w:tcPr>
            <w:tcW w:w="44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08"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50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2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for the quarter ended September 30, 2026 compared to the quarter ended September 30, 2025, primarily driven by a $0.4 billion charge at Pratt &amp; Whitney related to a customer bankruptcy during the third quarter of 2026 and higher employee related costs across the businesses.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for the nine months ended September 30, 2026 compared to the nine months ended September 30, 2025, primarily driven by a $0.3 billion increase in customer bankruptcy related charges recorded at Pratt &amp; Whitney and higher employee related costs and other costs across the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i/>
          <w:color w:val="000000"/>
          <w:sz w:val="20"/>
          <w:u w:val="single"/>
        </w:rPr>
      </w:pPr>
      <w:r>
        <w:rPr>
          <w:rFonts w:ascii="Times New Roman;serif" w:hAnsi="Times New Roman;serif"/>
          <w:b/>
          <w:i/>
          <w:color w:val="000000"/>
          <w:sz w:val="20"/>
          <w:u w:val="single"/>
        </w:rPr>
        <w:t>Other Income, Net</w:t>
      </w:r>
    </w:p>
    <w:tbl>
      <w:tblPr>
        <w:tblW w:w="6800" w:type="dxa"/>
        <w:jc w:val="center"/>
        <w:tblInd w:w="0" w:type="dxa"/>
        <w:tblLayout w:type="fixed"/>
        <w:tblCellMar>
          <w:top w:w="28" w:type="dxa"/>
          <w:left w:w="28" w:type="dxa"/>
          <w:bottom w:w="28" w:type="dxa"/>
          <w:right w:w="28" w:type="dxa"/>
        </w:tblCellMar>
      </w:tblPr>
      <w:tblGrid>
        <w:gridCol w:w="566"/>
        <w:gridCol w:w="496"/>
        <w:gridCol w:w="498"/>
        <w:gridCol w:w="266"/>
        <w:gridCol w:w="606"/>
        <w:gridCol w:w="137"/>
        <w:gridCol w:w="137"/>
        <w:gridCol w:w="137"/>
        <w:gridCol w:w="137"/>
        <w:gridCol w:w="266"/>
        <w:gridCol w:w="455"/>
        <w:gridCol w:w="137"/>
        <w:gridCol w:w="109"/>
        <w:gridCol w:w="109"/>
        <w:gridCol w:w="109"/>
        <w:gridCol w:w="284"/>
        <w:gridCol w:w="648"/>
        <w:gridCol w:w="146"/>
        <w:gridCol w:w="146"/>
        <w:gridCol w:w="146"/>
        <w:gridCol w:w="146"/>
        <w:gridCol w:w="284"/>
        <w:gridCol w:w="628"/>
        <w:gridCol w:w="207"/>
      </w:tblGrid>
      <w:tr>
        <w:trPr/>
        <w:tc>
          <w:tcPr>
            <w:tcW w:w="5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6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net</w:t>
            </w:r>
          </w:p>
        </w:tc>
        <w:tc>
          <w:tcPr>
            <w:tcW w:w="2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w:t>
            </w:r>
            <w:r>
              <w:rPr>
                <w:color w:val="000000"/>
              </w:rPr>
              <w:t> </w:t>
            </w:r>
          </w:p>
        </w:tc>
        <w:tc>
          <w:tcPr>
            <w:tcW w:w="1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w:t>
            </w:r>
            <w:r>
              <w:rPr>
                <w:color w:val="000000"/>
              </w:rPr>
              <w:t> </w:t>
            </w:r>
          </w:p>
        </w:tc>
        <w:tc>
          <w:tcPr>
            <w:tcW w:w="1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0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net includes equity earnings in unconsolidated entities, royalty income, foreign exchange gains and losses, and other ongoing and non-recurring items.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Other income, net in the quarter ended September 30, 2026 compared to the quarter ended September 30, 2025, was primarily due to higher gains of $0.2 billion related to the increase in fair value on investments, partially offset by the absence of a $0.1 billion gain from the sale of the actuation and flight control business in the third quarter of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Other income, net in the nine months ended September 30, 2026 compared to the nine months ended September 30, 2025, was primarily due to higher net gains of $0.2 billion related to the increase in fair value on investments in 2026 and favorable foreign exchange impacts, partially offset by the absence of a $0.1 billion gain from the sale of the actuation and flight control business in the third quarter of 2025 and the impact of a litigation matter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i/>
          <w:color w:val="000000"/>
          <w:sz w:val="20"/>
          <w:u w:val="single"/>
        </w:rPr>
      </w:pPr>
      <w:r>
        <w:rPr>
          <w:rFonts w:ascii="Times New Roman;serif" w:hAnsi="Times New Roman;serif"/>
          <w:b/>
          <w:i/>
          <w:color w:val="000000"/>
          <w:sz w:val="20"/>
          <w:u w:val="single"/>
        </w:rPr>
        <w:t>Operating Profit</w:t>
      </w:r>
    </w:p>
    <w:tbl>
      <w:tblPr>
        <w:tblW w:w="7413" w:type="dxa"/>
        <w:jc w:val="center"/>
        <w:tblInd w:w="0" w:type="dxa"/>
        <w:tblLayout w:type="fixed"/>
        <w:tblCellMar>
          <w:top w:w="28" w:type="dxa"/>
          <w:left w:w="28" w:type="dxa"/>
          <w:bottom w:w="28" w:type="dxa"/>
          <w:right w:w="28" w:type="dxa"/>
        </w:tblCellMar>
      </w:tblPr>
      <w:tblGrid>
        <w:gridCol w:w="740"/>
        <w:gridCol w:w="649"/>
        <w:gridCol w:w="651"/>
        <w:gridCol w:w="312"/>
        <w:gridCol w:w="228"/>
        <w:gridCol w:w="446"/>
        <w:gridCol w:w="161"/>
        <w:gridCol w:w="161"/>
        <w:gridCol w:w="161"/>
        <w:gridCol w:w="312"/>
        <w:gridCol w:w="223"/>
        <w:gridCol w:w="408"/>
        <w:gridCol w:w="109"/>
        <w:gridCol w:w="109"/>
        <w:gridCol w:w="109"/>
        <w:gridCol w:w="351"/>
        <w:gridCol w:w="181"/>
        <w:gridCol w:w="501"/>
        <w:gridCol w:w="181"/>
        <w:gridCol w:w="181"/>
        <w:gridCol w:w="181"/>
        <w:gridCol w:w="351"/>
        <w:gridCol w:w="181"/>
        <w:gridCol w:w="526"/>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3,337</w:t>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8,703</w:t>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w:t>
            </w:r>
          </w:p>
        </w:tc>
      </w:tr>
      <w:tr>
        <w:trPr/>
        <w:tc>
          <w:tcPr>
            <w:tcW w:w="204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Operating profit margin</w:t>
            </w:r>
          </w:p>
        </w:tc>
        <w:tc>
          <w:tcPr>
            <w:tcW w:w="540"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44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3"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0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50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3"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52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Operating profit of $0.8 billion for the quarter ended September 30, 2026 compared to the quarter ended September 30, 2025 was primarily driven by an increase in the organic operating profit of our segments of approximately $1.1 billion which includes the benefit of $0.4 billion of tariff refunds. Operating profit also benefited from gains on investments of $0.2 billion. These increases were partially offset by a $0.4 billion charge at Pratt &amp; Whitney related to a customer bankruptcy during the third quarter of 2026 and the absence of a $0.1 billion gain on sale of the actuation and flight control business in third quarter of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Operating profit of $2.0 billion for the nine months ended September 30, 2026 compared to the nine months ended September 30, 2025 was primarily driven by an increase in the organic operating profit of our segments of approximately $2.0 billion, which includes the benefit of $0.4 billion of tariff refunds. Operating profit also benefited from gains on investments of $0.2 billion and lower restructuring costs in 2026 as compared to 2025. These items were partially offset by a $0.3 billion increase in customer bankruptcy related charges recorded at Pratt &amp; Whitney and the absence of a $0.1 billion gain on sale of the actuation and flight control business in the third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i/>
          <w:color w:val="000000"/>
          <w:sz w:val="20"/>
          <w:u w:val="single"/>
        </w:rPr>
      </w:pPr>
      <w:r>
        <w:rPr>
          <w:rFonts w:ascii="Times New Roman;serif" w:hAnsi="Times New Roman;serif"/>
          <w:b/>
          <w:i/>
          <w:color w:val="000000"/>
          <w:sz w:val="20"/>
          <w:u w:val="single"/>
        </w:rPr>
        <w:t>Non-service Pension Income</w:t>
      </w:r>
    </w:p>
    <w:tbl>
      <w:tblPr>
        <w:tblW w:w="7671" w:type="dxa"/>
        <w:jc w:val="center"/>
        <w:tblInd w:w="0" w:type="dxa"/>
        <w:tblLayout w:type="fixed"/>
        <w:tblCellMar>
          <w:top w:w="28" w:type="dxa"/>
          <w:left w:w="28" w:type="dxa"/>
          <w:bottom w:w="28" w:type="dxa"/>
          <w:right w:w="28" w:type="dxa"/>
        </w:tblCellMar>
      </w:tblPr>
      <w:tblGrid>
        <w:gridCol w:w="881"/>
        <w:gridCol w:w="773"/>
        <w:gridCol w:w="776"/>
        <w:gridCol w:w="234"/>
        <w:gridCol w:w="602"/>
        <w:gridCol w:w="121"/>
        <w:gridCol w:w="121"/>
        <w:gridCol w:w="121"/>
        <w:gridCol w:w="121"/>
        <w:gridCol w:w="234"/>
        <w:gridCol w:w="602"/>
        <w:gridCol w:w="121"/>
        <w:gridCol w:w="109"/>
        <w:gridCol w:w="109"/>
        <w:gridCol w:w="109"/>
        <w:gridCol w:w="232"/>
        <w:gridCol w:w="762"/>
        <w:gridCol w:w="120"/>
        <w:gridCol w:w="120"/>
        <w:gridCol w:w="120"/>
        <w:gridCol w:w="120"/>
        <w:gridCol w:w="232"/>
        <w:gridCol w:w="762"/>
        <w:gridCol w:w="169"/>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3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pension income</w:t>
            </w:r>
          </w:p>
        </w:tc>
        <w:tc>
          <w:tcPr>
            <w:tcW w:w="23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(345)</w:t>
            </w:r>
          </w:p>
        </w:tc>
        <w:tc>
          <w:tcPr>
            <w:tcW w:w="1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(1,048)</w:t>
            </w:r>
          </w:p>
        </w:tc>
        <w:tc>
          <w:tcPr>
            <w:tcW w:w="12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6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center"/>
        <w:rPr>
          <w:rFonts w:ascii="Times New Roman;serif" w:hAnsi="Times New Roman;serif"/>
          <w:b/>
          <w:i/>
          <w:color w:val="000000"/>
          <w:sz w:val="20"/>
          <w:u w:val="single"/>
        </w:rPr>
      </w:pPr>
      <w:r>
        <w:rPr>
          <w:rFonts w:ascii="Times New Roman;serif" w:hAnsi="Times New Roman;serif"/>
          <w:b/>
          <w:i/>
          <w:color w:val="000000"/>
          <w:sz w:val="20"/>
          <w:u w:val="single"/>
        </w:rPr>
        <w:t>Interest Expense, Net</w:t>
      </w:r>
    </w:p>
    <w:tbl>
      <w:tblPr>
        <w:tblW w:w="8687" w:type="dxa"/>
        <w:jc w:val="center"/>
        <w:tblInd w:w="0" w:type="dxa"/>
        <w:tblLayout w:type="fixed"/>
        <w:tblCellMar>
          <w:top w:w="28" w:type="dxa"/>
          <w:left w:w="28" w:type="dxa"/>
          <w:bottom w:w="28" w:type="dxa"/>
          <w:right w:w="28" w:type="dxa"/>
        </w:tblCellMar>
      </w:tblPr>
      <w:tblGrid>
        <w:gridCol w:w="1251"/>
        <w:gridCol w:w="1097"/>
        <w:gridCol w:w="1102"/>
        <w:gridCol w:w="312"/>
        <w:gridCol w:w="161"/>
        <w:gridCol w:w="446"/>
        <w:gridCol w:w="161"/>
        <w:gridCol w:w="161"/>
        <w:gridCol w:w="161"/>
        <w:gridCol w:w="312"/>
        <w:gridCol w:w="161"/>
        <w:gridCol w:w="401"/>
        <w:gridCol w:w="109"/>
        <w:gridCol w:w="109"/>
        <w:gridCol w:w="109"/>
        <w:gridCol w:w="351"/>
        <w:gridCol w:w="181"/>
        <w:gridCol w:w="501"/>
        <w:gridCol w:w="181"/>
        <w:gridCol w:w="181"/>
        <w:gridCol w:w="181"/>
        <w:gridCol w:w="351"/>
        <w:gridCol w:w="181"/>
        <w:gridCol w:w="526"/>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413</w:t>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1,247</w:t>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non-operating expense (income) </w:t>
            </w:r>
            <w:r>
              <w:rPr>
                <w:rFonts w:ascii="Times New Roman;serif" w:hAnsi="Times New Roman;serif"/>
                <w:b w:val="false"/>
                <w:color w:val="000000"/>
                <w:sz w:val="13"/>
              </w:rPr>
              <w:t>(1)</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34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381</w:t>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1,188</w:t>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r>
      <w:tr>
        <w:trPr/>
        <w:tc>
          <w:tcPr>
            <w:tcW w:w="345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interest expense rate</w:t>
            </w:r>
          </w:p>
        </w:tc>
        <w:tc>
          <w:tcPr>
            <w:tcW w:w="473"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4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0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50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Primarily consists of the gains or losses on assets associated with certain of our nonqualified deferred compensation and employee benefit plans, the gains or losses on liabilities associated with certain of our nonqualified deferred compensation plans, and non-operating dividend income.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Interest expense for the quarter and nine months ended September 30, 2026 compared to the quarter and nine months ended September 30, 2025, was primarily driven by long-term debt repayments.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i/>
          <w:color w:val="000000"/>
          <w:sz w:val="20"/>
          <w:u w:val="single"/>
        </w:rPr>
      </w:pPr>
      <w:r>
        <w:rPr>
          <w:rFonts w:ascii="Times New Roman;serif" w:hAnsi="Times New Roman;serif"/>
          <w:b/>
          <w:i/>
          <w:color w:val="000000"/>
          <w:sz w:val="20"/>
          <w:u w:val="single"/>
        </w:rPr>
        <w:t>Income Taxes</w:t>
      </w:r>
    </w:p>
    <w:tbl>
      <w:tblPr>
        <w:tblW w:w="7884" w:type="dxa"/>
        <w:jc w:val="center"/>
        <w:tblInd w:w="0" w:type="dxa"/>
        <w:tblLayout w:type="fixed"/>
        <w:tblCellMar>
          <w:top w:w="28" w:type="dxa"/>
          <w:left w:w="28" w:type="dxa"/>
          <w:bottom w:w="28" w:type="dxa"/>
          <w:right w:w="28" w:type="dxa"/>
        </w:tblCellMar>
      </w:tblPr>
      <w:tblGrid>
        <w:gridCol w:w="777"/>
        <w:gridCol w:w="681"/>
        <w:gridCol w:w="686"/>
        <w:gridCol w:w="263"/>
        <w:gridCol w:w="263"/>
        <w:gridCol w:w="514"/>
        <w:gridCol w:w="186"/>
        <w:gridCol w:w="186"/>
        <w:gridCol w:w="186"/>
        <w:gridCol w:w="255"/>
        <w:gridCol w:w="256"/>
        <w:gridCol w:w="463"/>
        <w:gridCol w:w="109"/>
        <w:gridCol w:w="109"/>
        <w:gridCol w:w="109"/>
        <w:gridCol w:w="263"/>
        <w:gridCol w:w="263"/>
        <w:gridCol w:w="576"/>
        <w:gridCol w:w="208"/>
        <w:gridCol w:w="208"/>
        <w:gridCol w:w="208"/>
        <w:gridCol w:w="255"/>
        <w:gridCol w:w="256"/>
        <w:gridCol w:w="604"/>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4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52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w:t>
            </w:r>
            <w:r>
              <w:rPr>
                <w:color w:val="000000"/>
              </w:rPr>
              <w:t> </w:t>
            </w:r>
          </w:p>
        </w:tc>
        <w:tc>
          <w:tcPr>
            <w:tcW w:w="51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5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4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w:t>
            </w:r>
            <w:r>
              <w:rPr>
                <w:color w:val="000000"/>
              </w:rPr>
              <w:t> </w:t>
            </w:r>
          </w:p>
        </w:tc>
        <w:tc>
          <w:tcPr>
            <w:tcW w:w="57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24"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60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quarter and nine months ended September 30, 2026 compared to the quarter and nine months ended September 30, 2025 are relatively consistent. The effective tax rate for the quarter and nine months ended September 30, 2026 includes a lower forecasted annualized effective tax rate for 2026 principally due to a higher Foreign Derived Deduction Eligible Income benefit resulting from the U.S. tax legislation enacted in 2025. The effective tax rate for the quarter and nine months ended September 30, 2025 includes tax benefits for certain legal entity reorganizations partially offset by tax expense due to the sale of the Collins actuation and flight control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i/>
          <w:color w:val="000000"/>
          <w:sz w:val="20"/>
          <w:u w:val="single"/>
        </w:rPr>
      </w:pPr>
      <w:r>
        <w:rPr>
          <w:rFonts w:ascii="Times New Roman;serif" w:hAnsi="Times New Roman;serif"/>
          <w:b/>
          <w:i/>
          <w:color w:val="000000"/>
          <w:sz w:val="20"/>
          <w:u w:val="single"/>
        </w:rPr>
        <w:t>Net Income Attributable to Common Shareowners</w:t>
      </w:r>
    </w:p>
    <w:tbl>
      <w:tblPr>
        <w:tblW w:w="9276" w:type="dxa"/>
        <w:jc w:val="center"/>
        <w:tblInd w:w="0" w:type="dxa"/>
        <w:tblLayout w:type="fixed"/>
        <w:tblCellMar>
          <w:top w:w="28" w:type="dxa"/>
          <w:left w:w="28" w:type="dxa"/>
          <w:bottom w:w="28" w:type="dxa"/>
          <w:right w:w="28" w:type="dxa"/>
        </w:tblCellMar>
      </w:tblPr>
      <w:tblGrid>
        <w:gridCol w:w="1461"/>
        <w:gridCol w:w="1281"/>
        <w:gridCol w:w="1292"/>
        <w:gridCol w:w="217"/>
        <w:gridCol w:w="650"/>
        <w:gridCol w:w="112"/>
        <w:gridCol w:w="112"/>
        <w:gridCol w:w="112"/>
        <w:gridCol w:w="112"/>
        <w:gridCol w:w="217"/>
        <w:gridCol w:w="634"/>
        <w:gridCol w:w="112"/>
        <w:gridCol w:w="109"/>
        <w:gridCol w:w="109"/>
        <w:gridCol w:w="109"/>
        <w:gridCol w:w="246"/>
        <w:gridCol w:w="737"/>
        <w:gridCol w:w="127"/>
        <w:gridCol w:w="127"/>
        <w:gridCol w:w="127"/>
        <w:gridCol w:w="127"/>
        <w:gridCol w:w="246"/>
        <w:gridCol w:w="720"/>
        <w:gridCol w:w="180"/>
      </w:tblGrid>
      <w:tr>
        <w:trPr/>
        <w:tc>
          <w:tcPr>
            <w:tcW w:w="146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w:t>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2,583</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6,781</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7"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w:t>
            </w:r>
            <w:r>
              <w:rPr>
                <w:color w:val="000000"/>
              </w:rPr>
              <w:t> </w:t>
            </w:r>
          </w:p>
        </w:tc>
        <w:tc>
          <w:tcPr>
            <w:tcW w:w="112"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2"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w:t>
            </w:r>
            <w:r>
              <w:rPr>
                <w:color w:val="000000"/>
              </w:rPr>
              <w:t> </w:t>
            </w:r>
          </w:p>
        </w:tc>
        <w:tc>
          <w:tcPr>
            <w:tcW w:w="127"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80"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 for the quarter ended September 30, 2026 includes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 accounting adjustments of $0.3 billion, net of tax, which had an unfavorable impact on diluted earnings per share (EPS) of $0.26;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tariff refunds of $0.3 billion, net of tax, which had a favorable impact on diluted EPS of $0.25;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charge of $0.3 billion, net of tax, related to a customer bankruptcy which had an unfavorable impact on diluted EPS of $0.20;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gains on investments of $0.1 billion, net of tax, which had a favorable impact on diluted EPS of $0.09.</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 for the quarter ended September 30, 2025 includes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 accounting adjustments of $0.4 billion, net of tax, which had an unfavorable impact on diluted EPS of $0.29.</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 for the nine months ended September 30, 2026 includes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 accounting adjustments of $1.1 billion, net of tax, which had an unfavorable impact on diluted EPS of $0.80;</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tariff refunds of $0.3 billion, net of tax, which had a favorable impact on diluted EPS of $0.25;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charge of $0.3 billion, net of tax, related to a customer bankruptcy which had an unfavorable impact on diluted EPS of $0.21;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gains on investments of $0.2 billion, net of tax, which had a favorable impact on diluted EPS of $0.13.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 for the nine months ended September 30, 2025 includes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 accounting adjustments of $1.1 billion, net of tax, which had an unfavorable impact on diluted EPS of $0.84;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restructuring charges of $0.2 billion, net of tax, which had an unfavorable impact on diluted EPS of $0.12.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SEGMENT REVIEW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for the periods presented herein, are classified into three principal segments: Collins, Pratt &amp; Whitney, and Raytheon. Segments are generally based on the management structure of the businesses and the grouping of similar operations, based on capabilities and technologies, where each management organization has general operating autonomy over diversified products and services. Total segment net sales and segment operating profit include intercompany sales and profit, which are ultimately eliminated within Eliminations and other, which also includes certain smaller non-reportable segments. Segment operating profit excludes certain acquisition accounting adjustments, the FAS/CAS operating adjustment, and certain corporate expenses, as further discussed below.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Given the nature of our business, we believe that total net sales and operating profit (and the related operating profit margin percentage), which we disclose and discuss at the segment level, are most relevant to an understanding of management’s view of our segment performance, as described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provide the organic change in Net sales and Operating profit for our segments as discussed above in “Results of Operations.” We believe that these non-GAAP measures are useful to investors because they provide transparency to the underlying performance of our business, which allows for better year-over-year comparability. For Pratt &amp; Whitney only, Other also includes the transactional impact of foreign exchange hedging at Pratt &amp; Whitney Canada due to its significance to Pratt &amp; Whitney’s overall operating results.</w:t>
      </w:r>
    </w:p>
    <w:p>
      <w:pPr>
        <w:pStyle w:val="TextBody"/>
        <w:bidi w:val="0"/>
        <w:spacing w:lineRule="auto" w:line="288" w:before="120" w:after="283"/>
        <w:jc w:val="both"/>
        <w:rPr/>
      </w:pPr>
      <w:r>
        <w:rPr>
          <w:rFonts w:ascii="Times New Roman;serif" w:hAnsi="Times New Roman;serif"/>
          <w:b/>
          <w:color w:val="000000"/>
          <w:sz w:val="20"/>
        </w:rPr>
        <w:t>Total Net Sales.</w:t>
      </w:r>
      <w:r>
        <w:rPr>
          <w:color w:val="000000"/>
        </w:rPr>
        <w:t xml:space="preserve"> </w:t>
      </w:r>
      <w:r>
        <w:rPr>
          <w:rFonts w:ascii="Times New Roman;serif" w:hAnsi="Times New Roman;serif"/>
          <w:b w:val="false"/>
          <w:color w:val="000000"/>
          <w:sz w:val="20"/>
        </w:rPr>
        <w:t>Total net sales by segment were as follows:</w:t>
      </w:r>
    </w:p>
    <w:tbl>
      <w:tblPr>
        <w:tblW w:w="7576" w:type="dxa"/>
        <w:jc w:val="left"/>
        <w:tblInd w:w="0" w:type="dxa"/>
        <w:tblLayout w:type="fixed"/>
        <w:tblCellMar>
          <w:top w:w="28" w:type="dxa"/>
          <w:left w:w="28" w:type="dxa"/>
          <w:bottom w:w="28" w:type="dxa"/>
          <w:right w:w="28" w:type="dxa"/>
        </w:tblCellMar>
      </w:tblPr>
      <w:tblGrid>
        <w:gridCol w:w="794"/>
        <w:gridCol w:w="696"/>
        <w:gridCol w:w="699"/>
        <w:gridCol w:w="211"/>
        <w:gridCol w:w="736"/>
        <w:gridCol w:w="109"/>
        <w:gridCol w:w="109"/>
        <w:gridCol w:w="109"/>
        <w:gridCol w:w="109"/>
        <w:gridCol w:w="211"/>
        <w:gridCol w:w="721"/>
        <w:gridCol w:w="109"/>
        <w:gridCol w:w="109"/>
        <w:gridCol w:w="109"/>
        <w:gridCol w:w="109"/>
        <w:gridCol w:w="225"/>
        <w:gridCol w:w="787"/>
        <w:gridCol w:w="116"/>
        <w:gridCol w:w="116"/>
        <w:gridCol w:w="116"/>
        <w:gridCol w:w="116"/>
        <w:gridCol w:w="225"/>
        <w:gridCol w:w="771"/>
        <w:gridCol w:w="164"/>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24,194</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22,460 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26,293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23,245</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73,732</w:t>
            </w: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66,266 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(1,983)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24,965</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22,478 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71,749</w:t>
            </w:r>
            <w:r>
              <w:rPr>
                <w:color w:val="000000"/>
              </w:rPr>
              <w:t> </w:t>
            </w:r>
          </w:p>
        </w:tc>
        <w:tc>
          <w:tcPr>
            <w:tcW w:w="1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64,365 </w:t>
            </w:r>
          </w:p>
        </w:tc>
        <w:tc>
          <w:tcPr>
            <w:tcW w:w="16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Includes the operating results of certain smaller operations.</w:t>
      </w:r>
    </w:p>
    <w:p>
      <w:pPr>
        <w:pStyle w:val="TextBody"/>
        <w:bidi w:val="0"/>
        <w:spacing w:lineRule="auto" w:line="288" w:before="120" w:after="283"/>
        <w:jc w:val="left"/>
        <w:rPr/>
      </w:pPr>
      <w:r>
        <w:rPr>
          <w:rFonts w:ascii="Times New Roman;serif" w:hAnsi="Times New Roman;serif"/>
          <w:b/>
          <w:color w:val="000000"/>
          <w:sz w:val="20"/>
        </w:rPr>
        <w:t>Operating Profit.</w:t>
      </w:r>
      <w:r>
        <w:rPr>
          <w:color w:val="000000"/>
        </w:rPr>
        <w:t xml:space="preserve"> </w:t>
      </w:r>
      <w:r>
        <w:rPr>
          <w:rFonts w:ascii="Times New Roman;serif" w:hAnsi="Times New Roman;serif"/>
          <w:b w:val="false"/>
          <w:color w:val="000000"/>
          <w:sz w:val="20"/>
        </w:rPr>
        <w:t>Operating profit by segment was as follows:</w:t>
      </w:r>
    </w:p>
    <w:tbl>
      <w:tblPr>
        <w:tblW w:w="9247" w:type="dxa"/>
        <w:jc w:val="left"/>
        <w:tblInd w:w="0" w:type="dxa"/>
        <w:tblLayout w:type="fixed"/>
        <w:tblCellMar>
          <w:top w:w="28" w:type="dxa"/>
          <w:left w:w="28" w:type="dxa"/>
          <w:bottom w:w="28" w:type="dxa"/>
          <w:right w:w="28" w:type="dxa"/>
        </w:tblCellMar>
      </w:tblPr>
      <w:tblGrid>
        <w:gridCol w:w="1453"/>
        <w:gridCol w:w="1273"/>
        <w:gridCol w:w="1279"/>
        <w:gridCol w:w="217"/>
        <w:gridCol w:w="650"/>
        <w:gridCol w:w="112"/>
        <w:gridCol w:w="112"/>
        <w:gridCol w:w="112"/>
        <w:gridCol w:w="112"/>
        <w:gridCol w:w="217"/>
        <w:gridCol w:w="634"/>
        <w:gridCol w:w="112"/>
        <w:gridCol w:w="109"/>
        <w:gridCol w:w="109"/>
        <w:gridCol w:w="109"/>
        <w:gridCol w:w="246"/>
        <w:gridCol w:w="737"/>
        <w:gridCol w:w="127"/>
        <w:gridCol w:w="127"/>
        <w:gridCol w:w="127"/>
        <w:gridCol w:w="127"/>
        <w:gridCol w:w="246"/>
        <w:gridCol w:w="720"/>
        <w:gridCol w:w="180"/>
      </w:tblGrid>
      <w:tr>
        <w:trPr/>
        <w:tc>
          <w:tcPr>
            <w:tcW w:w="145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1,789</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4,402</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608</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2,056</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1,133</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3,016</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8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3,530</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9,474</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(1)</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514</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(1,393)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3,337</w:t>
            </w:r>
            <w:r>
              <w:rPr>
                <w:color w:val="000000"/>
              </w:rPr>
              <w:t> </w:t>
            </w:r>
          </w:p>
        </w:tc>
        <w:tc>
          <w:tcPr>
            <w:tcW w:w="11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1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8,703</w:t>
            </w:r>
            <w:r>
              <w:rPr>
                <w:color w:val="000000"/>
              </w:rPr>
              <w:t> </w:t>
            </w:r>
          </w:p>
        </w:tc>
        <w:tc>
          <w:tcPr>
            <w:tcW w:w="12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6,704 </w:t>
            </w:r>
          </w:p>
        </w:tc>
        <w:tc>
          <w:tcPr>
            <w:tcW w:w="18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Includes the operating results of certain smaller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Included in segment Operating profit are EAC adjustments, which relate to changes in Operating profit and margin due to revisions to total estimated revenues and costs at completion. These changes may reflect improved or deteriorated operating performance, as well as changes in facts and assumptions related to contract options, contract modifications, incentive and award fees associated with program performance, customer activity levels, and other customer-directed changes. For a full description of our EAC process, refer to “Note 5: Changes in Contract Estimates at Completion” within Item 1 of this Form 10-Q. Given that we have thousands of individual contracts, and given the types and complexity of the assumptions and estimates we must make on an on-going basis, and the nature of the work required to be performed under our contracts, we have both favorable and unfavorable EAC adjustments in the ordinary course.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had the following net EAC adjustments for the periods presented:</w:t>
      </w:r>
    </w:p>
    <w:tbl>
      <w:tblPr>
        <w:tblW w:w="7550" w:type="dxa"/>
        <w:jc w:val="left"/>
        <w:tblInd w:w="0" w:type="dxa"/>
        <w:tblLayout w:type="fixed"/>
        <w:tblCellMar>
          <w:top w:w="28" w:type="dxa"/>
          <w:left w:w="28" w:type="dxa"/>
          <w:bottom w:w="28" w:type="dxa"/>
          <w:right w:w="28" w:type="dxa"/>
        </w:tblCellMar>
      </w:tblPr>
      <w:tblGrid>
        <w:gridCol w:w="838"/>
        <w:gridCol w:w="734"/>
        <w:gridCol w:w="737"/>
        <w:gridCol w:w="270"/>
        <w:gridCol w:w="482"/>
        <w:gridCol w:w="139"/>
        <w:gridCol w:w="139"/>
        <w:gridCol w:w="139"/>
        <w:gridCol w:w="139"/>
        <w:gridCol w:w="270"/>
        <w:gridCol w:w="559"/>
        <w:gridCol w:w="139"/>
        <w:gridCol w:w="109"/>
        <w:gridCol w:w="109"/>
        <w:gridCol w:w="109"/>
        <w:gridCol w:w="266"/>
        <w:gridCol w:w="682"/>
        <w:gridCol w:w="137"/>
        <w:gridCol w:w="137"/>
        <w:gridCol w:w="137"/>
        <w:gridCol w:w="137"/>
        <w:gridCol w:w="266"/>
        <w:gridCol w:w="682"/>
        <w:gridCol w:w="194"/>
      </w:tblGrid>
      <w:tr>
        <w:trPr/>
        <w:tc>
          <w:tcPr>
            <w:tcW w:w="83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EAC adjustments</w:t>
            </w:r>
          </w:p>
        </w:tc>
        <w:tc>
          <w:tcPr>
            <w:tcW w:w="2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13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3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w:t>
            </w:r>
          </w:p>
        </w:tc>
        <w:tc>
          <w:tcPr>
            <w:tcW w:w="1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9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color w:val="000000"/>
        </w:rPr>
      </w:pPr>
      <w:r>
        <w:rPr>
          <w:color w:val="000000"/>
        </w:rPr>
        <w: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Significant EAC adjustments, when they occur, are discussed in each business segment’s discussion below.</w:t>
      </w:r>
    </w:p>
    <w:p>
      <w:pPr>
        <w:pStyle w:val="TextBody"/>
        <w:bidi w:val="0"/>
        <w:spacing w:lineRule="auto" w:line="288" w:before="120" w:after="283"/>
        <w:jc w:val="both"/>
        <w:rPr/>
      </w:pPr>
      <w:r>
        <w:rPr>
          <w:rFonts w:ascii="Times New Roman;serif" w:hAnsi="Times New Roman;serif"/>
          <w:b/>
          <w:color w:val="000000"/>
          <w:sz w:val="20"/>
        </w:rPr>
        <w:t>Backlog and Bookings.</w:t>
      </w:r>
      <w:r>
        <w:rPr>
          <w:color w:val="000000"/>
        </w:rPr>
        <w:t xml:space="preserve"> </w:t>
      </w:r>
      <w:r>
        <w:rPr>
          <w:rFonts w:ascii="Times New Roman;serif" w:hAnsi="Times New Roman;serif"/>
          <w:b w:val="false"/>
          <w:color w:val="000000"/>
          <w:sz w:val="20"/>
        </w:rPr>
        <w:t>Total backlog was $340 billion and $268 billion as of September 30, 2026 and December 31, 2025, respectively. Total backlog includes commercial backlog of $176 billion and $161 billion as of September 30, 2026 and December 31, 2025, respectively and defense backlog of $164 billion and $107 billion as of September 30, 2026 and December 31, 2025,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bookings are an important measure of future performance for our defense businesses. Our defense operations consist primarily of our Raytheon segment and operations in the defense businesses within our Collins and Pratt &amp; Whitney segments. Defense bookings were approximately $59 billion and $23 billion for the quarters ended September 30, 2026 and 2025, respectively, and approximately $96 billion and $44 billion for the nine months ended September 30, 2026 and 2025, respectively. The increase in defense bookings for the quarter and nine months ended September 30, 2026, was primarily due to multi-year DoW contracts awarded to Raytheon to accelerate production of Tomahawk cruise missiles for approximately $23 billion and AMRAAM missiles for approximately $14.3 billion.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Bookings are impacted by the timing and amounts of awards in a given period, which are subject to numerous factors, including: the desired capability by the customer and urgency of customer needs, customer budgets and other fiscal constraints, political and economic and other environmental factors, the timing of customer negotiations, and the timing of customer and governmental approvals and notifications. In addition, due to these factors, quarterly bookings tend to fluctuate from period to period, particularly on a segment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Collins Aerospace </w:t>
      </w:r>
    </w:p>
    <w:tbl>
      <w:tblPr>
        <w:tblW w:w="8612" w:type="dxa"/>
        <w:jc w:val="left"/>
        <w:tblInd w:w="0" w:type="dxa"/>
        <w:tblLayout w:type="fixed"/>
        <w:tblCellMar>
          <w:top w:w="28" w:type="dxa"/>
          <w:left w:w="28" w:type="dxa"/>
          <w:bottom w:w="28" w:type="dxa"/>
          <w:right w:w="28" w:type="dxa"/>
        </w:tblCellMar>
      </w:tblPr>
      <w:tblGrid>
        <w:gridCol w:w="767"/>
        <w:gridCol w:w="672"/>
        <w:gridCol w:w="675"/>
        <w:gridCol w:w="306"/>
        <w:gridCol w:w="220"/>
        <w:gridCol w:w="420"/>
        <w:gridCol w:w="122"/>
        <w:gridCol w:w="122"/>
        <w:gridCol w:w="122"/>
        <w:gridCol w:w="288"/>
        <w:gridCol w:w="223"/>
        <w:gridCol w:w="408"/>
        <w:gridCol w:w="180"/>
        <w:gridCol w:w="181"/>
        <w:gridCol w:w="367"/>
        <w:gridCol w:w="109"/>
        <w:gridCol w:w="109"/>
        <w:gridCol w:w="109"/>
        <w:gridCol w:w="284"/>
        <w:gridCol w:w="242"/>
        <w:gridCol w:w="497"/>
        <w:gridCol w:w="138"/>
        <w:gridCol w:w="138"/>
        <w:gridCol w:w="138"/>
        <w:gridCol w:w="268"/>
        <w:gridCol w:w="245"/>
        <w:gridCol w:w="483"/>
        <w:gridCol w:w="180"/>
        <w:gridCol w:w="181"/>
        <w:gridCol w:w="418"/>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8,382</w:t>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24,194</w:t>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22,460</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1,789</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4,402</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margins</w:t>
            </w:r>
          </w:p>
        </w:tc>
        <w:tc>
          <w:tcPr>
            <w:tcW w:w="52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w:t>
            </w:r>
            <w:r>
              <w:rPr>
                <w:color w:val="000000"/>
              </w:rPr>
              <w:t> </w:t>
            </w:r>
          </w:p>
        </w:tc>
        <w:tc>
          <w:tcPr>
            <w:tcW w:w="42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66"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40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w:t>
            </w:r>
            <w:r>
              <w:rPr>
                <w:color w:val="000000"/>
              </w:rPr>
              <w:t> </w:t>
            </w:r>
          </w:p>
        </w:tc>
        <w:tc>
          <w:tcPr>
            <w:tcW w:w="497"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14"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48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i/>
          <w:color w:val="000000"/>
          <w:sz w:val="20"/>
        </w:rPr>
      </w:pPr>
      <w:r>
        <w:rPr>
          <w:rFonts w:ascii="Times New Roman;serif" w:hAnsi="Times New Roman;serif"/>
          <w:b/>
          <w:i/>
          <w:color w:val="000000"/>
          <w:sz w:val="20"/>
        </w:rPr>
        <w:t>Quarter Ended September 30, 2026 Compared with Quarter Ended September 30, 2025</w:t>
      </w:r>
    </w:p>
    <w:tbl>
      <w:tblPr>
        <w:tblW w:w="8132" w:type="dxa"/>
        <w:jc w:val="center"/>
        <w:tblInd w:w="0" w:type="dxa"/>
        <w:tblLayout w:type="fixed"/>
        <w:tblCellMar>
          <w:top w:w="28" w:type="dxa"/>
          <w:left w:w="28" w:type="dxa"/>
          <w:bottom w:w="28" w:type="dxa"/>
          <w:right w:w="28" w:type="dxa"/>
        </w:tblCellMar>
      </w:tblPr>
      <w:tblGrid>
        <w:gridCol w:w="565"/>
        <w:gridCol w:w="495"/>
        <w:gridCol w:w="500"/>
        <w:gridCol w:w="233"/>
        <w:gridCol w:w="516"/>
        <w:gridCol w:w="120"/>
        <w:gridCol w:w="109"/>
        <w:gridCol w:w="109"/>
        <w:gridCol w:w="109"/>
        <w:gridCol w:w="109"/>
        <w:gridCol w:w="109"/>
        <w:gridCol w:w="336"/>
        <w:gridCol w:w="766"/>
        <w:gridCol w:w="174"/>
        <w:gridCol w:w="109"/>
        <w:gridCol w:w="109"/>
        <w:gridCol w:w="109"/>
        <w:gridCol w:w="322"/>
        <w:gridCol w:w="621"/>
        <w:gridCol w:w="168"/>
        <w:gridCol w:w="109"/>
        <w:gridCol w:w="109"/>
        <w:gridCol w:w="109"/>
        <w:gridCol w:w="211"/>
        <w:gridCol w:w="331"/>
        <w:gridCol w:w="109"/>
        <w:gridCol w:w="109"/>
        <w:gridCol w:w="109"/>
        <w:gridCol w:w="109"/>
        <w:gridCol w:w="289"/>
        <w:gridCol w:w="639"/>
        <w:gridCol w:w="211"/>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8"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i/>
                <w:color w:val="000000"/>
                <w:sz w:val="16"/>
              </w:rPr>
              <w:t>(dollars in millions)</w:t>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74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2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(1)    See “Segment Review” above for definition of organic. </w:t>
      </w:r>
      <w:r>
        <w:rPr>
          <w:rFonts w:ascii="Times New Roman;serif" w:hAnsi="Times New Roman;serif"/>
          <w:b w:val="false"/>
          <w:color w:val="000000"/>
          <w:sz w:val="16"/>
          <w:shd w:fill="FFFFFF" w:val="clear"/>
        </w:rPr>
        <w:t>A reconciliation of these measures to reported U.S. GAAP amounts is provided in the table above.</w:t>
      </w:r>
    </w:p>
    <w:p>
      <w:pPr>
        <w:pStyle w:val="TextBody"/>
        <w:bidi w:val="0"/>
        <w:spacing w:lineRule="auto" w:line="288" w:before="120" w:after="283"/>
        <w:jc w:val="both"/>
        <w:rPr/>
      </w:pPr>
      <w:r>
        <w:rPr>
          <w:rFonts w:ascii="Times New Roman;serif" w:hAnsi="Times New Roman;serif"/>
          <w:b w:val="false"/>
          <w:color w:val="000000"/>
          <w:sz w:val="20"/>
        </w:rPr>
        <w:t>The organic net sales increase of $0.9 billion in the quarter ended September 30, 2026 compared to the quarter ended September 30, 2025 primarily relates to higher commercial aerospace OEM sales of $0.4 billion, higher commercial aerospace aftermarket sales of $0.3 billion, and higher defense sales of $0.2 billion. The increase in commercial OEM sales was primarily driven by higher volume on narrowbody and widebody programs and the increase in commercial aftermarket sales was primarily driven by higher volume across all aftermarket sales channels. The increase in defense sales was primarily due to higher volume across multiple programs and platforms</w:t>
      </w:r>
      <w:r>
        <w:rPr>
          <w:rFonts w:ascii="Times New Roman;serif" w:hAnsi="Times New Roman;serif"/>
          <w:b w:val="false"/>
          <w:color w:val="000000"/>
          <w:sz w:val="22"/>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organic operating profit increase of $0.6 billion in the quarter ended September 30, 2026 compared to the quarter ended September 30, 2025 was due to higher commercial aerospace operating profit of $0.4 billion and tariff refunds of $0.2 billion. The increase in commercial aerospace operating profit was driven by the higher sales volume discussed above and favorable mix. Defense operating profit was relatively flat, as the impact from higher sales volume discussed above was mostly offset by mix.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decrease in net sales due to acquisitions / divestitures, net in the </w:t>
      </w:r>
      <w:r>
        <w:rPr>
          <w:rFonts w:ascii="Times New Roman;serif" w:hAnsi="Times New Roman;serif"/>
          <w:b w:val="false"/>
          <w:color w:val="000000"/>
          <w:sz w:val="20"/>
        </w:rPr>
        <w:t>quarter ended September 30, 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quarter ended September 30, 2025</w:t>
      </w:r>
      <w:r>
        <w:rPr>
          <w:color w:val="000000"/>
          <w:shd w:fill="FFFFFF" w:val="clear"/>
        </w:rPr>
        <w:t xml:space="preserve"> </w:t>
      </w:r>
      <w:r>
        <w:rPr>
          <w:rFonts w:ascii="Times New Roman;serif" w:hAnsi="Times New Roman;serif"/>
          <w:b w:val="false"/>
          <w:color w:val="000000"/>
          <w:sz w:val="20"/>
          <w:shd w:fill="FFFFFF" w:val="clear"/>
        </w:rPr>
        <w:t xml:space="preserve">relates to the divestitures of the actuation and flight control business and the Simmonds Precision Products business completed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decrease in other operating profit of $0.1 billion in the </w:t>
      </w:r>
      <w:r>
        <w:rPr>
          <w:rFonts w:ascii="Times New Roman;serif" w:hAnsi="Times New Roman;serif"/>
          <w:b w:val="false"/>
          <w:color w:val="000000"/>
          <w:sz w:val="20"/>
        </w:rPr>
        <w:t>quarter ended September 30, 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quarter ended September 30, 2025</w:t>
      </w:r>
      <w:r>
        <w:rPr>
          <w:color w:val="000000"/>
          <w:shd w:fill="FFFFFF" w:val="clear"/>
        </w:rPr>
        <w:t xml:space="preserve"> </w:t>
      </w:r>
      <w:r>
        <w:rPr>
          <w:rFonts w:ascii="Times New Roman;serif" w:hAnsi="Times New Roman;serif"/>
          <w:b w:val="false"/>
          <w:color w:val="000000"/>
          <w:sz w:val="20"/>
          <w:shd w:fill="FFFFFF" w:val="clear"/>
        </w:rPr>
        <w:t>primarily relates to the absence of the gain on the sale of the actuation and flight control business completed in the third quarter of 2025.</w:t>
      </w:r>
    </w:p>
    <w:p>
      <w:pPr>
        <w:pStyle w:val="TextBody"/>
        <w:bidi w:val="0"/>
        <w:spacing w:lineRule="auto" w:line="288" w:before="120" w:after="283"/>
        <w:ind w:left="0" w:right="0" w:firstLine="450"/>
        <w:jc w:val="center"/>
        <w:rPr>
          <w:rFonts w:ascii="Times New Roman;serif" w:hAnsi="Times New Roman;serif"/>
          <w:b/>
          <w:i/>
          <w:color w:val="000000"/>
          <w:sz w:val="20"/>
        </w:rPr>
      </w:pPr>
      <w:r>
        <w:rPr>
          <w:rFonts w:ascii="Times New Roman;serif" w:hAnsi="Times New Roman;serif"/>
          <w:b/>
          <w:i/>
          <w:color w:val="000000"/>
          <w:sz w:val="20"/>
        </w:rPr>
        <w:t xml:space="preserve">Nine Months Ended September 30, 2026 Compared with Nine Months Ended September 30, 2025 </w:t>
      </w:r>
    </w:p>
    <w:tbl>
      <w:tblPr>
        <w:tblW w:w="7952" w:type="dxa"/>
        <w:jc w:val="center"/>
        <w:tblInd w:w="0" w:type="dxa"/>
        <w:tblLayout w:type="fixed"/>
        <w:tblCellMar>
          <w:top w:w="28" w:type="dxa"/>
          <w:left w:w="28" w:type="dxa"/>
          <w:bottom w:w="28" w:type="dxa"/>
          <w:right w:w="28" w:type="dxa"/>
        </w:tblCellMar>
      </w:tblPr>
      <w:tblGrid>
        <w:gridCol w:w="544"/>
        <w:gridCol w:w="477"/>
        <w:gridCol w:w="479"/>
        <w:gridCol w:w="211"/>
        <w:gridCol w:w="616"/>
        <w:gridCol w:w="109"/>
        <w:gridCol w:w="109"/>
        <w:gridCol w:w="109"/>
        <w:gridCol w:w="109"/>
        <w:gridCol w:w="336"/>
        <w:gridCol w:w="766"/>
        <w:gridCol w:w="174"/>
        <w:gridCol w:w="109"/>
        <w:gridCol w:w="109"/>
        <w:gridCol w:w="109"/>
        <w:gridCol w:w="322"/>
        <w:gridCol w:w="621"/>
        <w:gridCol w:w="168"/>
        <w:gridCol w:w="109"/>
        <w:gridCol w:w="109"/>
        <w:gridCol w:w="109"/>
        <w:gridCol w:w="211"/>
        <w:gridCol w:w="361"/>
        <w:gridCol w:w="109"/>
        <w:gridCol w:w="109"/>
        <w:gridCol w:w="109"/>
        <w:gridCol w:w="109"/>
        <w:gridCol w:w="245"/>
        <w:gridCol w:w="716"/>
        <w:gridCol w:w="179"/>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7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7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(1)    See “Segment Review” above for definition of organic. </w:t>
      </w:r>
      <w:r>
        <w:rPr>
          <w:rFonts w:ascii="Times New Roman;serif" w:hAnsi="Times New Roman;serif"/>
          <w:b w:val="false"/>
          <w:color w:val="000000"/>
          <w:sz w:val="16"/>
          <w:shd w:fill="FFFFFF" w:val="clear"/>
        </w:rPr>
        <w:t>A reconciliation of these measures to reported U.S. GAAP amounts is provided in the table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organic net sales increase of $2.6 billion in the nine months ended September 30, 2026 compared to the nine months ended September 30, 2025 primarily relates to higher commercial aerospace OEM sales of $1.2 billion, higher commercial aerospace aftermarket sales of $0.8 billion, and higher defense sales of $0.6 billion. The increase in commercial OEM sales was primarily driven by higher volume on narrowbody and widebody programs and the increase in commercial aftermarket sales was driven by higher volume across all aftermarket sales channels. The increase in defense sales was primarily due to higher volume across multiple programs and platforms.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organic operating profit increase of $0.8 billion in the nine months ended September 30, 2026 compared to the nine months ended September 30, 2025 was primarily due to an increase in commercial aerospace operating profit of $0.6 billion, tariff refunds of $0.2 billion and an increase in defense operating profit of $0.1 billion, partially offset by higher selling, general and administrative expenses of $0.1 billion. The increase in commercial aerospace operating profit was primarily driven by the higher sales volume discussed above and favorable mix. The increase in defense operating profit was primarily driven by the higher volume discussed above, partially offset by mix.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decrease in net sales due to acquisitions / divestitures, net in the </w:t>
      </w:r>
      <w:r>
        <w:rPr>
          <w:rFonts w:ascii="Times New Roman;serif" w:hAnsi="Times New Roman;serif"/>
          <w:b w:val="false"/>
          <w:color w:val="000000"/>
          <w:sz w:val="20"/>
        </w:rPr>
        <w:t>nine months ended September 30, 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nine months ended September 30, 2025</w:t>
      </w:r>
      <w:r>
        <w:rPr>
          <w:color w:val="000000"/>
          <w:shd w:fill="FFFFFF" w:val="clear"/>
        </w:rPr>
        <w:t xml:space="preserve"> </w:t>
      </w:r>
      <w:r>
        <w:rPr>
          <w:rFonts w:ascii="Times New Roman;serif" w:hAnsi="Times New Roman;serif"/>
          <w:b w:val="false"/>
          <w:color w:val="000000"/>
          <w:sz w:val="20"/>
          <w:shd w:fill="FFFFFF" w:val="clear"/>
        </w:rPr>
        <w:t xml:space="preserve">relates to the divestitures of the actuation and flight control business and the Simmonds Precision Products business completed in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restructuring costs in the nine months ended September 30, 2026 compared to the nine months ended September 30, 2025 was primarily due to lower severance related costs recognized in 2026. </w:t>
      </w:r>
    </w:p>
    <w:p>
      <w:pPr>
        <w:pStyle w:val="TextBody"/>
        <w:bidi w:val="0"/>
        <w:spacing w:lineRule="auto" w:line="288" w:before="120" w:after="283"/>
        <w:jc w:val="left"/>
        <w:rPr/>
      </w:pPr>
      <w:r>
        <w:rPr>
          <w:rFonts w:ascii="Times New Roman;serif" w:hAnsi="Times New Roman;serif"/>
          <w:b w:val="false"/>
          <w:i/>
          <w:color w:val="000000"/>
          <w:sz w:val="20"/>
        </w:rPr>
        <w:t xml:space="preserve">Defense Bookings </w:t>
      </w:r>
      <w:r>
        <w:rPr>
          <w:color w:val="000000"/>
        </w:rPr>
        <w:t xml:space="preserve">– </w:t>
      </w:r>
      <w:r>
        <w:rPr>
          <w:rFonts w:ascii="Times New Roman;serif" w:hAnsi="Times New Roman;serif"/>
          <w:b w:val="false"/>
          <w:color w:val="000000"/>
          <w:sz w:val="20"/>
        </w:rPr>
        <w:t xml:space="preserve">In the quarter ended and nine months ended September 30, 2026, Collins recorded $3 billion and $8 billion in defense bookings, respectively, comprised of several smaller individual bookings under $0.5 billion.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Pratt &amp; Whitney</w:t>
      </w:r>
    </w:p>
    <w:tbl>
      <w:tblPr>
        <w:tblW w:w="8353" w:type="dxa"/>
        <w:jc w:val="left"/>
        <w:tblInd w:w="0" w:type="dxa"/>
        <w:tblLayout w:type="fixed"/>
        <w:tblCellMar>
          <w:top w:w="28" w:type="dxa"/>
          <w:left w:w="28" w:type="dxa"/>
          <w:bottom w:w="28" w:type="dxa"/>
          <w:right w:w="28" w:type="dxa"/>
        </w:tblCellMar>
      </w:tblPr>
      <w:tblGrid>
        <w:gridCol w:w="767"/>
        <w:gridCol w:w="672"/>
        <w:gridCol w:w="675"/>
        <w:gridCol w:w="245"/>
        <w:gridCol w:w="176"/>
        <w:gridCol w:w="420"/>
        <w:gridCol w:w="122"/>
        <w:gridCol w:w="122"/>
        <w:gridCol w:w="122"/>
        <w:gridCol w:w="237"/>
        <w:gridCol w:w="177"/>
        <w:gridCol w:w="408"/>
        <w:gridCol w:w="216"/>
        <w:gridCol w:w="219"/>
        <w:gridCol w:w="367"/>
        <w:gridCol w:w="109"/>
        <w:gridCol w:w="109"/>
        <w:gridCol w:w="109"/>
        <w:gridCol w:w="268"/>
        <w:gridCol w:w="179"/>
        <w:gridCol w:w="497"/>
        <w:gridCol w:w="138"/>
        <w:gridCol w:w="138"/>
        <w:gridCol w:w="138"/>
        <w:gridCol w:w="268"/>
        <w:gridCol w:w="193"/>
        <w:gridCol w:w="483"/>
        <w:gridCol w:w="180"/>
        <w:gridCol w:w="181"/>
        <w:gridCol w:w="418"/>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9,231</w:t>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8,423</w:t>
            </w:r>
          </w:p>
        </w:tc>
        <w:tc>
          <w:tcPr>
            <w:tcW w:w="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26,293</w:t>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23,420</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608</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2,056</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margins</w:t>
            </w:r>
          </w:p>
        </w:tc>
        <w:tc>
          <w:tcPr>
            <w:tcW w:w="42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42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66"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0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w:t>
            </w:r>
            <w:r>
              <w:rPr>
                <w:color w:val="000000"/>
              </w:rPr>
              <w:t> </w:t>
            </w:r>
          </w:p>
        </w:tc>
        <w:tc>
          <w:tcPr>
            <w:tcW w:w="497"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14"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8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i/>
          <w:color w:val="000000"/>
          <w:sz w:val="20"/>
        </w:rPr>
      </w:pPr>
      <w:r>
        <w:rPr>
          <w:rFonts w:ascii="Times New Roman;serif" w:hAnsi="Times New Roman;serif"/>
          <w:b/>
          <w:i/>
          <w:color w:val="000000"/>
          <w:sz w:val="20"/>
        </w:rPr>
        <w:t>Quarter Ended September 30, 2026 Compared with Quarter Ended September 30, 2025</w:t>
      </w:r>
    </w:p>
    <w:tbl>
      <w:tblPr>
        <w:tblW w:w="8072" w:type="dxa"/>
        <w:jc w:val="center"/>
        <w:tblInd w:w="0" w:type="dxa"/>
        <w:tblLayout w:type="fixed"/>
        <w:tblCellMar>
          <w:top w:w="28" w:type="dxa"/>
          <w:left w:w="28" w:type="dxa"/>
          <w:bottom w:w="28" w:type="dxa"/>
          <w:right w:w="28" w:type="dxa"/>
        </w:tblCellMar>
      </w:tblPr>
      <w:tblGrid>
        <w:gridCol w:w="544"/>
        <w:gridCol w:w="477"/>
        <w:gridCol w:w="479"/>
        <w:gridCol w:w="233"/>
        <w:gridCol w:w="516"/>
        <w:gridCol w:w="120"/>
        <w:gridCol w:w="109"/>
        <w:gridCol w:w="109"/>
        <w:gridCol w:w="109"/>
        <w:gridCol w:w="109"/>
        <w:gridCol w:w="109"/>
        <w:gridCol w:w="370"/>
        <w:gridCol w:w="713"/>
        <w:gridCol w:w="193"/>
        <w:gridCol w:w="109"/>
        <w:gridCol w:w="109"/>
        <w:gridCol w:w="109"/>
        <w:gridCol w:w="322"/>
        <w:gridCol w:w="621"/>
        <w:gridCol w:w="168"/>
        <w:gridCol w:w="109"/>
        <w:gridCol w:w="109"/>
        <w:gridCol w:w="109"/>
        <w:gridCol w:w="211"/>
        <w:gridCol w:w="331"/>
        <w:gridCol w:w="109"/>
        <w:gridCol w:w="109"/>
        <w:gridCol w:w="109"/>
        <w:gridCol w:w="109"/>
        <w:gridCol w:w="289"/>
        <w:gridCol w:w="639"/>
        <w:gridCol w:w="211"/>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8"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74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2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(1)    See “Segment Review” above for definition of organic. </w:t>
      </w:r>
      <w:r>
        <w:rPr>
          <w:rFonts w:ascii="Times New Roman;serif" w:hAnsi="Times New Roman;serif"/>
          <w:b w:val="false"/>
          <w:color w:val="000000"/>
          <w:sz w:val="16"/>
          <w:shd w:fill="FFFFFF" w:val="clear"/>
        </w:rPr>
        <w:t>A reconciliation of these measures to reported U.S. GAAP amounts is provided in the table above.</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organic net sales increase of $0.8 billion in the quarter ended September 30, 2026, compared to the quarter ended September 30, 2025, was driven by a $0.9 billion increase in commercial aftermarket sales, primarily driven by higher volume. Commercial OEM sales decreased by $0.1 billion primarily as a result of unfavorable mix on large commercial engine deliveries. Military sales increased slightly, as the quarter ended September 30, 2025 benefited from the timing of the F135 Lot 18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organic operating profit increase of $0.2 billion in the quarter ended September 30, 2026, compared to the quarter ended September 30, 2025. The increase in organic operating profit was driven by tariff refunds of $0.2 billion and higher commercial aerospace operating profit of $0.1 billion, partially offset by higher selling, general and administrative expenses of $0.1 billion. The increase in commercial aerospace operating profit was driven by higher aftermarket volume partially offset by unfavorable mix on large commercial engine deliveries and commercial aftermarket.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other operating profit of $0.4 billion in the quarter ended September 30, 2026, compared to the quarter ended September 30, 2025, primarily relates to a $0.4 billion charge related to a customer bankruptcy during the third quarter of 2026.</w:t>
      </w:r>
    </w:p>
    <w:p>
      <w:pPr>
        <w:pStyle w:val="TextBody"/>
        <w:bidi w:val="0"/>
        <w:spacing w:lineRule="auto" w:line="288" w:before="120" w:after="283"/>
        <w:ind w:left="0" w:right="0" w:firstLine="450"/>
        <w:jc w:val="center"/>
        <w:rPr>
          <w:rFonts w:ascii="Times New Roman;serif" w:hAnsi="Times New Roman;serif"/>
          <w:b/>
          <w:i/>
          <w:color w:val="000000"/>
          <w:sz w:val="20"/>
        </w:rPr>
      </w:pPr>
      <w:r>
        <w:rPr>
          <w:rFonts w:ascii="Times New Roman;serif" w:hAnsi="Times New Roman;serif"/>
          <w:b/>
          <w:i/>
          <w:color w:val="000000"/>
          <w:sz w:val="20"/>
        </w:rPr>
        <w:t xml:space="preserve">Nine Months Ended September 30, 2026 Compared with Nine Months Ended September 30, 2025 </w:t>
      </w:r>
    </w:p>
    <w:tbl>
      <w:tblPr>
        <w:tblW w:w="8015" w:type="dxa"/>
        <w:jc w:val="left"/>
        <w:tblInd w:w="0" w:type="dxa"/>
        <w:tblLayout w:type="fixed"/>
        <w:tblCellMar>
          <w:top w:w="28" w:type="dxa"/>
          <w:left w:w="28" w:type="dxa"/>
          <w:bottom w:w="28" w:type="dxa"/>
          <w:right w:w="28" w:type="dxa"/>
        </w:tblCellMar>
      </w:tblPr>
      <w:tblGrid>
        <w:gridCol w:w="544"/>
        <w:gridCol w:w="477"/>
        <w:gridCol w:w="479"/>
        <w:gridCol w:w="428"/>
        <w:gridCol w:w="284"/>
        <w:gridCol w:w="287"/>
        <w:gridCol w:w="109"/>
        <w:gridCol w:w="109"/>
        <w:gridCol w:w="109"/>
        <w:gridCol w:w="627"/>
        <w:gridCol w:w="324"/>
        <w:gridCol w:w="325"/>
        <w:gridCol w:w="109"/>
        <w:gridCol w:w="109"/>
        <w:gridCol w:w="109"/>
        <w:gridCol w:w="546"/>
        <w:gridCol w:w="282"/>
        <w:gridCol w:w="283"/>
        <w:gridCol w:w="109"/>
        <w:gridCol w:w="109"/>
        <w:gridCol w:w="109"/>
        <w:gridCol w:w="211"/>
        <w:gridCol w:w="361"/>
        <w:gridCol w:w="109"/>
        <w:gridCol w:w="109"/>
        <w:gridCol w:w="109"/>
        <w:gridCol w:w="109"/>
        <w:gridCol w:w="245"/>
        <w:gridCol w:w="716"/>
        <w:gridCol w:w="179"/>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99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7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(1)    See “Segment Review” above for definition of organic. </w:t>
      </w:r>
      <w:r>
        <w:rPr>
          <w:rFonts w:ascii="Times New Roman;serif" w:hAnsi="Times New Roman;serif"/>
          <w:b w:val="false"/>
          <w:color w:val="000000"/>
          <w:sz w:val="16"/>
          <w:shd w:fill="FFFFFF" w:val="clear"/>
        </w:rPr>
        <w:t>A reconciliation of these measures to reported U.S. GAAP amounts is provided in the table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organic net sales increase of $2.9 billion in the nine months ended September 30, 2026 compared to the nine months ended September 30, 2025, reflects higher commercial aftermarket sales of $2.5 billion primarily driven by higher volume and higher military sales of $0.7 billion largely attributable to higher F135 program volume. These increases were partially offset by a $0.3 billion decrease in commercial OEM sales as higher volume was more than offset by large commercial engine mix.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organic operating profit increase of $0.5 billion in the nine months ended September 30, 2026, compared to the nine months ended September 30, 2025 was primarily driven by higher commercial aerospace profit of $0.3 billion, $0.2 billion of tariff refunds and higher military operating profit of $0.1 billion, partially offset by higher selling, general and administrative expenses of $0.2 billion. The increase in commercial aerospace operating profit was primarily driven by higher commercial aftermarket volume, partially offset by lower commercial OEM operating profit contribution driven by unfavorable mix and higher production costs on higher volume. The increase in military operating profit was driven by higher F135 volume and favorable mix.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other operating profit in the nine months ended September 30, 2026, compared to the nine months ended September 30, 2025, primarily relates to a customer bankruptcy charge of approximately $0.4 billion in the third quarter of 2026 compared to a charge of approximately $0.1 billion in the second quarter of 2025.</w:t>
      </w:r>
    </w:p>
    <w:p>
      <w:pPr>
        <w:pStyle w:val="TextBody"/>
        <w:bidi w:val="0"/>
        <w:spacing w:lineRule="auto" w:line="288" w:before="120" w:after="283"/>
        <w:jc w:val="both"/>
        <w:rPr/>
      </w:pPr>
      <w:r>
        <w:rPr>
          <w:rFonts w:ascii="Times New Roman;serif" w:hAnsi="Times New Roman;serif"/>
          <w:b w:val="false"/>
          <w:i/>
          <w:color w:val="000000"/>
          <w:sz w:val="20"/>
        </w:rPr>
        <w:t xml:space="preserve">Defense Bookings </w:t>
      </w:r>
      <w:r>
        <w:rPr>
          <w:color w:val="000000"/>
        </w:rPr>
        <w:t xml:space="preserve">– </w:t>
      </w:r>
      <w:r>
        <w:rPr>
          <w:rFonts w:ascii="Times New Roman;serif" w:hAnsi="Times New Roman;serif"/>
          <w:b w:val="false"/>
          <w:color w:val="000000"/>
          <w:sz w:val="20"/>
        </w:rPr>
        <w:t xml:space="preserve">In the quarter ended September 30, 2026, Pratt &amp; Whitney recorded $4 billion in defense bookings. In addition to a number of smaller bookings, Pratt &amp; Whitney booked $1.3 billion for F117 sustainment and $1.1 billion for F135 sustainment. In the nine months ended September 30, 2026, Pratt &amp; Whitney recorded $9 billion in defense bookings. In addition to these bookings above, Pratt &amp; Whitney also booked $3.8 billion for F135 production.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Raytheon</w:t>
      </w:r>
    </w:p>
    <w:tbl>
      <w:tblPr>
        <w:tblW w:w="8903" w:type="dxa"/>
        <w:jc w:val="left"/>
        <w:tblInd w:w="0" w:type="dxa"/>
        <w:tblLayout w:type="fixed"/>
        <w:tblCellMar>
          <w:top w:w="28" w:type="dxa"/>
          <w:left w:w="28" w:type="dxa"/>
          <w:bottom w:w="28" w:type="dxa"/>
          <w:right w:w="28" w:type="dxa"/>
        </w:tblCellMar>
      </w:tblPr>
      <w:tblGrid>
        <w:gridCol w:w="767"/>
        <w:gridCol w:w="672"/>
        <w:gridCol w:w="675"/>
        <w:gridCol w:w="306"/>
        <w:gridCol w:w="232"/>
        <w:gridCol w:w="444"/>
        <w:gridCol w:w="122"/>
        <w:gridCol w:w="122"/>
        <w:gridCol w:w="122"/>
        <w:gridCol w:w="288"/>
        <w:gridCol w:w="238"/>
        <w:gridCol w:w="438"/>
        <w:gridCol w:w="232"/>
        <w:gridCol w:w="234"/>
        <w:gridCol w:w="367"/>
        <w:gridCol w:w="109"/>
        <w:gridCol w:w="109"/>
        <w:gridCol w:w="109"/>
        <w:gridCol w:w="284"/>
        <w:gridCol w:w="242"/>
        <w:gridCol w:w="497"/>
        <w:gridCol w:w="138"/>
        <w:gridCol w:w="138"/>
        <w:gridCol w:w="138"/>
        <w:gridCol w:w="268"/>
        <w:gridCol w:w="245"/>
        <w:gridCol w:w="483"/>
        <w:gridCol w:w="232"/>
        <w:gridCol w:w="234"/>
        <w:gridCol w:w="418"/>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8,031</w:t>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23,245</w:t>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20,386</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1,133</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3,016</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margins</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w:t>
            </w: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w:t>
            </w:r>
            <w:r>
              <w:rPr>
                <w:color w:val="000000"/>
              </w:rPr>
              <w:t>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Bookings</w:t>
            </w:r>
          </w:p>
        </w:tc>
        <w:tc>
          <w:tcPr>
            <w:tcW w:w="30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52,307</w:t>
            </w:r>
          </w:p>
        </w:tc>
        <w:tc>
          <w:tcPr>
            <w:tcW w:w="36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15,870</w:t>
            </w:r>
          </w:p>
        </w:tc>
        <w:tc>
          <w:tcPr>
            <w:tcW w:w="46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36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78,840</w:t>
            </w:r>
          </w:p>
        </w:tc>
        <w:tc>
          <w:tcPr>
            <w:tcW w:w="41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29,665</w:t>
            </w:r>
          </w:p>
        </w:tc>
        <w:tc>
          <w:tcPr>
            <w:tcW w:w="46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41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center"/>
        <w:rPr>
          <w:rFonts w:ascii="Times New Roman;serif" w:hAnsi="Times New Roman;serif"/>
          <w:b/>
          <w:i/>
          <w:color w:val="000000"/>
          <w:sz w:val="20"/>
        </w:rPr>
      </w:pPr>
      <w:r>
        <w:rPr>
          <w:rFonts w:ascii="Times New Roman;serif" w:hAnsi="Times New Roman;serif"/>
          <w:b/>
          <w:i/>
          <w:color w:val="000000"/>
          <w:sz w:val="20"/>
        </w:rPr>
        <w:t>Quarter Ended September 30, 2026 Compared with Quarter Ended September 30, 2025</w:t>
      </w:r>
    </w:p>
    <w:tbl>
      <w:tblPr>
        <w:tblW w:w="7997" w:type="dxa"/>
        <w:jc w:val="center"/>
        <w:tblInd w:w="0" w:type="dxa"/>
        <w:tblLayout w:type="fixed"/>
        <w:tblCellMar>
          <w:top w:w="28" w:type="dxa"/>
          <w:left w:w="28" w:type="dxa"/>
          <w:bottom w:w="28" w:type="dxa"/>
          <w:right w:w="28" w:type="dxa"/>
        </w:tblCellMar>
      </w:tblPr>
      <w:tblGrid>
        <w:gridCol w:w="544"/>
        <w:gridCol w:w="477"/>
        <w:gridCol w:w="479"/>
        <w:gridCol w:w="233"/>
        <w:gridCol w:w="516"/>
        <w:gridCol w:w="120"/>
        <w:gridCol w:w="109"/>
        <w:gridCol w:w="109"/>
        <w:gridCol w:w="109"/>
        <w:gridCol w:w="109"/>
        <w:gridCol w:w="109"/>
        <w:gridCol w:w="370"/>
        <w:gridCol w:w="713"/>
        <w:gridCol w:w="193"/>
        <w:gridCol w:w="109"/>
        <w:gridCol w:w="109"/>
        <w:gridCol w:w="109"/>
        <w:gridCol w:w="322"/>
        <w:gridCol w:w="621"/>
        <w:gridCol w:w="168"/>
        <w:gridCol w:w="109"/>
        <w:gridCol w:w="109"/>
        <w:gridCol w:w="109"/>
        <w:gridCol w:w="211"/>
        <w:gridCol w:w="256"/>
        <w:gridCol w:w="109"/>
        <w:gridCol w:w="109"/>
        <w:gridCol w:w="109"/>
        <w:gridCol w:w="109"/>
        <w:gridCol w:w="289"/>
        <w:gridCol w:w="639"/>
        <w:gridCol w:w="211"/>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8"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74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2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(1)    See “Segment Review” above for definition of organic. </w:t>
      </w:r>
      <w:r>
        <w:rPr>
          <w:rFonts w:ascii="Times New Roman;serif" w:hAnsi="Times New Roman;serif"/>
          <w:b w:val="false"/>
          <w:color w:val="000000"/>
          <w:sz w:val="16"/>
          <w:shd w:fill="FFFFFF" w:val="clear"/>
        </w:rPr>
        <w:t>A reconciliation of these measures to reported U.S. GAAP amounts is provided in the table above.</w:t>
      </w:r>
    </w:p>
    <w:p>
      <w:pPr>
        <w:pStyle w:val="TextBody"/>
        <w:bidi w:val="0"/>
        <w:spacing w:before="0" w:after="0"/>
        <w:jc w:val="left"/>
        <w:rPr/>
      </w:pPr>
      <w:r>
        <w:rPr/>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organic net sales increase of $1.0 billion in the quarter ended September 30, 2026 compared to the quarter ended September 30, 2025 was primarily due to higher net sales of $0.5 billion from naval power programs primarily driven by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volume on Standard Missile and Tomahawk programs, higher net sales of $0.3 billion from land and air defense systems programs driven by higher net sales on Patriot programs, and higher net sales of $0.1 billion on air and space defense systems programs principally due to higher volume on advanced medium-range air-to-air missile (AMRAAM) programs.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organic operating profit increase of $0.3 billion in the quarter ended September 30, 2026 compared to the quarter ended September 30, 2025 was primarily due to a favorable change in net EAC adjustments of approximately $0.1 billion, higher volume of approximately $0.1 billion, and a favorable change in mix and other performance of approximately $0.1 billion. The favorable change in net EAC adjustments was spread across numerous programs. The increase in volume was principally driven by the higher net sales discussed above. The favorable change in mix and other performance was primarily driven by increased production on Patriot programs.</w:t>
      </w:r>
    </w:p>
    <w:p>
      <w:pPr>
        <w:pStyle w:val="TextBody"/>
        <w:bidi w:val="0"/>
        <w:spacing w:lineRule="auto" w:line="288" w:before="120" w:after="283"/>
        <w:ind w:left="0" w:right="0" w:firstLine="450"/>
        <w:jc w:val="center"/>
        <w:rPr>
          <w:rFonts w:ascii="Times New Roman;serif" w:hAnsi="Times New Roman;serif"/>
          <w:b/>
          <w:i/>
          <w:color w:val="000000"/>
          <w:sz w:val="20"/>
        </w:rPr>
      </w:pPr>
      <w:r>
        <w:rPr>
          <w:rFonts w:ascii="Times New Roman;serif" w:hAnsi="Times New Roman;serif"/>
          <w:b/>
          <w:i/>
          <w:color w:val="000000"/>
          <w:sz w:val="20"/>
        </w:rPr>
        <w:t>Nine Months Ended September 30, 2026 Compared with Nine Months Ended September 30, 2025</w:t>
      </w:r>
    </w:p>
    <w:tbl>
      <w:tblPr>
        <w:tblW w:w="8170" w:type="dxa"/>
        <w:jc w:val="left"/>
        <w:tblInd w:w="0" w:type="dxa"/>
        <w:tblLayout w:type="fixed"/>
        <w:tblCellMar>
          <w:top w:w="28" w:type="dxa"/>
          <w:left w:w="28" w:type="dxa"/>
          <w:bottom w:w="28" w:type="dxa"/>
          <w:right w:w="28" w:type="dxa"/>
        </w:tblCellMar>
      </w:tblPr>
      <w:tblGrid>
        <w:gridCol w:w="544"/>
        <w:gridCol w:w="477"/>
        <w:gridCol w:w="479"/>
        <w:gridCol w:w="211"/>
        <w:gridCol w:w="616"/>
        <w:gridCol w:w="109"/>
        <w:gridCol w:w="109"/>
        <w:gridCol w:w="109"/>
        <w:gridCol w:w="109"/>
        <w:gridCol w:w="109"/>
        <w:gridCol w:w="109"/>
        <w:gridCol w:w="370"/>
        <w:gridCol w:w="713"/>
        <w:gridCol w:w="193"/>
        <w:gridCol w:w="109"/>
        <w:gridCol w:w="109"/>
        <w:gridCol w:w="109"/>
        <w:gridCol w:w="322"/>
        <w:gridCol w:w="621"/>
        <w:gridCol w:w="168"/>
        <w:gridCol w:w="109"/>
        <w:gridCol w:w="109"/>
        <w:gridCol w:w="109"/>
        <w:gridCol w:w="211"/>
        <w:gridCol w:w="361"/>
        <w:gridCol w:w="109"/>
        <w:gridCol w:w="109"/>
        <w:gridCol w:w="109"/>
        <w:gridCol w:w="109"/>
        <w:gridCol w:w="245"/>
        <w:gridCol w:w="716"/>
        <w:gridCol w:w="179"/>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6"/>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7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(1)    See “Segment Review” above for definition of organic. </w:t>
      </w:r>
      <w:r>
        <w:rPr>
          <w:rFonts w:ascii="Times New Roman;serif" w:hAnsi="Times New Roman;serif"/>
          <w:b w:val="false"/>
          <w:color w:val="000000"/>
          <w:sz w:val="16"/>
          <w:shd w:fill="FFFFFF" w:val="clear"/>
        </w:rPr>
        <w:t>A reconciliation of this measure to the reported U.S. GAAP amount is provided in the table above.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organic net sales increase of $2.8 billion in the nine months ended September 30, 2026 compared to the nine months ended September 30, 2025 was primarily due to higher net sales of $1.3 billion from land and air defense systems programs driven by higher net sales on Patriot programs, higher net sales of $1.2 billion from naval power programs primarily driven by higher volume on Standard Missile and Tomahawk programs, and higher net sales of $0.3 billion on air and space defense systems programs principally due to higher volume on AMRAAM programs.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organic operating profit increase of $0.7 billion in the nine months ended September 30, 2026 compared to the nine months ended September 30, 2025 was primarily due to higher volume of approximately $0.3 billion, a favorable change in mix and other performance of approximately $0.2 billion, and a favorable change in net EAC adjustments of approximately $0.2 billion. The increase in volume was principally driven by the higher net sales discussed above. The favorable change in mix and other performance was primarily driven by increased production on Patriot programs including the timing of contract awards received in the second quarter of 2026. The favorable change in net EAC adjustments was spread across numerous programs. </w:t>
      </w:r>
    </w:p>
    <w:p>
      <w:pPr>
        <w:pStyle w:val="TextBody"/>
        <w:bidi w:val="0"/>
        <w:spacing w:lineRule="auto" w:line="276" w:before="0" w:after="0"/>
        <w:jc w:val="both"/>
        <w:rPr/>
      </w:pPr>
      <w:r>
        <w:rPr>
          <w:rFonts w:ascii="Times New Roman;serif" w:hAnsi="Times New Roman;serif"/>
          <w:b w:val="false"/>
          <w:i/>
          <w:color w:val="000000"/>
          <w:sz w:val="20"/>
        </w:rPr>
        <w:t xml:space="preserve">Defense Backlog and Bookings </w:t>
      </w:r>
      <w:r>
        <w:rPr>
          <w:color w:val="000000"/>
        </w:rPr>
        <w:t xml:space="preserve">– </w:t>
      </w:r>
      <w:r>
        <w:rPr>
          <w:rFonts w:ascii="Times New Roman;serif" w:hAnsi="Times New Roman;serif"/>
          <w:b w:val="false"/>
          <w:color w:val="000000"/>
          <w:sz w:val="20"/>
        </w:rPr>
        <w:t>Backlog was $130 billion as of September 30, 2026 and $75 billion as of December 31, 2025. In the quarter ended September 30, 2026, Raytheon recorded $52 billion in defense bookings. In addition to a number of smaller individual bookings, Raytheon booked $23 billion to provide Tomahawk for the U.S. Navy, $14.3 billion to provide AMRAAM to the U.S. Air Force, $3.1 billion to provide Army Collective Training Systems (ACTS) and 15 years of training for the United Kingdom, $1.8 billion for a SPY-6 Hardware Production and Sustainment contract for the U.S. Navy, $0.7 billion to provide Standard Missile-3 (SM-3) for the Missile Defense Agency (MDA), $0.6 billion for National Advanced Surface-to-Air Missile Systems (NASAMS) sustainment for an international customer, $0.6 billion to provide Specter rifle sights for the German Armed Forces, $0.6 billion to provide the Low, slow, small, unmanned aircraft Integrated Defeat System (LIDS), a Counter-Unmanned Aircraft System (C-UAS), to international customers, and $3.0 billion on a number of classified contracts. In the nine months ended September 30, 2026, Raytheon recorded $79 billion in defense bookings. In addition to these bookings above, Raytheon booked $3.7 billion to provide Patriot GEM-T interceptors for Ukraine, $1.1 billion to provide AIM-9X Sidewinder Block II short-range air-to-air missiles for U.S. and international customers, $1.1 billion to provide AMRAAM to the U.S. Air Force and international customers, $1.0 billion to provide Patriot GEM-T interceptors to Poland through the North Atlantic Treaty Organization (NATO) Support and Procurement Agency (NSPA), $0.8 billion for Evolved SeaSparrow Missiles (ESSM) for the U.S. Navy and international customers, $0.8 billion to provide Lower Tier Air and Missile Defense Sensors (LTAMDS) to the U.S. Army, $0.8 billion for National Advanced Surface-to-Air Missile Systems (NASAMS) for an international customer, $0.7 billion to provide StormBreaker to the U.S. Air Force, U.S. Navy, and international customers, $0.6 billion to provide Patriot systems for the Netherlands, $0.5 billion for Standard Missile-3 (SM-3) for the Missile Defense Agency (MDA), and $5.7 billion on a number of classified and confidential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Corporate and Eliminations and other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Eliminations and other reflects the elimination of sales, other income, and operating profit transacted between segments, as well as the operating results of certain smaller operations.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 consist of costs not considered part of management’s evaluation of reportable segment operating performance, including certain unallowable costs and reserves.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tbl>
      <w:tblPr>
        <w:tblW w:w="8930" w:type="dxa"/>
        <w:jc w:val="left"/>
        <w:tblInd w:w="0" w:type="dxa"/>
        <w:tblLayout w:type="fixed"/>
        <w:tblCellMar>
          <w:top w:w="28" w:type="dxa"/>
          <w:left w:w="28" w:type="dxa"/>
          <w:bottom w:w="28" w:type="dxa"/>
          <w:right w:w="28" w:type="dxa"/>
        </w:tblCellMar>
      </w:tblPr>
      <w:tblGrid>
        <w:gridCol w:w="1453"/>
        <w:gridCol w:w="1273"/>
        <w:gridCol w:w="1279"/>
        <w:gridCol w:w="234"/>
        <w:gridCol w:w="602"/>
        <w:gridCol w:w="121"/>
        <w:gridCol w:w="121"/>
        <w:gridCol w:w="121"/>
        <w:gridCol w:w="121"/>
        <w:gridCol w:w="234"/>
        <w:gridCol w:w="602"/>
        <w:gridCol w:w="121"/>
        <w:gridCol w:w="109"/>
        <w:gridCol w:w="109"/>
        <w:gridCol w:w="109"/>
        <w:gridCol w:w="254"/>
        <w:gridCol w:w="579"/>
        <w:gridCol w:w="131"/>
        <w:gridCol w:w="131"/>
        <w:gridCol w:w="131"/>
        <w:gridCol w:w="131"/>
        <w:gridCol w:w="254"/>
        <w:gridCol w:w="525"/>
        <w:gridCol w:w="185"/>
      </w:tblGrid>
      <w:tr>
        <w:trPr/>
        <w:tc>
          <w:tcPr>
            <w:tcW w:w="145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 and other</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(679)</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83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13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8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71" w:type="dxa"/>
        <w:jc w:val="left"/>
        <w:tblInd w:w="0" w:type="dxa"/>
        <w:tblLayout w:type="fixed"/>
        <w:tblCellMar>
          <w:top w:w="28" w:type="dxa"/>
          <w:left w:w="28" w:type="dxa"/>
          <w:bottom w:w="28" w:type="dxa"/>
          <w:right w:w="28" w:type="dxa"/>
        </w:tblCellMar>
      </w:tblPr>
      <w:tblGrid>
        <w:gridCol w:w="1453"/>
        <w:gridCol w:w="1273"/>
        <w:gridCol w:w="1279"/>
        <w:gridCol w:w="229"/>
        <w:gridCol w:w="750"/>
        <w:gridCol w:w="118"/>
        <w:gridCol w:w="118"/>
        <w:gridCol w:w="118"/>
        <w:gridCol w:w="118"/>
        <w:gridCol w:w="229"/>
        <w:gridCol w:w="750"/>
        <w:gridCol w:w="118"/>
        <w:gridCol w:w="109"/>
        <w:gridCol w:w="109"/>
        <w:gridCol w:w="109"/>
        <w:gridCol w:w="295"/>
        <w:gridCol w:w="673"/>
        <w:gridCol w:w="152"/>
        <w:gridCol w:w="152"/>
        <w:gridCol w:w="152"/>
        <w:gridCol w:w="152"/>
        <w:gridCol w:w="295"/>
        <w:gridCol w:w="505"/>
        <w:gridCol w:w="215"/>
      </w:tblGrid>
      <w:tr>
        <w:trPr/>
        <w:tc>
          <w:tcPr>
            <w:tcW w:w="145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 and other</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(1,983)</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w:t>
            </w: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97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(138)</w:t>
            </w:r>
          </w:p>
        </w:tc>
        <w:tc>
          <w:tcPr>
            <w:tcW w:w="15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1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eliminations and other operating profit in the quarter and nine months ended September 30, 2026 compared to the quarter and nine months ended September 30, 2025 was primarily due to higher gains related to the increase in fair value on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FAS/CAS operating adjustment</w:t>
      </w:r>
    </w:p>
    <w:p>
      <w:pPr>
        <w:pStyle w:val="TextBody"/>
        <w:bidi w:val="0"/>
        <w:spacing w:lineRule="auto" w:line="288" w:before="120" w:after="283"/>
        <w:jc w:val="both"/>
        <w:rPr/>
      </w:pPr>
      <w:r>
        <w:rPr>
          <w:rFonts w:ascii="Times New Roman;serif" w:hAnsi="Times New Roman;serif"/>
          <w:b w:val="false"/>
          <w:color w:val="000000"/>
          <w:sz w:val="20"/>
        </w:rPr>
        <w:t>We present a FAS/CAS operating adjustment outside of segment results, which represents the difference between the service cost component of our pension and PRB expense under the FAS requirements of U.S. GAAP and our pension and PRB expense under U.S. government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r>
        <w:rPr>
          <w:rFonts w:ascii="Times New Roman;serif" w:hAnsi="Times New Roman;serif"/>
          <w:b w:val="false"/>
          <w:color w:val="000000"/>
          <w:sz w:val="20"/>
          <w:shd w:fill="FFFFFF" w:val="clear"/>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the FAS/CAS operating adjustment were as follows:</w:t>
      </w:r>
    </w:p>
    <w:tbl>
      <w:tblPr>
        <w:tblW w:w="7906" w:type="dxa"/>
        <w:jc w:val="left"/>
        <w:tblInd w:w="0" w:type="dxa"/>
        <w:tblLayout w:type="fixed"/>
        <w:tblCellMar>
          <w:top w:w="28" w:type="dxa"/>
          <w:left w:w="28" w:type="dxa"/>
          <w:bottom w:w="28" w:type="dxa"/>
          <w:right w:w="28" w:type="dxa"/>
        </w:tblCellMar>
      </w:tblPr>
      <w:tblGrid>
        <w:gridCol w:w="968"/>
        <w:gridCol w:w="849"/>
        <w:gridCol w:w="852"/>
        <w:gridCol w:w="251"/>
        <w:gridCol w:w="573"/>
        <w:gridCol w:w="129"/>
        <w:gridCol w:w="129"/>
        <w:gridCol w:w="129"/>
        <w:gridCol w:w="129"/>
        <w:gridCol w:w="251"/>
        <w:gridCol w:w="555"/>
        <w:gridCol w:w="129"/>
        <w:gridCol w:w="109"/>
        <w:gridCol w:w="109"/>
        <w:gridCol w:w="109"/>
        <w:gridCol w:w="284"/>
        <w:gridCol w:w="648"/>
        <w:gridCol w:w="146"/>
        <w:gridCol w:w="146"/>
        <w:gridCol w:w="146"/>
        <w:gridCol w:w="146"/>
        <w:gridCol w:w="284"/>
        <w:gridCol w:w="628"/>
        <w:gridCol w:w="207"/>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 service cost (expense)</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 expense</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2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12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2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514</w:t>
            </w:r>
            <w:r>
              <w:rPr>
                <w:color w:val="000000"/>
              </w:rPr>
              <w:t> </w:t>
            </w:r>
          </w:p>
        </w:tc>
        <w:tc>
          <w:tcPr>
            <w:tcW w:w="1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20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Acquisition accounting adjustments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These adjustments are not considered part of management’s evaluation of segment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Acquisition accounting adjustments were as follows:</w:t>
      </w:r>
    </w:p>
    <w:tbl>
      <w:tblPr>
        <w:tblW w:w="10205" w:type="dxa"/>
        <w:jc w:val="left"/>
        <w:tblInd w:w="0" w:type="dxa"/>
        <w:tblLayout w:type="fixed"/>
        <w:tblCellMar>
          <w:top w:w="28" w:type="dxa"/>
          <w:left w:w="28" w:type="dxa"/>
          <w:bottom w:w="28" w:type="dxa"/>
          <w:right w:w="28" w:type="dxa"/>
        </w:tblCellMar>
      </w:tblPr>
      <w:tblGrid>
        <w:gridCol w:w="1984"/>
        <w:gridCol w:w="1708"/>
        <w:gridCol w:w="1609"/>
        <w:gridCol w:w="223"/>
        <w:gridCol w:w="544"/>
        <w:gridCol w:w="115"/>
        <w:gridCol w:w="115"/>
        <w:gridCol w:w="115"/>
        <w:gridCol w:w="115"/>
        <w:gridCol w:w="223"/>
        <w:gridCol w:w="544"/>
        <w:gridCol w:w="115"/>
        <w:gridCol w:w="109"/>
        <w:gridCol w:w="109"/>
        <w:gridCol w:w="109"/>
        <w:gridCol w:w="222"/>
        <w:gridCol w:w="699"/>
        <w:gridCol w:w="114"/>
        <w:gridCol w:w="114"/>
        <w:gridCol w:w="114"/>
        <w:gridCol w:w="114"/>
        <w:gridCol w:w="222"/>
        <w:gridCol w:w="699"/>
        <w:gridCol w:w="170"/>
      </w:tblGrid>
      <w:tr>
        <w:trPr/>
        <w:tc>
          <w:tcPr>
            <w:tcW w:w="1984"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01"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53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acquired intangibles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(480)</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(1,438)</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property, plant, and equipment fair value adjustment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customer contractual obligations related to acquired loss-making and below-market contracts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22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(448)</w:t>
            </w:r>
          </w:p>
        </w:tc>
        <w:tc>
          <w:tcPr>
            <w:tcW w:w="11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1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(1,393)</w:t>
            </w:r>
          </w:p>
        </w:tc>
        <w:tc>
          <w:tcPr>
            <w:tcW w:w="11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w:t>
            </w:r>
          </w:p>
        </w:tc>
        <w:tc>
          <w:tcPr>
            <w:tcW w:w="17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 related to acquisitions in each segment were as follows:</w:t>
      </w:r>
    </w:p>
    <w:tbl>
      <w:tblPr>
        <w:tblW w:w="8300" w:type="dxa"/>
        <w:jc w:val="left"/>
        <w:tblInd w:w="0" w:type="dxa"/>
        <w:tblLayout w:type="fixed"/>
        <w:tblCellMar>
          <w:top w:w="28" w:type="dxa"/>
          <w:left w:w="28" w:type="dxa"/>
          <w:bottom w:w="28" w:type="dxa"/>
          <w:right w:w="28" w:type="dxa"/>
        </w:tblCellMar>
      </w:tblPr>
      <w:tblGrid>
        <w:gridCol w:w="1110"/>
        <w:gridCol w:w="972"/>
        <w:gridCol w:w="977"/>
        <w:gridCol w:w="234"/>
        <w:gridCol w:w="602"/>
        <w:gridCol w:w="121"/>
        <w:gridCol w:w="121"/>
        <w:gridCol w:w="121"/>
        <w:gridCol w:w="121"/>
        <w:gridCol w:w="234"/>
        <w:gridCol w:w="602"/>
        <w:gridCol w:w="121"/>
        <w:gridCol w:w="109"/>
        <w:gridCol w:w="109"/>
        <w:gridCol w:w="109"/>
        <w:gridCol w:w="232"/>
        <w:gridCol w:w="762"/>
        <w:gridCol w:w="120"/>
        <w:gridCol w:w="120"/>
        <w:gridCol w:w="120"/>
        <w:gridCol w:w="120"/>
        <w:gridCol w:w="232"/>
        <w:gridCol w:w="762"/>
        <w:gridCol w:w="169"/>
      </w:tblGrid>
      <w:tr>
        <w:trPr/>
        <w:tc>
          <w:tcPr>
            <w:tcW w:w="111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(580)</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8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(448)</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(1,393)</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 and other</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23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(448)</w:t>
            </w:r>
          </w:p>
        </w:tc>
        <w:tc>
          <w:tcPr>
            <w:tcW w:w="1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(1,393)</w:t>
            </w:r>
          </w:p>
        </w:tc>
        <w:tc>
          <w:tcPr>
            <w:tcW w:w="12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w:t>
            </w:r>
          </w:p>
        </w:tc>
        <w:tc>
          <w:tcPr>
            <w:tcW w:w="16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LIQUIDITY AND FINANCIAL CONDITION</w:t>
      </w:r>
    </w:p>
    <w:tbl>
      <w:tblPr>
        <w:tblW w:w="8012" w:type="dxa"/>
        <w:jc w:val="center"/>
        <w:tblInd w:w="0" w:type="dxa"/>
        <w:tblLayout w:type="fixed"/>
        <w:tblCellMar>
          <w:top w:w="28" w:type="dxa"/>
          <w:left w:w="28" w:type="dxa"/>
          <w:bottom w:w="28" w:type="dxa"/>
          <w:right w:w="28" w:type="dxa"/>
        </w:tblCellMar>
      </w:tblPr>
      <w:tblGrid>
        <w:gridCol w:w="1469"/>
        <w:gridCol w:w="1288"/>
        <w:gridCol w:w="1293"/>
        <w:gridCol w:w="109"/>
        <w:gridCol w:w="109"/>
        <w:gridCol w:w="109"/>
        <w:gridCol w:w="285"/>
        <w:gridCol w:w="853"/>
        <w:gridCol w:w="407"/>
        <w:gridCol w:w="109"/>
        <w:gridCol w:w="109"/>
        <w:gridCol w:w="109"/>
        <w:gridCol w:w="288"/>
        <w:gridCol w:w="842"/>
        <w:gridCol w:w="370"/>
        <w:gridCol w:w="109"/>
        <w:gridCol w:w="154"/>
      </w:tblGrid>
      <w:tr>
        <w:trPr/>
        <w:tc>
          <w:tcPr>
            <w:tcW w:w="146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9,173</w:t>
            </w:r>
            <w:r>
              <w:rPr>
                <w:color w:val="000000"/>
              </w:rPr>
              <w:t> </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7,435 </w:t>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37,379</w:t>
            </w: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70,964</w:t>
            </w: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67,102 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 (total debt plus 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108,343</w:t>
            </w: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105,006 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to total capitalization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407"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7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assess our liquidity in terms of our ability to generate cash to fund our operating, investing, and financing activities, and the timing of such activities. Our principal source of liquidity is cash flows from operating activities. In addition to operating cash flows, other significant factors that affect our overall management of liquidity include: capital expenditures, customer financing requirements, investments in and divestitures of businesses, dividends, common stock repurchases, pension funding, access to the commercial paper markets, adequacy of available bank lines of credit, redemptions of debt, and the ability to attract long-term capital at satisfactory terms. </w:t>
      </w:r>
    </w:p>
    <w:p>
      <w:pPr>
        <w:pStyle w:val="TextBody"/>
        <w:bidi w:val="0"/>
        <w:spacing w:lineRule="auto" w:line="288" w:before="120" w:after="283"/>
        <w:jc w:val="both"/>
        <w:rPr/>
      </w:pPr>
      <w:r>
        <w:rPr>
          <w:rFonts w:ascii="Times New Roman;serif" w:hAnsi="Times New Roman;serif"/>
          <w:b w:val="false"/>
          <w:color w:val="000000"/>
          <w:sz w:val="20"/>
        </w:rPr>
        <w:t>At September 30, 2026, we had cash and cash equivalents of $9.2 billion, of which approximatel</w:t>
      </w:r>
      <w:r>
        <w:rPr>
          <w:rFonts w:ascii="Times New Roman;serif" w:hAnsi="Times New Roman;serif"/>
          <w:b w:val="false"/>
          <w:color w:val="000000"/>
          <w:sz w:val="20"/>
          <w:shd w:fill="FFFFFF" w:val="clear"/>
        </w:rPr>
        <w:t xml:space="preserve">y 22% </w:t>
      </w:r>
      <w:r>
        <w:rPr>
          <w:rFonts w:ascii="Times New Roman;serif" w:hAnsi="Times New Roman;serif"/>
          <w:b w:val="false"/>
          <w:color w:val="000000"/>
          <w:sz w:val="20"/>
        </w:rPr>
        <w:t xml:space="preserve">was held by RTX’s foreign subsidiaries. We manage our worldwide cash requirements by reviewing available funds among the many subsidiaries through which we conduct our business and the cost effectiveness with which those funds can be accessed. The Company intends to repatriate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RTX will continue to permanently reinvest these earnings.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ability to access global debt markets and the related cost of these borrowings depends on the strength of our credit rating and market conditions. In May 2026, our S&amp;P Global rating was affirmed and our outlook was revised from BBB+/stable to BBB+/positive. In February 2026, our Moody’s Investors Service outlook improved from Baa1/stable to Baa1/positive. Though the Company expects to continue having adequate access to funds, declines in our credit ratings or Company outlook could result in higher borrowing costs.</w:t>
      </w:r>
    </w:p>
    <w:p>
      <w:pPr>
        <w:pStyle w:val="TextBody"/>
        <w:bidi w:val="0"/>
        <w:spacing w:lineRule="auto" w:line="288" w:before="120" w:after="283"/>
        <w:jc w:val="both"/>
        <w:rPr/>
      </w:pPr>
      <w:r>
        <w:rPr>
          <w:rFonts w:ascii="Times New Roman;serif" w:hAnsi="Times New Roman;serif"/>
          <w:b w:val="false"/>
          <w:color w:val="000000"/>
          <w:sz w:val="20"/>
        </w:rPr>
        <w:t xml:space="preserve">In August 2026, we renewed our revolving credit agreement with various banks permitting aggregate borrowings of up to $5.0 billion, which expires in August 2031. As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September 30, 2026</w:t>
      </w:r>
      <w:r>
        <w:rPr>
          <w:rFonts w:ascii="Times New Roman;serif" w:hAnsi="Times New Roman;serif"/>
          <w:b w:val="false"/>
          <w:color w:val="000000"/>
          <w:sz w:val="20"/>
          <w:shd w:fill="FFFFFF" w:val="clear"/>
        </w:rPr>
        <w:t xml:space="preserve">, there were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 xml:space="preserve">borrowings outstanding under this agreement. </w:t>
      </w:r>
    </w:p>
    <w:p>
      <w:pPr>
        <w:pStyle w:val="TextBody"/>
        <w:bidi w:val="0"/>
        <w:spacing w:lineRule="auto" w:line="288" w:before="120" w:after="283"/>
        <w:jc w:val="both"/>
        <w:rPr/>
      </w:pPr>
      <w:r>
        <w:rPr>
          <w:rFonts w:ascii="Times New Roman;serif" w:hAnsi="Times New Roman;serif"/>
          <w:b w:val="false"/>
          <w:color w:val="000000"/>
          <w:sz w:val="20"/>
        </w:rPr>
        <w:t xml:space="preserve">From time to time, we use commercial paper borrowings for general corporate purposes, including short-term funding related to potential acquisitions, pension contributions, debt refinancing, dividend payments, and repurchases of our common stock. The commercial paper notes have original maturities of not more than 364 days from the date of issuance. As of September 30, 2026, our maximum commercial paper borrowing limit was $5.0 billion as the commercial paper is backed by our $5.0 billion revolving credit agreement. At September 30, 2026, we had </w:t>
      </w:r>
      <w:r>
        <w:rPr>
          <w:rFonts w:ascii="Times New Roman;serif" w:hAnsi="Times New Roman;serif"/>
          <w:b w:val="false"/>
          <w:color w:val="000000"/>
          <w:sz w:val="18"/>
        </w:rPr>
        <w:t>no</w:t>
      </w:r>
      <w:r>
        <w:rPr>
          <w:color w:val="000000"/>
        </w:rPr>
        <w:t xml:space="preserve"> </w:t>
      </w:r>
      <w:r>
        <w:rPr>
          <w:rFonts w:ascii="Times New Roman;serif" w:hAnsi="Times New Roman;serif"/>
          <w:b w:val="false"/>
          <w:color w:val="000000"/>
          <w:sz w:val="20"/>
        </w:rPr>
        <w:t xml:space="preserve">commercial paper borrowings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made the following repayment of long-term debt during the nine months ended September 30, 2026:</w:t>
      </w:r>
    </w:p>
    <w:tbl>
      <w:tblPr>
        <w:tblW w:w="6809" w:type="dxa"/>
        <w:jc w:val="left"/>
        <w:tblInd w:w="0" w:type="dxa"/>
        <w:tblLayout w:type="fixed"/>
        <w:tblCellMar>
          <w:top w:w="28" w:type="dxa"/>
          <w:left w:w="28" w:type="dxa"/>
          <w:bottom w:w="28" w:type="dxa"/>
          <w:right w:w="28" w:type="dxa"/>
        </w:tblCellMar>
      </w:tblPr>
      <w:tblGrid>
        <w:gridCol w:w="578"/>
        <w:gridCol w:w="509"/>
        <w:gridCol w:w="517"/>
        <w:gridCol w:w="689"/>
        <w:gridCol w:w="689"/>
        <w:gridCol w:w="692"/>
        <w:gridCol w:w="780"/>
        <w:gridCol w:w="1780"/>
        <w:gridCol w:w="575"/>
      </w:tblGrid>
      <w:tr>
        <w:trPr/>
        <w:tc>
          <w:tcPr>
            <w:tcW w:w="57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Notes</w:t>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Principal Balance (in millions)</w:t>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207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5.000% notes due 2026 </w:t>
            </w:r>
          </w:p>
        </w:tc>
        <w:tc>
          <w:tcPr>
            <w:tcW w:w="78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57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an existing universal shelf registration statement, which we filed with the Securities and Exchange Commission (SEC) on September 18, 2025, for an indeterminate amount of debt and equity securities for future issuance, subject to our internal limitations on the amount of debt to be issued under this shelf registration statement.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our cash on hand and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Cash Flow - Operating Activities</w:t>
      </w:r>
    </w:p>
    <w:tbl>
      <w:tblPr>
        <w:tblW w:w="6582" w:type="dxa"/>
        <w:jc w:val="center"/>
        <w:tblInd w:w="0" w:type="dxa"/>
        <w:tblLayout w:type="fixed"/>
        <w:tblCellMar>
          <w:top w:w="28" w:type="dxa"/>
          <w:left w:w="28" w:type="dxa"/>
          <w:bottom w:w="28" w:type="dxa"/>
          <w:right w:w="28" w:type="dxa"/>
        </w:tblCellMar>
      </w:tblPr>
      <w:tblGrid>
        <w:gridCol w:w="1431"/>
        <w:gridCol w:w="1254"/>
        <w:gridCol w:w="1260"/>
        <w:gridCol w:w="246"/>
        <w:gridCol w:w="737"/>
        <w:gridCol w:w="127"/>
        <w:gridCol w:w="127"/>
        <w:gridCol w:w="127"/>
        <w:gridCol w:w="127"/>
        <w:gridCol w:w="246"/>
        <w:gridCol w:w="720"/>
        <w:gridCol w:w="180"/>
      </w:tblGrid>
      <w:tr>
        <w:trPr/>
        <w:tc>
          <w:tcPr>
            <w:tcW w:w="143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4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cash flows provided by operating activities</w:t>
            </w:r>
          </w:p>
        </w:tc>
        <w:tc>
          <w:tcPr>
            <w:tcW w:w="2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8,270</w:t>
            </w:r>
            <w:r>
              <w:rPr>
                <w:color w:val="000000"/>
              </w:rPr>
              <w:t> </w:t>
            </w:r>
          </w:p>
        </w:tc>
        <w:tc>
          <w:tcPr>
            <w:tcW w:w="12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6,402 </w:t>
            </w:r>
          </w:p>
        </w:tc>
        <w:tc>
          <w:tcPr>
            <w:tcW w:w="18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increased by $1.9 billion for the nine months ended September 30, 2026 compared to the nine months ended September 30, 2025, primarily due to higher net income after adjustments to reconcile to net cash provided by operating activities driven by our segment performance, partially offset by a change in net working capital.</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change in net working capital was primarily driven by a decrease in cash provided by contract liabilities, partially offset by an increase in cash provided by accounts receivable. The decrease in cash provided by contract liabilities was primarily driven by lower advances at Raytheon and lower billings relative to revenue recognition, primarily at Pratt &amp; Whitney. The increase in cash provided by accounts receivable, including collaborator receivables, was primarily due to the timing of collections.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enters into various factoring agreements with third-parties to sell certain of its receivables, primarily related to customer facilitated programs. The activity in these agreements is generally dependent on underlying delivery volumes within our commercial OEM programs. Factoring activity resulted in a $0.3 billion increase in cash provided by operating activities during the nine months ended September 30, 2026 compared to the nine months ended September 30,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made tax payments, net of refunds of $1.1 billion and $0.9 billion in the nine months ended September 30, 2026 and 2025,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While the timing of cash flows are subject to a number of variables, for the Powder Metal Matter we estimate the accrual for expected customer compensation to be utilized consistent with the timing of execution of the fleet management plan, the period of increased aircraft on ground levels, and contractual terms with customers. We currently estimate a full year 2026 cash impact related to the Powder Metal Matter of approximately $0.7 billion, which includes the impact of customer credits applied and the timing of partner recovery.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Cash Flow - Investing Activities</w:t>
      </w:r>
    </w:p>
    <w:tbl>
      <w:tblPr>
        <w:tblW w:w="6162" w:type="dxa"/>
        <w:jc w:val="center"/>
        <w:tblInd w:w="0" w:type="dxa"/>
        <w:tblLayout w:type="fixed"/>
        <w:tblCellMar>
          <w:top w:w="28" w:type="dxa"/>
          <w:left w:w="28" w:type="dxa"/>
          <w:bottom w:w="28" w:type="dxa"/>
          <w:right w:w="28" w:type="dxa"/>
        </w:tblCellMar>
      </w:tblPr>
      <w:tblGrid>
        <w:gridCol w:w="1278"/>
        <w:gridCol w:w="1121"/>
        <w:gridCol w:w="1125"/>
        <w:gridCol w:w="248"/>
        <w:gridCol w:w="813"/>
        <w:gridCol w:w="128"/>
        <w:gridCol w:w="128"/>
        <w:gridCol w:w="128"/>
        <w:gridCol w:w="128"/>
        <w:gridCol w:w="248"/>
        <w:gridCol w:w="636"/>
        <w:gridCol w:w="181"/>
      </w:tblGrid>
      <w:tr>
        <w:trPr/>
        <w:tc>
          <w:tcPr>
            <w:tcW w:w="127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2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cash flows used in investing activities</w:t>
            </w:r>
          </w:p>
        </w:tc>
        <w:tc>
          <w:tcPr>
            <w:tcW w:w="24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(2,409)</w:t>
            </w:r>
          </w:p>
        </w:tc>
        <w:tc>
          <w:tcPr>
            <w:tcW w:w="12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8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investing activities primarily include capital expenditures, cash investments in customer financing assets, investments in and dispositions of businesses, payments related to our collaboration intangible assets and contractual rights to provide product on new aircraft platforms, and settlements of derivative contracts not designated as hedging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$1.7 billion change in cash flows used in investing activities in the nine months ended September 30, 2026, compared to the nine months ended September 30, 2025, was primarily driven by the absence of proceeds from the sale of Collins actuation and flight control business of $1.2 billion received in the nine months ended September 30, 2025, increased capital expenditures of $0.3 billion and lower receipts from settlements of derivative contracts of $0.2 billion.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Cash Flow - Financing Activities</w:t>
      </w:r>
    </w:p>
    <w:tbl>
      <w:tblPr>
        <w:tblW w:w="6177" w:type="dxa"/>
        <w:jc w:val="center"/>
        <w:tblInd w:w="0" w:type="dxa"/>
        <w:tblLayout w:type="fixed"/>
        <w:tblCellMar>
          <w:top w:w="28" w:type="dxa"/>
          <w:left w:w="28" w:type="dxa"/>
          <w:bottom w:w="28" w:type="dxa"/>
          <w:right w:w="28" w:type="dxa"/>
        </w:tblCellMar>
      </w:tblPr>
      <w:tblGrid>
        <w:gridCol w:w="1284"/>
        <w:gridCol w:w="1126"/>
        <w:gridCol w:w="1130"/>
        <w:gridCol w:w="232"/>
        <w:gridCol w:w="762"/>
        <w:gridCol w:w="120"/>
        <w:gridCol w:w="120"/>
        <w:gridCol w:w="120"/>
        <w:gridCol w:w="120"/>
        <w:gridCol w:w="232"/>
        <w:gridCol w:w="762"/>
        <w:gridCol w:w="169"/>
      </w:tblGrid>
      <w:tr>
        <w:trPr/>
        <w:tc>
          <w:tcPr>
            <w:tcW w:w="12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4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cash flows used in financing activities</w:t>
            </w:r>
          </w:p>
        </w:tc>
        <w:tc>
          <w:tcPr>
            <w:tcW w:w="2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(4,085)</w:t>
            </w:r>
          </w:p>
        </w:tc>
        <w:tc>
          <w:tcPr>
            <w:tcW w:w="12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w:t>
            </w:r>
          </w:p>
        </w:tc>
        <w:tc>
          <w:tcPr>
            <w:tcW w:w="16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financing activities primarily include the issuance and repayment of commercial paper and other short-term and long-term debt, payment of dividends, and stock repurchases.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$1.2 billion change in cash flows used in financing activities in the nine months ended September 30, 2026, compared to the nine months ended September 30, 2025, was primarily driven by lower long-term debt repayments of $1.8 billion in the nine months ended September 30, 2026, partially offset by higher dividends paid of $0.2 billion. Refer to “Note 9: Borrowings and Lines of Credit” within Item 1 of this Form 10-Q for additional information on borrowings and lines of credit.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September 30, 2026, management had remaining authority to repurchase approximately $0.6 billion of our common stock under the October 21, 2023 share repurchase program. Under the 2023 program,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in connection with the surrender of shares to cover taxes on vesting of restricted stock. Our ability to repurchase shares is subject to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has been no significant change in our exposure to market risk during the nine months ended September 30, 2026. For discussion of our exposure to market risk, refer to Part II, Item 7A, “Quantitative and Qualitative Disclosures About Market Risk,” contained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required by Rule 13a-15 under the Securities Exchange Act of 1934, as amended, we carried out an evaluation under the supervision and with the participation of our management, including the Chairman and Chief Executive Officer (CEO), the Executive Vice President and Chief Financial Officer (CFO), and the Senior Vice President and Controller (Controller), of the effectiveness of the design and operation of our disclosure controls and procedures as of September 30, 2026.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Controller concluded that, as of September 30, 2026, our disclosure controls and procedures were effective to provide reasonable assurance that information required to be disclosed by us in the reports that we file or submit under the Securities Exchange Act of 1934, as amended,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September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Cautionary Note Concerning Factors That May Affect Future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Form 10-Q contains statements which, to the extent they are not statements of historical or present fact, constitute “forward-looking statements” under the securities laws.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“commit,” “commitment,” “anticipate,” “will,” “should,” “see,” “guidance,” “outlook,” “goals,” “objectives,” “confident,” “on track,” “designed to” and other words of similar meaning. Forward-looking statements may include, among other things, statements relating to future sales, earnings, cash flow, results of operations, uses of cash, share repurchases, tax payments and rates, research and development spending, cost savings, other measures of financial performance, potential future plans, strategies or transactions, credit ratings and net indebtedness, the Powder Metal Matter and related matters and activities, including without limitation other engine models that may be impacted, targets and commitments (including for share repurchases or otherwise), and other statements which are not solely historical facts. All forward-looking statements involve risks, uncertainties, changes in circumstances and other factors that are hard to predict and each of which may cause actual results to differ materially from those expressed or implied in the forward-looking statements. For those statements, we claim the protection of the safe harbor for forward-looking statements contained in the U.S. Private Securities Litigation Reform Act of 1995, as amended. Such risks, uncertainties and other factors include, without limitation: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economic, capital market, and political conditions in the U.S. and globally;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U.S. or foreign government defense spending, national priorities, and policy positions;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performance on our contracts and programs, including our ability to control costs, and our dependence on U.S. government approvals for certain international contracts;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challenges in the development, certification, production, delivery, support, and performance of RTX’s advanced technologies and new products and services and the realization of the anticipated benefits;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challenges of operating in RTX’s highly-competitive industries both domestically and abroad;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reliance on U.S. and non-U.S. suppliers and commodity markets, including cost increases and disruptions in the delivery of materials and services to RTX or our suppliers;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changes in trade policies, implementation of sanctions, imposition of tariffs (and counter-tariffs) and other trade measures and restrictions, foreign currency fluctuations, and sales methods;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economic condition of the aerospace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of RTX to attract, train, qualify, and retain qualified personnel and maintain its culture and high ethical standards, and the ability of our personnel to continue to operate our facilities and businesses around the world;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scope, nature, timing, and challenges of managing and completing acquisitions, investments, divestitures, and other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legal, environmental, regulatory, and other requirements in the U.S. and other countries in which RTX and its businesses operate;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pending, threatened, and future legal proceedings, investigations, audits and other contingencies;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Deferred Prosecution Agreements, Securities and Exchange Commission (SEC) Administrative Order, the Consent Agreement, the Administrative Agreement; and the related investigations by the SEC and the Department of Justice (DOJ);</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RTX’s ability to engage in desirable capital-raising or strategic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repurchases by RTX of its common stock, or declarations of cash dividends, which may be discontinued, accelerated, suspended, or delayed at any time due to various factors;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realizing expected benefits from, incurring costs for, and successfully managing strategic initiatives such as cost reduction, restructuring, digital transformation, and other operational initiatives;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additional tax exposures due to new tax legislation or other developments in the U.S. and other countries in which RTX and its businesses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Powder Metal Matter;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production volumes of one or more of our significant customers as a result of business, labor, or other challenges, and the resulting effect on its or their demand for our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RTX product safety failure, quality issue, or other failure affecting RTX’s or its customers’ or suppliers’ products or systems;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including cyber-attacks on RTX’s information technology infrastructure, products, suppliers, customers and partners, and cybersecurity-related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insufficient indemnity or insurance coverage;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intellectual property and certain third-party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threats to RTX facilities and personnel, or those of its suppliers or customers, as well as public health crises, damaging weather, acts of nature or other similar events outside of RTX’s control that may affect RTX or its suppliers or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accounting estimates for our programs on our financial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pension and other postretirement plan estimates and assumptions and contributions;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impairment of goodwill and other intangible assets;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climate change and climate-related regulations, and related customer and market demands, products, and technologies.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this Form 10-Q includes important information as to risks, uncertainties, and other factors that may cause actual results to differ materially from those expressed or implied in the forward-looking statements. See “Note 16: Commitments and Contingencies” within Item 1 of this Form 10-Q and “Management’s Discussion and Analysis of Financial Condition and Results of Operations” within Item 2 of this Form 10-Q. Additional important information as to these factors is included in our Annual Report on Form 10-K in the sections titled Item 1, “Business,” Item 1A, “Risk Factors,” Item 3, “Legal Proceedings,” Item 7, “Management’s Discussion and Analysis of Financial Condition and Results of Operations,” and “Note 17: Commitments and Contingencies” within Item 8.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“Note 16: Commitments and Contingencies” within Item 1 of this Form 10-Q for a discussion regarding material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Except as otherwise noted above, there have been no material developments in legal proceedings. For previously reported information about legal proceedings refer to Part I, Item 3, “Legal Proceedings,” of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You should carefully review and consider the information regarding certain factors which could materially affect our business, financial condition, or future results set forth under Item 1A in our 2025 Annual Report on Form 10-K (2025 Form 10-K). There have been no material changes from the factors disclosed in our 2025 Form 10-K, although we may disclose changes to such factors or disclose additional factors from time to time in our future filings with the Securities and Exchange Commission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purchases of equity securities that are registered by us pursuant to Section 12 of the Exchange Act during the quarter ended September 30, 2026.</w:t>
      </w:r>
    </w:p>
    <w:tbl>
      <w:tblPr>
        <w:tblW w:w="10205" w:type="dxa"/>
        <w:jc w:val="left"/>
        <w:tblInd w:w="0" w:type="dxa"/>
        <w:tblLayout w:type="fixed"/>
        <w:tblCellMar>
          <w:top w:w="28" w:type="dxa"/>
          <w:left w:w="28" w:type="dxa"/>
          <w:bottom w:w="28" w:type="dxa"/>
          <w:right w:w="28" w:type="dxa"/>
        </w:tblCellMar>
      </w:tblPr>
      <w:tblGrid>
        <w:gridCol w:w="720"/>
        <w:gridCol w:w="382"/>
        <w:gridCol w:w="351"/>
        <w:gridCol w:w="109"/>
        <w:gridCol w:w="109"/>
        <w:gridCol w:w="109"/>
        <w:gridCol w:w="455"/>
        <w:gridCol w:w="455"/>
        <w:gridCol w:w="456"/>
        <w:gridCol w:w="109"/>
        <w:gridCol w:w="109"/>
        <w:gridCol w:w="109"/>
        <w:gridCol w:w="339"/>
        <w:gridCol w:w="652"/>
        <w:gridCol w:w="175"/>
        <w:gridCol w:w="109"/>
        <w:gridCol w:w="109"/>
        <w:gridCol w:w="109"/>
        <w:gridCol w:w="764"/>
        <w:gridCol w:w="764"/>
        <w:gridCol w:w="766"/>
        <w:gridCol w:w="109"/>
        <w:gridCol w:w="109"/>
        <w:gridCol w:w="109"/>
        <w:gridCol w:w="663"/>
        <w:gridCol w:w="1465"/>
        <w:gridCol w:w="490"/>
      </w:tblGrid>
      <w:tr>
        <w:trPr/>
        <w:tc>
          <w:tcPr>
            <w:tcW w:w="72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br/>
              <w:t>(dollars)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a Publicly Announced Program</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Approximate Dollar Value of Shares that May Yet Be Purchased Under the Program </w:t>
              <w:br/>
              <w:t>(dollars in millions)</w:t>
            </w:r>
          </w:p>
        </w:tc>
      </w:tr>
      <w:tr>
        <w:trPr/>
        <w:tc>
          <w:tcPr>
            <w:tcW w:w="14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 July 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 August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6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21, 2023, our Board of Directors authorized a share repurchase program for up to $11 billion of our common stock, replacing the previous program announced on December 12, 2022. Under the 2023 program, shares may be purchased on the open market, in privately negotiated transactions, under accelerated share repurchase programs, and under plans complying with Rules 10b5-1 and 10b-18 under the Securities Exchange Act of 1934, as amended.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also reacquire shares outside of the program in connection with the surrender of shares to cover taxes on vesting of restricted stock. Our ability to repurchase shares is subject to applicable law. During the quarter ended September 30, 2026, we did not repurchase shares outside of the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2026, no director or “officer” (as defined in Rule 16a-1(f))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1"/>
        <w:gridCol w:w="248"/>
        <w:gridCol w:w="249"/>
        <w:gridCol w:w="109"/>
        <w:gridCol w:w="109"/>
        <w:gridCol w:w="109"/>
        <w:gridCol w:w="3939"/>
        <w:gridCol w:w="2143"/>
        <w:gridCol w:w="3018"/>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9"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18"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52026-09x3010xq.htm">
              <w:r>
                <w:rPr>
                  <w:rStyle w:val="InternetLink"/>
                  <w:rFonts w:ascii="Times New Roman;serif" w:hAnsi="Times New Roman;serif"/>
                  <w:b w:val="false"/>
                  <w:color w:val="0000FF"/>
                  <w:sz w:val="20"/>
                  <w:u w:val="single"/>
                </w:rPr>
                <w:t>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52026-09x3010xq.htm">
              <w:r>
                <w:rPr>
                  <w:rStyle w:val="InternetLink"/>
                  <w:rFonts w:ascii="Times New Roman;serif" w:hAnsi="Times New Roman;serif"/>
                  <w:b w:val="false"/>
                  <w:color w:val="0000FF"/>
                  <w:sz w:val="20"/>
                  <w:u w:val="single"/>
                </w:rPr>
                <w:t>Letter re: unaudited interim financial information.*</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6-09x3010xq.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2026-09x3010xq.htm">
              <w:r>
                <w:rPr>
                  <w:rStyle w:val="InternetLink"/>
                  <w:rFonts w:ascii="Times New Roman;serif" w:hAnsi="Times New Roman;serif"/>
                  <w:b w:val="false"/>
                  <w:color w:val="0000FF"/>
                  <w:sz w:val="20"/>
                  <w:u w:val="single"/>
                </w:rPr>
                <w:t>Rule 13a-14(a)/15d-14(a) Certification.*</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6-09x3010xq.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2026-09x3010xq.htm">
              <w:r>
                <w:rPr>
                  <w:rStyle w:val="InternetLink"/>
                  <w:rFonts w:ascii="Times New Roman;serif" w:hAnsi="Times New Roman;serif"/>
                  <w:b w:val="false"/>
                  <w:color w:val="0000FF"/>
                  <w:sz w:val="20"/>
                  <w:u w:val="single"/>
                </w:rPr>
                <w:t>Rule 13a-14(a)/15d-14(a) Certification.*</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32026-09x3010xq.htm">
              <w:r>
                <w:rPr>
                  <w:rStyle w:val="InternetLink"/>
                  <w:rFonts w:ascii="Times New Roman;serif" w:hAnsi="Times New Roman;serif"/>
                  <w:b w:val="false"/>
                  <w:color w:val="0000FF"/>
                  <w:sz w:val="20"/>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32026-09x3010xq.htm">
              <w:r>
                <w:rPr>
                  <w:rStyle w:val="InternetLink"/>
                  <w:rFonts w:ascii="Times New Roman;serif" w:hAnsi="Times New Roman;serif"/>
                  <w:b w:val="false"/>
                  <w:color w:val="0000FF"/>
                  <w:sz w:val="20"/>
                  <w:u w:val="single"/>
                </w:rPr>
                <w:t>Rule 13a-14(a)/15d-14(a) Certification.*</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026-09x3010xq.htm">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026-09x3010xq.htm">
              <w:r>
                <w:rPr>
                  <w:rStyle w:val="InternetLink"/>
                  <w:rFonts w:ascii="Times New Roman;serif" w:hAnsi="Times New Roman;serif"/>
                  <w:b w:val="false"/>
                  <w:color w:val="0000FF"/>
                  <w:sz w:val="20"/>
                  <w:u w:val="single"/>
                </w:rPr>
                <w:t>Section 1350 Certifications.*</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Inline XBRL Instance Document - the instance document does not appear in the Interactive Data File because its XBRL tags are embedded within the Inline XBRL document.* </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Notes to Exhibits List: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Submitted electronically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ind w:left="0" w:right="0" w:hanging="360"/>
        <w:jc w:val="left"/>
        <w:rPr/>
      </w:pPr>
      <w:hyperlink w:anchor="i11f965f9fd7044e681b9da9eecae89df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824" w:type="dxa"/>
        <w:jc w:val="left"/>
        <w:tblInd w:w="0" w:type="dxa"/>
        <w:tblLayout w:type="fixed"/>
        <w:tblCellMar>
          <w:top w:w="28" w:type="dxa"/>
          <w:left w:w="28" w:type="dxa"/>
          <w:bottom w:w="28" w:type="dxa"/>
          <w:right w:w="28" w:type="dxa"/>
        </w:tblCellMar>
      </w:tblPr>
      <w:tblGrid>
        <w:gridCol w:w="238"/>
        <w:gridCol w:w="210"/>
        <w:gridCol w:w="212"/>
        <w:gridCol w:w="504"/>
        <w:gridCol w:w="504"/>
        <w:gridCol w:w="506"/>
        <w:gridCol w:w="320"/>
        <w:gridCol w:w="320"/>
        <w:gridCol w:w="320"/>
        <w:gridCol w:w="1949"/>
        <w:gridCol w:w="1949"/>
        <w:gridCol w:w="279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RTX CORPORATION</w:t>
              <w:b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NEIL G. MITCHILL, JR.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Neil G. Mitchill, Jr.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and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(on behalf of the Registrant and as the Registrant’s 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AMY L. JOHNSON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Amy L. Johnson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Vice President and Controller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(on behalf of the Registrant and as the Registrant’s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October 20,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 F Street, 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Commissioners: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We are aware that our report</w:t>
      </w:r>
      <w:r>
        <w:rPr>
          <w:color w:val="FF0000"/>
        </w:rPr>
        <w:t xml:space="preserve"> </w:t>
      </w:r>
      <w:r>
        <w:rPr>
          <w:rFonts w:ascii="Times New Roman;serif" w:hAnsi="Times New Roman;serif"/>
          <w:b w:val="false"/>
          <w:color w:val="000000"/>
          <w:sz w:val="20"/>
        </w:rPr>
        <w:t>dated October 20, 2026 on our review</w:t>
      </w:r>
      <w:r>
        <w:rPr>
          <w:color w:val="FF0000"/>
        </w:rPr>
        <w:t xml:space="preserve"> </w:t>
      </w:r>
      <w:r>
        <w:rPr>
          <w:rFonts w:ascii="Times New Roman;serif" w:hAnsi="Times New Roman;serif"/>
          <w:b w:val="false"/>
          <w:color w:val="000000"/>
          <w:sz w:val="20"/>
        </w:rPr>
        <w:t>of interim financial information of RTX Corporation, which appears in this Quarterly Report on Form 10-Q, is</w:t>
      </w:r>
      <w:r>
        <w:rPr>
          <w:color w:val="FF0000"/>
        </w:rPr>
        <w:t xml:space="preserve"> </w:t>
      </w:r>
      <w:r>
        <w:rPr>
          <w:rFonts w:ascii="Times New Roman;serif" w:hAnsi="Times New Roman;serif"/>
          <w:b w:val="false"/>
          <w:color w:val="000000"/>
          <w:sz w:val="20"/>
        </w:rPr>
        <w:t>incorporated by reference in the Registration Statements</w:t>
      </w:r>
      <w:r>
        <w:rPr>
          <w:color w:val="FF0000"/>
        </w:rPr>
        <w:t xml:space="preserve"> </w:t>
      </w:r>
      <w:r>
        <w:rPr>
          <w:rFonts w:ascii="Times New Roman;serif" w:hAnsi="Times New Roman;serif"/>
          <w:b w:val="false"/>
          <w:color w:val="000000"/>
          <w:sz w:val="20"/>
        </w:rPr>
        <w:t xml:space="preserve">on Form S-3 (No. 333-290364) and Form S-8 (Nos. 333-293283, 333-273420, 333-273414, 333-234085, 333-228649, 333-225839, 333-197704, 333-175781, 333-150643, 333-125293, and 333-100724) of RTX Corporation.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Christopher T. Calio,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RTX Corporation;</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both"/>
        <w:rPr/>
      </w:pPr>
      <w:r>
        <w:rPr/>
      </w:r>
    </w:p>
    <w:tbl>
      <w:tblPr>
        <w:tblW w:w="5651"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T. CALIO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T. Calio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Neil G. Mitchill, Jr.,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RTX Corporation;</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both"/>
        <w:rPr/>
      </w:pPr>
      <w:r>
        <w:rPr/>
      </w:r>
    </w:p>
    <w:tbl>
      <w:tblPr>
        <w:tblW w:w="6836"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Amy L. Johnson,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RTX Corporation;</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both"/>
        <w:rPr/>
      </w:pPr>
      <w:r>
        <w:rPr/>
      </w:r>
    </w:p>
    <w:tbl>
      <w:tblPr>
        <w:tblW w:w="5516"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912"/>
        <w:gridCol w:w="912"/>
        <w:gridCol w:w="129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Controller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Section 1350 Certifications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(Subsections (a) and (b) of Section 1350, Chapter 63 of Title 18, United States Code)</w:t>
      </w:r>
    </w:p>
    <w:p>
      <w:pPr>
        <w:pStyle w:val="TextBody"/>
        <w:bidi w:val="0"/>
        <w:spacing w:lineRule="auto" w:line="288" w:before="180" w:after="120"/>
        <w:ind w:left="0" w:right="0" w:firstLine="495"/>
        <w:jc w:val="left"/>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RTX Corporation, a Delaware corporation (the “</w:t>
      </w:r>
      <w:r>
        <w:rPr>
          <w:rFonts w:ascii="Times New Roman;serif" w:hAnsi="Times New Roman;serif"/>
          <w:b w:val="false"/>
          <w:color w:val="000000"/>
          <w:sz w:val="20"/>
          <w:u w:val="single"/>
        </w:rPr>
        <w:t>Corporation</w:t>
      </w:r>
      <w:r>
        <w:rPr>
          <w:color w:val="000000"/>
        </w:rPr>
        <w:t>”</w:t>
      </w:r>
      <w:r>
        <w:rPr>
          <w:rFonts w:ascii="Times New Roman;serif" w:hAnsi="Times New Roman;serif"/>
          <w:b w:val="false"/>
          <w:color w:val="000000"/>
          <w:sz w:val="20"/>
        </w:rPr>
        <w:t>), does hereby certify that: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The Quarterly Report on Form 10-Q for the quarter ended September 30, 2026 (the “</w:t>
      </w:r>
      <w:r>
        <w:rPr>
          <w:rFonts w:ascii="Times New Roman;serif" w:hAnsi="Times New Roman;serif"/>
          <w:b w:val="false"/>
          <w:color w:val="000000"/>
          <w:sz w:val="20"/>
          <w:u w:val="single"/>
        </w:rPr>
        <w:t>Form 10-Q</w:t>
      </w:r>
      <w:r>
        <w:rPr>
          <w:color w:val="000000"/>
        </w:rPr>
        <w:t>”</w:t>
      </w:r>
      <w:r>
        <w:rPr>
          <w:rFonts w:ascii="Times New Roman;serif" w:hAnsi="Times New Roman;serif"/>
          <w:b w:val="false"/>
          <w:color w:val="000000"/>
          <w:sz w:val="20"/>
        </w:rPr>
        <w:t>) of the Corporation fully complies with the requirements of section 13(a) or 15(d) of the Securities Exchange Act of 1934, as amended, and information contained in the Form 10-Q fairly presents, in all material respects, the financial condition and results of operations of the Corporation as of and for the periods presented in the Form 10-Q.</w:t>
      </w:r>
    </w:p>
    <w:p>
      <w:pPr>
        <w:pStyle w:val="TextBody"/>
        <w:bidi w:val="0"/>
        <w:spacing w:before="120" w:after="283"/>
        <w:ind w:left="0" w:right="0" w:firstLine="495"/>
        <w:jc w:val="left"/>
        <w:rPr/>
      </w:pPr>
      <w:r>
        <w:rPr/>
      </w:r>
    </w:p>
    <w:tbl>
      <w:tblPr>
        <w:tblW w:w="6508"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T. CALIO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T. Calio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Controller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30506</Words>
  <Characters>169101</Characters>
  <CharactersWithSpaces>197122</CharactersWithSpaces>
  <Paragraphs>4446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