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pPr>
      <w:r>
        <w:rPr>
          <w:color w:val="000000"/>
        </w:rPr>
        <w:t> </w:t>
      </w:r>
      <w:r>
        <w:rPr>
          <w:rFonts w:ascii="Times New Roman;sans-serif" w:hAnsi="Times New Roman;sans-serif"/>
          <w:b w:val="false"/>
          <w:color w:val="000000"/>
          <w:sz w:val="20"/>
        </w:rPr>
        <w:t>____________________________________ </w:t>
      </w:r>
    </w:p>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 </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18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001-00812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 </w:t>
      </w:r>
    </w:p>
    <w:p>
      <w:pPr>
        <w:pStyle w:val="TextBody"/>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RAYTHEON TECHNOLOGIES CORPORATION</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spacing w:lineRule="auto" w:line="288"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 </w:t>
      </w:r>
    </w:p>
    <w:tbl>
      <w:tblPr>
        <w:tblW w:w="7631" w:type="dxa"/>
        <w:jc w:val="center"/>
        <w:tblInd w:w="0" w:type="dxa"/>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06-0570975</w:t>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tbl>
      <w:tblPr>
        <w:tblW w:w="4964" w:type="dxa"/>
        <w:jc w:val="center"/>
        <w:tblInd w:w="0" w:type="dxa"/>
        <w:tblCellMar>
          <w:top w:w="28" w:type="dxa"/>
          <w:left w:w="28" w:type="dxa"/>
          <w:bottom w:w="28" w:type="dxa"/>
          <w:right w:w="28" w:type="dxa"/>
        </w:tblCellMar>
      </w:tblPr>
      <w:tblGrid>
        <w:gridCol w:w="788"/>
        <w:gridCol w:w="692"/>
        <w:gridCol w:w="694"/>
        <w:gridCol w:w="324"/>
        <w:gridCol w:w="324"/>
        <w:gridCol w:w="326"/>
        <w:gridCol w:w="275"/>
        <w:gridCol w:w="275"/>
        <w:gridCol w:w="276"/>
        <w:gridCol w:w="290"/>
        <w:gridCol w:w="290"/>
        <w:gridCol w:w="410"/>
      </w:tblGrid>
      <w:tr>
        <w:trPr/>
        <w:tc>
          <w:tcPr>
            <w:tcW w:w="788"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1000 Wilson Boulevard,</w:t>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Arlington,</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Virginia</w:t>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22209</w:t>
            </w:r>
          </w:p>
        </w:tc>
      </w:tr>
      <w:tr>
        <w:trPr/>
        <w:tc>
          <w:tcPr>
            <w:tcW w:w="39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(Address of principal executive offices)</w:t>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(Zip Code)</w:t>
            </w:r>
          </w:p>
        </w:tc>
      </w:tr>
    </w:tbl>
    <w:tbl>
      <w:tblPr>
        <w:tblW w:w="1499" w:type="dxa"/>
        <w:jc w:val="center"/>
        <w:tblInd w:w="0" w:type="dxa"/>
        <w:tblCellMar>
          <w:top w:w="28" w:type="dxa"/>
          <w:left w:w="28" w:type="dxa"/>
          <w:bottom w:w="28" w:type="dxa"/>
          <w:right w:w="28" w:type="dxa"/>
        </w:tblCellMar>
      </w:tblPr>
      <w:tblGrid>
        <w:gridCol w:w="200"/>
        <w:gridCol w:w="177"/>
        <w:gridCol w:w="178"/>
        <w:gridCol w:w="276"/>
        <w:gridCol w:w="276"/>
        <w:gridCol w:w="39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(781)</w:t>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522-3000</w:t>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486" w:type="dxa"/>
        <w:jc w:val="center"/>
        <w:tblInd w:w="0" w:type="dxa"/>
        <w:tblCellMar>
          <w:top w:w="28" w:type="dxa"/>
          <w:left w:w="28" w:type="dxa"/>
          <w:bottom w:w="28" w:type="dxa"/>
          <w:right w:w="28" w:type="dxa"/>
        </w:tblCellMar>
      </w:tblPr>
      <w:tblGrid>
        <w:gridCol w:w="954"/>
        <w:gridCol w:w="838"/>
        <w:gridCol w:w="848"/>
        <w:gridCol w:w="564"/>
        <w:gridCol w:w="564"/>
        <w:gridCol w:w="566"/>
        <w:gridCol w:w="109"/>
        <w:gridCol w:w="109"/>
        <w:gridCol w:w="109"/>
        <w:gridCol w:w="1118"/>
        <w:gridCol w:w="1118"/>
        <w:gridCol w:w="1589"/>
      </w:tblGrid>
      <w:tr>
        <w:trPr/>
        <w:tc>
          <w:tcPr>
            <w:tcW w:w="954"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($1 par value)</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(CUSIP 75513E 101)</w:t>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2.150% Notes due 2030</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RTX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(CUSIP 75513E AB7)</w:t>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95"/>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rFonts w:ascii="Times New Roman;sans-serif" w:hAnsi="Times New Roman;sans-serif"/>
          <w:b w:val="false"/>
          <w:color w:val="000000"/>
          <w:sz w:val="20"/>
        </w:rPr>
        <w:t>.    No  </w:t>
      </w:r>
      <w:r>
        <w:rPr>
          <w:color w:val="000000"/>
        </w:rPr>
        <w:t>☐</w:t>
      </w:r>
      <w:r>
        <w:rPr>
          <w:rFonts w:ascii="Times New Roman;sans-serif" w:hAnsi="Times New Roman;sans-serif"/>
          <w:b w:val="false"/>
          <w:color w:val="000000"/>
          <w:sz w:val="20"/>
        </w:rPr>
        <w:t>.</w:t>
      </w:r>
    </w:p>
    <w:p>
      <w:pPr>
        <w:pStyle w:val="TextBody"/>
        <w:spacing w:lineRule="auto" w:line="288" w:before="180" w:after="283"/>
        <w:ind w:left="0" w:right="0" w:firstLine="495"/>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rFonts w:ascii="Times New Roman;sans-serif" w:hAnsi="Times New Roman;sans-serif"/>
          <w:b w:val="false"/>
          <w:color w:val="000000"/>
          <w:sz w:val="20"/>
        </w:rPr>
        <w:t>.    No  </w:t>
      </w:r>
      <w:r>
        <w:rPr>
          <w:color w:val="000000"/>
        </w:rPr>
        <w:t>☐</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39" w:type="dxa"/>
        <w:jc w:val="left"/>
        <w:tblInd w:w="0" w:type="dxa"/>
        <w:tblCellMar>
          <w:top w:w="28" w:type="dxa"/>
          <w:left w:w="28" w:type="dxa"/>
          <w:bottom w:w="28" w:type="dxa"/>
          <w:right w:w="28" w:type="dxa"/>
        </w:tblCellMar>
      </w:tblPr>
      <w:tblGrid>
        <w:gridCol w:w="727"/>
        <w:gridCol w:w="639"/>
        <w:gridCol w:w="643"/>
        <w:gridCol w:w="109"/>
        <w:gridCol w:w="109"/>
        <w:gridCol w:w="109"/>
        <w:gridCol w:w="809"/>
        <w:gridCol w:w="809"/>
        <w:gridCol w:w="813"/>
        <w:gridCol w:w="109"/>
        <w:gridCol w:w="109"/>
        <w:gridCol w:w="154"/>
      </w:tblGrid>
      <w:tr>
        <w:trPr/>
        <w:tc>
          <w:tcPr>
            <w:tcW w:w="727"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120" w:after="283"/>
        <w:ind w:left="0" w:right="0" w:firstLine="45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w:t>
      </w:r>
      <w:r>
        <w:rPr>
          <w:rFonts w:ascii="Times New Roman;sans-serif" w:hAnsi="Times New Roman;sans-serif"/>
          <w:b w:val="false"/>
          <w:color w:val="000000"/>
          <w:sz w:val="20"/>
        </w:rPr>
        <w:t>.    No  </w:t>
      </w:r>
      <w:r>
        <w:rPr>
          <w:color w:val="000000"/>
        </w:rPr>
        <w:t>☒</w:t>
      </w:r>
      <w:r>
        <w:rPr>
          <w:rFonts w:ascii="Times New Roman;sans-serif" w:hAnsi="Times New Roman;sans-serif"/>
          <w:b w:val="false"/>
          <w:color w:val="000000"/>
          <w:sz w:val="20"/>
        </w:rPr>
        <w: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March 31, 2023 there were 1,461,142,016 shares of Common Stock outstanding.</w:t>
      </w:r>
    </w:p>
    <w:p>
      <w:pPr>
        <w:pStyle w:val="TextBody"/>
        <w:spacing w:before="180" w:after="283"/>
        <w:ind w:left="0" w:right="0" w:firstLine="495"/>
        <w:rPr/>
      </w:pPr>
      <w:r>
        <w:rPr/>
      </w:r>
    </w:p>
    <w:p>
      <w:pPr>
        <w:pStyle w:val="TextBody"/>
        <w:spacing w:before="0" w:after="0"/>
        <w:jc w:val="center"/>
        <w:rPr/>
      </w:pPr>
      <w:r>
        <w:rPr/>
      </w:r>
    </w:p>
    <w:p>
      <w:pPr>
        <w:pStyle w:val="TextBody"/>
        <w:spacing w:before="18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RAYTHEON TECHNOLOGIES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CONTENTS OF QUARTERLY REPORT ON FORM 10-Q</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Quarter Ended March 31, 2023 </w:t>
      </w:r>
    </w:p>
    <w:p>
      <w:pPr>
        <w:pStyle w:val="TextBody"/>
        <w:spacing w:lineRule="auto" w:line="288" w:before="0" w:after="0"/>
        <w:rPr>
          <w:color w:val="000000"/>
        </w:rPr>
      </w:pPr>
      <w:r>
        <w:rPr>
          <w:color w:val="000000"/>
        </w:rPr>
        <w:t> </w:t>
      </w:r>
    </w:p>
    <w:tbl>
      <w:tblPr>
        <w:tblW w:w="9661" w:type="dxa"/>
        <w:jc w:val="left"/>
        <w:tblInd w:w="0" w:type="dxa"/>
        <w:tblCellMar>
          <w:top w:w="28" w:type="dxa"/>
          <w:left w:w="28" w:type="dxa"/>
          <w:bottom w:w="28" w:type="dxa"/>
          <w:right w:w="28" w:type="dxa"/>
        </w:tblCellMar>
      </w:tblPr>
      <w:tblGrid>
        <w:gridCol w:w="3313"/>
        <w:gridCol w:w="2915"/>
        <w:gridCol w:w="2922"/>
        <w:gridCol w:w="149"/>
        <w:gridCol w:w="149"/>
        <w:gridCol w:w="213"/>
      </w:tblGrid>
      <w:tr>
        <w:trPr/>
        <w:tc>
          <w:tcPr>
            <w:tcW w:w="3313" w:type="dxa"/>
            <w:tcBorders/>
            <w:shd w:fill="auto" w:val="clear"/>
            <w:vAlign w:val="center"/>
          </w:tcPr>
          <w:p>
            <w:pPr>
              <w:pStyle w:val="TableContents"/>
              <w:spacing w:before="0" w:after="283"/>
              <w:rPr>
                <w:sz w:val="4"/>
                <w:szCs w:val="4"/>
              </w:rPr>
            </w:pPr>
            <w:r>
              <w:rPr>
                <w:sz w:val="4"/>
                <w:szCs w:val="4"/>
              </w:rPr>
            </w:r>
          </w:p>
        </w:tc>
        <w:tc>
          <w:tcPr>
            <w:tcW w:w="2915" w:type="dxa"/>
            <w:tcBorders/>
            <w:shd w:fill="auto" w:val="clear"/>
            <w:vAlign w:val="center"/>
          </w:tcPr>
          <w:p>
            <w:pPr>
              <w:pStyle w:val="TableContents"/>
              <w:spacing w:before="0" w:after="283"/>
              <w:rPr>
                <w:sz w:val="4"/>
                <w:szCs w:val="4"/>
              </w:rPr>
            </w:pPr>
            <w:r>
              <w:rPr>
                <w:sz w:val="4"/>
                <w:szCs w:val="4"/>
              </w:rPr>
            </w:r>
          </w:p>
        </w:tc>
        <w:tc>
          <w:tcPr>
            <w:tcW w:w="292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10">
              <w:r>
                <w:rPr>
                  <w:rStyle w:val="InternetLink"/>
                  <w:rFonts w:ascii="Times New Roman;sans-serif" w:hAnsi="Times New Roman;sans-serif"/>
                  <w:b w:val="false"/>
                  <w:color w:val="0000FF"/>
                  <w:sz w:val="20"/>
                  <w:u w:val="single"/>
                </w:rPr>
                <w:t>PART I – FINANCIAL INFORMATION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10">
              <w:r>
                <w:rPr>
                  <w:rStyle w:val="InternetLink"/>
                  <w:rFonts w:ascii="Times New Roman;sans-serif" w:hAnsi="Times New Roman;sans-serif"/>
                  <w:b w:val="false"/>
                  <w:color w:val="0000FF"/>
                  <w:sz w:val="20"/>
                  <w:u w:val="single"/>
                </w:rPr>
                <w:t>4</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13">
              <w:r>
                <w:rPr>
                  <w:rStyle w:val="InternetLink"/>
                  <w:rFonts w:ascii="Times New Roman;sans-serif" w:hAnsi="Times New Roman;sans-serif"/>
                  <w:b w:val="false"/>
                  <w:color w:val="0000FF"/>
                  <w:sz w:val="20"/>
                  <w:u w:val="single"/>
                </w:rPr>
                <w:t>Item 1. Unaudited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13">
              <w:r>
                <w:rPr>
                  <w:rStyle w:val="InternetLink"/>
                  <w:rFonts w:ascii="Times New Roman;sans-serif" w:hAnsi="Times New Roman;sans-serif"/>
                  <w:b w:val="false"/>
                  <w:color w:val="0000FF"/>
                  <w:sz w:val="20"/>
                  <w:u w:val="single"/>
                </w:rPr>
                <w:t>4</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16">
              <w:r>
                <w:rPr>
                  <w:rStyle w:val="InternetLink"/>
                  <w:rFonts w:ascii="Times New Roman;sans-serif" w:hAnsi="Times New Roman;sans-serif"/>
                  <w:b w:val="false"/>
                  <w:color w:val="0000FF"/>
                  <w:sz w:val="20"/>
                  <w:u w:val="single"/>
                </w:rPr>
                <w:t>Condensed Consolidated Statement of Operations for the quarters ended March 31, 2023 and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16">
              <w:r>
                <w:rPr>
                  <w:rStyle w:val="InternetLink"/>
                  <w:rFonts w:ascii="Times New Roman;sans-serif" w:hAnsi="Times New Roman;sans-serif"/>
                  <w:b w:val="false"/>
                  <w:color w:val="0000FF"/>
                  <w:sz w:val="20"/>
                  <w:u w:val="single"/>
                </w:rPr>
                <w:t>4</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19">
              <w:r>
                <w:rPr>
                  <w:rStyle w:val="InternetLink"/>
                  <w:rFonts w:ascii="Times New Roman;sans-serif" w:hAnsi="Times New Roman;sans-serif"/>
                  <w:b w:val="false"/>
                  <w:color w:val="0000FF"/>
                  <w:sz w:val="20"/>
                  <w:u w:val="single"/>
                </w:rPr>
                <w:t>Condensed Consolidated Statement of Comprehensive Income for the quarters ended March 31, 2023 and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19">
              <w:r>
                <w:rPr>
                  <w:rStyle w:val="InternetLink"/>
                  <w:rFonts w:ascii="Times New Roman;sans-serif" w:hAnsi="Times New Roman;sans-serif"/>
                  <w:b w:val="false"/>
                  <w:color w:val="0000FF"/>
                  <w:sz w:val="20"/>
                  <w:u w:val="single"/>
                </w:rPr>
                <w:t>5</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22">
              <w:r>
                <w:rPr>
                  <w:rStyle w:val="InternetLink"/>
                  <w:rFonts w:ascii="Times New Roman;sans-serif" w:hAnsi="Times New Roman;sans-serif"/>
                  <w:b w:val="false"/>
                  <w:color w:val="0000FF"/>
                  <w:sz w:val="20"/>
                  <w:u w:val="single"/>
                </w:rPr>
                <w:t>Condensed Consolidated Balance Sheet at March 31, 2023 and December 31,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22">
              <w:r>
                <w:rPr>
                  <w:rStyle w:val="InternetLink"/>
                  <w:rFonts w:ascii="Times New Roman;sans-serif" w:hAnsi="Times New Roman;sans-serif"/>
                  <w:b w:val="false"/>
                  <w:color w:val="0000FF"/>
                  <w:sz w:val="20"/>
                  <w:u w:val="single"/>
                </w:rPr>
                <w:t>6</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25">
              <w:r>
                <w:rPr>
                  <w:rStyle w:val="InternetLink"/>
                  <w:rFonts w:ascii="Times New Roman;sans-serif" w:hAnsi="Times New Roman;sans-serif"/>
                  <w:b w:val="false"/>
                  <w:color w:val="0000FF"/>
                  <w:sz w:val="20"/>
                  <w:u w:val="single"/>
                </w:rPr>
                <w:t>Condensed Consolidated Statement of Cash Flows for the quarters ended March 31, 2023 and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25">
              <w:r>
                <w:rPr>
                  <w:rStyle w:val="InternetLink"/>
                  <w:rFonts w:ascii="Times New Roman;sans-serif" w:hAnsi="Times New Roman;sans-serif"/>
                  <w:b w:val="false"/>
                  <w:color w:val="0000FF"/>
                  <w:sz w:val="20"/>
                  <w:u w:val="single"/>
                </w:rPr>
                <w:t>7</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28">
              <w:r>
                <w:rPr>
                  <w:rStyle w:val="InternetLink"/>
                  <w:rFonts w:ascii="Times New Roman;sans-serif" w:hAnsi="Times New Roman;sans-serif"/>
                  <w:b w:val="false"/>
                  <w:color w:val="0000FF"/>
                  <w:sz w:val="20"/>
                  <w:u w:val="single"/>
                </w:rPr>
                <w:t>Condensed Consolidated Statement of Changes in Equity for the quarters ended March 31, 2023 and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28">
              <w:r>
                <w:rPr>
                  <w:rStyle w:val="InternetLink"/>
                  <w:rFonts w:ascii="Times New Roman;sans-serif" w:hAnsi="Times New Roman;sans-serif"/>
                  <w:b w:val="false"/>
                  <w:color w:val="0000FF"/>
                  <w:sz w:val="20"/>
                  <w:u w:val="single"/>
                </w:rPr>
                <w:t>8</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31">
              <w:r>
                <w:rPr>
                  <w:rStyle w:val="InternetLink"/>
                  <w:rFonts w:ascii="Times New Roman;sans-serif" w:hAnsi="Times New Roman;sans-serif"/>
                  <w:b w:val="false"/>
                  <w:color w:val="0000FF"/>
                  <w:sz w:val="20"/>
                  <w:u w:val="single"/>
                </w:rPr>
                <w:t>Notes to Condensed Consolidated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31">
              <w:r>
                <w:rPr>
                  <w:rStyle w:val="InternetLink"/>
                  <w:rFonts w:ascii="Times New Roman;sans-serif" w:hAnsi="Times New Roman;sans-serif"/>
                  <w:b w:val="false"/>
                  <w:color w:val="0000FF"/>
                  <w:sz w:val="20"/>
                  <w:u w:val="single"/>
                </w:rPr>
                <w:t>9</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124">
              <w:r>
                <w:rPr>
                  <w:rStyle w:val="InternetLink"/>
                  <w:rFonts w:ascii="Times New Roman;sans-serif" w:hAnsi="Times New Roman;sans-serif"/>
                  <w:b w:val="false"/>
                  <w:color w:val="0000FF"/>
                  <w:sz w:val="20"/>
                  <w:u w:val="single"/>
                </w:rPr>
                <w:t>Report of Independent Registered Public Accounting Firm</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124">
              <w:r>
                <w:rPr>
                  <w:rStyle w:val="InternetLink"/>
                  <w:rFonts w:ascii="Times New Roman;sans-serif" w:hAnsi="Times New Roman;sans-serif"/>
                  <w:b w:val="false"/>
                  <w:color w:val="0000FF"/>
                  <w:sz w:val="20"/>
                  <w:u w:val="single"/>
                </w:rPr>
                <w:t>27</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130">
              <w:r>
                <w:rPr>
                  <w:rStyle w:val="InternetLink"/>
                </w:rPr>
                <w:t>Item 2. Management</w:t>
              </w:r>
            </w:hyperlink>
            <w:hyperlink w:anchor="icf9b41aa342c44ad85ba061a0a9fd95f_130">
              <w:r>
                <w:rPr>
                  <w:rStyle w:val="InternetLink"/>
                </w:rPr>
                <w:t>’</w:t>
              </w:r>
            </w:hyperlink>
            <w:hyperlink w:anchor="icf9b41aa342c44ad85ba061a0a9fd95f_130">
              <w:r>
                <w:rPr>
                  <w:rStyle w:val="InternetLink"/>
                </w:rPr>
                <w:t>s Discussion and Analysis of Financial Condition and Results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130">
              <w:r>
                <w:rPr>
                  <w:rStyle w:val="InternetLink"/>
                  <w:rFonts w:ascii="Times New Roman;sans-serif" w:hAnsi="Times New Roman;sans-serif"/>
                  <w:b w:val="false"/>
                  <w:color w:val="0000FF"/>
                  <w:sz w:val="20"/>
                  <w:u w:val="single"/>
                </w:rPr>
                <w:t>28</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256">
              <w:r>
                <w:rPr>
                  <w:rStyle w:val="InternetLink"/>
                  <w:rFonts w:ascii="Times New Roman;sans-serif" w:hAnsi="Times New Roman;sans-serif"/>
                  <w:b w:val="false"/>
                  <w:color w:val="0000FF"/>
                  <w:sz w:val="20"/>
                  <w:u w:val="single"/>
                </w:rPr>
                <w:t>Item 3. Quantitative and Qualitative Disclosures About Market Risk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256">
              <w:r>
                <w:rPr>
                  <w:rStyle w:val="InternetLink"/>
                  <w:rFonts w:ascii="Times New Roman;sans-serif" w:hAnsi="Times New Roman;sans-serif"/>
                  <w:b w:val="false"/>
                  <w:color w:val="0000FF"/>
                  <w:sz w:val="20"/>
                  <w:u w:val="single"/>
                </w:rPr>
                <w:t>43</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259">
              <w:r>
                <w:rPr>
                  <w:rStyle w:val="InternetLink"/>
                  <w:rFonts w:ascii="Times New Roman;sans-serif" w:hAnsi="Times New Roman;sans-serif"/>
                  <w:b w:val="false"/>
                  <w:color w:val="0000FF"/>
                  <w:sz w:val="20"/>
                  <w:u w:val="single"/>
                </w:rPr>
                <w:t>Item 4. Controls and Procedures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259">
              <w:r>
                <w:rPr>
                  <w:rStyle w:val="InternetLink"/>
                  <w:rFonts w:ascii="Times New Roman;sans-serif" w:hAnsi="Times New Roman;sans-serif"/>
                  <w:b w:val="false"/>
                  <w:color w:val="0000FF"/>
                  <w:sz w:val="20"/>
                  <w:u w:val="single"/>
                </w:rPr>
                <w:t>43</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265">
              <w:r>
                <w:rPr>
                  <w:rStyle w:val="InternetLink"/>
                  <w:rFonts w:ascii="Times New Roman;sans-serif" w:hAnsi="Times New Roman;sans-serif"/>
                  <w:b w:val="false"/>
                  <w:color w:val="0000FF"/>
                  <w:sz w:val="20"/>
                  <w:u w:val="single"/>
                </w:rPr>
                <w:t>PART II – 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265">
              <w:r>
                <w:rPr>
                  <w:rStyle w:val="InternetLink"/>
                  <w:rFonts w:ascii="Times New Roman;sans-serif" w:hAnsi="Times New Roman;sans-serif"/>
                  <w:b w:val="false"/>
                  <w:color w:val="0000FF"/>
                  <w:sz w:val="20"/>
                  <w:u w:val="single"/>
                </w:rPr>
                <w:t>45</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268">
              <w:r>
                <w:rPr>
                  <w:rStyle w:val="InternetLink"/>
                  <w:rFonts w:ascii="Times New Roman;sans-serif" w:hAnsi="Times New Roman;sans-serif"/>
                  <w:b w:val="false"/>
                  <w:color w:val="0000FF"/>
                  <w:sz w:val="20"/>
                  <w:u w:val="single"/>
                </w:rPr>
                <w:t>Item 1. Legal Proceedings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268">
              <w:r>
                <w:rPr>
                  <w:rStyle w:val="InternetLink"/>
                  <w:rFonts w:ascii="Times New Roman;sans-serif" w:hAnsi="Times New Roman;sans-serif"/>
                  <w:b w:val="false"/>
                  <w:color w:val="0000FF"/>
                  <w:sz w:val="20"/>
                  <w:u w:val="single"/>
                </w:rPr>
                <w:t>45</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271">
              <w:r>
                <w:rPr>
                  <w:rStyle w:val="InternetLink"/>
                  <w:rFonts w:ascii="Times New Roman;sans-serif" w:hAnsi="Times New Roman;sans-serif"/>
                  <w:b w:val="false"/>
                  <w:color w:val="0000FF"/>
                  <w:sz w:val="20"/>
                  <w:u w:val="single"/>
                </w:rPr>
                <w:t>Item 1A. Risk Factors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271">
              <w:r>
                <w:rPr>
                  <w:rStyle w:val="InternetLink"/>
                  <w:rFonts w:ascii="Times New Roman;sans-serif" w:hAnsi="Times New Roman;sans-serif"/>
                  <w:b w:val="false"/>
                  <w:color w:val="0000FF"/>
                  <w:sz w:val="20"/>
                  <w:u w:val="single"/>
                </w:rPr>
                <w:t>45</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274">
              <w:r>
                <w:rPr>
                  <w:rStyle w:val="InternetLink"/>
                  <w:rFonts w:ascii="Times New Roman;sans-serif" w:hAnsi="Times New Roman;sans-serif"/>
                  <w:b w:val="false"/>
                  <w:color w:val="0000FF"/>
                  <w:sz w:val="20"/>
                  <w:u w:val="single"/>
                </w:rPr>
                <w:t>Item 2. Unregistered Sales of Equity Securities and Use of Proceeds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274">
              <w:r>
                <w:rPr>
                  <w:rStyle w:val="InternetLink"/>
                  <w:rFonts w:ascii="Times New Roman;sans-serif" w:hAnsi="Times New Roman;sans-serif"/>
                  <w:b w:val="false"/>
                  <w:color w:val="0000FF"/>
                  <w:sz w:val="20"/>
                  <w:u w:val="single"/>
                </w:rPr>
                <w:t>46</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277">
              <w:r>
                <w:rPr>
                  <w:rStyle w:val="InternetLink"/>
                  <w:rFonts w:ascii="Times New Roman;sans-serif" w:hAnsi="Times New Roman;sans-serif"/>
                  <w:b w:val="false"/>
                  <w:color w:val="0000FF"/>
                  <w:sz w:val="20"/>
                  <w:u w:val="single"/>
                </w:rPr>
                <w:t>Item 6. Exhibits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277">
              <w:r>
                <w:rPr>
                  <w:rStyle w:val="InternetLink"/>
                  <w:rFonts w:ascii="Times New Roman;sans-serif" w:hAnsi="Times New Roman;sans-serif"/>
                  <w:b w:val="false"/>
                  <w:color w:val="0000FF"/>
                  <w:sz w:val="20"/>
                  <w:u w:val="single"/>
                </w:rPr>
                <w:t>47</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f9b41aa342c44ad85ba061a0a9fd95f_280">
              <w:r>
                <w:rPr>
                  <w:rStyle w:val="InternetLink"/>
                  <w:rFonts w:ascii="Times New Roman;sans-serif" w:hAnsi="Times New Roman;sans-serif"/>
                  <w:b w:val="false"/>
                  <w:color w:val="0000FF"/>
                  <w:sz w:val="20"/>
                  <w:u w:val="single"/>
                </w:rPr>
                <w:t>SIGNATURES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9b41aa342c44ad85ba061a0a9fd95f_280">
              <w:r>
                <w:rPr>
                  <w:rStyle w:val="InternetLink"/>
                  <w:rFonts w:ascii="Times New Roman;sans-serif" w:hAnsi="Times New Roman;sans-serif"/>
                  <w:b w:val="false"/>
                  <w:color w:val="0000FF"/>
                  <w:sz w:val="20"/>
                  <w:u w:val="single"/>
                </w:rPr>
                <w:t>48</w:t>
              </w:r>
            </w:hyperlink>
          </w:p>
        </w:tc>
      </w:tr>
      <w:tr>
        <w:trPr/>
        <w:tc>
          <w:tcPr>
            <w:tcW w:w="9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Raytheon Technologies Corporation and its subsidiaries’ names, abbreviations thereof, logos, and products and services designators are all either the registered or unregistered trademarks or tradenames of Raytheon Technologies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RAYTHEON TECHNOLOGIES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CONDENSED CONSOLIDATED STATEMENT OF OPERATIONS</w:t>
      </w:r>
    </w:p>
    <w:p>
      <w:pPr>
        <w:pStyle w:val="TextBody"/>
        <w:spacing w:lineRule="auto" w:line="288" w:before="0" w:after="0"/>
        <w:jc w:val="center"/>
        <w:rPr/>
      </w:pPr>
      <w:r>
        <w:rPr>
          <w:rFonts w:ascii="Times New Roman;sans-serif" w:hAnsi="Times New Roman;sans-serif"/>
          <w:b/>
          <w:color w:val="000000"/>
          <w:sz w:val="20"/>
        </w:rPr>
        <w:t>(Unaudited)</w:t>
      </w:r>
      <w:r>
        <w:rPr>
          <w:color w:val="000000"/>
        </w:rPr>
        <w:t> </w:t>
      </w:r>
    </w:p>
    <w:tbl>
      <w:tblPr>
        <w:tblW w:w="9670" w:type="dxa"/>
        <w:jc w:val="center"/>
        <w:tblInd w:w="0" w:type="dxa"/>
        <w:tblCellMar>
          <w:top w:w="28" w:type="dxa"/>
          <w:left w:w="28" w:type="dxa"/>
          <w:bottom w:w="28" w:type="dxa"/>
          <w:right w:w="28" w:type="dxa"/>
        </w:tblCellMar>
      </w:tblPr>
      <w:tblGrid>
        <w:gridCol w:w="2449"/>
        <w:gridCol w:w="2149"/>
        <w:gridCol w:w="2167"/>
        <w:gridCol w:w="211"/>
        <w:gridCol w:w="736"/>
        <w:gridCol w:w="109"/>
        <w:gridCol w:w="109"/>
        <w:gridCol w:w="109"/>
        <w:gridCol w:w="109"/>
        <w:gridCol w:w="211"/>
        <w:gridCol w:w="721"/>
        <w:gridCol w:w="109"/>
        <w:gridCol w:w="109"/>
        <w:gridCol w:w="109"/>
        <w:gridCol w:w="109"/>
        <w:gridCol w:w="154"/>
      </w:tblGrid>
      <w:tr>
        <w:trPr/>
        <w:tc>
          <w:tcPr>
            <w:tcW w:w="2449"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amounts)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Products sales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12,787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Services sales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4,427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net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17,214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Costs and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 - products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10,700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 - services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2,945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607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1,398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costs and expenses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15,650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88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profit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1,652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Non-operating expense (income), net:</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Non-service pension income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(444)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315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non-operating expense (income), net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from continuing operations before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1,781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expense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300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from continuing operations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1,481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Noncontrolling interest in subsidiaries’ earnings from continuing operations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from continuing operations attributable to common shareowners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from discontinued operations attributable to common shareowners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attributable to common shareowners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Earnings (loss) Per Share attributable to common shareowners - Basic:</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360"/>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from continuing operations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0.98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from discontinued operations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attributable to common shareowners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0.98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Earnings (loss) Per Share attributable to common shareowners - Diluted:</w:t>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360"/>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from continuing operations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0.97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from discontinued operations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attributable to common shareowners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0.97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RAYTHEON TECHNOLOGIES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CONDENSED CONSOLIDATED STATEMENT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19" w:type="dxa"/>
        <w:jc w:val="left"/>
        <w:tblInd w:w="0" w:type="dxa"/>
        <w:tblCellMar>
          <w:top w:w="28" w:type="dxa"/>
          <w:left w:w="28" w:type="dxa"/>
          <w:bottom w:w="28" w:type="dxa"/>
          <w:right w:w="28" w:type="dxa"/>
        </w:tblCellMar>
      </w:tblPr>
      <w:tblGrid>
        <w:gridCol w:w="2475"/>
        <w:gridCol w:w="2170"/>
        <w:gridCol w:w="2179"/>
        <w:gridCol w:w="211"/>
        <w:gridCol w:w="631"/>
        <w:gridCol w:w="109"/>
        <w:gridCol w:w="109"/>
        <w:gridCol w:w="109"/>
        <w:gridCol w:w="109"/>
        <w:gridCol w:w="211"/>
        <w:gridCol w:w="616"/>
        <w:gridCol w:w="109"/>
        <w:gridCol w:w="109"/>
        <w:gridCol w:w="109"/>
        <w:gridCol w:w="109"/>
        <w:gridCol w:w="154"/>
      </w:tblGrid>
      <w:tr>
        <w:trPr/>
        <w:tc>
          <w:tcPr>
            <w:tcW w:w="2475" w:type="dxa"/>
            <w:tcBorders/>
            <w:shd w:fill="auto" w:val="clear"/>
            <w:vAlign w:val="center"/>
          </w:tcPr>
          <w:p>
            <w:pPr>
              <w:pStyle w:val="TableContents"/>
              <w:spacing w:before="0" w:after="283"/>
              <w:rPr>
                <w:sz w:val="4"/>
                <w:szCs w:val="4"/>
              </w:rPr>
            </w:pPr>
            <w:r>
              <w:rPr>
                <w:sz w:val="4"/>
                <w:szCs w:val="4"/>
              </w:rPr>
            </w:r>
          </w:p>
        </w:tc>
        <w:tc>
          <w:tcPr>
            <w:tcW w:w="2170"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and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plans adjustments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cash flow hedging</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related to items of other comprehensive income (loss)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common shareowners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1,455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RAYTHEON TECHNOLOGIES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CONDENSED CONSOLIDATED BALANCE SHEET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365" w:type="dxa"/>
        <w:jc w:val="center"/>
        <w:tblInd w:w="0" w:type="dxa"/>
        <w:tblCellMar>
          <w:top w:w="28" w:type="dxa"/>
          <w:left w:w="28" w:type="dxa"/>
          <w:bottom w:w="28" w:type="dxa"/>
          <w:right w:w="28" w:type="dxa"/>
        </w:tblCellMar>
      </w:tblPr>
      <w:tblGrid>
        <w:gridCol w:w="1897"/>
        <w:gridCol w:w="1665"/>
        <w:gridCol w:w="1672"/>
        <w:gridCol w:w="229"/>
        <w:gridCol w:w="913"/>
        <w:gridCol w:w="118"/>
        <w:gridCol w:w="109"/>
        <w:gridCol w:w="109"/>
        <w:gridCol w:w="109"/>
        <w:gridCol w:w="273"/>
        <w:gridCol w:w="1072"/>
        <w:gridCol w:w="199"/>
      </w:tblGrid>
      <w:tr>
        <w:trPr/>
        <w:tc>
          <w:tcPr>
            <w:tcW w:w="1897"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2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13"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5,893</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6,220 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net</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10,069</w:t>
            </w: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9,108 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Contract assets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12,729</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11,534 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 net</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11,327</w:t>
            </w: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10,617 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 current</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5,486</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4,964 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45,504</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42,443 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Customer financing assets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2,543</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2,603 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Fixed assets</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29,536</w:t>
            </w: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29,116 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depreciation</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(14,387)</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(13,946)</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Fixed assets, net</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15,149</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15,170 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right-of-use assets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1,844</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1,829 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Goodwill</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53,904</w:t>
            </w: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53,840 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36,477</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36,823 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6,215</w:t>
            </w: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6,156 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161,636</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158,864 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 Redeemable Noncontrolling Interest and Equity</w:t>
            </w:r>
          </w:p>
        </w:tc>
        <w:tc>
          <w:tcPr>
            <w:tcW w:w="1260"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borrowings</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1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224</w:t>
            </w: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625 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10,060</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9,896 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employee compensation</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1,856</w:t>
            </w: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2,401 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accrued liabilities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11,573</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10,999 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Contract liabilities</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14,870</w:t>
            </w: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14,598 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currently due</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1,545</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595 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40,128</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39,114 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32,717</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30,694 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 non-current</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1,624</w:t>
            </w: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1,586 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Future pension and postretirement benefit obligations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4,676</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4,807 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8,106</w:t>
            </w: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8,449 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87,251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84,650 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(Note 15)</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Redeemable noncontrolling interest</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38</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Shareowners’ Equity:</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38,031</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37,939 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Treasury stock</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(16,112)</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(15,530)</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Retained earnings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52,891</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52,269 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Unearned ESOP shares</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(26)</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(1,989)</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(2,018)</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shareowners’ equity</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72,795</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72,632 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1,552</w:t>
            </w: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equity</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74,347</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74,178 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redeemable noncontrolling interest and equity</w:t>
            </w:r>
          </w:p>
        </w:tc>
        <w:tc>
          <w:tcPr>
            <w:tcW w:w="2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161,636</w:t>
            </w:r>
            <w:r>
              <w:rPr>
                <w:color w:val="000000"/>
              </w:rPr>
              <w:t> </w:t>
            </w:r>
          </w:p>
        </w:tc>
        <w:tc>
          <w:tcPr>
            <w:tcW w:w="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158,864 </w:t>
            </w:r>
          </w:p>
        </w:tc>
        <w:tc>
          <w:tcPr>
            <w:tcW w:w="1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RAYTHEON TECHNOLOGIES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CONDENSED CONSOLIDATED STATEMENT OF CASH FLOWS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983"/>
        <w:gridCol w:w="2476"/>
        <w:gridCol w:w="2486"/>
        <w:gridCol w:w="211"/>
        <w:gridCol w:w="631"/>
        <w:gridCol w:w="109"/>
        <w:gridCol w:w="109"/>
        <w:gridCol w:w="109"/>
        <w:gridCol w:w="109"/>
        <w:gridCol w:w="211"/>
        <w:gridCol w:w="616"/>
        <w:gridCol w:w="155"/>
      </w:tblGrid>
      <w:tr>
        <w:trPr/>
        <w:tc>
          <w:tcPr>
            <w:tcW w:w="2983"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c>
          <w:tcPr>
            <w:tcW w:w="24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7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9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from continuing operations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1,481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from continuing operations to net cash flows (used in)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1,034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benefit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(329)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 compensation cost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periodic pension and other postretirement income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(388)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(962)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Contract assets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(1,198)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(720)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(587)</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liabilities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490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Contract liabilities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223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activities,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flows (used in) provided by operating activities from continuing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(863)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expenditures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Dispositions of businesses, net of cash transferred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Customer financing assets receipts (payments),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Increase in other intangible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from settlements of derivative contracts,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investing activities,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80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flows used in investing activities from continuing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long-term debt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2,971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commercial paper, net (Note 8)</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(427)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other short-term borrowings,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paid on common stock</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(790)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common stock</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financing activities,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flows provided by (used in) financing activities from continuing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1,096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foreign exchange rate changes on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decrease in cash, cash equivalents and restricted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beginning of period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6,291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7,853 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end of period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5,946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Restricted cash, included in Other assets, current and Other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53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4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r>
      <w:tr>
        <w:trPr/>
        <w:tc>
          <w:tcPr>
            <w:tcW w:w="794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end of period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5,893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6,040 </w:t>
            </w:r>
          </w:p>
        </w:tc>
        <w:tc>
          <w:tcPr>
            <w:tcW w:w="1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RAYTHEON TECHNOLOGIES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CONDENSED CONSOLIDATED STATEMENT OF CHANGES IN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064" w:type="dxa"/>
        <w:jc w:val="center"/>
        <w:tblInd w:w="0" w:type="dxa"/>
        <w:tblCellMar>
          <w:top w:w="28" w:type="dxa"/>
          <w:left w:w="28" w:type="dxa"/>
          <w:bottom w:w="28" w:type="dxa"/>
          <w:right w:w="28" w:type="dxa"/>
        </w:tblCellMar>
      </w:tblPr>
      <w:tblGrid>
        <w:gridCol w:w="1868"/>
        <w:gridCol w:w="1642"/>
        <w:gridCol w:w="1649"/>
        <w:gridCol w:w="211"/>
        <w:gridCol w:w="736"/>
        <w:gridCol w:w="109"/>
        <w:gridCol w:w="109"/>
        <w:gridCol w:w="109"/>
        <w:gridCol w:w="109"/>
        <w:gridCol w:w="211"/>
        <w:gridCol w:w="721"/>
        <w:gridCol w:w="109"/>
        <w:gridCol w:w="109"/>
        <w:gridCol w:w="109"/>
        <w:gridCol w:w="109"/>
        <w:gridCol w:w="154"/>
      </w:tblGrid>
      <w:tr>
        <w:trPr/>
        <w:tc>
          <w:tcPr>
            <w:tcW w:w="1868"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amounts; shares in thousands)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Equity 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74,178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Common Stock</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37,939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plans activity</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subsidiary shares from noncontrolling interest,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38,031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Treasury Stock</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(15,530)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repurchased</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(16,112)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Retained Earnings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52,269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1,426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on common stock</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(790)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on ESOP common stock</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52,891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Unearned ESOP Shares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plans activity</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Accumulated Other Comprehensive Loss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(2,018)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(loss), net of tax</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Noncontrolling Interest</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1,546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Redeemable noncontrolling interest net income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attributable to noncontrolling interest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subsidiary shares from noncontrolling interest,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Disposition of noncontrolling interest, net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balance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1,552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Equity at March 31</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74,347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73,986 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83" w:type="dxa"/>
            <w:gridSpan w:val="1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share information</w:t>
            </w:r>
          </w:p>
        </w:tc>
        <w:tc>
          <w:tcPr>
            <w:tcW w:w="481" w:type="dxa"/>
            <w:gridSpan w:val="4"/>
            <w:tcBorders/>
            <w:shd w:fill="auto" w:val="clear"/>
          </w:tcPr>
          <w:p>
            <w:pPr>
              <w:pStyle w:val="TableContents"/>
              <w:spacing w:before="0" w:after="283"/>
              <w:rPr>
                <w:sz w:val="4"/>
                <w:szCs w:val="4"/>
              </w:rPr>
            </w:pPr>
            <w:r>
              <w:rPr>
                <w:sz w:val="4"/>
                <w:szCs w:val="4"/>
              </w:rPr>
            </w:r>
          </w:p>
        </w:tc>
      </w:tr>
      <w:tr>
        <w:trPr/>
        <w:tc>
          <w:tcPr>
            <w:tcW w:w="51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Shares of common stock issued under employee plans, net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820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Shares of common stock repurchased</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5,918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declared per share of common stock</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9"/>
              </w:rPr>
              <w:t>0.550</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0.510 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RAYTHEON TECHNOLOGIES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Basis of Presentation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at March 31, 2023 and for the quarters ended March 31, 2023 and 2022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2022 Annual Report on Form 10-K.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reclassified certain immaterial prior period amounts within the Condensed Consolidated Statement of Cash Flows to conform to our current period presentation.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Raytheon Intelligence &amp; Space (RIS) and Raytheon Missiles &amp; Defense (RMD) follow a 4-4-5 fiscal calendar while Collins Aerospace (Collins) and Pratt &amp; Whitney use a quarter calendar end. Throughout this Quarterly Report on Form 10-Q, when we refer to the quarters ended March 31, 2023 and 2022 with respect to RIS or RMD, we are referring to their April 2, 2023 and April 3, 2022 fiscal quarter ends, respectively.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otherwise requires, the terms “we,” “our,” “us,” “the Company,” “Raytheon Technologies,” and “RTC” mean Raytheon Technologies Corporation and its subsidiaries.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recently announced its intention to streamline the structure of its core businesses into three principal business segments: Collins Aerospace, Pratt &amp; Whitney, and Raytheon. The Company plans to implement the reorganization beginning in July 2023. All segment information included in this Form 10-Q is reflective of the existing four segments of Collins, Pratt &amp; Whitney, RIS, and RMD in accordance with the management structure in place as of March 31, 2023.</w:t>
      </w:r>
    </w:p>
    <w:p>
      <w:pPr>
        <w:pStyle w:val="TextBody"/>
        <w:spacing w:lineRule="auto" w:line="288" w:before="120" w:after="283"/>
        <w:jc w:val="both"/>
        <w:rPr/>
      </w:pPr>
      <w:r>
        <w:rPr>
          <w:rFonts w:ascii="Times New Roman;sans-serif" w:hAnsi="Times New Roman;sans-serif"/>
          <w:b w:val="false"/>
          <w:i/>
          <w:color w:val="000000"/>
          <w:sz w:val="20"/>
        </w:rPr>
        <w:t>Russia Sanctions.</w:t>
      </w:r>
      <w:r>
        <w:rPr>
          <w:color w:val="000000"/>
        </w:rPr>
        <w:t xml:space="preserve"> </w:t>
      </w:r>
      <w:r>
        <w:rPr>
          <w:rFonts w:ascii="Times New Roman;sans-serif" w:hAnsi="Times New Roman;sans-serif"/>
          <w:b w:val="false"/>
          <w:color w:val="000000"/>
          <w:sz w:val="20"/>
        </w:rPr>
        <w:t xml:space="preserve">In response to the Russian military’s invasion of Ukraine on February 24, 2022, the U.S. government and the governments of various 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As a result of these sanctions on Russia and export controls, in the first quarter of 2022, we recorded pretax charges of $290 million, $210 million net of tax, and the impact of noncontrolling interest, within our Collins and Pratt &amp; Whitney businesses primarily related to increased estimates for credit losses on both our accounts receivables and contract assets, inventory reserves and purchase order obligations, impairment of customer financing assets for products under lease, impairment of contract fulfillment costs that are no longer recoverable, and a loss on the exit of our investment in a Russia-based joint venture. We will continue to monitor future developments, including additional sanctions and other measures, that could adversely affect the Company and/or our supply chain, business partners, or customers. </w:t>
      </w:r>
    </w:p>
    <w:p>
      <w:pPr>
        <w:pStyle w:val="TextBody"/>
        <w:spacing w:lineRule="auto" w:line="288" w:before="120" w:after="283"/>
        <w:jc w:val="both"/>
        <w:rPr/>
      </w:pPr>
      <w:r>
        <w:rPr>
          <w:rFonts w:ascii="Times New Roman;sans-serif" w:hAnsi="Times New Roman;sans-serif"/>
          <w:b w:val="false"/>
          <w:i/>
          <w:color w:val="000000"/>
          <w:sz w:val="20"/>
        </w:rPr>
        <w:t xml:space="preserve">Coronavirus Disease 2019 (COVID-19) Pandemic. </w:t>
      </w:r>
      <w:r>
        <w:rPr>
          <w:rFonts w:ascii="Times New Roman;sans-serif" w:hAnsi="Times New Roman;sans-serif"/>
          <w:b w:val="false"/>
          <w:color w:val="000000"/>
          <w:sz w:val="20"/>
        </w:rPr>
        <w:t xml:space="preserve">The COVID-19 pandemic caused continuing negative effects on the global economy, our business and operations, the labor market, supply chains, inflation, and the industries in which we operate. Commercial air travel continues to recover to varying degrees. While we believe that the long-term outlook for the aerospace industry remains positive due to the fundamental drivers of air travel demand, uncertainty continues with respect to when commercial air traffic capacity will fully return to and/or exceed pre-pandemic levels. Our expectations regarding the negative effects of the COVID-19 pandemic and ongoing recovery and their potential financial impact are based on available information and assumptions that we believe are reasonable at this time; however, the actual financial impact is highly uncertain and subject to a wide range of factors and future developments.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2: Acquisitions, Dispositions, Goodwill and Intangible Assets</w:t>
      </w:r>
    </w:p>
    <w:p>
      <w:pPr>
        <w:pStyle w:val="TextBody"/>
        <w:spacing w:lineRule="auto" w:line="288" w:before="120" w:after="283"/>
        <w:rPr/>
      </w:pPr>
      <w:r>
        <w:rPr>
          <w:rFonts w:ascii="Times New Roman;sans-serif" w:hAnsi="Times New Roman;sans-serif"/>
          <w:b/>
          <w:color w:val="000000"/>
          <w:sz w:val="20"/>
        </w:rPr>
        <w:t>Goodwill.</w:t>
      </w:r>
      <w:r>
        <w:rPr>
          <w:color w:val="000000"/>
        </w:rPr>
        <w:t xml:space="preserve"> </w:t>
      </w:r>
      <w:r>
        <w:rPr>
          <w:rFonts w:ascii="Times New Roman;sans-serif" w:hAnsi="Times New Roman;sans-serif"/>
          <w:b w:val="false"/>
          <w:color w:val="000000"/>
          <w:sz w:val="20"/>
        </w:rPr>
        <w:t>Changes in our goodwill balances for the quarter ended March 31, 2023 were as follows:</w:t>
      </w:r>
    </w:p>
    <w:tbl>
      <w:tblPr>
        <w:tblW w:w="10205" w:type="dxa"/>
        <w:jc w:val="left"/>
        <w:tblInd w:w="0" w:type="dxa"/>
        <w:tblCellMar>
          <w:top w:w="28" w:type="dxa"/>
          <w:left w:w="28" w:type="dxa"/>
          <w:bottom w:w="28" w:type="dxa"/>
          <w:right w:w="28" w:type="dxa"/>
        </w:tblCellMar>
      </w:tblPr>
      <w:tblGrid>
        <w:gridCol w:w="756"/>
        <w:gridCol w:w="662"/>
        <w:gridCol w:w="577"/>
        <w:gridCol w:w="349"/>
        <w:gridCol w:w="1194"/>
        <w:gridCol w:w="181"/>
        <w:gridCol w:w="109"/>
        <w:gridCol w:w="109"/>
        <w:gridCol w:w="109"/>
        <w:gridCol w:w="444"/>
        <w:gridCol w:w="855"/>
        <w:gridCol w:w="232"/>
        <w:gridCol w:w="109"/>
        <w:gridCol w:w="109"/>
        <w:gridCol w:w="109"/>
        <w:gridCol w:w="109"/>
        <w:gridCol w:w="109"/>
        <w:gridCol w:w="635"/>
        <w:gridCol w:w="1133"/>
        <w:gridCol w:w="329"/>
        <w:gridCol w:w="109"/>
        <w:gridCol w:w="109"/>
        <w:gridCol w:w="109"/>
        <w:gridCol w:w="316"/>
        <w:gridCol w:w="1106"/>
        <w:gridCol w:w="237"/>
      </w:tblGrid>
      <w:tr>
        <w:trPr/>
        <w:tc>
          <w:tcPr>
            <w:tcW w:w="75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 and Divestitures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as of March 31, 2023</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Collins Aerospace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w:t>
            </w: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30,784</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Pratt &amp; Whitney</w:t>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1,563</w:t>
            </w: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 Intelligence &amp; Space</w:t>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9,841</w:t>
            </w:r>
            <w:r>
              <w:rPr>
                <w:color w:val="000000"/>
              </w:rPr>
              <w:t>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 Missiles &amp; Defense</w:t>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11,699</w:t>
            </w: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15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64</w:t>
            </w: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53,887</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 and other</w:t>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w:t>
            </w: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53,840 </w:t>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64</w:t>
            </w:r>
            <w:r>
              <w:rPr>
                <w:color w:val="000000"/>
              </w:rPr>
              <w:t> </w:t>
            </w:r>
          </w:p>
        </w:tc>
        <w:tc>
          <w:tcPr>
            <w:tcW w:w="3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53,904</w:t>
            </w:r>
            <w:r>
              <w:rPr>
                <w:color w:val="000000"/>
              </w:rPr>
              <w:t> </w:t>
            </w:r>
          </w:p>
        </w:tc>
        <w:tc>
          <w:tcPr>
            <w:tcW w:w="2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color w:val="000000"/>
          <w:sz w:val="20"/>
        </w:rPr>
        <w:t>Intangible Assets.</w:t>
      </w:r>
      <w:r>
        <w:rPr>
          <w:color w:val="000000"/>
        </w:rPr>
        <w:t xml:space="preserve"> </w:t>
      </w:r>
      <w:r>
        <w:rPr>
          <w:rFonts w:ascii="Times New Roman;sans-serif" w:hAnsi="Times New Roman;sans-serif"/>
          <w:b w:val="false"/>
          <w:color w:val="000000"/>
          <w:sz w:val="20"/>
        </w:rPr>
        <w:t>Identifiable intangible assets are comprised of the following:</w:t>
      </w:r>
    </w:p>
    <w:tbl>
      <w:tblPr>
        <w:tblW w:w="10205" w:type="dxa"/>
        <w:jc w:val="left"/>
        <w:tblInd w:w="0" w:type="dxa"/>
        <w:tblCellMar>
          <w:top w:w="28" w:type="dxa"/>
          <w:left w:w="28" w:type="dxa"/>
          <w:bottom w:w="28" w:type="dxa"/>
          <w:right w:w="28" w:type="dxa"/>
        </w:tblCellMar>
      </w:tblPr>
      <w:tblGrid>
        <w:gridCol w:w="1005"/>
        <w:gridCol w:w="879"/>
        <w:gridCol w:w="878"/>
        <w:gridCol w:w="230"/>
        <w:gridCol w:w="805"/>
        <w:gridCol w:w="121"/>
        <w:gridCol w:w="109"/>
        <w:gridCol w:w="109"/>
        <w:gridCol w:w="109"/>
        <w:gridCol w:w="387"/>
        <w:gridCol w:w="1464"/>
        <w:gridCol w:w="200"/>
        <w:gridCol w:w="109"/>
        <w:gridCol w:w="109"/>
        <w:gridCol w:w="109"/>
        <w:gridCol w:w="234"/>
        <w:gridCol w:w="800"/>
        <w:gridCol w:w="122"/>
        <w:gridCol w:w="109"/>
        <w:gridCol w:w="109"/>
        <w:gridCol w:w="109"/>
        <w:gridCol w:w="380"/>
        <w:gridCol w:w="1437"/>
        <w:gridCol w:w="282"/>
      </w:tblGrid>
      <w:tr>
        <w:trPr/>
        <w:tc>
          <w:tcPr>
            <w:tcW w:w="1005"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46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2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r>
      <w:tr>
        <w:trPr/>
        <w:tc>
          <w:tcPr>
            <w:tcW w:w="27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62"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r>
      <w:tr>
        <w:trPr/>
        <w:tc>
          <w:tcPr>
            <w:tcW w:w="2762"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assets</w:t>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5"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5,595</w:t>
            </w: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(1,470)</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Exclusivity assets</w:t>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3,002</w:t>
            </w: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(325)</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and other</w:t>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1,204</w:t>
            </w: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(567)</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29,788</w:t>
            </w: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(9,394)</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39,589</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(11,756)</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other</w:t>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8,644</w:t>
            </w: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48,233</w:t>
            </w:r>
            <w:r>
              <w:rPr>
                <w:color w:val="000000"/>
              </w:rPr>
              <w:t> </w:t>
            </w:r>
          </w:p>
        </w:tc>
        <w:tc>
          <w:tcPr>
            <w:tcW w:w="1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(11,756)</w:t>
            </w:r>
          </w:p>
        </w:tc>
        <w:tc>
          <w:tcPr>
            <w:tcW w:w="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48,065 </w:t>
            </w:r>
          </w:p>
        </w:tc>
        <w:tc>
          <w:tcPr>
            <w:tcW w:w="1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w:t>
            </w:r>
          </w:p>
        </w:tc>
        <w:tc>
          <w:tcPr>
            <w:tcW w:w="2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val="false"/>
          <w:color w:val="000000"/>
          <w:sz w:val="20"/>
        </w:rPr>
        <w:t>Amortization of intangible assets for the quarters ended March 31, 2023 and 2022 was $509 million and $487 million, respectively. The following is the expected amortization of intangible assets for the remainder of 2023 through 2028:</w:t>
      </w:r>
      <w:r>
        <w:rPr>
          <w:color w:val="000000"/>
        </w:rPr>
        <w:t> </w:t>
      </w:r>
    </w:p>
    <w:tbl>
      <w:tblPr>
        <w:tblW w:w="9882" w:type="dxa"/>
        <w:jc w:val="left"/>
        <w:tblInd w:w="0" w:type="dxa"/>
        <w:tblCellMar>
          <w:top w:w="28" w:type="dxa"/>
          <w:left w:w="28" w:type="dxa"/>
          <w:bottom w:w="28" w:type="dxa"/>
          <w:right w:w="28" w:type="dxa"/>
        </w:tblCellMar>
      </w:tblPr>
      <w:tblGrid>
        <w:gridCol w:w="691"/>
        <w:gridCol w:w="606"/>
        <w:gridCol w:w="608"/>
        <w:gridCol w:w="109"/>
        <w:gridCol w:w="109"/>
        <w:gridCol w:w="109"/>
        <w:gridCol w:w="291"/>
        <w:gridCol w:w="849"/>
        <w:gridCol w:w="150"/>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91"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r>
      <w:tr>
        <w:trPr/>
        <w:tc>
          <w:tcPr>
            <w:tcW w:w="19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3: Earnings Per Share</w:t>
      </w:r>
    </w:p>
    <w:tbl>
      <w:tblPr>
        <w:tblW w:w="8837" w:type="dxa"/>
        <w:jc w:val="left"/>
        <w:tblInd w:w="0" w:type="dxa"/>
        <w:tblCellMar>
          <w:top w:w="28" w:type="dxa"/>
          <w:left w:w="28" w:type="dxa"/>
          <w:bottom w:w="28" w:type="dxa"/>
          <w:right w:w="28" w:type="dxa"/>
        </w:tblCellMar>
      </w:tblPr>
      <w:tblGrid>
        <w:gridCol w:w="2167"/>
        <w:gridCol w:w="1901"/>
        <w:gridCol w:w="1917"/>
        <w:gridCol w:w="211"/>
        <w:gridCol w:w="631"/>
        <w:gridCol w:w="109"/>
        <w:gridCol w:w="109"/>
        <w:gridCol w:w="109"/>
        <w:gridCol w:w="109"/>
        <w:gridCol w:w="211"/>
        <w:gridCol w:w="616"/>
        <w:gridCol w:w="109"/>
        <w:gridCol w:w="109"/>
        <w:gridCol w:w="109"/>
        <w:gridCol w:w="109"/>
        <w:gridCol w:w="311"/>
      </w:tblGrid>
      <w:tr>
        <w:trPr/>
        <w:tc>
          <w:tcPr>
            <w:tcW w:w="2167"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c>
          <w:tcPr>
            <w:tcW w:w="19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gridSpan w:val="2"/>
            <w:tcBorders/>
            <w:shd w:fill="auto" w:val="clear"/>
          </w:tcPr>
          <w:p>
            <w:pPr>
              <w:pStyle w:val="TableContents"/>
              <w:spacing w:before="0" w:after="283"/>
              <w:rPr>
                <w:sz w:val="4"/>
                <w:szCs w:val="4"/>
              </w:rPr>
            </w:pPr>
            <w:r>
              <w:rPr>
                <w:sz w:val="4"/>
                <w:szCs w:val="4"/>
              </w:rPr>
            </w:r>
          </w:p>
        </w:tc>
      </w:tr>
      <w:tr>
        <w:trPr/>
        <w:tc>
          <w:tcPr>
            <w:tcW w:w="5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and shares in millions, except per share amounts)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shareowners: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shareowners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number of shares outstanding</w:t>
            </w:r>
          </w:p>
        </w:tc>
        <w:tc>
          <w:tcPr>
            <w:tcW w:w="842"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1,462.2</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and equity units (share equivalent)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number of shares outstanding</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1,474.2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attributable to common shareowners - Basic:</w:t>
            </w:r>
          </w:p>
        </w:tc>
        <w:tc>
          <w:tcPr>
            <w:tcW w:w="95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0.98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shareowners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attributable to common shareowners - Diluted:</w:t>
            </w:r>
          </w:p>
        </w:tc>
        <w:tc>
          <w:tcPr>
            <w:tcW w:w="95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0.97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98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shareowners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0.97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the quarters ended March 31, 2023 and 2022, the number of stock awards excluded from the computation was 4.1 million and 7.5 million,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4: Changes in Contract Estimates at Completion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 and costs, including estimates of labor productivity and availability, the complexity and scope of the work to be performed, the availability and cost of materials including any impact from rising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 of completion basis.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EAC adjustments had the following impact on our operating results:</w:t>
      </w:r>
    </w:p>
    <w:tbl>
      <w:tblPr>
        <w:tblW w:w="10205" w:type="dxa"/>
        <w:jc w:val="left"/>
        <w:tblInd w:w="0" w:type="dxa"/>
        <w:tblCellMar>
          <w:top w:w="28" w:type="dxa"/>
          <w:left w:w="28" w:type="dxa"/>
          <w:bottom w:w="28" w:type="dxa"/>
          <w:right w:w="28" w:type="dxa"/>
        </w:tblCellMar>
      </w:tblPr>
      <w:tblGrid>
        <w:gridCol w:w="2671"/>
        <w:gridCol w:w="2322"/>
        <w:gridCol w:w="2342"/>
        <w:gridCol w:w="109"/>
        <w:gridCol w:w="109"/>
        <w:gridCol w:w="109"/>
        <w:gridCol w:w="211"/>
        <w:gridCol w:w="582"/>
        <w:gridCol w:w="109"/>
        <w:gridCol w:w="109"/>
        <w:gridCol w:w="109"/>
        <w:gridCol w:w="109"/>
        <w:gridCol w:w="211"/>
        <w:gridCol w:w="511"/>
        <w:gridCol w:w="109"/>
        <w:gridCol w:w="109"/>
        <w:gridCol w:w="109"/>
        <w:gridCol w:w="109"/>
        <w:gridCol w:w="156"/>
      </w:tblGrid>
      <w:tr>
        <w:trPr/>
        <w:tc>
          <w:tcPr>
            <w:tcW w:w="2671" w:type="dxa"/>
            <w:tcBorders/>
            <w:shd w:fill="auto" w:val="clear"/>
            <w:vAlign w:val="center"/>
          </w:tcPr>
          <w:p>
            <w:pPr>
              <w:pStyle w:val="TableContents"/>
              <w:spacing w:before="0" w:after="283"/>
              <w:rPr>
                <w:sz w:val="4"/>
                <w:szCs w:val="4"/>
              </w:rPr>
            </w:pPr>
            <w:r>
              <w:rPr>
                <w:sz w:val="4"/>
                <w:szCs w:val="4"/>
              </w:rPr>
            </w:r>
          </w:p>
        </w:tc>
        <w:tc>
          <w:tcPr>
            <w:tcW w:w="2322" w:type="dxa"/>
            <w:tcBorders/>
            <w:shd w:fill="auto" w:val="clear"/>
            <w:vAlign w:val="center"/>
          </w:tcPr>
          <w:p>
            <w:pPr>
              <w:pStyle w:val="TableContents"/>
              <w:spacing w:before="0" w:after="283"/>
              <w:rPr>
                <w:sz w:val="4"/>
                <w:szCs w:val="4"/>
              </w:rPr>
            </w:pPr>
            <w:r>
              <w:rPr>
                <w:sz w:val="4"/>
                <w:szCs w:val="4"/>
              </w:rPr>
            </w:r>
          </w:p>
        </w:tc>
        <w:tc>
          <w:tcPr>
            <w:tcW w:w="2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Income from continuing operations attributable to common shareowners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5"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Diluted earnings per share from continuing operations attributable to common shareowners </w:t>
            </w:r>
            <w:r>
              <w:rPr>
                <w:rFonts w:ascii="Times New Roman;sans-serif" w:hAnsi="Times New Roman;sans-serif"/>
                <w:b w:val="false"/>
                <w:color w:val="000000"/>
                <w:sz w:val="13"/>
              </w:rPr>
              <w:t>(1)</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2"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(0.07)</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Amounts reflect a U.S. statutory tax rate of 21%, which approximates our tax rate on our EAC adjustments.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5: Accounts Receivable, Net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w:t>
      </w:r>
    </w:p>
    <w:tbl>
      <w:tblPr>
        <w:tblW w:w="6204" w:type="dxa"/>
        <w:jc w:val="left"/>
        <w:tblInd w:w="0" w:type="dxa"/>
        <w:tblCellMar>
          <w:top w:w="28" w:type="dxa"/>
          <w:left w:w="28" w:type="dxa"/>
          <w:bottom w:w="28" w:type="dxa"/>
          <w:right w:w="28" w:type="dxa"/>
        </w:tblCellMar>
      </w:tblPr>
      <w:tblGrid>
        <w:gridCol w:w="1115"/>
        <w:gridCol w:w="978"/>
        <w:gridCol w:w="981"/>
        <w:gridCol w:w="251"/>
        <w:gridCol w:w="878"/>
        <w:gridCol w:w="130"/>
        <w:gridCol w:w="109"/>
        <w:gridCol w:w="109"/>
        <w:gridCol w:w="109"/>
        <w:gridCol w:w="332"/>
        <w:gridCol w:w="970"/>
        <w:gridCol w:w="242"/>
      </w:tblGrid>
      <w:tr>
        <w:trPr/>
        <w:tc>
          <w:tcPr>
            <w:tcW w:w="111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10,460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(391)</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2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10,069</w:t>
            </w:r>
            <w:r>
              <w:rPr>
                <w:color w:val="000000"/>
              </w:rPr>
              <w:t> </w:t>
            </w:r>
          </w:p>
        </w:tc>
        <w:tc>
          <w:tcPr>
            <w:tcW w:w="1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9,108 </w:t>
            </w:r>
          </w:p>
        </w:tc>
        <w:tc>
          <w:tcPr>
            <w:tcW w:w="2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Contract Assets and Liabilities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reflect revenue recognized and performance obligations satisfied in advance of customer billing. Contract liabilities relate to payments received in advance of the satisfaction of performance under the contract. We receive payments from customers based on the terms established in our contracts. Total contract assets and contract liabilities were as follows:</w:t>
      </w:r>
    </w:p>
    <w:tbl>
      <w:tblPr>
        <w:tblW w:w="5066" w:type="dxa"/>
        <w:jc w:val="left"/>
        <w:tblInd w:w="0" w:type="dxa"/>
        <w:tblCellMar>
          <w:top w:w="28" w:type="dxa"/>
          <w:left w:w="28" w:type="dxa"/>
          <w:bottom w:w="28" w:type="dxa"/>
          <w:right w:w="28" w:type="dxa"/>
        </w:tblCellMar>
      </w:tblPr>
      <w:tblGrid>
        <w:gridCol w:w="701"/>
        <w:gridCol w:w="616"/>
        <w:gridCol w:w="618"/>
        <w:gridCol w:w="251"/>
        <w:gridCol w:w="878"/>
        <w:gridCol w:w="130"/>
        <w:gridCol w:w="109"/>
        <w:gridCol w:w="109"/>
        <w:gridCol w:w="109"/>
        <w:gridCol w:w="300"/>
        <w:gridCol w:w="1026"/>
        <w:gridCol w:w="219"/>
      </w:tblGrid>
      <w:tr>
        <w:trPr/>
        <w:tc>
          <w:tcPr>
            <w:tcW w:w="70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12,729</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(14,870)</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liabilities</w:t>
            </w:r>
          </w:p>
        </w:tc>
        <w:tc>
          <w:tcPr>
            <w:tcW w:w="2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(2,141)</w:t>
            </w:r>
          </w:p>
        </w:tc>
        <w:tc>
          <w:tcPr>
            <w:tcW w:w="1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w:t>
            </w:r>
          </w:p>
        </w:tc>
        <w:tc>
          <w:tcPr>
            <w:tcW w:w="2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increased $1,195 million during the quarter ended March 31, 2023 primarily due to sales in excess of billings on certain contracts at RMD, Pratt &amp; Whitney, and RIS. Contract liabilities increased $272 million during the quarter ended March 31, 2023 primarily due to billings in excess of sales on certain contracts at Pratt &amp; Whitney and RMD. We recognized revenue of $1.9 billion during the quarter ended March 31, 2023, related to contract liabilities as of January 1, 2023 and $1.8 billion during the quarter ended March 31, 2022, related to contract liabilities as of January 1, 2022.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Contract liabilities include approximately $395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include an allowance for credit losses of $330 million and $318 million as of March 31, 2023 and December 31,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7: Inventory, net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Inventory, net consisted of the following:</w:t>
      </w:r>
    </w:p>
    <w:tbl>
      <w:tblPr>
        <w:tblW w:w="4870" w:type="dxa"/>
        <w:jc w:val="left"/>
        <w:tblInd w:w="0" w:type="dxa"/>
        <w:tblCellMar>
          <w:top w:w="28" w:type="dxa"/>
          <w:left w:w="28" w:type="dxa"/>
          <w:bottom w:w="28" w:type="dxa"/>
          <w:right w:w="28" w:type="dxa"/>
        </w:tblCellMar>
      </w:tblPr>
      <w:tblGrid>
        <w:gridCol w:w="631"/>
        <w:gridCol w:w="553"/>
        <w:gridCol w:w="555"/>
        <w:gridCol w:w="251"/>
        <w:gridCol w:w="878"/>
        <w:gridCol w:w="130"/>
        <w:gridCol w:w="109"/>
        <w:gridCol w:w="109"/>
        <w:gridCol w:w="109"/>
        <w:gridCol w:w="300"/>
        <w:gridCol w:w="1026"/>
        <w:gridCol w:w="219"/>
      </w:tblGrid>
      <w:tr>
        <w:trPr/>
        <w:tc>
          <w:tcPr>
            <w:tcW w:w="631"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3,841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3,994</w:t>
            </w: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3,492</w:t>
            </w: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net</w:t>
            </w:r>
          </w:p>
        </w:tc>
        <w:tc>
          <w:tcPr>
            <w:tcW w:w="2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11,327</w:t>
            </w:r>
            <w:r>
              <w:rPr>
                <w:color w:val="000000"/>
              </w:rPr>
              <w:t> </w:t>
            </w:r>
          </w:p>
        </w:tc>
        <w:tc>
          <w:tcPr>
            <w:tcW w:w="1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10,617 </w:t>
            </w:r>
          </w:p>
        </w:tc>
        <w:tc>
          <w:tcPr>
            <w:tcW w:w="2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8: Borrowings and Lines of Credit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revolving credit agreements with various banks permitting aggregate borrowings of up to $7.0 billion, consisting of a $5.0 billion revolving credit agreement, which expires in April 2025, and a $2.0 billion revolving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agreement, which expires in September 2023. As of March 31, 2023, there were no borrowings outstanding under these agreements.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March 31, 2023, our maximum commercial paper borrowing limit was $5.0 billion as the commercial paper is backed by our $5.0 billion revolving credit agreement. We had $100 million and $524 million of commercial paper outstanding at March 31, 2023 and December 31, 2022, respectively, which is reflected in Short-term borrowings in our Condensed Consolidated Balance Sheet. At March 31, 2023 and December 31, 2022, short-term commercial paper borrowings outstanding had a weighted-average interest rate of 4.3% and 4.4%, respectively.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we had no new commercial paper borrowings with maturities greater than 90 days. During the quarter ended March 31, 2023, we made $100 million in repayments of commercial paper with maturities greater than 90 days. During the quarter ended March 31, 2022, we had no commercial paper borrowings or repayments with original maturities more than 90 days from the date of issuance.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repayments of long-term debt during the quarters ended March 31, 2023 and 2022, and there were no issuances of long-term debt during the quarter ended March 31, 2022. We had the following issuances of long-term debt during the quarter ended March 31, 2023:</w:t>
      </w:r>
    </w:p>
    <w:tbl>
      <w:tblPr>
        <w:tblW w:w="6874" w:type="dxa"/>
        <w:jc w:val="left"/>
        <w:tblInd w:w="0" w:type="dxa"/>
        <w:tblCellMar>
          <w:top w:w="28" w:type="dxa"/>
          <w:left w:w="28" w:type="dxa"/>
          <w:bottom w:w="28" w:type="dxa"/>
          <w:right w:w="28" w:type="dxa"/>
        </w:tblCellMar>
      </w:tblPr>
      <w:tblGrid>
        <w:gridCol w:w="582"/>
        <w:gridCol w:w="509"/>
        <w:gridCol w:w="514"/>
        <w:gridCol w:w="674"/>
        <w:gridCol w:w="674"/>
        <w:gridCol w:w="677"/>
        <w:gridCol w:w="812"/>
        <w:gridCol w:w="1856"/>
        <w:gridCol w:w="422"/>
        <w:gridCol w:w="154"/>
      </w:tblGrid>
      <w:tr>
        <w:trPr/>
        <w:tc>
          <w:tcPr>
            <w:tcW w:w="582"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Issuance Date</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Notes</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Principal Balance (in millions)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2023</w:t>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notes due 2026</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500</w:t>
            </w: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5.150% notes due 2033</w:t>
            </w:r>
          </w:p>
        </w:tc>
        <w:tc>
          <w:tcPr>
            <w:tcW w:w="26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1,250</w:t>
            </w:r>
            <w:r>
              <w:rPr>
                <w:color w:val="000000"/>
              </w:rPr>
              <w:t>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bottom w:val="single" w:sz="16"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025" w:type="dxa"/>
            <w:gridSpan w:val="3"/>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notes due 2053</w:t>
            </w:r>
          </w:p>
        </w:tc>
        <w:tc>
          <w:tcPr>
            <w:tcW w:w="2668" w:type="dxa"/>
            <w:gridSpan w:val="2"/>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1,250</w:t>
            </w:r>
            <w:r>
              <w:rPr>
                <w:color w:val="000000"/>
              </w:rPr>
              <w:t> </w:t>
            </w:r>
          </w:p>
        </w:tc>
        <w:tc>
          <w:tcPr>
            <w:tcW w:w="422" w:type="dxa"/>
            <w:tcBorders>
              <w:bottom w:val="single" w:sz="16"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vAlign w:val="center"/>
          </w:tcPr>
          <w:p>
            <w:pPr>
              <w:pStyle w:val="TableContents"/>
              <w:spacing w:before="0" w:after="283"/>
              <w:rPr>
                <w:sz w:val="4"/>
                <w:szCs w:val="4"/>
              </w:rPr>
            </w:pPr>
            <w:r>
              <w:rPr>
                <w:sz w:val="4"/>
                <w:szCs w:val="4"/>
              </w:rPr>
            </w:r>
          </w:p>
        </w:tc>
        <w:tc>
          <w:tcPr>
            <w:tcW w:w="2025" w:type="dxa"/>
            <w:gridSpan w:val="3"/>
            <w:tcBorders/>
            <w:shd w:fill="auto" w:val="clear"/>
            <w:vAlign w:val="center"/>
          </w:tcPr>
          <w:p>
            <w:pPr>
              <w:pStyle w:val="TableContents"/>
              <w:spacing w:before="0" w:after="283"/>
              <w:rPr>
                <w:sz w:val="4"/>
                <w:szCs w:val="4"/>
              </w:rPr>
            </w:pPr>
            <w:r>
              <w:rPr>
                <w:sz w:val="4"/>
                <w:szCs w:val="4"/>
              </w:rPr>
            </w:r>
          </w:p>
        </w:tc>
        <w:tc>
          <w:tcPr>
            <w:tcW w:w="3090"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7887" w:type="dxa"/>
        <w:jc w:val="left"/>
        <w:tblInd w:w="0" w:type="dxa"/>
        <w:tblCellMar>
          <w:top w:w="28" w:type="dxa"/>
          <w:left w:w="28" w:type="dxa"/>
          <w:bottom w:w="28" w:type="dxa"/>
          <w:right w:w="28" w:type="dxa"/>
        </w:tblCellMar>
      </w:tblPr>
      <w:tblGrid>
        <w:gridCol w:w="1725"/>
        <w:gridCol w:w="1512"/>
        <w:gridCol w:w="1518"/>
        <w:gridCol w:w="332"/>
        <w:gridCol w:w="757"/>
        <w:gridCol w:w="171"/>
        <w:gridCol w:w="109"/>
        <w:gridCol w:w="109"/>
        <w:gridCol w:w="109"/>
        <w:gridCol w:w="392"/>
        <w:gridCol w:w="866"/>
        <w:gridCol w:w="287"/>
      </w:tblGrid>
      <w:tr>
        <w:trPr/>
        <w:tc>
          <w:tcPr>
            <w:tcW w:w="1725"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3.650% notes due 2023 </w:t>
            </w:r>
            <w:r>
              <w:rPr>
                <w:rFonts w:ascii="Times New Roman;sans-serif" w:hAnsi="Times New Roman;sans-serif"/>
                <w:b w:val="false"/>
                <w:color w:val="000000"/>
                <w:sz w:val="13"/>
              </w:rPr>
              <w:t>(1)</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171</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3.700% notes due 2023 </w:t>
            </w:r>
            <w:r>
              <w:rPr>
                <w:rFonts w:ascii="Times New Roman;sans-serif" w:hAnsi="Times New Roman;sans-serif"/>
                <w:b w:val="false"/>
                <w:color w:val="000000"/>
                <w:sz w:val="13"/>
              </w:rPr>
              <w:t>(1)</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400</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3.200% notes due 2024 </w:t>
            </w:r>
            <w:r>
              <w:rPr>
                <w:rFonts w:ascii="Times New Roman;sans-serif" w:hAnsi="Times New Roman;sans-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950</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3.150% notes due 2024 </w:t>
            </w:r>
            <w:r>
              <w:rPr>
                <w:rFonts w:ascii="Times New Roman;sans-serif" w:hAnsi="Times New Roman;sans-serif"/>
                <w:b w:val="false"/>
                <w:color w:val="000000"/>
                <w:sz w:val="13"/>
              </w:rPr>
              <w:t>(1)</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300</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3.950% notes due 2025 </w:t>
            </w:r>
            <w:r>
              <w:rPr>
                <w:rFonts w:ascii="Times New Roman;sans-serif" w:hAnsi="Times New Roman;sans-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1,500</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2.650% notes due 2026 </w:t>
            </w:r>
            <w:r>
              <w:rPr>
                <w:rFonts w:ascii="Times New Roman;sans-serif" w:hAnsi="Times New Roman;sans-serif"/>
                <w:b w:val="false"/>
                <w:color w:val="000000"/>
                <w:sz w:val="13"/>
              </w:rPr>
              <w:t>(1)</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719</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5.000% notes due 2026 </w:t>
            </w:r>
            <w:r>
              <w:rPr>
                <w:rFonts w:ascii="Times New Roman;sans-serif" w:hAnsi="Times New Roman;sans-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500</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3.125% notes due 2027 </w:t>
            </w:r>
            <w:r>
              <w:rPr>
                <w:rFonts w:ascii="Times New Roman;sans-serif" w:hAnsi="Times New Roman;sans-serif"/>
                <w:b w:val="false"/>
                <w:color w:val="000000"/>
                <w:sz w:val="13"/>
              </w:rPr>
              <w:t>(1)</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1,100</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3.500% notes due 2027 </w:t>
            </w:r>
            <w:r>
              <w:rPr>
                <w:rFonts w:ascii="Times New Roman;sans-serif" w:hAnsi="Times New Roman;sans-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1,300</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7.200% notes due 2027 </w:t>
            </w:r>
            <w:r>
              <w:rPr>
                <w:rFonts w:ascii="Times New Roman;sans-serif" w:hAnsi="Times New Roman;sans-serif"/>
                <w:b w:val="false"/>
                <w:color w:val="000000"/>
                <w:sz w:val="13"/>
              </w:rPr>
              <w:t>(1)</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382</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7.100% notes due 2027</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135</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6.700% notes due 2028</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285</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7.000% notes due 2028 </w:t>
            </w:r>
            <w:r>
              <w:rPr>
                <w:rFonts w:ascii="Times New Roman;sans-serif" w:hAnsi="Times New Roman;sans-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185</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4.125% notes due 2028 </w:t>
            </w:r>
            <w:r>
              <w:rPr>
                <w:rFonts w:ascii="Times New Roman;sans-serif" w:hAnsi="Times New Roman;sans-serif"/>
                <w:b w:val="false"/>
                <w:color w:val="000000"/>
                <w:sz w:val="13"/>
              </w:rPr>
              <w:t>(1)</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3,000</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7.500% notes due 2029 </w:t>
            </w:r>
            <w:r>
              <w:rPr>
                <w:rFonts w:ascii="Times New Roman;sans-serif" w:hAnsi="Times New Roman;sans-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414</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2.150% notes due 2030 (€500 million principal value) </w:t>
            </w:r>
            <w:r>
              <w:rPr>
                <w:rFonts w:ascii="Times New Roman;sans-serif" w:hAnsi="Times New Roman;sans-serif"/>
                <w:b w:val="false"/>
                <w:color w:val="000000"/>
                <w:sz w:val="13"/>
              </w:rPr>
              <w:t>(1)</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537</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2.250% notes due 2030 </w:t>
            </w:r>
            <w:r>
              <w:rPr>
                <w:rFonts w:ascii="Times New Roman;sans-serif" w:hAnsi="Times New Roman;sans-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1,000</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1.900% notes due 2031 </w:t>
            </w:r>
            <w:r>
              <w:rPr>
                <w:rFonts w:ascii="Times New Roman;sans-serif" w:hAnsi="Times New Roman;sans-serif"/>
                <w:b w:val="false"/>
                <w:color w:val="000000"/>
                <w:sz w:val="13"/>
              </w:rPr>
              <w:t>(1)</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1,000</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2.375% notes due 2032 </w:t>
            </w:r>
            <w:r>
              <w:rPr>
                <w:rFonts w:ascii="Times New Roman;sans-serif" w:hAnsi="Times New Roman;sans-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1,000</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5.150% notes due 2033 </w:t>
            </w:r>
            <w:r>
              <w:rPr>
                <w:rFonts w:ascii="Times New Roman;sans-serif" w:hAnsi="Times New Roman;sans-serif"/>
                <w:b w:val="false"/>
                <w:color w:val="000000"/>
                <w:sz w:val="13"/>
              </w:rPr>
              <w:t>(1)</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1,250</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5.400% notes due 2035 </w:t>
            </w:r>
            <w:r>
              <w:rPr>
                <w:rFonts w:ascii="Times New Roman;sans-serif" w:hAnsi="Times New Roman;sans-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446</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6.050% notes due 2036 </w:t>
            </w:r>
            <w:r>
              <w:rPr>
                <w:rFonts w:ascii="Times New Roman;sans-serif" w:hAnsi="Times New Roman;sans-serif"/>
                <w:b w:val="false"/>
                <w:color w:val="000000"/>
                <w:sz w:val="13"/>
              </w:rPr>
              <w:t>(1)</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410</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6.800% notes due 2036 </w:t>
            </w:r>
            <w:r>
              <w:rPr>
                <w:rFonts w:ascii="Times New Roman;sans-serif" w:hAnsi="Times New Roman;sans-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117</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7.000% notes due 2038</w:t>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148</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tbl>
      <w:tblPr>
        <w:tblW w:w="9413" w:type="dxa"/>
        <w:jc w:val="left"/>
        <w:tblInd w:w="0" w:type="dxa"/>
        <w:tblCellMar>
          <w:top w:w="28" w:type="dxa"/>
          <w:left w:w="28" w:type="dxa"/>
          <w:bottom w:w="28" w:type="dxa"/>
          <w:right w:w="28" w:type="dxa"/>
        </w:tblCellMar>
      </w:tblPr>
      <w:tblGrid>
        <w:gridCol w:w="2516"/>
        <w:gridCol w:w="2209"/>
        <w:gridCol w:w="2219"/>
        <w:gridCol w:w="211"/>
        <w:gridCol w:w="736"/>
        <w:gridCol w:w="109"/>
        <w:gridCol w:w="109"/>
        <w:gridCol w:w="109"/>
        <w:gridCol w:w="109"/>
        <w:gridCol w:w="211"/>
        <w:gridCol w:w="721"/>
        <w:gridCol w:w="154"/>
      </w:tblGrid>
      <w:tr>
        <w:trPr/>
        <w:tc>
          <w:tcPr>
            <w:tcW w:w="2516"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22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6.125% notes due 2038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4.450% notes due 2038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750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5.700% notes due 2040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4.875% notes due 2040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4.700% notes due 2041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425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4.500% notes due 2042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4.800% notes due 2043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4.200% notes due 2044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4.150% notes due 2045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850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3.750% notes due 2046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4.050% notes due 2047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4.350% notes due 2047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4.625% notes due 2048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1,750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3.125% notes due 2050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2.820% notes due 2051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3.030% notes due 2052 </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5.375% notes due 2053 </w:t>
            </w:r>
            <w:r>
              <w:rPr>
                <w:rFonts w:ascii="Times New Roman;sans-serif" w:hAnsi="Times New Roman;sans-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(including finance leases)</w:t>
            </w:r>
            <w:r>
              <w:rPr>
                <w:color w:val="000000"/>
              </w:rPr>
              <w:t xml:space="preserve"> </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long-term debt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34,254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(fair market value adjustments, (discounts)/premiums, and debt issuance costs)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34,262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1,545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32,717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30,694 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pPr>
      <w:r>
        <w:rPr>
          <w:rFonts w:ascii="Times New Roman;sans-serif" w:hAnsi="Times New Roman;sans-serif"/>
          <w:b w:val="false"/>
          <w:color w:val="000000"/>
          <w:sz w:val="16"/>
        </w:rPr>
        <w:t>(1)</w:t>
      </w:r>
      <w:r>
        <w:rPr>
          <w:color w:val="000000"/>
        </w:rPr>
        <w:t>    </w:t>
      </w:r>
      <w:r>
        <w:rPr>
          <w:rFonts w:ascii="Times New Roman;sans-serif" w:hAnsi="Times New Roman;sans-serif"/>
          <w:b w:val="false"/>
          <w:color w:val="000000"/>
          <w:sz w:val="16"/>
        </w:rPr>
        <w:t>We may redeem these notes, in whole or in part, at our option pursuant to their terms prior to the applicable maturity date.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average maturity of our long-term debt at March 31, 2023 is approximately 14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9: Employee Benefit Plans</w:t>
      </w:r>
    </w:p>
    <w:p>
      <w:pPr>
        <w:pStyle w:val="TextBody"/>
        <w:spacing w:lineRule="auto" w:line="288" w:before="120" w:after="283"/>
        <w:jc w:val="both"/>
        <w:rPr/>
      </w:pPr>
      <w:r>
        <w:rPr>
          <w:rFonts w:ascii="Times New Roman;sans-serif" w:hAnsi="Times New Roman;sans-serif"/>
          <w:b/>
          <w:color w:val="000000"/>
          <w:sz w:val="20"/>
        </w:rPr>
        <w:t>Pension and Postretirement Plans.</w:t>
      </w:r>
      <w:r>
        <w:rPr>
          <w:color w:val="000000"/>
        </w:rPr>
        <w:t xml:space="preserve"> </w:t>
      </w:r>
      <w:r>
        <w:rPr>
          <w:rFonts w:ascii="Times New Roman;sans-serif" w:hAnsi="Times New Roman;sans-serif"/>
          <w:b w:val="false"/>
          <w:color w:val="000000"/>
          <w:sz w:val="20"/>
        </w:rPr>
        <w:t xml:space="preserve">We sponsor both funded and unfunded domestic and foreign defined benefit pension and postretirement benefit (PRB) plans and defined contribution plans.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Contributions to our plans were as follows:</w:t>
      </w:r>
    </w:p>
    <w:tbl>
      <w:tblPr>
        <w:tblW w:w="5457" w:type="dxa"/>
        <w:jc w:val="left"/>
        <w:tblInd w:w="0" w:type="dxa"/>
        <w:tblCellMar>
          <w:top w:w="28" w:type="dxa"/>
          <w:left w:w="28" w:type="dxa"/>
          <w:bottom w:w="28" w:type="dxa"/>
          <w:right w:w="28" w:type="dxa"/>
        </w:tblCellMar>
      </w:tblPr>
      <w:tblGrid>
        <w:gridCol w:w="1082"/>
        <w:gridCol w:w="949"/>
        <w:gridCol w:w="953"/>
        <w:gridCol w:w="236"/>
        <w:gridCol w:w="455"/>
        <w:gridCol w:w="122"/>
        <w:gridCol w:w="122"/>
        <w:gridCol w:w="122"/>
        <w:gridCol w:w="122"/>
        <w:gridCol w:w="236"/>
        <w:gridCol w:w="455"/>
        <w:gridCol w:w="122"/>
        <w:gridCol w:w="109"/>
        <w:gridCol w:w="109"/>
        <w:gridCol w:w="109"/>
        <w:gridCol w:w="154"/>
      </w:tblGrid>
      <w:tr>
        <w:trPr/>
        <w:tc>
          <w:tcPr>
            <w:tcW w:w="1082"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qualified defined benefit plans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defined benefit plans</w:t>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w:t>
            </w: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PRB plans</w:t>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w:t>
            </w: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contribution plans</w:t>
            </w:r>
          </w:p>
        </w:tc>
        <w:tc>
          <w:tcPr>
            <w:tcW w:w="691"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372</w:t>
            </w:r>
            <w:r>
              <w:rPr>
                <w:color w:val="000000"/>
              </w:rPr>
              <w:t> </w:t>
            </w:r>
          </w:p>
        </w:tc>
        <w:tc>
          <w:tcPr>
            <w:tcW w:w="122"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91"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22"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we approved a change to the Raytheon Company domestic defined benefit pension plans for non-union participants to cease future benefit accruals based on an employee’s years of service and compensation under the historical formula effective December 31, 2022. The plan change does not impact participants’ historical benefit accruals. Benefits for service after December 31, 2022 are based on a cash balance formula.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recognized in the Condensed Consolidated Balance Sheet consist of:</w:t>
      </w:r>
    </w:p>
    <w:tbl>
      <w:tblPr>
        <w:tblW w:w="9984" w:type="dxa"/>
        <w:jc w:val="left"/>
        <w:tblInd w:w="0" w:type="dxa"/>
        <w:tblCellMar>
          <w:top w:w="28" w:type="dxa"/>
          <w:left w:w="28" w:type="dxa"/>
          <w:bottom w:w="28" w:type="dxa"/>
          <w:right w:w="28" w:type="dxa"/>
        </w:tblCellMar>
      </w:tblPr>
      <w:tblGrid>
        <w:gridCol w:w="2486"/>
        <w:gridCol w:w="2179"/>
        <w:gridCol w:w="2189"/>
        <w:gridCol w:w="279"/>
        <w:gridCol w:w="836"/>
        <w:gridCol w:w="144"/>
        <w:gridCol w:w="109"/>
        <w:gridCol w:w="109"/>
        <w:gridCol w:w="109"/>
        <w:gridCol w:w="332"/>
        <w:gridCol w:w="970"/>
        <w:gridCol w:w="242"/>
      </w:tblGrid>
      <w:tr>
        <w:trPr/>
        <w:tc>
          <w:tcPr>
            <w:tcW w:w="2486"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c>
          <w:tcPr>
            <w:tcW w:w="218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6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pension assets (included in Other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3,527</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pension and PRB liabilities (included in Accrued employee compensation)</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307</w:t>
            </w: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pension and postretirement benefit obligations</w:t>
            </w:r>
          </w:p>
        </w:tc>
        <w:tc>
          <w:tcPr>
            <w:tcW w:w="1115" w:type="dxa"/>
            <w:gridSpan w:val="2"/>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4,676</w:t>
            </w:r>
            <w:r>
              <w:rPr>
                <w:color w:val="000000"/>
              </w:rPr>
              <w:t> </w:t>
            </w:r>
          </w:p>
        </w:tc>
        <w:tc>
          <w:tcPr>
            <w:tcW w:w="144" w:type="dxa"/>
            <w:tcBorders>
              <w:bottom w:val="single" w:sz="16"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302" w:type="dxa"/>
            <w:gridSpan w:val="2"/>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4,807 </w:t>
            </w:r>
          </w:p>
        </w:tc>
        <w:tc>
          <w:tcPr>
            <w:tcW w:w="242" w:type="dxa"/>
            <w:tcBorders>
              <w:bottom w:val="single" w:sz="16"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recognized in Future pension and postretirement benefit obligations consist of:</w:t>
      </w:r>
    </w:p>
    <w:tbl>
      <w:tblPr>
        <w:tblW w:w="7615" w:type="dxa"/>
        <w:jc w:val="left"/>
        <w:tblInd w:w="0" w:type="dxa"/>
        <w:tblCellMar>
          <w:top w:w="28" w:type="dxa"/>
          <w:left w:w="28" w:type="dxa"/>
          <w:bottom w:w="28" w:type="dxa"/>
          <w:right w:w="28" w:type="dxa"/>
        </w:tblCellMar>
      </w:tblPr>
      <w:tblGrid>
        <w:gridCol w:w="1627"/>
        <w:gridCol w:w="1426"/>
        <w:gridCol w:w="1432"/>
        <w:gridCol w:w="279"/>
        <w:gridCol w:w="836"/>
        <w:gridCol w:w="144"/>
        <w:gridCol w:w="109"/>
        <w:gridCol w:w="109"/>
        <w:gridCol w:w="109"/>
        <w:gridCol w:w="332"/>
        <w:gridCol w:w="970"/>
        <w:gridCol w:w="242"/>
      </w:tblGrid>
      <w:tr>
        <w:trPr/>
        <w:tc>
          <w:tcPr>
            <w:tcW w:w="1627"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pension liabilities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4,004</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PRB liabilities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612</w:t>
            </w: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pension and PRB related items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w:t>
            </w: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pension and postretirement benefit obligations</w:t>
            </w:r>
          </w:p>
        </w:tc>
        <w:tc>
          <w:tcPr>
            <w:tcW w:w="2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4,676</w:t>
            </w:r>
            <w:r>
              <w:rPr>
                <w:color w:val="000000"/>
              </w:rPr>
              <w:t> </w:t>
            </w:r>
          </w:p>
        </w:tc>
        <w:tc>
          <w:tcPr>
            <w:tcW w:w="1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4,807 </w:t>
            </w:r>
          </w:p>
        </w:tc>
        <w:tc>
          <w:tcPr>
            <w:tcW w:w="2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(income) expense for our defined pension and PRB plans were as follows:</w:t>
      </w:r>
    </w:p>
    <w:tbl>
      <w:tblPr>
        <w:tblW w:w="10205" w:type="dxa"/>
        <w:jc w:val="left"/>
        <w:tblInd w:w="0" w:type="dxa"/>
        <w:tblCellMar>
          <w:top w:w="28" w:type="dxa"/>
          <w:left w:w="28" w:type="dxa"/>
          <w:bottom w:w="28" w:type="dxa"/>
          <w:right w:w="28" w:type="dxa"/>
        </w:tblCellMar>
      </w:tblPr>
      <w:tblGrid>
        <w:gridCol w:w="2103"/>
        <w:gridCol w:w="1842"/>
        <w:gridCol w:w="1848"/>
        <w:gridCol w:w="211"/>
        <w:gridCol w:w="540"/>
        <w:gridCol w:w="109"/>
        <w:gridCol w:w="109"/>
        <w:gridCol w:w="109"/>
        <w:gridCol w:w="109"/>
        <w:gridCol w:w="211"/>
        <w:gridCol w:w="540"/>
        <w:gridCol w:w="109"/>
        <w:gridCol w:w="109"/>
        <w:gridCol w:w="109"/>
        <w:gridCol w:w="109"/>
        <w:gridCol w:w="234"/>
        <w:gridCol w:w="451"/>
        <w:gridCol w:w="120"/>
        <w:gridCol w:w="120"/>
        <w:gridCol w:w="120"/>
        <w:gridCol w:w="120"/>
        <w:gridCol w:w="234"/>
        <w:gridCol w:w="284"/>
        <w:gridCol w:w="355"/>
      </w:tblGrid>
      <w:tr>
        <w:trPr/>
        <w:tc>
          <w:tcPr>
            <w:tcW w:w="2103"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8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57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Benefits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PRB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57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expense</w:t>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w:t>
            </w: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actuarial net loss (gain)</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settlement, curtailment and special termination benefit (gain) loss</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7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Non-service pension income</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3" w:type="dxa"/>
            <w:gridSpan w:val="3"/>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periodic benefit (income) expense</w:t>
            </w:r>
          </w:p>
        </w:tc>
        <w:tc>
          <w:tcPr>
            <w:tcW w:w="211" w:type="dxa"/>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(388)</w:t>
            </w:r>
          </w:p>
        </w:tc>
        <w:tc>
          <w:tcPr>
            <w:tcW w:w="109" w:type="dxa"/>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09" w:type="dxa"/>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51" w:type="dxa"/>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4" w:type="dxa"/>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55" w:type="dxa"/>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tbl>
      <w:tblPr>
        <w:tblW w:w="6087" w:type="dxa"/>
        <w:jc w:val="left"/>
        <w:tblInd w:w="0" w:type="dxa"/>
        <w:tblCellMar>
          <w:top w:w="28" w:type="dxa"/>
          <w:left w:w="28" w:type="dxa"/>
          <w:bottom w:w="28" w:type="dxa"/>
          <w:right w:w="28" w:type="dxa"/>
        </w:tblCellMar>
      </w:tblPr>
      <w:tblGrid>
        <w:gridCol w:w="1072"/>
        <w:gridCol w:w="940"/>
        <w:gridCol w:w="943"/>
        <w:gridCol w:w="332"/>
        <w:gridCol w:w="757"/>
        <w:gridCol w:w="171"/>
        <w:gridCol w:w="109"/>
        <w:gridCol w:w="109"/>
        <w:gridCol w:w="109"/>
        <w:gridCol w:w="392"/>
        <w:gridCol w:w="866"/>
        <w:gridCol w:w="287"/>
      </w:tblGrid>
      <w:tr>
        <w:trPr/>
        <w:tc>
          <w:tcPr>
            <w:tcW w:w="1072"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5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held in trusts</w:t>
            </w:r>
          </w:p>
        </w:tc>
        <w:tc>
          <w:tcPr>
            <w:tcW w:w="3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703</w:t>
            </w:r>
            <w:r>
              <w:rPr>
                <w:color w:val="000000"/>
              </w:rPr>
              <w:t> </w:t>
            </w:r>
          </w:p>
        </w:tc>
        <w:tc>
          <w:tcPr>
            <w:tcW w:w="1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2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spacing w:lineRule="auto" w:line="288" w:before="120" w:after="283"/>
        <w:jc w:val="both"/>
        <w:rPr/>
      </w:pPr>
      <w:r>
        <w:rPr>
          <w:rFonts w:ascii="Times New Roman;sans-serif" w:hAnsi="Times New Roman;sans-serif"/>
          <w:b w:val="false"/>
          <w:color w:val="000000"/>
          <w:sz w:val="20"/>
          <w:highlight w:val="white"/>
        </w:rPr>
        <w:t>Our effective tax rate was 16.8% and 9.3% i</w:t>
      </w:r>
      <w:r>
        <w:rPr>
          <w:rFonts w:ascii="Times New Roman;sans-serif" w:hAnsi="Times New Roman;sans-serif"/>
          <w:b w:val="false"/>
          <w:color w:val="000000"/>
          <w:sz w:val="20"/>
        </w:rPr>
        <w:t>n the quarters ended March 31, 2023 and 2022, respectively. The increase in the effective tax rate for the quarter ended March 31, 2023 as compared to the quarter ended March 31, 2022 is primarily driven by a higher forecasted annualized effective tax rate for 2023 principally due to a lower forecasted Foreign Derived Intangible Income (FDII) benefit in addition to a lower tax benefit from stock based compensation in the current quarter.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globally and, as a result, Raytheon Technologies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Examination Divisions of the Internal Revenue Service (IRS) are currently auditing Raytheon Technologies (formerly United Technologies Corporation) tax years 2017 and 2018, pre-merger Raytheon Company tax years 2017, 2018, and 2019 as well as certain refund claims of Raytheon Company for tax years 2014, 2015, and 2016 filed prior to the Raytheon merger, and pre-acquisition Rockwell Collins fiscal tax years 2016, 2017, and 2018. The examination phases of these audits are expected to close in 2023. It is reasonably possible that the expected closure of the examination phase of the Raytheon Technologies 2017 and 2018 tax audit will result in a net income benefit in the range of $185 million to $225 million in 2023. This range includes the effects of adjusting interest accruals and certain tax related indemnity receivables related to the separation and distributions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Carrier Global Corporation (Carrier) and Otis Worldwide Corporation (Otis). The tax components of this range are included in the revaluation range included below.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$250 million to $375 million of unrecognized tax benefits may occur within the next 12 months as a result of the revaluation of uncertain tax positions arising from developments in examinations, in appeals, or in the courts, or the closure of tax statutes.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11: Financial Instruments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w:t>
      </w:r>
    </w:p>
    <w:p>
      <w:pPr>
        <w:pStyle w:val="TextBody"/>
        <w:spacing w:lineRule="auto" w:line="276" w:before="120" w:after="283"/>
        <w:jc w:val="both"/>
        <w:rPr/>
      </w:pPr>
      <w:r>
        <w:rPr>
          <w:rFonts w:ascii="Times New Roman;sans-serif" w:hAnsi="Times New Roman;sans-serif"/>
          <w:b w:val="false"/>
          <w:color w:val="000000"/>
          <w:sz w:val="20"/>
        </w:rPr>
        <w:t>The present value of aggregate notional principal of our outstanding foreign currency hedges</w:t>
      </w:r>
      <w:r>
        <w:rPr>
          <w:color w:val="000000"/>
          <w:highlight w:val="white"/>
        </w:rPr>
        <w:t xml:space="preserve"> </w:t>
      </w:r>
      <w:r>
        <w:rPr>
          <w:rFonts w:ascii="Times New Roman;sans-serif" w:hAnsi="Times New Roman;sans-serif"/>
          <w:b w:val="false"/>
          <w:color w:val="000000"/>
          <w:sz w:val="20"/>
          <w:highlight w:val="white"/>
        </w:rPr>
        <w:t xml:space="preserve">was $11.6 billion </w:t>
      </w:r>
      <w:r>
        <w:rPr>
          <w:rFonts w:ascii="Times New Roman;sans-serif" w:hAnsi="Times New Roman;sans-serif"/>
          <w:b w:val="false"/>
          <w:color w:val="000000"/>
          <w:sz w:val="20"/>
        </w:rPr>
        <w:t>and</w:t>
      </w:r>
      <w:r>
        <w:rPr>
          <w:color w:val="000000"/>
          <w:highlight w:val="white"/>
        </w:rPr>
        <w:t xml:space="preserve"> </w:t>
      </w:r>
      <w:r>
        <w:rPr>
          <w:rFonts w:ascii="Times New Roman;sans-serif" w:hAnsi="Times New Roman;sans-serif"/>
          <w:b w:val="false"/>
          <w:color w:val="000000"/>
          <w:sz w:val="20"/>
          <w:highlight w:val="white"/>
        </w:rPr>
        <w:t>$11.2 billion at</w:t>
      </w:r>
      <w:r>
        <w:rPr>
          <w:color w:val="000000"/>
        </w:rPr>
        <w:t xml:space="preserve"> </w:t>
      </w:r>
      <w:r>
        <w:rPr>
          <w:rFonts w:ascii="Times New Roman;sans-serif" w:hAnsi="Times New Roman;sans-serif"/>
          <w:b w:val="false"/>
          <w:color w:val="000000"/>
          <w:sz w:val="20"/>
        </w:rPr>
        <w:t>March 31, 2023 and December 31, 2022, respectively. At March 31, 2023, all derivative contracts accounted for as cash flow hedges will m</w:t>
      </w:r>
      <w:r>
        <w:rPr>
          <w:rFonts w:ascii="Times New Roman;sans-serif" w:hAnsi="Times New Roman;sans-serif"/>
          <w:b w:val="false"/>
          <w:color w:val="000000"/>
          <w:sz w:val="20"/>
          <w:highlight w:val="white"/>
        </w:rPr>
        <w:t>ature by February 2030.</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and presentation in the Condensed Consolidated Balance Sheet for derivative instruments:</w:t>
      </w:r>
    </w:p>
    <w:tbl>
      <w:tblPr>
        <w:tblW w:w="9580" w:type="dxa"/>
        <w:jc w:val="left"/>
        <w:tblInd w:w="0" w:type="dxa"/>
        <w:tblCellMar>
          <w:top w:w="28" w:type="dxa"/>
          <w:left w:w="28" w:type="dxa"/>
          <w:bottom w:w="28" w:type="dxa"/>
          <w:right w:w="28" w:type="dxa"/>
        </w:tblCellMar>
      </w:tblPr>
      <w:tblGrid>
        <w:gridCol w:w="1594"/>
        <w:gridCol w:w="1397"/>
        <w:gridCol w:w="1403"/>
        <w:gridCol w:w="684"/>
        <w:gridCol w:w="684"/>
        <w:gridCol w:w="686"/>
        <w:gridCol w:w="382"/>
        <w:gridCol w:w="681"/>
        <w:gridCol w:w="197"/>
        <w:gridCol w:w="109"/>
        <w:gridCol w:w="109"/>
        <w:gridCol w:w="109"/>
        <w:gridCol w:w="449"/>
        <w:gridCol w:w="768"/>
        <w:gridCol w:w="328"/>
      </w:tblGrid>
      <w:tr>
        <w:trPr/>
        <w:tc>
          <w:tcPr>
            <w:tcW w:w="1594"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hedging instruments:</w:t>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current</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77</w:t>
            </w: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350</w:t>
            </w: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20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current</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w:t>
            </w: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054"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63"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w:t>
            </w:r>
            <w:r>
              <w:rPr>
                <w:color w:val="000000"/>
              </w:rPr>
              <w:t> </w:t>
            </w:r>
          </w:p>
        </w:tc>
        <w:tc>
          <w:tcPr>
            <w:tcW w:w="197"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17"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8"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cash flow hedging relationships on Accumulated other comprehensive income (loss) and on the Condensed Consolidated Statement of Operations in the quarters ended March 31, 2023 and 2022 are presented in “Note 16: Accumulated Other Comprehensive Loss.” The amounts of gain or loss are attributable to foreign exchange contract activity and are primarily recorded as a component of Products sales when reclassified from Accumulated other comprehensive loss.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the critical terms match method in assessing derivatives for hedge effectiveness. Accordingly, the hedged items and derivatives designated as hedging instruments are highly effective.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€500 million principal value of euro-denominated long-term debt qualifies as a net investment hedge against our investments in European businesses, which is deemed to be effective.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derivatives not designated as hedging instruments is included within Other income, net, on the Condensed Consolidated Statement of Operations and is not material.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12: Fair Value Measurements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the valuation hierarchy classification of assets and liabilities that are carried at fair value and measured on a recurring basis in our Condensed Consolidated Balance Sheet:</w:t>
      </w:r>
    </w:p>
    <w:tbl>
      <w:tblPr>
        <w:tblW w:w="7034" w:type="dxa"/>
        <w:jc w:val="left"/>
        <w:tblInd w:w="0" w:type="dxa"/>
        <w:tblCellMar>
          <w:top w:w="28" w:type="dxa"/>
          <w:left w:w="28" w:type="dxa"/>
          <w:bottom w:w="28" w:type="dxa"/>
          <w:right w:w="28" w:type="dxa"/>
        </w:tblCellMar>
      </w:tblPr>
      <w:tblGrid>
        <w:gridCol w:w="1082"/>
        <w:gridCol w:w="949"/>
        <w:gridCol w:w="953"/>
        <w:gridCol w:w="211"/>
        <w:gridCol w:w="481"/>
        <w:gridCol w:w="109"/>
        <w:gridCol w:w="109"/>
        <w:gridCol w:w="109"/>
        <w:gridCol w:w="109"/>
        <w:gridCol w:w="211"/>
        <w:gridCol w:w="481"/>
        <w:gridCol w:w="109"/>
        <w:gridCol w:w="109"/>
        <w:gridCol w:w="109"/>
        <w:gridCol w:w="109"/>
        <w:gridCol w:w="211"/>
        <w:gridCol w:w="376"/>
        <w:gridCol w:w="109"/>
        <w:gridCol w:w="109"/>
        <w:gridCol w:w="109"/>
        <w:gridCol w:w="109"/>
        <w:gridCol w:w="211"/>
        <w:gridCol w:w="406"/>
        <w:gridCol w:w="154"/>
      </w:tblGrid>
      <w:tr>
        <w:trPr/>
        <w:tc>
          <w:tcPr>
            <w:tcW w:w="1082"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fair value measurements: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held in trusts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703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643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389</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92"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587"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389</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tbl>
      <w:tblPr>
        <w:tblW w:w="6989" w:type="dxa"/>
        <w:jc w:val="left"/>
        <w:tblInd w:w="0" w:type="dxa"/>
        <w:tblCellMar>
          <w:top w:w="28" w:type="dxa"/>
          <w:left w:w="28" w:type="dxa"/>
          <w:bottom w:w="28" w:type="dxa"/>
          <w:right w:w="28" w:type="dxa"/>
        </w:tblCellMar>
      </w:tblPr>
      <w:tblGrid>
        <w:gridCol w:w="1082"/>
        <w:gridCol w:w="949"/>
        <w:gridCol w:w="953"/>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406"/>
        <w:gridCol w:w="154"/>
      </w:tblGrid>
      <w:tr>
        <w:trPr/>
        <w:tc>
          <w:tcPr>
            <w:tcW w:w="1082"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fair value measurements: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held in trusts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677" w:type="dxa"/>
            <w:gridSpan w:val="2"/>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bottom w:val="single" w:sz="16"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77" w:type="dxa"/>
            <w:gridSpan w:val="2"/>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single" w:sz="16"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572" w:type="dxa"/>
            <w:gridSpan w:val="2"/>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bottom w:val="single" w:sz="16"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17" w:type="dxa"/>
            <w:gridSpan w:val="2"/>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bottom w:val="single" w:sz="16"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color w:val="000000"/>
          <w:sz w:val="20"/>
        </w:rPr>
        <w:t>Valuation Techniques.</w:t>
      </w:r>
      <w:r>
        <w:rPr>
          <w:color w:val="000000"/>
        </w:rPr>
        <w:t xml:space="preserve"> </w:t>
      </w:r>
      <w:r>
        <w:rPr>
          <w:rFonts w:ascii="Times New Roman;sans-serif" w:hAnsi="Times New Roman;sans-serif"/>
          <w:b w:val="false"/>
          <w:color w:val="000000"/>
          <w:sz w:val="20"/>
        </w:rPr>
        <w:t>Our derivative assets and liabilities include foreign exchange contracts that are measured at fair value using internal models based on observable market inputs such as forward rates, interest rates, our own credit risk and our counterparties’ credit risks.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has not been any significant impact to the fair value of our derivative liabilities due to our own credit risk. Similarly, there has not been any significant adverse impact to our derivative assets based on our evaluation of our counterparties’ credit risks.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carrying amounts and fair values of financial instruments that are not carried at fair value in our Condensed Consolidated Balance Sheet:</w:t>
      </w:r>
    </w:p>
    <w:tbl>
      <w:tblPr>
        <w:tblW w:w="7916" w:type="dxa"/>
        <w:jc w:val="left"/>
        <w:tblInd w:w="0" w:type="dxa"/>
        <w:tblCellMar>
          <w:top w:w="28" w:type="dxa"/>
          <w:left w:w="28" w:type="dxa"/>
          <w:bottom w:w="28" w:type="dxa"/>
          <w:right w:w="28" w:type="dxa"/>
        </w:tblCellMar>
      </w:tblPr>
      <w:tblGrid>
        <w:gridCol w:w="1284"/>
        <w:gridCol w:w="1125"/>
        <w:gridCol w:w="1131"/>
        <w:gridCol w:w="224"/>
        <w:gridCol w:w="512"/>
        <w:gridCol w:w="109"/>
        <w:gridCol w:w="109"/>
        <w:gridCol w:w="109"/>
        <w:gridCol w:w="109"/>
        <w:gridCol w:w="224"/>
        <w:gridCol w:w="512"/>
        <w:gridCol w:w="109"/>
        <w:gridCol w:w="109"/>
        <w:gridCol w:w="109"/>
        <w:gridCol w:w="109"/>
        <w:gridCol w:w="224"/>
        <w:gridCol w:w="497"/>
        <w:gridCol w:w="109"/>
        <w:gridCol w:w="109"/>
        <w:gridCol w:w="109"/>
        <w:gridCol w:w="109"/>
        <w:gridCol w:w="224"/>
        <w:gridCol w:w="497"/>
        <w:gridCol w:w="154"/>
      </w:tblGrid>
      <w:tr>
        <w:trPr/>
        <w:tc>
          <w:tcPr>
            <w:tcW w:w="1284"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r>
      <w:tr>
        <w:trPr/>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financing notes receivable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r>
      <w:tr>
        <w:trPr/>
        <w:tc>
          <w:tcPr>
            <w:tcW w:w="3540"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finance leases)</w:t>
            </w:r>
          </w:p>
        </w:tc>
        <w:tc>
          <w:tcPr>
            <w:tcW w:w="736"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34,175</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36"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32,207</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21"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31,201 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21"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28,049 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provides the valuation hierarchy classification of assets and liabilities that are not carried at fair value in our Condensed Consolidated Balance Sheet:</w:t>
      </w:r>
    </w:p>
    <w:tbl>
      <w:tblPr>
        <w:tblW w:w="7708" w:type="dxa"/>
        <w:jc w:val="left"/>
        <w:tblInd w:w="0" w:type="dxa"/>
        <w:tblCellMar>
          <w:top w:w="28" w:type="dxa"/>
          <w:left w:w="28" w:type="dxa"/>
          <w:bottom w:w="28" w:type="dxa"/>
          <w:right w:w="28" w:type="dxa"/>
        </w:tblCellMar>
      </w:tblPr>
      <w:tblGrid>
        <w:gridCol w:w="1284"/>
        <w:gridCol w:w="1125"/>
        <w:gridCol w:w="1131"/>
        <w:gridCol w:w="224"/>
        <w:gridCol w:w="512"/>
        <w:gridCol w:w="109"/>
        <w:gridCol w:w="109"/>
        <w:gridCol w:w="109"/>
        <w:gridCol w:w="109"/>
        <w:gridCol w:w="211"/>
        <w:gridCol w:w="406"/>
        <w:gridCol w:w="109"/>
        <w:gridCol w:w="109"/>
        <w:gridCol w:w="109"/>
        <w:gridCol w:w="109"/>
        <w:gridCol w:w="224"/>
        <w:gridCol w:w="512"/>
        <w:gridCol w:w="109"/>
        <w:gridCol w:w="109"/>
        <w:gridCol w:w="109"/>
        <w:gridCol w:w="109"/>
        <w:gridCol w:w="211"/>
        <w:gridCol w:w="406"/>
        <w:gridCol w:w="154"/>
      </w:tblGrid>
      <w:tr>
        <w:trPr/>
        <w:tc>
          <w:tcPr>
            <w:tcW w:w="1284"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financing notes receivable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540"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finance leases)</w:t>
            </w:r>
          </w:p>
        </w:tc>
        <w:tc>
          <w:tcPr>
            <w:tcW w:w="736"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32,207</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36"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32,161</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w:t>
            </w:r>
            <w:r>
              <w:rPr>
                <w:color w:val="000000"/>
              </w:rPr>
              <w:t>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tbl>
      <w:tblPr>
        <w:tblW w:w="7678" w:type="dxa"/>
        <w:jc w:val="center"/>
        <w:tblInd w:w="0" w:type="dxa"/>
        <w:tblCellMar>
          <w:top w:w="28" w:type="dxa"/>
          <w:left w:w="28" w:type="dxa"/>
          <w:bottom w:w="28" w:type="dxa"/>
          <w:right w:w="28" w:type="dxa"/>
        </w:tblCellMar>
      </w:tblPr>
      <w:tblGrid>
        <w:gridCol w:w="1284"/>
        <w:gridCol w:w="1125"/>
        <w:gridCol w:w="1131"/>
        <w:gridCol w:w="224"/>
        <w:gridCol w:w="497"/>
        <w:gridCol w:w="109"/>
        <w:gridCol w:w="109"/>
        <w:gridCol w:w="109"/>
        <w:gridCol w:w="109"/>
        <w:gridCol w:w="211"/>
        <w:gridCol w:w="406"/>
        <w:gridCol w:w="109"/>
        <w:gridCol w:w="109"/>
        <w:gridCol w:w="109"/>
        <w:gridCol w:w="109"/>
        <w:gridCol w:w="224"/>
        <w:gridCol w:w="497"/>
        <w:gridCol w:w="109"/>
        <w:gridCol w:w="109"/>
        <w:gridCol w:w="109"/>
        <w:gridCol w:w="109"/>
        <w:gridCol w:w="211"/>
        <w:gridCol w:w="406"/>
        <w:gridCol w:w="154"/>
      </w:tblGrid>
      <w:tr>
        <w:trPr/>
        <w:tc>
          <w:tcPr>
            <w:tcW w:w="1284"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financing notes receivable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540"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finance leases)</w:t>
            </w:r>
          </w:p>
        </w:tc>
        <w:tc>
          <w:tcPr>
            <w:tcW w:w="721"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28,049 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21"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7"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Short-term borrowings approximates the carrying value due to their short-term nature, with commercial paper classified as level 2 and other short-term borrowings classified as level 3 within the fair value hierarchy.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13: Variable Interest Entities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Pratt &amp; Whitney as the primary beneficiary. IAE and IAE LLC have, therefore, been consolidated. The carrying amounts and classification of assets and liabilities for variable interest entities in our Condensed Consolidated Balance Sheet are as follows:</w:t>
      </w:r>
    </w:p>
    <w:tbl>
      <w:tblPr>
        <w:tblW w:w="4990" w:type="dxa"/>
        <w:jc w:val="left"/>
        <w:tblInd w:w="0" w:type="dxa"/>
        <w:tblCellMar>
          <w:top w:w="28" w:type="dxa"/>
          <w:left w:w="28" w:type="dxa"/>
          <w:bottom w:w="28" w:type="dxa"/>
          <w:right w:w="28" w:type="dxa"/>
        </w:tblCellMar>
      </w:tblPr>
      <w:tblGrid>
        <w:gridCol w:w="675"/>
        <w:gridCol w:w="591"/>
        <w:gridCol w:w="594"/>
        <w:gridCol w:w="279"/>
        <w:gridCol w:w="836"/>
        <w:gridCol w:w="144"/>
        <w:gridCol w:w="109"/>
        <w:gridCol w:w="109"/>
        <w:gridCol w:w="109"/>
        <w:gridCol w:w="332"/>
        <w:gridCol w:w="970"/>
        <w:gridCol w:w="242"/>
      </w:tblGrid>
      <w:tr>
        <w:trPr/>
        <w:tc>
          <w:tcPr>
            <w:tcW w:w="67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1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7,903</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801</w:t>
            </w: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8,704</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79"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9,730</w:t>
            </w:r>
            <w:r>
              <w:rPr>
                <w:color w:val="000000"/>
              </w:rPr>
              <w:t> </w:t>
            </w:r>
          </w:p>
        </w:tc>
        <w:tc>
          <w:tcPr>
            <w:tcW w:w="144"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9,154 </w:t>
            </w:r>
          </w:p>
        </w:tc>
        <w:tc>
          <w:tcPr>
            <w:tcW w:w="242"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w:t>
            </w: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9,763</w:t>
            </w:r>
            <w:r>
              <w:rPr>
                <w:color w:val="000000"/>
              </w:rPr>
              <w:t> </w:t>
            </w:r>
          </w:p>
        </w:tc>
        <w:tc>
          <w:tcPr>
            <w:tcW w:w="1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9,173 </w:t>
            </w:r>
          </w:p>
        </w:tc>
        <w:tc>
          <w:tcPr>
            <w:tcW w:w="2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14: Guarantees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extend a variety of financial, market value and product performance guarantees to third parties. These instruments expire on various dates through 2034. Additional guarantees of project performance for which there is no stated value also remain outstanding. A portion of our third party guarantees are subject to indemnification for our benefit for any liabilities that could arise. As of March 31, 2023 and December 31, 2022, the following financial guarantees were outstanding:</w:t>
      </w:r>
    </w:p>
    <w:tbl>
      <w:tblPr>
        <w:tblW w:w="10205" w:type="dxa"/>
        <w:jc w:val="left"/>
        <w:tblInd w:w="0" w:type="dxa"/>
        <w:tblCellMar>
          <w:top w:w="28" w:type="dxa"/>
          <w:left w:w="28" w:type="dxa"/>
          <w:bottom w:w="28" w:type="dxa"/>
          <w:right w:w="28" w:type="dxa"/>
        </w:tblCellMar>
      </w:tblPr>
      <w:tblGrid>
        <w:gridCol w:w="1031"/>
        <w:gridCol w:w="888"/>
        <w:gridCol w:w="792"/>
        <w:gridCol w:w="425"/>
        <w:gridCol w:w="973"/>
        <w:gridCol w:w="221"/>
        <w:gridCol w:w="109"/>
        <w:gridCol w:w="109"/>
        <w:gridCol w:w="109"/>
        <w:gridCol w:w="466"/>
        <w:gridCol w:w="900"/>
        <w:gridCol w:w="245"/>
        <w:gridCol w:w="109"/>
        <w:gridCol w:w="109"/>
        <w:gridCol w:w="109"/>
        <w:gridCol w:w="433"/>
        <w:gridCol w:w="960"/>
        <w:gridCol w:w="227"/>
        <w:gridCol w:w="109"/>
        <w:gridCol w:w="109"/>
        <w:gridCol w:w="109"/>
        <w:gridCol w:w="453"/>
        <w:gridCol w:w="870"/>
        <w:gridCol w:w="340"/>
      </w:tblGrid>
      <w:tr>
        <w:trPr/>
        <w:tc>
          <w:tcPr>
            <w:tcW w:w="103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r>
      <w:tr>
        <w:trPr/>
        <w:tc>
          <w:tcPr>
            <w:tcW w:w="2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Potential Payment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of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Potential Payment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of Liability</w:t>
            </w:r>
          </w:p>
        </w:tc>
      </w:tr>
      <w:tr>
        <w:trPr/>
        <w:tc>
          <w:tcPr>
            <w:tcW w:w="27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aerospace financing arrangements</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304</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1"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guarantees</w:t>
            </w:r>
          </w:p>
        </w:tc>
        <w:tc>
          <w:tcPr>
            <w:tcW w:w="1398"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395</w:t>
            </w:r>
            <w:r>
              <w:rPr>
                <w:color w:val="000000"/>
              </w:rPr>
              <w:t> </w:t>
            </w:r>
          </w:p>
        </w:tc>
        <w:tc>
          <w:tcPr>
            <w:tcW w:w="221"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66"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245"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93"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27"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23"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0"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were $140 million at both March 31, 2023 and December 31,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$96 million and $97 million at March 31, 2023 and December 31, 2022, respectively. These primarily relate to environmental liabilities, which are included in our total environmental liabilities as further discussed in “Note 15: Commitments and Contingencies.”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 The changes in the carrying amount of service and product warranties and product performance guarantees for the quarters ended March 31, 2023 and 2022 were as follows:</w:t>
      </w:r>
    </w:p>
    <w:tbl>
      <w:tblPr>
        <w:tblW w:w="6440" w:type="dxa"/>
        <w:jc w:val="left"/>
        <w:tblInd w:w="0" w:type="dxa"/>
        <w:tblCellMar>
          <w:top w:w="28" w:type="dxa"/>
          <w:left w:w="28" w:type="dxa"/>
          <w:bottom w:w="28" w:type="dxa"/>
          <w:right w:w="28" w:type="dxa"/>
        </w:tblCellMar>
      </w:tblPr>
      <w:tblGrid>
        <w:gridCol w:w="1398"/>
        <w:gridCol w:w="1226"/>
        <w:gridCol w:w="1230"/>
        <w:gridCol w:w="109"/>
        <w:gridCol w:w="109"/>
        <w:gridCol w:w="109"/>
        <w:gridCol w:w="211"/>
        <w:gridCol w:w="631"/>
        <w:gridCol w:w="109"/>
        <w:gridCol w:w="109"/>
        <w:gridCol w:w="109"/>
        <w:gridCol w:w="109"/>
        <w:gridCol w:w="211"/>
        <w:gridCol w:w="616"/>
        <w:gridCol w:w="154"/>
      </w:tblGrid>
      <w:tr>
        <w:trPr/>
        <w:tc>
          <w:tcPr>
            <w:tcW w:w="1398"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and performance guarantees issued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1,093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15: Commitments and Contingencies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pStyle w:val="TextBody"/>
        <w:spacing w:lineRule="auto" w:line="288" w:before="120" w:after="283"/>
        <w:jc w:val="both"/>
        <w:rPr/>
      </w:pPr>
      <w:r>
        <w:rPr>
          <w:rFonts w:ascii="Times New Roman;sans-serif" w:hAnsi="Times New Roman;sans-serif"/>
          <w:b/>
          <w:color w:val="000000"/>
          <w:sz w:val="20"/>
        </w:rPr>
        <w:t>Environmental.</w:t>
      </w:r>
      <w:r>
        <w:rPr>
          <w:color w:val="000000"/>
        </w:rPr>
        <w:t xml:space="preserve"> </w:t>
      </w:r>
      <w:r>
        <w:rPr>
          <w:rFonts w:ascii="Times New Roman;sans-serif" w:hAnsi="Times New Roman;sans-serif"/>
          <w:b w:val="false"/>
          <w:color w:val="000000"/>
          <w:sz w:val="20"/>
        </w:rPr>
        <w:t>Our operations are subject to environmental regulation by federal, state, and local authorities in the United States and regulatory 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March 31, 2023 and December 31, 2022, we had $795 million and $798 million, respectively, reserved for environmental remediation.</w:t>
      </w:r>
    </w:p>
    <w:p>
      <w:pPr>
        <w:pStyle w:val="TextBody"/>
        <w:spacing w:lineRule="auto" w:line="288" w:before="120" w:after="283"/>
        <w:jc w:val="both"/>
        <w:rPr/>
      </w:pPr>
      <w:r>
        <w:rPr>
          <w:rFonts w:ascii="Times New Roman;sans-serif" w:hAnsi="Times New Roman;sans-serif"/>
          <w:b/>
          <w:color w:val="000000"/>
          <w:sz w:val="20"/>
        </w:rPr>
        <w:t>Commercial Aerospace Financing and Other Commitments.</w:t>
      </w:r>
      <w:r>
        <w:rPr>
          <w:color w:val="000000"/>
        </w:rPr>
        <w:t xml:space="preserve"> </w:t>
      </w:r>
      <w:r>
        <w:rPr>
          <w:rFonts w:ascii="Times New Roman;sans-serif" w:hAnsi="Times New Roman;sans-serif"/>
          <w:b w:val="false"/>
          <w:color w:val="000000"/>
          <w:sz w:val="20"/>
        </w:rPr>
        <w:t xml:space="preserve">We had commercial aerospace financing commitments and other contractual commitments of approximately $15.0 billion and $15.3 billion as of March 31, 2023 and December 31, 2022,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or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our customers. As a result, the fair value of these financing commitments is expected to equal the amounts funded.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are capitalized as collaboration intangible assets as payments are made. </w:t>
      </w:r>
    </w:p>
    <w:p>
      <w:pPr>
        <w:pStyle w:val="TextBody"/>
        <w:spacing w:lineRule="auto" w:line="288" w:before="120" w:after="283"/>
        <w:jc w:val="both"/>
        <w:rPr/>
      </w:pPr>
      <w:r>
        <w:rPr>
          <w:rFonts w:ascii="Times New Roman;sans-serif" w:hAnsi="Times New Roman;sans-serif"/>
          <w:b/>
          <w:color w:val="000000"/>
          <w:sz w:val="20"/>
        </w:rPr>
        <w:t>Other Financing Arrangements.</w:t>
      </w:r>
      <w:r>
        <w:rPr>
          <w:color w:val="000000"/>
        </w:rPr>
        <w:t xml:space="preserve"> </w:t>
      </w:r>
      <w:r>
        <w:rPr>
          <w:rFonts w:ascii="Times New Roman;sans-serif" w:hAnsi="Times New Roman;sans-serif"/>
          <w:b w:val="false"/>
          <w:color w:val="000000"/>
          <w:sz w:val="20"/>
        </w:rPr>
        <w:t>We have entered into standby letters of credit and surety bonds with financial institutions to meet various bid, 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$3.2 billion as of March 31, 2023.</w:t>
      </w:r>
    </w:p>
    <w:p>
      <w:pPr>
        <w:pStyle w:val="TextBody"/>
        <w:spacing w:lineRule="auto" w:line="288" w:before="120" w:after="283"/>
        <w:jc w:val="both"/>
        <w:rPr/>
      </w:pPr>
      <w:r>
        <w:rPr>
          <w:rFonts w:ascii="Times New Roman;sans-serif" w:hAnsi="Times New Roman;sans-serif"/>
          <w:b/>
          <w:color w:val="000000"/>
          <w:sz w:val="20"/>
        </w:rPr>
        <w:t>Offset Obligations.</w:t>
      </w:r>
      <w:r>
        <w:rPr>
          <w:color w:val="000000"/>
        </w:rPr>
        <w:t xml:space="preserve"> </w:t>
      </w:r>
      <w:r>
        <w:rPr>
          <w:rFonts w:ascii="Times New Roman;sans-serif" w:hAnsi="Times New Roman;sans-serif"/>
          <w:b w:val="false"/>
          <w:color w:val="000000"/>
          <w:sz w:val="20"/>
        </w:rPr>
        <w:t>We have entered into industrial cooperation agreements, sometimes in the form of either offset agreements or ICIP agreements, as a condition to obtaining orders for our products and services from certain customers in foreign countries. At March 31, 2023, the aggregate amount of our offset agreements, both agreed to and anticipated to be agreed to, had an outstanding notional value of approximately $12.6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pStyle w:val="TextBody"/>
        <w:spacing w:lineRule="auto" w:line="288" w:before="120" w:after="283"/>
        <w:jc w:val="both"/>
        <w:rPr/>
      </w:pPr>
      <w:r>
        <w:rPr>
          <w:rFonts w:ascii="Times New Roman;sans-serif" w:hAnsi="Times New Roman;sans-serif"/>
          <w:b/>
          <w:color w:val="000000"/>
          <w:sz w:val="20"/>
        </w:rPr>
        <w:t>Government Oversight.</w:t>
      </w:r>
      <w:r>
        <w:rPr>
          <w:color w:val="000000"/>
        </w:rPr>
        <w:t xml:space="preserve"> </w:t>
      </w:r>
      <w:r>
        <w:rPr>
          <w:rFonts w:ascii="Times New Roman;sans-serif" w:hAnsi="Times New Roman;sans-serif"/>
          <w:b w:val="false"/>
          <w:color w:val="000000"/>
          <w:sz w:val="20"/>
        </w:rPr>
        <w:t xml:space="preserve">In the ordinary course of business, the Company and its subsidiaries and our properties are subject to regulatory and governmental examinations, information gathering requests, inquiries, investigations, and threatened legal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actions and proceedings. For example, we are now, and believe that, in light of the current U.S. government contracting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The U.S. government also reserves the right to debar a contractor from receiving new government contracts for fraudulent, criminal, or other seriously improper conduct. The U.S. government could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pStyle w:val="TextBody"/>
        <w:spacing w:lineRule="auto" w:line="288" w:before="120" w:after="283"/>
        <w:jc w:val="both"/>
        <w:rPr/>
      </w:pPr>
      <w:r>
        <w:rPr>
          <w:rFonts w:ascii="Times New Roman;sans-serif" w:hAnsi="Times New Roman;sans-serif"/>
          <w:b/>
          <w:color w:val="000000"/>
          <w:sz w:val="20"/>
        </w:rPr>
        <w:t xml:space="preserve">Tax Treatment of Carrier and Otis Dispositions. </w:t>
      </w:r>
      <w:r>
        <w:rPr>
          <w:rFonts w:ascii="Times New Roman;sans-serif" w:hAnsi="Times New Roman;sans-serif"/>
          <w:b w:val="false"/>
          <w:color w:val="000000"/>
          <w:sz w:val="20"/>
          <w:highlight w:val="white"/>
        </w:rPr>
        <w:t xml:space="preserve">Management has determined that the distributions of Carrier and Otis on </w:t>
      </w:r>
      <w:r>
        <w:rPr>
          <w:rFonts w:ascii="Times New Roman;sans-serif" w:hAnsi="Times New Roman;sans-serif"/>
          <w:b w:val="false"/>
          <w:color w:val="000000"/>
          <w:sz w:val="20"/>
        </w:rPr>
        <w:t>April 3, 2020, and certain 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or certain internal business separation transactions, were to fail to qualify for tax-free treatment, the Company could be subject to significant liabilities, and there could be material adverse impacts on the Company’s business, results of operations, financial condition, or liquidity in future reporting periods.</w:t>
      </w:r>
    </w:p>
    <w:p>
      <w:pPr>
        <w:pStyle w:val="TextBody"/>
        <w:spacing w:lineRule="auto" w:line="288" w:before="120" w:after="283"/>
        <w:jc w:val="both"/>
        <w:rPr/>
      </w:pPr>
      <w:r>
        <w:rPr>
          <w:rFonts w:ascii="Times New Roman;sans-serif" w:hAnsi="Times New Roman;sans-serif"/>
          <w:b/>
          <w:color w:val="000000"/>
          <w:sz w:val="20"/>
        </w:rPr>
        <w:t xml:space="preserve">Legal Proceedings. </w:t>
      </w:r>
      <w:r>
        <w:rPr>
          <w:rFonts w:ascii="Times New Roman;sans-serif" w:hAnsi="Times New Roman;sans-serif"/>
          <w:b w:val="false"/>
          <w:color w:val="000000"/>
          <w:sz w:val="20"/>
        </w:rPr>
        <w:t>The Company and its subsidiaries are subject to various contract pricing disputes, government investigations, and litigation matters across jurisdictions, updates to certain of which are set forth below.</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Accounting Standards Claims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April 2019, a Divisional Administrative Contracting Officer (DACO) of the United States DCMA asserted a claim against Pratt &amp; Whitney to recover alleged overpayments of approximately $1.73 billion plus interest ($888 million at March 31, 2023).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December 2013, a DCMA DACO asserted a claim against Pratt &amp; Whitney to recover alleged overpayments of approximately $177 million plus interest ($138 million at March 31, 2023).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DCMA filed an appeal to the United States Court of Appeals for the Federal Circuit. We continue to believe that the ASBCA’s rejection of the DCMA’s asserted measure of the cost of collaborator parts is well supported in fact and law and likely will be sustained.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recent decision, demands payment of $269 million plus interest ($102 million at March 31, 2023). Pratt &amp; Whitney appealed this second claim to the ASBCA in January 2019. Although subject to further litigation at the ASBCA and potentially further appellate proceedings, we continue to believe that the November 22, 2021 decision in the first claim will apply with equal legal effect to the second claim. Accordingly, we believe that the amounts demanded by the DCMA as set forth in the two claims are without legal basis and that any damages owed to the U.S. government for the two claims will not have a material adverse effect on our results of operations, financial condition, or liquidity.</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Thales-Raytheon Systems and Related Matters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2019, Raytheon Company received a subpoena from the Securities and Exchange Commission (SEC) seeking information in connection with an investigation into whether there were improper payments made by Raytheon Company, our joint venture known as Thales-Raytheon Systems (TRS) or anyone acting on their behalf in connection with TRS or Raytheon Company contracts in certain Middle East countries since 2014. In the first quarter of 2020, the DOJ advised Raytheon Company it had opened a parallel criminal investigation. In the third quarter of 2020, Raytheon Company received an additional subpoena from the SEC, seeking information and documents as part of its ongoing investigation. The Company maintains a rigorous anti-corruption compliance program, and continues to cooperate fully with the SEC’s and DOJ’s inquiries and to examine through our own investigation whether there were any improper payments or any such conduct that was in violation of Raytheon Company policy. At this time, the Company is unable to predict the outcome of the SEC’s or DOJ’s inquiries. Based on the information available to date, however, we cannot reasonably estimate the range of any potential loss or impact to the business that may result, but do not believe that the results of these inquiries will have a material adverse effect on our results of operations, financial condition, or liquidity.</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DOJ Investigation, Contract Pricing Disputes and Related Civil Litigation</w:t>
      </w:r>
    </w:p>
    <w:p>
      <w:pPr>
        <w:pStyle w:val="TextBody"/>
        <w:spacing w:lineRule="auto" w:line="288" w:before="120" w:after="283"/>
        <w:jc w:val="both"/>
        <w:rPr/>
      </w:pPr>
      <w:r>
        <w:rPr>
          <w:rFonts w:ascii="Times New Roman;sans-serif" w:hAnsi="Times New Roman;sans-serif"/>
          <w:b w:val="false"/>
          <w:color w:val="000000"/>
          <w:sz w:val="20"/>
          <w:highlight w:val="white"/>
        </w:rPr>
        <w:t xml:space="preserve">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Company’s Missiles &amp; Defense (RMD) business since 2009. The investigation involves multi-year contracts subject to governmental regulation, including potential civil defective pricing claims for three RMD contracts entered into between 2011 and 2013. As part of the same investigation, on March 24, 2021, the Company received a second criminal subpoena from the DOJ seeking documents relating to a different RMD contract entered into in 2017. We are cooperating fully with, and will continue to review the issues raised by the DOJ’s ongoing investigation. </w:t>
      </w:r>
      <w:r>
        <w:rPr>
          <w:rFonts w:ascii="Times New Roman;sans-serif" w:hAnsi="Times New Roman;sans-serif"/>
          <w:b w:val="false"/>
          <w:color w:val="000000"/>
          <w:sz w:val="20"/>
        </w:rPr>
        <w:t xml:space="preserve">We continue to make substantial progress in our internal review of the issues raised by the DOJ investigation. </w:t>
      </w:r>
      <w:r>
        <w:rPr>
          <w:rFonts w:ascii="Times New Roman;sans-serif" w:hAnsi="Times New Roman;sans-serif"/>
          <w:b w:val="false"/>
          <w:color w:val="000000"/>
          <w:sz w:val="20"/>
          <w:highlight w:val="white"/>
        </w:rPr>
        <w:t xml:space="preserve">Although we believe we have defenses to the potential claims, the Company has determined that there is a probable risk of liability for damages, interest and potential penalties </w:t>
      </w:r>
      <w:r>
        <w:rPr>
          <w:rFonts w:ascii="Times New Roman;sans-serif" w:hAnsi="Times New Roman;sans-serif"/>
          <w:b w:val="false"/>
          <w:color w:val="000000"/>
          <w:sz w:val="20"/>
        </w:rPr>
        <w:t>and has accrued approximately $290 million for this matter</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We are currently unable to estimate an incremental loss, if any, which may result when the DOJ investigation is complete. Based on the information available to date, we do not believe the results of the DOJ investigation or of any pending or potential civil litigation will have a material adverse effect on our results of operations, financial condition, or liquidity.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Four shareholder lawsuits were filed against the Company after the DOJ investigation was first disclosed. A putative securities class action lawsuit was filed in the United States District Court for the District of Arizona against the Company and certain of its executives alleging that the defendants violated federal securities laws by making material misstatements in regulatory filings regarding internal controls over financial reporting in RMD. Three shareholder derivative lawsuits were also filed in the United States District Court for the District of Delaware against the former Raytheon Company Board of Directors, the Company and certain of its executives, each alleging that defendants violated federal securities laws and breached their fiduciary duties by engaging in improper accounting practices, failing to implement sufficient internal financial and compliance controls, and making a series of false and misleading statements in regulatory filings. We believe that each of these lawsuits lacks merit.</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Darnis, et al. and Related Matter</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on August 12, 2020, several former employees of United Technologies Corporation (UTC) or its subsidiaries filed a putative class action complaint in the United States District Court for the District of Connecticut against the Company, Otis, Carrier, the former members of the UTC Board of Directors, and the members of the Carrier and Otis Boards of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Directors (Geraud Darnis, et al. v. Raytheon Technologies Corporation, et al.). The complaint challenged the method by which UTC equity awards were converted to Company, Otis, and Carrier equity awards following the separation of UTC into three independent, publicly-traded companies on April 3, 2020. The complaint also claimed that the defendants are liable for breach of certain equity compensation plans and also asserted claims under certain provisions of the Employee Retirement Income Security Act of 1974 (ERISA). On September 13, 2021, Plaintiffs filed an amended complaint which supersedes the initial complaint and continues to assert claims for breach of the equity compensation plans against the Company, Otis, and Carrier, but no longer asserts ERISA claims. Further, no claim is made in the amended complaint against any current or former director of any of the three companies. Plaintiffs seek money damages, attorneys’ fees, and other relief. On September 30, 2022, in response to motions to dismiss filed by the Company, Otis and Carrier, the Court dismissed the class action in its entirety with prejudice. On October 26, 2022, Plaintiffs filed an appeal to the United States Court of Appeals for the Second Circuit. We continue to believe that this matter will not have a material adverse effect on our results of operations, financial condition, or liquidity. On December 6, 2022, a shareholder derivative lawsuit was filed in the Delaware Court of Chancery against the Company and certain current and former members of its Board of Directors, alleging that defendants breached their fiduciary duties in May 2020 by amending the method by which UTC equity awards were converted to certain Company equity awards following the separation of UTC into three independent, publicly-traded companies. We believe that the lawsuit lacks merit.</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DOJ Grand Jury Investigation and Related Civil Litigation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received a grand jury subpoena in late 2019, as part of a DOJ criminal investigation into purported agreements not to solicit or hire employees in violation of the federal antitrust laws. While the investigation has focused on alleged hiring restrictions between and among Pratt &amp; Whitney and certain of its suppliers of outsourced engineering services, the subpoena also included requests regarding Collins. Since receipt of the subpoena, the Company has been cooperating with the DOJ investigation. On December 15, 2021, a criminal indictment was filed in the United States District Court for the District of Connecticut, against a former Pratt &amp; Whitney employee and other employees of certain outsourced engineering suppliers charging each of them with one count of violating the federal antitrust laws. No current or former Collins employees were named in the indictment. We have been advised that the Company is a target of the DOJ investigation, and we continue to cooperate with the investigation. No criminal charge has been filed against the Company or its affiliates.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the criminal charges against the individuals were filed, numerous civil class action antitrust lawsuits have been filed against Pratt &amp; Whitney and other corporate and individual defendants in the United States District Court for the District of Connecticut. The allegations in each of the civil lawsuits track the factual assertions in the criminal indictment and generally allege that Pratt &amp; Whitney and the other defendants agreed to restrict the hiring and recruiting of certain engineers and skilled laborers in a manner that violated federal antitrust laws. Plaintiffs in each of the civil lawsuits seek to represent different purported classes of engineers and skilled laborers employed by Pratt &amp; Whitney and other supplier-defendants since 2011. Plaintiffs in each of the lawsuits seek treble damages in an undetermined amount, plus attorneys’ fees and costs of suit. All of the lawsuits have been consolidated and a single amended class action complaint was filed. We believe that the claims asserted lack merit. Based on the information available to date, we do not believe that this matter will have a material adverse effect on our results of operations, financial condition, or liquidity.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Where appropriate, we have recorded loss contingency accruals for the above-referenced matters, and the amounts individually, or in the aggregate, are not material.</w:t>
      </w:r>
    </w:p>
    <w:p>
      <w:pPr>
        <w:pStyle w:val="TextBody"/>
        <w:spacing w:lineRule="auto" w:line="288" w:before="120" w:after="283"/>
        <w:jc w:val="both"/>
        <w:rPr/>
      </w:pPr>
      <w:r>
        <w:rPr>
          <w:rFonts w:ascii="Times New Roman;sans-serif" w:hAnsi="Times New Roman;sans-serif"/>
          <w:b/>
          <w:color w:val="000000"/>
          <w:sz w:val="20"/>
        </w:rPr>
        <w:t>Other.</w:t>
      </w:r>
      <w:r>
        <w:rPr>
          <w:color w:val="000000"/>
        </w:rPr>
        <w:t xml:space="preserve"> </w:t>
      </w:r>
      <w:r>
        <w:rPr>
          <w:rFonts w:ascii="Times New Roman;sans-serif" w:hAnsi="Times New Roman;sans-serif"/>
          <w:b w:val="false"/>
          <w:color w:val="000000"/>
          <w:sz w:val="20"/>
        </w:rPr>
        <w:t>As described in “Note 14: Guarantees,”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16: Accumulated Other Comprehensive Loss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in each component of Accumulated other comprehensive loss, net of tax for the quarters ended March 31, 2023 and 2022 is provided below:</w:t>
      </w:r>
    </w:p>
    <w:tbl>
      <w:tblPr>
        <w:tblW w:w="10205" w:type="dxa"/>
        <w:jc w:val="left"/>
        <w:tblInd w:w="0" w:type="dxa"/>
        <w:tblCellMar>
          <w:top w:w="28" w:type="dxa"/>
          <w:left w:w="28" w:type="dxa"/>
          <w:bottom w:w="28" w:type="dxa"/>
          <w:right w:w="28" w:type="dxa"/>
        </w:tblCellMar>
      </w:tblPr>
      <w:tblGrid>
        <w:gridCol w:w="1265"/>
        <w:gridCol w:w="661"/>
        <w:gridCol w:w="640"/>
        <w:gridCol w:w="289"/>
        <w:gridCol w:w="905"/>
        <w:gridCol w:w="149"/>
        <w:gridCol w:w="109"/>
        <w:gridCol w:w="109"/>
        <w:gridCol w:w="109"/>
        <w:gridCol w:w="504"/>
        <w:gridCol w:w="1151"/>
        <w:gridCol w:w="262"/>
        <w:gridCol w:w="109"/>
        <w:gridCol w:w="109"/>
        <w:gridCol w:w="109"/>
        <w:gridCol w:w="364"/>
        <w:gridCol w:w="840"/>
        <w:gridCol w:w="189"/>
        <w:gridCol w:w="109"/>
        <w:gridCol w:w="109"/>
        <w:gridCol w:w="109"/>
        <w:gridCol w:w="422"/>
        <w:gridCol w:w="1264"/>
        <w:gridCol w:w="319"/>
      </w:tblGrid>
      <w:tr>
        <w:trPr/>
        <w:tc>
          <w:tcPr>
            <w:tcW w:w="1265"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and Postretirement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Hedging Gains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r>
      <w:tr>
        <w:trPr/>
        <w:tc>
          <w:tcPr>
            <w:tcW w:w="25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March 31, 2023</w:t>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 net</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122</w:t>
            </w: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w:t>
            </w:r>
            <w:r>
              <w:rPr>
                <w:color w:val="000000"/>
              </w:rPr>
              <w:t>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pre-tax</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(142)</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w:t>
            </w: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(103)</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benefit (expense) </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w:t>
            </w:r>
            <w:r>
              <w:rPr>
                <w:color w:val="000000"/>
              </w:rPr>
              <w:t>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w:t>
            </w: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41</w:t>
            </w:r>
            <w:r>
              <w:rPr>
                <w:color w:val="000000"/>
              </w:rPr>
              <w:t>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(882)</w:t>
            </w:r>
          </w:p>
        </w:tc>
        <w:tc>
          <w:tcPr>
            <w:tcW w:w="1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(890)</w:t>
            </w:r>
          </w:p>
        </w:tc>
        <w:tc>
          <w:tcPr>
            <w:tcW w:w="2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(217)</w:t>
            </w:r>
          </w:p>
        </w:tc>
        <w:tc>
          <w:tcPr>
            <w:tcW w:w="1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(1,989)</w:t>
            </w:r>
          </w:p>
        </w:tc>
        <w:tc>
          <w:tcPr>
            <w:tcW w:w="3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65"/>
        <w:gridCol w:w="662"/>
        <w:gridCol w:w="641"/>
        <w:gridCol w:w="352"/>
        <w:gridCol w:w="805"/>
        <w:gridCol w:w="182"/>
        <w:gridCol w:w="109"/>
        <w:gridCol w:w="109"/>
        <w:gridCol w:w="109"/>
        <w:gridCol w:w="425"/>
        <w:gridCol w:w="1272"/>
        <w:gridCol w:w="221"/>
        <w:gridCol w:w="109"/>
        <w:gridCol w:w="109"/>
        <w:gridCol w:w="109"/>
        <w:gridCol w:w="364"/>
        <w:gridCol w:w="841"/>
        <w:gridCol w:w="189"/>
        <w:gridCol w:w="109"/>
        <w:gridCol w:w="109"/>
        <w:gridCol w:w="109"/>
        <w:gridCol w:w="423"/>
        <w:gridCol w:w="1264"/>
        <w:gridCol w:w="318"/>
      </w:tblGrid>
      <w:tr>
        <w:trPr/>
        <w:tc>
          <w:tcPr>
            <w:tcW w:w="1265"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2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3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and Postretirement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Hedging Gains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r>
      <w:tr>
        <w:trPr/>
        <w:tc>
          <w:tcPr>
            <w:tcW w:w="25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March 31, 2022</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 net</w:t>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pre-tax</w:t>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(expense)</w:t>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8"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3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w:t>
            </w:r>
          </w:p>
        </w:tc>
        <w:tc>
          <w:tcPr>
            <w:tcW w:w="2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4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w:t>
            </w:r>
          </w:p>
        </w:tc>
        <w:tc>
          <w:tcPr>
            <w:tcW w:w="3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6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r>
        <w:trPr/>
        <w:tc>
          <w:tcPr>
            <w:tcW w:w="256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5"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17: Segment Financial Data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for the periods presented herein, are classified into four principal segments: Collins, Pratt &amp; Whitney, RIS, and RMD. The segments are generally based on the management structure of the businesses and the grouping of similar operating companies, where each management organization has general operating autonomy over diversified products and services. The Company recently announced its intention to streamline the structure of its core businesses into three principal business segments: Collins Aerospace, Pratt &amp; Whitney, and Raytheon. The Company plans to implement the reorganization beginning in July 2023. All segment information included in this Form 10-Q is reflective of the existing four segments of Collins, Pratt &amp; Whitney, RIS, and RMD in accordance with the management structure in place as of March 31,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RIS and RMD segments. While the ultimate liability for pension and PRB costs under FAS and CAS is similar, the pattern of cost recognition is different. Over time, we generally expect to recover the related RIS and RMD pension and PRB liabilities through the pricing of our products and services to the U.S. government. Collins and Pratt &amp; Whitney generally record pension and PRB expense on a FAS basis.</w:t>
      </w:r>
    </w:p>
    <w:p>
      <w:pPr>
        <w:pStyle w:val="TextBody"/>
        <w:spacing w:lineRule="auto" w:line="288" w:before="120" w:after="283"/>
        <w:jc w:val="both"/>
        <w:rPr/>
      </w:pPr>
      <w:r>
        <w:rPr>
          <w:rFonts w:ascii="Times New Roman;sans-serif" w:hAnsi="Times New Roman;sans-serif"/>
          <w:b w:val="false"/>
          <w:color w:val="000000"/>
          <w:sz w:val="20"/>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These adjustments are not considered part of management’s evaluation of segment results</w:t>
      </w:r>
      <w:r>
        <w:rPr>
          <w:rFonts w:ascii="Times New Roman;sans-serif" w:hAnsi="Times New Roman;sans-serif"/>
          <w:b/>
          <w:color w:val="000000"/>
          <w:sz w:val="20"/>
        </w:rPr>
        <w:t>.</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 Results for the quarters ended March 31, 2023 and 2022 are as follows:</w:t>
      </w:r>
    </w:p>
    <w:tbl>
      <w:tblPr>
        <w:tblW w:w="10205" w:type="dxa"/>
        <w:jc w:val="left"/>
        <w:tblInd w:w="0" w:type="dxa"/>
        <w:tblCellMar>
          <w:top w:w="28" w:type="dxa"/>
          <w:left w:w="28" w:type="dxa"/>
          <w:bottom w:w="28" w:type="dxa"/>
          <w:right w:w="28" w:type="dxa"/>
        </w:tblCellMar>
      </w:tblPr>
      <w:tblGrid>
        <w:gridCol w:w="1020"/>
        <w:gridCol w:w="893"/>
        <w:gridCol w:w="811"/>
        <w:gridCol w:w="211"/>
        <w:gridCol w:w="736"/>
        <w:gridCol w:w="109"/>
        <w:gridCol w:w="109"/>
        <w:gridCol w:w="109"/>
        <w:gridCol w:w="109"/>
        <w:gridCol w:w="211"/>
        <w:gridCol w:w="721"/>
        <w:gridCol w:w="109"/>
        <w:gridCol w:w="109"/>
        <w:gridCol w:w="109"/>
        <w:gridCol w:w="109"/>
        <w:gridCol w:w="211"/>
        <w:gridCol w:w="631"/>
        <w:gridCol w:w="109"/>
        <w:gridCol w:w="109"/>
        <w:gridCol w:w="109"/>
        <w:gridCol w:w="109"/>
        <w:gridCol w:w="211"/>
        <w:gridCol w:w="616"/>
        <w:gridCol w:w="109"/>
        <w:gridCol w:w="109"/>
        <w:gridCol w:w="109"/>
        <w:gridCol w:w="109"/>
        <w:gridCol w:w="263"/>
        <w:gridCol w:w="263"/>
        <w:gridCol w:w="366"/>
        <w:gridCol w:w="132"/>
        <w:gridCol w:w="132"/>
        <w:gridCol w:w="132"/>
        <w:gridCol w:w="255"/>
        <w:gridCol w:w="256"/>
        <w:gridCol w:w="390"/>
      </w:tblGrid>
      <w:tr>
        <w:trPr/>
        <w:tc>
          <w:tcPr>
            <w:tcW w:w="1020"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r>
      <w:tr>
        <w:trPr/>
        <w:tc>
          <w:tcPr>
            <w:tcW w:w="2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Profit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Profit Margins</w:t>
            </w:r>
          </w:p>
        </w:tc>
      </w:tr>
      <w:tr>
        <w:trPr/>
        <w:tc>
          <w:tcPr>
            <w:tcW w:w="2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w:t>
            </w: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Pratt &amp; Whitney</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7.9</w:t>
            </w:r>
            <w:r>
              <w:rPr>
                <w:color w:val="000000"/>
              </w:rPr>
              <w:t> </w:t>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 Intelligence &amp; Space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w:t>
            </w:r>
            <w:r>
              <w:rPr>
                <w:color w:val="000000"/>
              </w:rPr>
              <w:t> </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 Missiles &amp; Defense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3,671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8.9</w:t>
            </w:r>
            <w:r>
              <w:rPr>
                <w:color w:val="000000"/>
              </w:rPr>
              <w:t> </w:t>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18,047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10.3</w:t>
            </w: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Eliminations and other</w:t>
            </w:r>
            <w:r>
              <w:rPr>
                <w:rFonts w:ascii="Times New Roman;sans-serif" w:hAnsi="Times New Roman;sans-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Corporate expenses and other unallocated items</w:t>
            </w:r>
            <w:r>
              <w:rPr>
                <w:rFonts w:ascii="Times New Roman;sans-serif" w:hAnsi="Times New Roman;sans-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FAS/CAS operating adjustment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17,214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1,652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w:t>
            </w:r>
            <w:r>
              <w:rPr>
                <w:color w:val="000000"/>
              </w:rPr>
              <w:t> </w:t>
            </w:r>
          </w:p>
        </w:tc>
        <w:tc>
          <w:tcPr>
            <w:tcW w:w="3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6"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Includes the operating results of certain smaller non-reportable business segments.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2022 included the net expenses related to the U.S. Army’s Lower Tier Air and Missile Defense Sensor (LTAMDS) project. Beginning in 2023, LTAMDS results are included in the RMD segment.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our contracts from customers by geographic region based on customer location, by customer and by sales type. Our geographic region based on customer location uses end user customer location where known or practical to determine, or in instances where the end user customer is not known or not practical to determine, we utilize “ship to” location as the customer location. In addition, for our RIS and RMD segments, we disaggregate our contracts from customers by contract type. We believe these categories best depict how the nature, amount, timing and uncertainty of our revenue and cash flows are affected by economic factors.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sales disaggregated by geographic region for the quarters ended March 31, 2023 and 2022 are as follows:</w:t>
      </w:r>
    </w:p>
    <w:tbl>
      <w:tblPr>
        <w:tblW w:w="11815" w:type="dxa"/>
        <w:jc w:val="left"/>
        <w:tblInd w:w="0" w:type="dxa"/>
        <w:tblCellMar>
          <w:top w:w="28" w:type="dxa"/>
          <w:left w:w="28" w:type="dxa"/>
          <w:bottom w:w="28" w:type="dxa"/>
          <w:right w:w="28" w:type="dxa"/>
        </w:tblCellMar>
      </w:tblPr>
      <w:tblGrid>
        <w:gridCol w:w="684"/>
        <w:gridCol w:w="205"/>
        <w:gridCol w:w="207"/>
        <w:gridCol w:w="196"/>
        <w:gridCol w:w="571"/>
        <w:gridCol w:w="109"/>
        <w:gridCol w:w="196"/>
        <w:gridCol w:w="571"/>
        <w:gridCol w:w="109"/>
        <w:gridCol w:w="196"/>
        <w:gridCol w:w="571"/>
        <w:gridCol w:w="109"/>
        <w:gridCol w:w="196"/>
        <w:gridCol w:w="571"/>
        <w:gridCol w:w="109"/>
        <w:gridCol w:w="196"/>
        <w:gridCol w:w="436"/>
        <w:gridCol w:w="109"/>
        <w:gridCol w:w="196"/>
        <w:gridCol w:w="661"/>
        <w:gridCol w:w="109"/>
        <w:gridCol w:w="109"/>
        <w:gridCol w:w="109"/>
        <w:gridCol w:w="109"/>
        <w:gridCol w:w="196"/>
        <w:gridCol w:w="556"/>
        <w:gridCol w:w="109"/>
        <w:gridCol w:w="196"/>
        <w:gridCol w:w="556"/>
        <w:gridCol w:w="109"/>
        <w:gridCol w:w="196"/>
        <w:gridCol w:w="556"/>
        <w:gridCol w:w="109"/>
        <w:gridCol w:w="196"/>
        <w:gridCol w:w="556"/>
        <w:gridCol w:w="109"/>
        <w:gridCol w:w="196"/>
        <w:gridCol w:w="436"/>
        <w:gridCol w:w="109"/>
        <w:gridCol w:w="196"/>
        <w:gridCol w:w="646"/>
        <w:gridCol w:w="154"/>
      </w:tblGrid>
      <w:tr>
        <w:trPr/>
        <w:tc>
          <w:tcPr>
            <w:tcW w:w="68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1"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2022</w:t>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5"/>
              </w:rPr>
            </w:pPr>
            <w:r>
              <w:rPr>
                <w:rFonts w:ascii="Times New Roman;sans-serif" w:hAnsi="Times New Roman;sans-serif"/>
                <w:b/>
                <w:i/>
                <w:color w:val="000000"/>
                <w:sz w:val="15"/>
              </w:rPr>
              <w:t>(dollars in millions)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Collins Aerospace</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Pratt &amp; Whitney</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 Intelligence &amp; Space</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 Missiles &amp; Defense</w:t>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Other</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Collins Aerospace</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Pratt &amp; Whitney</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 Intelligence &amp; Space</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 Missiles &amp; Defense</w:t>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Other</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2,648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2,631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2,806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10,548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1,458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2,990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556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905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2,050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Middle East and North Africa</w:t>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763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463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863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5,163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5,229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3,194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17,214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sales</w:t>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418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segment sales</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5,581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5,230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3,565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3,671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(833)</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17,214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15,716 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sales disaggregated by type of customer for the quarters ended March 31, 2023 and 2022 are as follows:</w:t>
      </w:r>
    </w:p>
    <w:tbl>
      <w:tblPr>
        <w:tblW w:w="11815" w:type="dxa"/>
        <w:jc w:val="left"/>
        <w:tblInd w:w="0" w:type="dxa"/>
        <w:tblCellMar>
          <w:top w:w="28" w:type="dxa"/>
          <w:left w:w="28" w:type="dxa"/>
          <w:bottom w:w="28" w:type="dxa"/>
          <w:right w:w="28" w:type="dxa"/>
        </w:tblCellMar>
      </w:tblPr>
      <w:tblGrid>
        <w:gridCol w:w="640"/>
        <w:gridCol w:w="249"/>
        <w:gridCol w:w="207"/>
        <w:gridCol w:w="196"/>
        <w:gridCol w:w="571"/>
        <w:gridCol w:w="109"/>
        <w:gridCol w:w="196"/>
        <w:gridCol w:w="571"/>
        <w:gridCol w:w="109"/>
        <w:gridCol w:w="196"/>
        <w:gridCol w:w="571"/>
        <w:gridCol w:w="109"/>
        <w:gridCol w:w="196"/>
        <w:gridCol w:w="571"/>
        <w:gridCol w:w="109"/>
        <w:gridCol w:w="196"/>
        <w:gridCol w:w="436"/>
        <w:gridCol w:w="109"/>
        <w:gridCol w:w="196"/>
        <w:gridCol w:w="661"/>
        <w:gridCol w:w="109"/>
        <w:gridCol w:w="109"/>
        <w:gridCol w:w="109"/>
        <w:gridCol w:w="109"/>
        <w:gridCol w:w="196"/>
        <w:gridCol w:w="556"/>
        <w:gridCol w:w="109"/>
        <w:gridCol w:w="196"/>
        <w:gridCol w:w="556"/>
        <w:gridCol w:w="109"/>
        <w:gridCol w:w="196"/>
        <w:gridCol w:w="556"/>
        <w:gridCol w:w="109"/>
        <w:gridCol w:w="196"/>
        <w:gridCol w:w="556"/>
        <w:gridCol w:w="109"/>
        <w:gridCol w:w="196"/>
        <w:gridCol w:w="436"/>
        <w:gridCol w:w="109"/>
        <w:gridCol w:w="196"/>
        <w:gridCol w:w="646"/>
        <w:gridCol w:w="154"/>
      </w:tblGrid>
      <w:tr>
        <w:trPr/>
        <w:tc>
          <w:tcPr>
            <w:tcW w:w="64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1"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2022</w:t>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5"/>
              </w:rPr>
            </w:pPr>
            <w:r>
              <w:rPr>
                <w:rFonts w:ascii="Times New Roman;sans-serif" w:hAnsi="Times New Roman;sans-serif"/>
                <w:b/>
                <w:i/>
                <w:color w:val="000000"/>
                <w:sz w:val="15"/>
              </w:rPr>
              <w:t>(dollars in millions)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Collins Aerospace</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Pratt &amp; Whitney</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 Intelligence &amp; Space</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 Missiles &amp; Defense</w:t>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Other</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Collins Aerospace </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Pratt &amp; Whitney</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 Intelligence &amp; Space</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 Missiles &amp; Defense</w:t>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Other</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Sales to the U.S. government</w:t>
            </w:r>
            <w:r>
              <w:rPr>
                <w:color w:val="000000"/>
              </w:rPr>
              <w:t xml:space="preserve"> </w:t>
            </w:r>
            <w:r>
              <w:rPr>
                <w:rFonts w:ascii="Times New Roman;sans-serif" w:hAnsi="Times New Roman;sans-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2,742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7,557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military sales through the U.S. government</w:t>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332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716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1,262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 direct commercial sales</w:t>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445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1,004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aerospace and other commercial sales</w:t>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3,738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3,557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7,391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5,163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5,229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3,194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17,214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sales</w:t>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418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segment sales</w:t>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5,581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5,230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3,565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3,671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17,214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15,716 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Excludes foreign military sales through the U.S. government. </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Segment sales disaggregated by sales type for the quarters ended March 31, 2023 and 2022 are as follows:</w:t>
      </w:r>
    </w:p>
    <w:tbl>
      <w:tblPr>
        <w:tblW w:w="11815" w:type="dxa"/>
        <w:jc w:val="left"/>
        <w:tblInd w:w="0" w:type="dxa"/>
        <w:tblCellMar>
          <w:top w:w="28" w:type="dxa"/>
          <w:left w:w="28" w:type="dxa"/>
          <w:bottom w:w="28" w:type="dxa"/>
          <w:right w:w="28" w:type="dxa"/>
        </w:tblCellMar>
      </w:tblPr>
      <w:tblGrid>
        <w:gridCol w:w="550"/>
        <w:gridCol w:w="339"/>
        <w:gridCol w:w="207"/>
        <w:gridCol w:w="196"/>
        <w:gridCol w:w="571"/>
        <w:gridCol w:w="109"/>
        <w:gridCol w:w="196"/>
        <w:gridCol w:w="571"/>
        <w:gridCol w:w="109"/>
        <w:gridCol w:w="196"/>
        <w:gridCol w:w="571"/>
        <w:gridCol w:w="109"/>
        <w:gridCol w:w="196"/>
        <w:gridCol w:w="571"/>
        <w:gridCol w:w="109"/>
        <w:gridCol w:w="196"/>
        <w:gridCol w:w="436"/>
        <w:gridCol w:w="109"/>
        <w:gridCol w:w="196"/>
        <w:gridCol w:w="661"/>
        <w:gridCol w:w="109"/>
        <w:gridCol w:w="109"/>
        <w:gridCol w:w="109"/>
        <w:gridCol w:w="109"/>
        <w:gridCol w:w="196"/>
        <w:gridCol w:w="556"/>
        <w:gridCol w:w="109"/>
        <w:gridCol w:w="196"/>
        <w:gridCol w:w="556"/>
        <w:gridCol w:w="109"/>
        <w:gridCol w:w="196"/>
        <w:gridCol w:w="556"/>
        <w:gridCol w:w="109"/>
        <w:gridCol w:w="196"/>
        <w:gridCol w:w="556"/>
        <w:gridCol w:w="109"/>
        <w:gridCol w:w="196"/>
        <w:gridCol w:w="436"/>
        <w:gridCol w:w="109"/>
        <w:gridCol w:w="196"/>
        <w:gridCol w:w="646"/>
        <w:gridCol w:w="154"/>
      </w:tblGrid>
      <w:tr>
        <w:trPr/>
        <w:tc>
          <w:tcPr>
            <w:tcW w:w="550"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1"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2022</w:t>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5"/>
              </w:rPr>
            </w:pPr>
            <w:r>
              <w:rPr>
                <w:rFonts w:ascii="Times New Roman;sans-serif" w:hAnsi="Times New Roman;sans-serif"/>
                <w:b/>
                <w:i/>
                <w:color w:val="000000"/>
                <w:sz w:val="15"/>
              </w:rPr>
              <w:t>(dollars in millions)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Collins Aerospace</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Pratt &amp; Whitney</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 Intelligence &amp; Space</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 Missiles &amp; Defense</w:t>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Other</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Collins Aerospace</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Pratt &amp; Whitney</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 Intelligence &amp; Space</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Raytheon Missiles &amp; Defense</w:t>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Other</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3,052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2,510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3,221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12,787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w:t>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1,163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2,177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684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403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4,427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5,163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5,229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3,194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17,214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sales</w:t>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418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segment sales</w:t>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5,581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5,230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3,565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3,671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17,214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15,716 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RIS and RMD segment sales disaggregated by contract type for the quarters ended March 31, 2023 and 2022 are as follows:</w:t>
      </w:r>
    </w:p>
    <w:tbl>
      <w:tblPr>
        <w:tblW w:w="10205" w:type="dxa"/>
        <w:jc w:val="left"/>
        <w:tblInd w:w="0" w:type="dxa"/>
        <w:tblCellMar>
          <w:top w:w="28" w:type="dxa"/>
          <w:left w:w="28" w:type="dxa"/>
          <w:bottom w:w="28" w:type="dxa"/>
          <w:right w:w="28" w:type="dxa"/>
        </w:tblCellMar>
      </w:tblPr>
      <w:tblGrid>
        <w:gridCol w:w="638"/>
        <w:gridCol w:w="523"/>
        <w:gridCol w:w="514"/>
        <w:gridCol w:w="470"/>
        <w:gridCol w:w="1372"/>
        <w:gridCol w:w="264"/>
        <w:gridCol w:w="440"/>
        <w:gridCol w:w="1285"/>
        <w:gridCol w:w="244"/>
        <w:gridCol w:w="109"/>
        <w:gridCol w:w="109"/>
        <w:gridCol w:w="109"/>
        <w:gridCol w:w="477"/>
        <w:gridCol w:w="1360"/>
        <w:gridCol w:w="269"/>
        <w:gridCol w:w="435"/>
        <w:gridCol w:w="1236"/>
        <w:gridCol w:w="351"/>
      </w:tblGrid>
      <w:tr>
        <w:trPr/>
        <w:tc>
          <w:tcPr>
            <w:tcW w:w="638"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5" w:type="dxa"/>
            <w:gridSpan w:val="6"/>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8" w:type="dxa"/>
            <w:gridSpan w:val="6"/>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21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Raytheon Intelligence &amp; Space</w:t>
            </w:r>
          </w:p>
        </w:tc>
        <w:tc>
          <w:tcPr>
            <w:tcW w:w="19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Raytheon Missiles &amp; Defense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Raytheon Intelligence &amp; Space</w:t>
            </w:r>
          </w:p>
        </w:tc>
        <w:tc>
          <w:tcPr>
            <w:tcW w:w="20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Raytheon Missiles &amp; Defense</w:t>
            </w:r>
          </w:p>
        </w:tc>
      </w:tr>
      <w:tr>
        <w:trPr/>
        <w:tc>
          <w:tcPr>
            <w:tcW w:w="16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Fixed-price</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1,387</w:t>
            </w: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2,095</w:t>
            </w: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Cost-type</w:t>
            </w:r>
          </w:p>
        </w:tc>
        <w:tc>
          <w:tcPr>
            <w:tcW w:w="1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1,807</w:t>
            </w:r>
            <w:r>
              <w:rPr>
                <w:color w:val="000000"/>
              </w:rPr>
              <w:t>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1,529</w:t>
            </w: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1,913 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1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3,194</w:t>
            </w: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3,624</w:t>
            </w: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3,253 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sales</w:t>
            </w:r>
          </w:p>
        </w:tc>
        <w:tc>
          <w:tcPr>
            <w:tcW w:w="1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371</w:t>
            </w:r>
            <w:r>
              <w:rPr>
                <w:color w:val="000000"/>
              </w:rPr>
              <w:t>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47</w:t>
            </w: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segment sales</w:t>
            </w:r>
          </w:p>
        </w:tc>
        <w:tc>
          <w:tcPr>
            <w:tcW w:w="4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3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3,565</w:t>
            </w:r>
            <w:r>
              <w:rPr>
                <w:color w:val="000000"/>
              </w:rPr>
              <w:t> </w:t>
            </w:r>
          </w:p>
        </w:tc>
        <w:tc>
          <w:tcPr>
            <w:tcW w:w="2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2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3,671</w:t>
            </w:r>
            <w:r>
              <w:rPr>
                <w:color w:val="000000"/>
              </w:rPr>
              <w:t> </w:t>
            </w:r>
          </w:p>
        </w:tc>
        <w:tc>
          <w:tcPr>
            <w:tcW w:w="2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3,572 </w:t>
            </w:r>
          </w:p>
        </w:tc>
        <w:tc>
          <w:tcPr>
            <w:tcW w:w="26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3,527 </w:t>
            </w:r>
          </w:p>
        </w:tc>
        <w:tc>
          <w:tcPr>
            <w:tcW w:w="3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18: Remaining Performance Obligations (RPO)</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RPO represent the aggregate amount of total contract transaction price that is unsatisfied or partially unsatisfied. Total RPO was $180 billion as of March 31, 2023. Of the total RPO as of March 31, 2023, we expect approximately 25% will be recognized as revenue over the next 12 months. Approximately 45% of our RPO relates to long-term commercial aerospace maintenance contracts at Pratt &amp; Whitney, which are generally expected to be realized over a span of up to 15 years.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Note 19: Accounting Pronouncements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the Financial Accounting Standards Board (FASB) issued Accounting Standards Update (ASU) 2022-04, Liabilities – Supplier Finance Programs (Subtopic 405-50): Disclosure of Supplier Finance Program Obligations, which requires that a buyer in a supplier finance program disclose the key terms of supplier finance programs, the amount of obligations outstanding at the end of the reporting period that the entity has confirmed as valid to the finance provider, where these obligations are recorded in the balance sheet, and a roll forward of the obligations. The new standard is effective for fiscal years beginning after December 15, 2022, on a retrospective basis, including interim periods within those fiscal years. The adoption of this standard did not have an impact on our disclosures as we have determined impact of supplier finance programs is not material.</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new pronouncements issued but not effective until after March 31, 2023 are not expected to have a material impact on our results of operations, financial condition, or liquidity.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unaudited condensed consolidated financial information of Raytheon Technologies for the quarters ended March 31, 2023 and 2022, PricewaterhouseCoopers LLP (PwC) reported that it has applied limited procedures in accordance with professional standards for a review of such information. However, its report dated April 25, 2023,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Report of Independent Registered Public Accounting Firm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the Shareowners and Board of Directors of Raytheon Technologies Corporation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Results of Review of Interim Financial Information</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reviewed the accompanying condensed consolidated balance sheet of Raytheon Technologies Corporation and its subsidiaries (the “Company”) as of March 31, 2023, and the related condensed consolidated statements of operations, of comprehensive income, of changes in equity, and of cash flows for the three-month periods ended March 31, 2023 and 2022,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previously audited, in accordance with the standards of the Public Company Accounting Oversight Board (United States) (“PCAOB”), the consolidated balance sheet of the Company as of December 31, 2022, and the related consolidated statements of operations, of comprehensive income (loss), of changes in equity, and of cash flows for the year then ended (not presented herein), and in our report dated February 6, 2023, we expressed an unqualified opinion on those consolidated financial statements. In our opinion, the information set forth in the accompanying condensed consolidated balance sheet as of December 31, 2022, is fairly stated, in all material respects, in relation to the consolidated balance sheet from which it has been derived.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Basis for Review Results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April 25,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premier systems provider of high technology products and services to the aerospace and defense industries.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four principal business segments: Collins Aerospace (Collins), Pratt &amp; Whitney, Raytheon Intelligence &amp; Space (RIS), and Raytheon Missiles &amp; Defense (RMD). Unless the context otherwise requires, the terms “we,” “our,” “us,” “the Company,” “Raytheon Technologies,” and “RTC” mean Raytheon Technologies Corporation and its subsidiaries.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recently announced its intention to streamline the structure of its core businesses into three principal business segments: Collins Aerospace, Pratt &amp; Whitney, and Raytheon. The Company plans to implement the reorganization beginning in July 2023. All segment information included in this Form 10-Q is reflective of the existing four segments of Collins, Pratt &amp; Whitney, RIS, and RMD in accordance with the management structure in place as of March 31,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RIS and RMD follow a 4-4-5 fiscal calendar while Collins and Pratt &amp; Whitney use a quarter calendar end. Throughout this Quarterly Report on Form 10-Q, when we refer to the quarters ended March 31, 2023 and 2022 with respect to RIS or RMD, we are referring to their April 2, 2023 and April 3, 2022 fiscal quarter ends, respectively.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status of significant factors affecting our business environment in 2023 is discussed below. For additional discussion, refer to the “Business Overview” section in Management’s Discussion and Analysis of Financial Condition and Results of Operations (MD&amp;A) in our 2022 Annual Report on Form 10-K.</w:t>
      </w:r>
    </w:p>
    <w:p>
      <w:pPr>
        <w:pStyle w:val="TextBody"/>
        <w:spacing w:lineRule="auto" w:line="288" w:before="120" w:after="283"/>
        <w:rPr>
          <w:rFonts w:ascii="Times New Roman;sans-serif" w:hAnsi="Times New Roman;sans-serif"/>
          <w:b/>
          <w:i/>
          <w:color w:val="000000"/>
          <w:sz w:val="20"/>
          <w:u w:val="single"/>
        </w:rPr>
      </w:pPr>
      <w:r>
        <w:rPr>
          <w:rFonts w:ascii="Times New Roman;sans-serif" w:hAnsi="Times New Roman;sans-serif"/>
          <w:b/>
          <w:i/>
          <w:color w:val="000000"/>
          <w:sz w:val="20"/>
          <w:u w:val="single"/>
        </w:rPr>
        <w:t>Industry Considerations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primarily at RIS,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Collins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RIS, RMD, and the defense operations of Collins and Pratt &amp; Whitney are affected by U.S. Department of Defense (DoD)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 Matters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Global economic and political conditions, changes in raw material and commodity prices and supply, labor availability and costs, inflation, interest rates, international and domestic tax law changes, foreign currency exchange rates, energy costs and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supply, levels of air travel, the financial condition of commercial airlines, and the impact from natural disasters and weather conditions create uncertainties that could impact our businesses. </w:t>
      </w:r>
    </w:p>
    <w:p>
      <w:pPr>
        <w:pStyle w:val="TextBody"/>
        <w:spacing w:lineRule="auto" w:line="288" w:before="120" w:after="283"/>
        <w:jc w:val="both"/>
        <w:rPr/>
      </w:pPr>
      <w:r>
        <w:rPr>
          <w:rFonts w:ascii="Times New Roman;sans-serif" w:hAnsi="Times New Roman;sans-serif"/>
          <w:b/>
          <w:color w:val="000000"/>
          <w:sz w:val="20"/>
        </w:rPr>
        <w:t>Global Supply Chain and Labor Markets.</w:t>
      </w:r>
      <w:r>
        <w:rPr>
          <w:color w:val="000000"/>
        </w:rPr>
        <w:t xml:space="preserve"> </w:t>
      </w:r>
      <w:r>
        <w:rPr>
          <w:rFonts w:ascii="Times New Roman;sans-serif" w:hAnsi="Times New Roman;sans-serif"/>
          <w:b w:val="false"/>
          <w:color w:val="000000"/>
          <w:sz w:val="20"/>
        </w:rPr>
        <w:t>Ongoing global supply chain and labor market constraints continue to include materials and parts shortages, including raw material, microelectronics and commodity shortages, as well as delivery delays, labor shortages, distribution problems, and price increases. Current geopolitical conditions, including sanctions and other trade restrictive activities and strained intercountry relations, are contributing to these issues. We have had difficulties procuring necessary materials, including raw materials, components, and other supplies, and services on a timely basis or at all. We have also had difficulties hiring qualified personnel, particularly personnel with specialized engineering experience and security clearances. Our suppliers and subcontractors have been impacted by the same issues, compounding the shortages for us because we rely on them, sometimes as sole-source providers. In addition, the ongoing recovery in commercial air travel has increased demand for our products and services and added to these supply chain and labor market challenges. We work continuously to mitigate the effects of these supply chain and labor constraints through a number of targeted activities and ongoing programs. However, the timing as to when our supply chain and labor challenges will abate is uncertain and subject to a wide range of factors and future developments.</w:t>
      </w:r>
    </w:p>
    <w:p>
      <w:pPr>
        <w:pStyle w:val="TextBody"/>
        <w:spacing w:lineRule="auto" w:line="288" w:before="120" w:after="283"/>
        <w:jc w:val="both"/>
        <w:rPr/>
      </w:pPr>
      <w:r>
        <w:rPr>
          <w:rFonts w:ascii="Times New Roman;sans-serif" w:hAnsi="Times New Roman;sans-serif"/>
          <w:b/>
          <w:color w:val="000000"/>
          <w:sz w:val="20"/>
        </w:rPr>
        <w:t>Geopolitical Matters.</w:t>
      </w:r>
      <w:r>
        <w:rPr>
          <w:color w:val="000000"/>
        </w:rPr>
        <w:t xml:space="preserve"> </w:t>
      </w:r>
      <w:r>
        <w:rPr>
          <w:rFonts w:ascii="Times New Roman;sans-serif" w:hAnsi="Times New Roman;sans-serif"/>
          <w:b w:val="false"/>
          <w:color w:val="000000"/>
          <w:sz w:val="20"/>
        </w:rPr>
        <w:t>In response to the Russian military’s invasion of Ukraine on February 24, 2022, the U.S. government and the governments of various 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however, based on information available to date, we do not currently expect these issues will have a material adverse effect on our financial results. We will continue to monitor future developments, including additional sanctions and other measures, that could adversely affect the Company and/or our supply chain, business partners, or customers.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China previously announced that it may take measures against RTC in connection with certain foreign military sales to Taiwan. On February 16, 2023, China’s Ministry of Commerce announced that it has added RMD to its “unreliable entities list” in connection with certain foreign military sales to Taiwan involving RMD’s products and services, and that it would impose certain sanctions against RMD, including a fine equal to twice the value of the arms that RMD has sold to Taiwan since September 2020. In addition, on September 16, 2022, China indicated that it decided to sanction our Chairman and Chief Executive Officer Gregory Hayes, in connection with another foreign military sale to Taiwan involving RTC products and services. RTC is not aware of any specific sanctions against Mr. Hayes. If China were to impose additional sanctions, enforce announced sanctions, or take other regulatory action against RTC, our suppliers, affiliates, or partners, it could potentially disrupt our business operations. Any impact of these or other potential sanctions or other actions by China is uncertain.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If we ultimately do not receive all of the regulatory approvals, or those approvals are revoked, it could have a material effect on our financial results. In particular, as of March 31, 2023, our Contract liabilities include approximately $395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pStyle w:val="TextBody"/>
        <w:spacing w:lineRule="auto" w:line="288" w:before="120" w:after="283"/>
        <w:jc w:val="both"/>
        <w:rPr/>
      </w:pPr>
      <w:r>
        <w:rPr>
          <w:rFonts w:ascii="Times New Roman;sans-serif" w:hAnsi="Times New Roman;sans-serif"/>
          <w:b/>
          <w:color w:val="000000"/>
          <w:sz w:val="20"/>
        </w:rPr>
        <w:t>Coronavirus Disease 2019 (COVID-19) Pandemic.</w:t>
      </w:r>
      <w:r>
        <w:rPr>
          <w:color w:val="000000"/>
        </w:rPr>
        <w:t xml:space="preserve"> </w:t>
      </w:r>
      <w:r>
        <w:rPr>
          <w:rFonts w:ascii="Times New Roman;sans-serif" w:hAnsi="Times New Roman;sans-serif"/>
          <w:b w:val="false"/>
          <w:color w:val="000000"/>
          <w:sz w:val="20"/>
        </w:rPr>
        <w:t xml:space="preserve">The COVID-19 pandemic caused continuing negative effects on the global economy, our business and operations, the labor market, supply chains, inflation, and the industries in which we operate. Commercial air travel continues to recover to varying degrees. While we believe that the long-term outlook for the aerospace industry remains positive due to the fundamental drivers of air travel demand, uncertainty continues with respect to when commercial air traffic capacity will fully return to and/or exceed pre-pandemic levels. Our expectations regarding the negative effects of the COVID-19 pandemic and ongoing recovery and their potential financial impact are based on available information and assumptions that we believe are reasonable at this time; however, the actual financial impact is highly uncertain and subject to a wide range of factors and future developments.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Part I, Item 1A, “Risk Factors” in our 2022 Annual Report on Form 10-K for further discussion of these items.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2022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quarter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our “Cautionary Note Concerning Factors That May Affect Future Results” of this Form 10-Q, our interim period results of operations and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 (Other). Additionally, the organic change in Cost of sales and Operating profit excludes restructuring costs, the FAS/CAS operating adjustment, and costs related to certain acquisition accounting adjustments. Restructuring costs generally arise from severance related to workforce reductions and facility exit costs. We are continuously evaluating our cost structure and have implemented restructuring actions in an effort to keep our cost structure competitive. 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Net Sales</w:t>
      </w:r>
    </w:p>
    <w:tbl>
      <w:tblPr>
        <w:tblW w:w="4405" w:type="dxa"/>
        <w:jc w:val="center"/>
        <w:tblInd w:w="0" w:type="dxa"/>
        <w:tblCellMar>
          <w:top w:w="28" w:type="dxa"/>
          <w:left w:w="28" w:type="dxa"/>
          <w:bottom w:w="28" w:type="dxa"/>
          <w:right w:w="28" w:type="dxa"/>
        </w:tblCellMar>
      </w:tblPr>
      <w:tblGrid>
        <w:gridCol w:w="544"/>
        <w:gridCol w:w="477"/>
        <w:gridCol w:w="479"/>
        <w:gridCol w:w="211"/>
        <w:gridCol w:w="736"/>
        <w:gridCol w:w="109"/>
        <w:gridCol w:w="109"/>
        <w:gridCol w:w="109"/>
        <w:gridCol w:w="109"/>
        <w:gridCol w:w="211"/>
        <w:gridCol w:w="721"/>
        <w:gridCol w:w="109"/>
        <w:gridCol w:w="109"/>
        <w:gridCol w:w="109"/>
        <w:gridCol w:w="109"/>
        <w:gridCol w:w="154"/>
      </w:tblGrid>
      <w:tr>
        <w:trPr/>
        <w:tc>
          <w:tcPr>
            <w:tcW w:w="54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17,214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factors contributing to the change year-over-year in total net sales for the quarter ended March 31, 2023 are as follows:</w:t>
      </w:r>
    </w:p>
    <w:tbl>
      <w:tblPr>
        <w:tblW w:w="5497" w:type="dxa"/>
        <w:jc w:val="left"/>
        <w:tblInd w:w="0" w:type="dxa"/>
        <w:tblCellMar>
          <w:top w:w="28" w:type="dxa"/>
          <w:left w:w="28" w:type="dxa"/>
          <w:bottom w:w="28" w:type="dxa"/>
          <w:right w:w="28" w:type="dxa"/>
        </w:tblCellMar>
      </w:tblPr>
      <w:tblGrid>
        <w:gridCol w:w="1028"/>
        <w:gridCol w:w="901"/>
        <w:gridCol w:w="905"/>
        <w:gridCol w:w="532"/>
        <w:gridCol w:w="1593"/>
        <w:gridCol w:w="275"/>
        <w:gridCol w:w="109"/>
        <w:gridCol w:w="154"/>
      </w:tblGrid>
      <w:tr>
        <w:trPr/>
        <w:tc>
          <w:tcPr>
            <w:tcW w:w="102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Organic</w:t>
            </w:r>
            <w:r>
              <w:rPr>
                <w:rFonts w:ascii="Times New Roman;sans-serif" w:hAnsi="Times New Roman;sans-serif"/>
                <w:b w:val="false"/>
                <w:color w:val="000000"/>
                <w:sz w:val="13"/>
              </w:rPr>
              <w:t>(1)</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1,562</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and divestitures, net</w:t>
            </w:r>
          </w:p>
        </w:tc>
        <w:tc>
          <w:tcPr>
            <w:tcW w:w="21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1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w:t>
            </w:r>
          </w:p>
        </w:tc>
        <w:tc>
          <w:tcPr>
            <w:tcW w:w="5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1,498</w:t>
            </w:r>
            <w:r>
              <w:rPr>
                <w:color w:val="000000"/>
              </w:rPr>
              <w:t> </w:t>
            </w:r>
          </w:p>
        </w:tc>
        <w:tc>
          <w:tcPr>
            <w:tcW w:w="2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See “Results of Operations” for definition of organic. A reconciliation of this measure to the reported U.S. GAAP amount is provided in the table above.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sales increased $1.6 billion organically in the quarter ended March 31, 2023 compared to the quarter ended March 31, 2022 primarily due to higher organic sales of $0.8 billion at Collins, $0.7 billion at Pratt &amp; Whitney, and $0.2 billion at RMD.</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See “Segment Review” below for further information by segment.</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tbl>
      <w:tblPr>
        <w:tblW w:w="6416" w:type="dxa"/>
        <w:jc w:val="left"/>
        <w:tblInd w:w="0" w:type="dxa"/>
        <w:tblCellMar>
          <w:top w:w="28" w:type="dxa"/>
          <w:left w:w="28" w:type="dxa"/>
          <w:bottom w:w="28" w:type="dxa"/>
          <w:right w:w="28" w:type="dxa"/>
        </w:tblCellMar>
      </w:tblPr>
      <w:tblGrid>
        <w:gridCol w:w="544"/>
        <w:gridCol w:w="477"/>
        <w:gridCol w:w="479"/>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54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Net Sales</w:t>
            </w:r>
          </w:p>
        </w:tc>
      </w:tr>
      <w:tr>
        <w:trPr/>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12,787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74.3</w:t>
            </w:r>
            <w:r>
              <w:rPr>
                <w:color w:val="000000"/>
              </w:rPr>
              <w:t> </w:t>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4,427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25.7</w:t>
            </w:r>
            <w:r>
              <w:rPr>
                <w:color w:val="000000"/>
              </w:rPr>
              <w:t> </w:t>
            </w:r>
          </w:p>
        </w:tc>
        <w:tc>
          <w:tcPr>
            <w:tcW w:w="3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3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17,214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w:t>
            </w:r>
            <w:r>
              <w:rPr>
                <w:color w:val="000000"/>
              </w:rPr>
              <w:t> </w:t>
            </w:r>
          </w:p>
        </w:tc>
        <w:tc>
          <w:tcPr>
            <w:tcW w:w="3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17: Segment Financial Data” within Item 1 of this Form 10-Q for the composition of external net sales by products and services by segment.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products sales increased $0.9 billion in the quarter ended March 31, 2023 compared to the quarter ended March 31, 2022 primarily due to increases in external products sales of $0.5 billion at Collins, $0.4 billion at Pratt &amp; Whitney, and $0.1 billion at RMD, partially offset by a decrease in external products sales of $0.1 billion at RIS.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services sales increased $0.6 billion in the quarter ended March 31, 2023 compared to the quarter ended March 31, 2022 primarily due to increases in external services sales of $0.3 billion at Pratt &amp; Whitney, $0.2 billion at Collins, and $0.1 billion at RMD.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sales to major customers were as follows:</w:t>
      </w:r>
    </w:p>
    <w:tbl>
      <w:tblPr>
        <w:tblW w:w="9176" w:type="dxa"/>
        <w:jc w:val="left"/>
        <w:tblInd w:w="0" w:type="dxa"/>
        <w:tblCellMar>
          <w:top w:w="28" w:type="dxa"/>
          <w:left w:w="28" w:type="dxa"/>
          <w:bottom w:w="28" w:type="dxa"/>
          <w:right w:w="28" w:type="dxa"/>
        </w:tblCellMar>
      </w:tblPr>
      <w:tblGrid>
        <w:gridCol w:w="1545"/>
        <w:gridCol w:w="1355"/>
        <w:gridCol w:w="1360"/>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1545"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Net Sales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Sales to the U.S. government</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7,557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43.9</w:t>
            </w:r>
            <w:r>
              <w:rPr>
                <w:color w:val="000000"/>
              </w:rPr>
              <w:t>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military sales through the U.S. government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7.3</w:t>
            </w:r>
            <w:r>
              <w:rPr>
                <w:color w:val="000000"/>
              </w:rPr>
              <w:t> </w:t>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direct commercial sales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w:t>
            </w:r>
            <w:r>
              <w:rPr>
                <w:color w:val="000000"/>
              </w:rPr>
              <w:t> </w:t>
            </w:r>
          </w:p>
        </w:tc>
        <w:tc>
          <w:tcPr>
            <w:tcW w:w="3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aerospace and other commercial sales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7,391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42.9</w:t>
            </w:r>
            <w:r>
              <w:rPr>
                <w:color w:val="000000"/>
              </w:rPr>
              <w:t> </w:t>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17,214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w:t>
            </w:r>
            <w:r>
              <w:rPr>
                <w:color w:val="000000"/>
              </w:rPr>
              <w:t> </w:t>
            </w:r>
          </w:p>
        </w:tc>
        <w:tc>
          <w:tcPr>
            <w:tcW w:w="3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Excludes foreign military sales through the U.S. government.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Cost of Sales</w:t>
      </w:r>
    </w:p>
    <w:tbl>
      <w:tblPr>
        <w:tblW w:w="5209" w:type="dxa"/>
        <w:jc w:val="left"/>
        <w:tblInd w:w="0" w:type="dxa"/>
        <w:tblCellMar>
          <w:top w:w="28" w:type="dxa"/>
          <w:left w:w="28" w:type="dxa"/>
          <w:bottom w:w="28" w:type="dxa"/>
          <w:right w:w="28" w:type="dxa"/>
        </w:tblCellMar>
      </w:tblPr>
      <w:tblGrid>
        <w:gridCol w:w="707"/>
        <w:gridCol w:w="620"/>
        <w:gridCol w:w="623"/>
        <w:gridCol w:w="211"/>
        <w:gridCol w:w="736"/>
        <w:gridCol w:w="301"/>
        <w:gridCol w:w="109"/>
        <w:gridCol w:w="109"/>
        <w:gridCol w:w="109"/>
        <w:gridCol w:w="211"/>
        <w:gridCol w:w="721"/>
        <w:gridCol w:w="271"/>
        <w:gridCol w:w="109"/>
        <w:gridCol w:w="109"/>
        <w:gridCol w:w="109"/>
        <w:gridCol w:w="154"/>
      </w:tblGrid>
      <w:tr>
        <w:trPr/>
        <w:tc>
          <w:tcPr>
            <w:tcW w:w="707"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13,645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net sales</w:t>
            </w:r>
          </w:p>
        </w:tc>
        <w:tc>
          <w:tcPr>
            <w:tcW w:w="947" w:type="dxa"/>
            <w:gridSpan w:val="2"/>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79.3</w:t>
            </w:r>
            <w:r>
              <w:rPr>
                <w:color w:val="000000"/>
              </w:rPr>
              <w:t> </w:t>
            </w:r>
          </w:p>
        </w:tc>
        <w:tc>
          <w:tcPr>
            <w:tcW w:w="301"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2" w:type="dxa"/>
            <w:gridSpan w:val="2"/>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271"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val="false"/>
          <w:color w:val="000000"/>
          <w:sz w:val="20"/>
        </w:rPr>
        <w:t>The factors contributing to the change year-over-year in total cost of sales for the quarter ended March 31, 2023 are as follows:</w:t>
      </w:r>
      <w:r>
        <w:rPr>
          <w:color w:val="000000"/>
        </w:rPr>
        <w:t> </w:t>
      </w:r>
    </w:p>
    <w:tbl>
      <w:tblPr>
        <w:tblW w:w="5723" w:type="dxa"/>
        <w:jc w:val="left"/>
        <w:tblInd w:w="0" w:type="dxa"/>
        <w:tblCellMar>
          <w:top w:w="28" w:type="dxa"/>
          <w:left w:w="28" w:type="dxa"/>
          <w:bottom w:w="28" w:type="dxa"/>
          <w:right w:w="28" w:type="dxa"/>
        </w:tblCellMar>
      </w:tblPr>
      <w:tblGrid>
        <w:gridCol w:w="1110"/>
        <w:gridCol w:w="973"/>
        <w:gridCol w:w="977"/>
        <w:gridCol w:w="532"/>
        <w:gridCol w:w="1593"/>
        <w:gridCol w:w="275"/>
        <w:gridCol w:w="109"/>
        <w:gridCol w:w="154"/>
      </w:tblGrid>
      <w:tr>
        <w:trPr/>
        <w:tc>
          <w:tcPr>
            <w:tcW w:w="1110"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Organic</w:t>
            </w:r>
            <w:r>
              <w:rPr>
                <w:rFonts w:ascii="Times New Roman;sans-serif" w:hAnsi="Times New Roman;sans-serif"/>
                <w:b w:val="false"/>
                <w:color w:val="000000"/>
                <w:sz w:val="13"/>
              </w:rPr>
              <w:t>(1)</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1,267</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and divestitures, net</w:t>
            </w:r>
          </w:p>
        </w:tc>
        <w:tc>
          <w:tcPr>
            <w:tcW w:w="21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21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w:t>
            </w: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FAS/CAS operating adjustment</w:t>
            </w:r>
          </w:p>
        </w:tc>
        <w:tc>
          <w:tcPr>
            <w:tcW w:w="21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w:t>
            </w: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w:t>
            </w:r>
          </w:p>
        </w:tc>
        <w:tc>
          <w:tcPr>
            <w:tcW w:w="21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w:t>
            </w: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1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(244)</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w:t>
            </w:r>
          </w:p>
        </w:tc>
        <w:tc>
          <w:tcPr>
            <w:tcW w:w="5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1,085</w:t>
            </w:r>
            <w:r>
              <w:rPr>
                <w:color w:val="000000"/>
              </w:rPr>
              <w:t> </w:t>
            </w:r>
          </w:p>
        </w:tc>
        <w:tc>
          <w:tcPr>
            <w:tcW w:w="27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See “Results of Operations” for definition of organic. A reconciliation of this measure to the reported U.S. GAAP amount is provided in the table above.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increase in total cost of sales of $1.3 billion for the quarter ended March 31, 2023 compared to the quarter ended March 31, 2022, was primarily driven by the organic sales increases at Pratt &amp; Whitney, Collins, and RMD noted above.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other cost of sales of $0.2 billion for the quarter ended March 31, 2023 compared to the quarter ended March 31, 2022, was primarily driven by the absence of charges recorded during the first quarter of 2022 at Pratt &amp; Whitney and Collins related to impairment of customer financing assets for products under lease, inventory reserves, purchase order obligations, and the impairment of contract fulfillment costs that are no longer recoverable, all due to global sanctions on and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export controls with respect to Russia, and the impact of foreign exchange. See “Note 1: Basis of Presentation” within Item 1 of this Form 10-Q for additional information with respect to Russia.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on FAS/CAS operating adjustment see the “FAS/CAS operating adjustment” subsection under the “Segment Review” section below. For further discussion on Acquisition accounting adjustments, see the “Acquisition accounting adjustments” subsection under the “Segment Review” section below.</w:t>
      </w:r>
    </w:p>
    <w:tbl>
      <w:tblPr>
        <w:tblW w:w="6491" w:type="dxa"/>
        <w:jc w:val="left"/>
        <w:tblInd w:w="0" w:type="dxa"/>
        <w:tblCellMar>
          <w:top w:w="28" w:type="dxa"/>
          <w:left w:w="28" w:type="dxa"/>
          <w:bottom w:w="28" w:type="dxa"/>
          <w:right w:w="28" w:type="dxa"/>
        </w:tblCellMar>
      </w:tblPr>
      <w:tblGrid>
        <w:gridCol w:w="571"/>
        <w:gridCol w:w="501"/>
        <w:gridCol w:w="503"/>
        <w:gridCol w:w="211"/>
        <w:gridCol w:w="736"/>
        <w:gridCol w:w="109"/>
        <w:gridCol w:w="109"/>
        <w:gridCol w:w="109"/>
        <w:gridCol w:w="109"/>
        <w:gridCol w:w="211"/>
        <w:gridCol w:w="721"/>
        <w:gridCol w:w="109"/>
        <w:gridCol w:w="109"/>
        <w:gridCol w:w="109"/>
        <w:gridCol w:w="109"/>
        <w:gridCol w:w="263"/>
        <w:gridCol w:w="263"/>
        <w:gridCol w:w="360"/>
        <w:gridCol w:w="130"/>
        <w:gridCol w:w="130"/>
        <w:gridCol w:w="130"/>
        <w:gridCol w:w="255"/>
        <w:gridCol w:w="256"/>
        <w:gridCol w:w="378"/>
      </w:tblGrid>
      <w:tr>
        <w:trPr/>
        <w:tc>
          <w:tcPr>
            <w:tcW w:w="57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Net Sales</w:t>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10,700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62.2</w:t>
            </w:r>
            <w:r>
              <w:rPr>
                <w:color w:val="000000"/>
              </w:rPr>
              <w:t> </w:t>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2,945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17.1</w:t>
            </w:r>
            <w:r>
              <w:rPr>
                <w:color w:val="000000"/>
              </w:rPr>
              <w:t> </w:t>
            </w:r>
          </w:p>
        </w:tc>
        <w:tc>
          <w:tcPr>
            <w:tcW w:w="3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13,645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79.3</w:t>
            </w:r>
            <w:r>
              <w:rPr>
                <w:color w:val="000000"/>
              </w:rPr>
              <w:t> </w:t>
            </w:r>
          </w:p>
        </w:tc>
        <w:tc>
          <w:tcPr>
            <w:tcW w:w="3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3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products cost of sales increased $0.9 billion in the quarter ended March 31, 2023 compared to the quarter ended March 31, 2022 primarily due to increases at Pratt &amp; Whitney, Collins, and RMD all driven by the products sales changes noted above.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services cost of sales increased $0.2 billion in the quarter ended March 31, 2023 compared to the quarter ended March 31, 2022 primarily due to an increase in external services cost of sales at Collins, Pratt &amp; Whitney, and RMD all driven by the services sales changes noted above.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pPr>
      <w:r>
        <w:rPr>
          <w:rFonts w:ascii="Times New Roman;sans-serif" w:hAnsi="Times New Roman;sans-serif"/>
          <w:b/>
          <w:i/>
          <w:color w:val="000000"/>
          <w:sz w:val="20"/>
          <w:u w:val="single"/>
        </w:rPr>
        <w:t>Research and Development</w:t>
      </w:r>
      <w:r>
        <w:rPr>
          <w:color w:val="000000"/>
        </w:rPr>
        <w:t> </w:t>
      </w:r>
    </w:p>
    <w:tbl>
      <w:tblPr>
        <w:tblW w:w="4552" w:type="dxa"/>
        <w:jc w:val="center"/>
        <w:tblInd w:w="0" w:type="dxa"/>
        <w:tblCellMar>
          <w:top w:w="28" w:type="dxa"/>
          <w:left w:w="28" w:type="dxa"/>
          <w:bottom w:w="28" w:type="dxa"/>
          <w:right w:w="28" w:type="dxa"/>
        </w:tblCellMar>
      </w:tblPr>
      <w:tblGrid>
        <w:gridCol w:w="706"/>
        <w:gridCol w:w="619"/>
        <w:gridCol w:w="624"/>
        <w:gridCol w:w="273"/>
        <w:gridCol w:w="192"/>
        <w:gridCol w:w="390"/>
        <w:gridCol w:w="141"/>
        <w:gridCol w:w="141"/>
        <w:gridCol w:w="141"/>
        <w:gridCol w:w="273"/>
        <w:gridCol w:w="191"/>
        <w:gridCol w:w="380"/>
        <w:gridCol w:w="109"/>
        <w:gridCol w:w="109"/>
        <w:gridCol w:w="109"/>
        <w:gridCol w:w="154"/>
      </w:tblGrid>
      <w:tr>
        <w:trPr/>
        <w:tc>
          <w:tcPr>
            <w:tcW w:w="70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Company-funded</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607</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net sales</w:t>
            </w:r>
          </w:p>
        </w:tc>
        <w:tc>
          <w:tcPr>
            <w:tcW w:w="4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w:t>
            </w:r>
            <w:r>
              <w:rPr>
                <w:color w:val="000000"/>
              </w:rPr>
              <w:t> </w:t>
            </w:r>
          </w:p>
        </w:tc>
        <w:tc>
          <w:tcPr>
            <w:tcW w:w="39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8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Customer-funded </w:t>
            </w:r>
            <w:r>
              <w:rPr>
                <w:rFonts w:ascii="Times New Roman;sans-serif" w:hAnsi="Times New Roman;sans-serif"/>
                <w:b w:val="false"/>
                <w:color w:val="000000"/>
                <w:sz w:val="13"/>
              </w:rPr>
              <w:t>(1)</w:t>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1,122</w:t>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net sales</w:t>
            </w:r>
          </w:p>
        </w:tc>
        <w:tc>
          <w:tcPr>
            <w:tcW w:w="465" w:type="dxa"/>
            <w:gridSpan w:val="2"/>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w:t>
            </w:r>
            <w:r>
              <w:rPr>
                <w:color w:val="000000"/>
              </w:rPr>
              <w:t> </w:t>
            </w:r>
          </w:p>
        </w:tc>
        <w:tc>
          <w:tcPr>
            <w:tcW w:w="390"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3"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64" w:type="dxa"/>
            <w:gridSpan w:val="2"/>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80"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Included in cost of sales in our Condensed Consolidated Statement of Operations.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spending is subject to the variable nature of program development schedules and, therefore, year-over-year fluctuations in spending levels are expected.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company-funded research and development of $28 million for the quarter ended March 31, 2023 compared to the quarter ended March 31, 2022 was primarily driven by a decrease in net expenses related to the Lower Tier Air and Missile Defense Sensor (LTAMDS) project.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customer-funded research and development of $36 million for the quarter ended March 31, 2023 compared to the quarter ended March 31, 2022, was primarily driven by higher expenses on various military programs at Collins, partially offset by lower expenses on various programs at RMD and RIS.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Selling, General and Administrative</w:t>
      </w:r>
    </w:p>
    <w:tbl>
      <w:tblPr>
        <w:tblW w:w="5547" w:type="dxa"/>
        <w:jc w:val="center"/>
        <w:tblInd w:w="0" w:type="dxa"/>
        <w:tblCellMar>
          <w:top w:w="28" w:type="dxa"/>
          <w:left w:w="28" w:type="dxa"/>
          <w:bottom w:w="28" w:type="dxa"/>
          <w:right w:w="28" w:type="dxa"/>
        </w:tblCellMar>
      </w:tblPr>
      <w:tblGrid>
        <w:gridCol w:w="1072"/>
        <w:gridCol w:w="940"/>
        <w:gridCol w:w="943"/>
        <w:gridCol w:w="273"/>
        <w:gridCol w:w="151"/>
        <w:gridCol w:w="420"/>
        <w:gridCol w:w="141"/>
        <w:gridCol w:w="141"/>
        <w:gridCol w:w="141"/>
        <w:gridCol w:w="273"/>
        <w:gridCol w:w="163"/>
        <w:gridCol w:w="408"/>
        <w:gridCol w:w="109"/>
        <w:gridCol w:w="109"/>
        <w:gridCol w:w="109"/>
        <w:gridCol w:w="154"/>
      </w:tblGrid>
      <w:tr>
        <w:trPr/>
        <w:tc>
          <w:tcPr>
            <w:tcW w:w="1072"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1,398</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net sales</w:t>
            </w:r>
          </w:p>
        </w:tc>
        <w:tc>
          <w:tcPr>
            <w:tcW w:w="424" w:type="dxa"/>
            <w:gridSpan w:val="2"/>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8.1</w:t>
            </w:r>
            <w:r>
              <w:rPr>
                <w:color w:val="000000"/>
              </w:rPr>
              <w:t> </w:t>
            </w:r>
          </w:p>
        </w:tc>
        <w:tc>
          <w:tcPr>
            <w:tcW w:w="420"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3"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36" w:type="dxa"/>
            <w:gridSpan w:val="2"/>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08"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$0.1 billion in the quarter ended March 31, 2023 compared to the quarter ended March 31, 2022 primarily driven by the absence of $71 million of charges recorded in the first quarter of 2022 related to increased estimates for credit losses due to global sanctions on and export controls with respect to Russia.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continuously evaluating our cost structure and have implemented restructuring actions in an effort to keep our cost structure competitive. As appropriate, the amounts reflected above include the beneficial impact of previous restructuring actions on Selling, general and administrative expenses.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Other Income, Net</w:t>
      </w:r>
    </w:p>
    <w:tbl>
      <w:tblPr>
        <w:tblW w:w="4032" w:type="dxa"/>
        <w:jc w:val="center"/>
        <w:tblInd w:w="0" w:type="dxa"/>
        <w:tblCellMar>
          <w:top w:w="28" w:type="dxa"/>
          <w:left w:w="28" w:type="dxa"/>
          <w:bottom w:w="28" w:type="dxa"/>
          <w:right w:w="28" w:type="dxa"/>
        </w:tblCellMar>
      </w:tblPr>
      <w:tblGrid>
        <w:gridCol w:w="566"/>
        <w:gridCol w:w="496"/>
        <w:gridCol w:w="498"/>
        <w:gridCol w:w="247"/>
        <w:gridCol w:w="440"/>
        <w:gridCol w:w="127"/>
        <w:gridCol w:w="127"/>
        <w:gridCol w:w="127"/>
        <w:gridCol w:w="127"/>
        <w:gridCol w:w="247"/>
        <w:gridCol w:w="422"/>
        <w:gridCol w:w="127"/>
        <w:gridCol w:w="109"/>
        <w:gridCol w:w="109"/>
        <w:gridCol w:w="109"/>
        <w:gridCol w:w="154"/>
      </w:tblGrid>
      <w:tr>
        <w:trPr/>
        <w:tc>
          <w:tcPr>
            <w:tcW w:w="5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88</w:t>
            </w:r>
            <w:r>
              <w:rPr>
                <w:color w:val="000000"/>
              </w:rPr>
              <w:t> </w:t>
            </w:r>
          </w:p>
        </w:tc>
        <w:tc>
          <w:tcPr>
            <w:tcW w:w="1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includes equity earnings in unconsolidated entities, royalty income, foreign exchange gains and losses, and other ongoing and nonrecurring items.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income, net of $0.1 billion for the quarter ended March 31, 2023 compared to the quarter ended March 31, 2022 was primarily due to a gain on sale of land during the first quarter of 2023 and the absence of a loss resulting from the exit of our investment in a Russia-based joint venture at Collins recorded in the quarter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Operating Profit</w:t>
      </w:r>
    </w:p>
    <w:tbl>
      <w:tblPr>
        <w:tblW w:w="4632" w:type="dxa"/>
        <w:jc w:val="center"/>
        <w:tblInd w:w="0" w:type="dxa"/>
        <w:tblCellMar>
          <w:top w:w="28" w:type="dxa"/>
          <w:left w:w="28" w:type="dxa"/>
          <w:bottom w:w="28" w:type="dxa"/>
          <w:right w:w="28" w:type="dxa"/>
        </w:tblCellMar>
      </w:tblPr>
      <w:tblGrid>
        <w:gridCol w:w="740"/>
        <w:gridCol w:w="649"/>
        <w:gridCol w:w="651"/>
        <w:gridCol w:w="273"/>
        <w:gridCol w:w="151"/>
        <w:gridCol w:w="420"/>
        <w:gridCol w:w="141"/>
        <w:gridCol w:w="141"/>
        <w:gridCol w:w="141"/>
        <w:gridCol w:w="273"/>
        <w:gridCol w:w="163"/>
        <w:gridCol w:w="408"/>
        <w:gridCol w:w="109"/>
        <w:gridCol w:w="109"/>
        <w:gridCol w:w="109"/>
        <w:gridCol w:w="154"/>
      </w:tblGrid>
      <w:tr>
        <w:trPr/>
        <w:tc>
          <w:tcPr>
            <w:tcW w:w="740"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1,652</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profit margin</w:t>
            </w:r>
          </w:p>
        </w:tc>
        <w:tc>
          <w:tcPr>
            <w:tcW w:w="424"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w:t>
            </w:r>
            <w:r>
              <w:rPr>
                <w:color w:val="000000"/>
              </w:rPr>
              <w:t> </w:t>
            </w:r>
          </w:p>
        </w:tc>
        <w:tc>
          <w:tcPr>
            <w:tcW w:w="420"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3"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436"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08"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Operating profit of $0.6 billion for the quarter ended March 31, 2023 compared to the quarter ended March 31, 2022 was primarily driven by the operating performance of our segments and a decrease in Corporate expenses and other unallocated items, partially offset by the change in our FAS/CAS operating adjustment, all of which are described below in “Segment Review.”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Non-service Pension Income</w:t>
      </w:r>
    </w:p>
    <w:tbl>
      <w:tblPr>
        <w:tblW w:w="4960" w:type="dxa"/>
        <w:jc w:val="center"/>
        <w:tblInd w:w="0" w:type="dxa"/>
        <w:tblCellMar>
          <w:top w:w="28" w:type="dxa"/>
          <w:left w:w="28" w:type="dxa"/>
          <w:bottom w:w="28" w:type="dxa"/>
          <w:right w:w="28" w:type="dxa"/>
        </w:tblCellMar>
      </w:tblPr>
      <w:tblGrid>
        <w:gridCol w:w="881"/>
        <w:gridCol w:w="773"/>
        <w:gridCol w:w="776"/>
        <w:gridCol w:w="211"/>
        <w:gridCol w:w="541"/>
        <w:gridCol w:w="109"/>
        <w:gridCol w:w="109"/>
        <w:gridCol w:w="109"/>
        <w:gridCol w:w="109"/>
        <w:gridCol w:w="211"/>
        <w:gridCol w:w="541"/>
        <w:gridCol w:w="109"/>
        <w:gridCol w:w="109"/>
        <w:gridCol w:w="109"/>
        <w:gridCol w:w="109"/>
        <w:gridCol w:w="154"/>
      </w:tblGrid>
      <w:tr>
        <w:trPr/>
        <w:tc>
          <w:tcPr>
            <w:tcW w:w="88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Non-service pension income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Non-service pension income of $36 million for the quarter ended March 31, 2023 compared to the quarter ended March 31, 2022 was primarily driven by an increase in interest rates during 2022 and prior years’ pension asset returns less than our expected return on plan assets (EROA) assumption, partially offset by an increase in our 2023 EROA assumption.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Interest Expense, Net</w:t>
      </w:r>
    </w:p>
    <w:tbl>
      <w:tblPr>
        <w:tblW w:w="5890" w:type="dxa"/>
        <w:jc w:val="center"/>
        <w:tblInd w:w="0" w:type="dxa"/>
        <w:tblCellMar>
          <w:top w:w="28" w:type="dxa"/>
          <w:left w:w="28" w:type="dxa"/>
          <w:bottom w:w="28" w:type="dxa"/>
          <w:right w:w="28" w:type="dxa"/>
        </w:tblCellMar>
      </w:tblPr>
      <w:tblGrid>
        <w:gridCol w:w="1235"/>
        <w:gridCol w:w="1083"/>
        <w:gridCol w:w="1087"/>
        <w:gridCol w:w="273"/>
        <w:gridCol w:w="153"/>
        <w:gridCol w:w="390"/>
        <w:gridCol w:w="141"/>
        <w:gridCol w:w="141"/>
        <w:gridCol w:w="141"/>
        <w:gridCol w:w="273"/>
        <w:gridCol w:w="141"/>
        <w:gridCol w:w="351"/>
        <w:gridCol w:w="109"/>
        <w:gridCol w:w="109"/>
        <w:gridCol w:w="109"/>
        <w:gridCol w:w="154"/>
      </w:tblGrid>
      <w:tr>
        <w:trPr/>
        <w:tc>
          <w:tcPr>
            <w:tcW w:w="1235"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339</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non-operating expense (income)</w:t>
            </w:r>
            <w:r>
              <w:rPr>
                <w:rFonts w:ascii="Times New Roman;sans-serif" w:hAnsi="Times New Roman;sans-serif"/>
                <w:b w:val="false"/>
                <w:color w:val="000000"/>
                <w:sz w:val="13"/>
              </w:rPr>
              <w:t>(1)</w:t>
            </w:r>
          </w:p>
        </w:tc>
        <w:tc>
          <w:tcPr>
            <w:tcW w:w="8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315</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 expense rate</w:t>
            </w:r>
          </w:p>
        </w:tc>
        <w:tc>
          <w:tcPr>
            <w:tcW w:w="42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w:t>
            </w:r>
            <w:r>
              <w:rPr>
                <w:color w:val="000000"/>
              </w:rPr>
              <w:t> </w:t>
            </w:r>
          </w:p>
        </w:tc>
        <w:tc>
          <w:tcPr>
            <w:tcW w:w="3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3"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14"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Primarily consists of the gains or losses on assets associated with certain of our nonqualified deferred compensation and employee benefit plans, as well as the gains or losses on liabilities associated with certain of our nonqualified deferred compensation plans and non-operating dividend income.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in the quarter ended March 31, 2023 was relatively consistent with the quarter ended March 31, 2022. The decrease in Interest income of $21 million was primarily due to the absence of certain tax-related interest reserve adjustments recorded in the quarter ended March 31, 2022. The increase in Interest expense of $17 million was primarily due to the long-term debt issuance in the quarter ended March 31, 2023 and the commercial paper activity in the first quarter of 2023. The change in Other non-operating expense (income) of $41 million was primarily driven by a change in the mark-to-market fair value of marketable securities held in trusts associated with certain of our nonqualified deferred compensation and employee benefit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Income Taxes</w:t>
      </w:r>
    </w:p>
    <w:tbl>
      <w:tblPr>
        <w:tblW w:w="4898" w:type="dxa"/>
        <w:jc w:val="center"/>
        <w:tblInd w:w="0" w:type="dxa"/>
        <w:tblCellMar>
          <w:top w:w="28" w:type="dxa"/>
          <w:left w:w="28" w:type="dxa"/>
          <w:bottom w:w="28" w:type="dxa"/>
          <w:right w:w="28" w:type="dxa"/>
        </w:tblCellMar>
      </w:tblPr>
      <w:tblGrid>
        <w:gridCol w:w="777"/>
        <w:gridCol w:w="681"/>
        <w:gridCol w:w="686"/>
        <w:gridCol w:w="263"/>
        <w:gridCol w:w="263"/>
        <w:gridCol w:w="450"/>
        <w:gridCol w:w="162"/>
        <w:gridCol w:w="162"/>
        <w:gridCol w:w="162"/>
        <w:gridCol w:w="203"/>
        <w:gridCol w:w="203"/>
        <w:gridCol w:w="405"/>
        <w:gridCol w:w="109"/>
        <w:gridCol w:w="109"/>
        <w:gridCol w:w="109"/>
        <w:gridCol w:w="154"/>
      </w:tblGrid>
      <w:tr>
        <w:trPr/>
        <w:tc>
          <w:tcPr>
            <w:tcW w:w="7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52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16.8</w:t>
            </w:r>
            <w:r>
              <w:rPr>
                <w:color w:val="000000"/>
              </w:rPr>
              <w:t> </w:t>
            </w:r>
          </w:p>
        </w:tc>
        <w:tc>
          <w:tcPr>
            <w:tcW w:w="4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86"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was 16.8% and 9.3% in the quarters ended March 31, 2023 and 2022, respectively. The increase in the effective tax rate for the quarter ended March 31, 2023 as compared to the quarter ended March 31, 2022 is primarily driven by a higher forecasted annualized effective tax rate for 2023 principally due to a lower forecasted Foreign Derived Intangible Income (FDII) benefit in addition to a lower tax benefit from stock based compensation in the current quarter.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Net Income from Continuing Operations Attributable to Common Shareowners</w:t>
      </w:r>
    </w:p>
    <w:tbl>
      <w:tblPr>
        <w:tblW w:w="8995" w:type="dxa"/>
        <w:jc w:val="center"/>
        <w:tblInd w:w="0" w:type="dxa"/>
        <w:tblCellMar>
          <w:top w:w="28" w:type="dxa"/>
          <w:left w:w="28" w:type="dxa"/>
          <w:bottom w:w="28" w:type="dxa"/>
          <w:right w:w="28" w:type="dxa"/>
        </w:tblCellMar>
      </w:tblPr>
      <w:tblGrid>
        <w:gridCol w:w="2281"/>
        <w:gridCol w:w="2001"/>
        <w:gridCol w:w="2018"/>
        <w:gridCol w:w="211"/>
        <w:gridCol w:w="631"/>
        <w:gridCol w:w="109"/>
        <w:gridCol w:w="109"/>
        <w:gridCol w:w="109"/>
        <w:gridCol w:w="109"/>
        <w:gridCol w:w="211"/>
        <w:gridCol w:w="616"/>
        <w:gridCol w:w="109"/>
        <w:gridCol w:w="109"/>
        <w:gridCol w:w="109"/>
        <w:gridCol w:w="109"/>
        <w:gridCol w:w="154"/>
      </w:tblGrid>
      <w:tr>
        <w:trPr/>
        <w:tc>
          <w:tcPr>
            <w:tcW w:w="2281"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amounts)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 attributable to common shareowners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00"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from continuing operations</w:t>
            </w:r>
          </w:p>
        </w:tc>
        <w:tc>
          <w:tcPr>
            <w:tcW w:w="211"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0.97</w:t>
            </w:r>
            <w:r>
              <w:rPr>
                <w:color w:val="000000"/>
              </w:rPr>
              <w:t> </w:t>
            </w:r>
          </w:p>
        </w:tc>
        <w:tc>
          <w:tcPr>
            <w:tcW w:w="109" w:type="dxa"/>
            <w:tcBorders>
              <w:bottom w:val="single" w:sz="16"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09" w:type="dxa"/>
            <w:tcBorders>
              <w:bottom w:val="single" w:sz="16"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 attributable to common shareowners for the quarter ended March 31, 2023 includes the following: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 accounting adjustments of $385 million, net of tax, which had an unfavorable impact on diluted earnings per share (EPS) from continuing operations of $0.26.</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 attributable to common shareowners for the quarter ended March 31, 2022 includes the following: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 accounting adjustments of $379 million, net of tax, which had an unfavorable impact on diluted EPS from continuing operations of $0.25;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impairment charges and reserve adjustments related to the global sanctions on, and export controls with respect to, Russia of $210 million, net of tax, which had an unfavorable impact on diluted EPS from continuing operations of $0.14.</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Net Income Attributable to Common Shareowners</w:t>
      </w:r>
    </w:p>
    <w:tbl>
      <w:tblPr>
        <w:tblW w:w="6729" w:type="dxa"/>
        <w:jc w:val="center"/>
        <w:tblInd w:w="0" w:type="dxa"/>
        <w:tblCellMar>
          <w:top w:w="28" w:type="dxa"/>
          <w:left w:w="28" w:type="dxa"/>
          <w:bottom w:w="28" w:type="dxa"/>
          <w:right w:w="28" w:type="dxa"/>
        </w:tblCellMar>
      </w:tblPr>
      <w:tblGrid>
        <w:gridCol w:w="1461"/>
        <w:gridCol w:w="1281"/>
        <w:gridCol w:w="1292"/>
        <w:gridCol w:w="211"/>
        <w:gridCol w:w="631"/>
        <w:gridCol w:w="109"/>
        <w:gridCol w:w="109"/>
        <w:gridCol w:w="109"/>
        <w:gridCol w:w="109"/>
        <w:gridCol w:w="211"/>
        <w:gridCol w:w="616"/>
        <w:gridCol w:w="109"/>
        <w:gridCol w:w="109"/>
        <w:gridCol w:w="109"/>
        <w:gridCol w:w="109"/>
        <w:gridCol w:w="154"/>
      </w:tblGrid>
      <w:tr>
        <w:trPr/>
        <w:tc>
          <w:tcPr>
            <w:tcW w:w="1461"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amounts)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shareowners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from operations</w:t>
            </w:r>
          </w:p>
        </w:tc>
        <w:tc>
          <w:tcPr>
            <w:tcW w:w="211"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0.97</w:t>
            </w:r>
            <w:r>
              <w:rPr>
                <w:color w:val="000000"/>
              </w:rPr>
              <w:t> </w:t>
            </w:r>
          </w:p>
        </w:tc>
        <w:tc>
          <w:tcPr>
            <w:tcW w:w="109" w:type="dxa"/>
            <w:tcBorders>
              <w:bottom w:val="single" w:sz="16"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bottom w:val="single" w:sz="16"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income attributable to common shareowners and diluted earnings per share from operations for the quarter ended March 31, 2023 compared to the quarter ended March 31, 2022 was primarily driven by the increases in continuing operations, as discussed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SEGMENT REVIEW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for the periods presented herein, are classified into four principal segments: Collins, Pratt &amp; Whitney, RIS, and RMD. 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Segment results exclude certain acquisition accounting adjustments, the FAS/CAS operating adjustment, and certain corporate expenses, as further discussed below. The Company recently announced its intention to streamline the structure of its core businesses into three principal business segments: Collins Aerospace, Pratt &amp; Whitney, and Raytheon. The Company plans to implement the reorganization beginning in July 2023. All segment information included in this Form 10-Q is reflective of the existing four segments of Collins, Pratt &amp; Whitney, RIS, and RMD in accordance with the management structure in place as of March 31,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pStyle w:val="TextBody"/>
        <w:spacing w:lineRule="auto" w:line="288" w:before="120" w:after="283"/>
        <w:jc w:val="both"/>
        <w:rPr/>
      </w:pPr>
      <w:r>
        <w:rPr>
          <w:rFonts w:ascii="Times New Roman;sans-serif" w:hAnsi="Times New Roman;sans-serif"/>
          <w:b w:val="false"/>
          <w:i/>
          <w:color w:val="000000"/>
          <w:sz w:val="20"/>
        </w:rPr>
        <w:t xml:space="preserve">Total Net Sales. </w:t>
      </w:r>
      <w:r>
        <w:rPr>
          <w:rFonts w:ascii="Times New Roman;sans-serif" w:hAnsi="Times New Roman;sans-serif"/>
          <w:b w:val="false"/>
          <w:color w:val="000000"/>
          <w:sz w:val="20"/>
        </w:rPr>
        <w:t>Total net sales by segment were as follows:</w:t>
      </w:r>
    </w:p>
    <w:tbl>
      <w:tblPr>
        <w:tblW w:w="5559" w:type="dxa"/>
        <w:jc w:val="left"/>
        <w:tblInd w:w="0" w:type="dxa"/>
        <w:tblCellMar>
          <w:top w:w="28" w:type="dxa"/>
          <w:left w:w="28" w:type="dxa"/>
          <w:bottom w:w="28" w:type="dxa"/>
          <w:right w:w="28" w:type="dxa"/>
        </w:tblCellMar>
      </w:tblPr>
      <w:tblGrid>
        <w:gridCol w:w="963"/>
        <w:gridCol w:w="844"/>
        <w:gridCol w:w="847"/>
        <w:gridCol w:w="211"/>
        <w:gridCol w:w="736"/>
        <w:gridCol w:w="109"/>
        <w:gridCol w:w="109"/>
        <w:gridCol w:w="109"/>
        <w:gridCol w:w="109"/>
        <w:gridCol w:w="211"/>
        <w:gridCol w:w="721"/>
        <w:gridCol w:w="109"/>
        <w:gridCol w:w="109"/>
        <w:gridCol w:w="109"/>
        <w:gridCol w:w="109"/>
        <w:gridCol w:w="154"/>
      </w:tblGrid>
      <w:tr>
        <w:trPr/>
        <w:tc>
          <w:tcPr>
            <w:tcW w:w="963"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Pratt &amp; Whitney</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 Intelligence &amp; Space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 Missiles &amp; Defense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3,671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18,047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 and other</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17,214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i/>
          <w:color w:val="000000"/>
          <w:sz w:val="20"/>
        </w:rPr>
        <w:t xml:space="preserve">Operating Profit. </w:t>
      </w:r>
      <w:r>
        <w:rPr>
          <w:rFonts w:ascii="Times New Roman;sans-serif" w:hAnsi="Times New Roman;sans-serif"/>
          <w:b w:val="false"/>
          <w:color w:val="000000"/>
          <w:sz w:val="20"/>
        </w:rPr>
        <w:t>Operating profit by segment was as follows:</w:t>
      </w:r>
    </w:p>
    <w:tbl>
      <w:tblPr>
        <w:tblW w:w="6909" w:type="dxa"/>
        <w:jc w:val="left"/>
        <w:tblInd w:w="0" w:type="dxa"/>
        <w:tblCellMar>
          <w:top w:w="28" w:type="dxa"/>
          <w:left w:w="28" w:type="dxa"/>
          <w:bottom w:w="28" w:type="dxa"/>
          <w:right w:w="28" w:type="dxa"/>
        </w:tblCellMar>
      </w:tblPr>
      <w:tblGrid>
        <w:gridCol w:w="1529"/>
        <w:gridCol w:w="1340"/>
        <w:gridCol w:w="1345"/>
        <w:gridCol w:w="211"/>
        <w:gridCol w:w="631"/>
        <w:gridCol w:w="109"/>
        <w:gridCol w:w="109"/>
        <w:gridCol w:w="109"/>
        <w:gridCol w:w="109"/>
        <w:gridCol w:w="211"/>
        <w:gridCol w:w="616"/>
        <w:gridCol w:w="109"/>
        <w:gridCol w:w="109"/>
        <w:gridCol w:w="109"/>
        <w:gridCol w:w="109"/>
        <w:gridCol w:w="154"/>
      </w:tblGrid>
      <w:tr>
        <w:trPr/>
        <w:tc>
          <w:tcPr>
            <w:tcW w:w="1529"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Pratt &amp; Whitney</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 Intelligence &amp; Space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 Missiles &amp; Defense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 and other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Corporate expenses and other unallocated items </w:t>
            </w:r>
            <w:r>
              <w:rPr>
                <w:rFonts w:ascii="Times New Roman;sans-serif" w:hAnsi="Times New Roman;sans-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FAS/CAS operating adjustment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1,652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2022 included the net expenses related to the U.S. Army’s LTAMDS project. Beginning in 2023, LTAMDS results are included in the RMD segment.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segment operating profit are Estimate at Completion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4: Changes in Contract Estimates at Completion” within Item 1 of this Form 10-Q.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had the following aggregate EAC adjustments for the periods presented:</w:t>
      </w:r>
    </w:p>
    <w:tbl>
      <w:tblPr>
        <w:tblW w:w="4784" w:type="dxa"/>
        <w:jc w:val="left"/>
        <w:tblInd w:w="0" w:type="dxa"/>
        <w:tblCellMar>
          <w:top w:w="28" w:type="dxa"/>
          <w:left w:w="28" w:type="dxa"/>
          <w:bottom w:w="28" w:type="dxa"/>
          <w:right w:w="28" w:type="dxa"/>
        </w:tblCellMar>
      </w:tblPr>
      <w:tblGrid>
        <w:gridCol w:w="838"/>
        <w:gridCol w:w="733"/>
        <w:gridCol w:w="738"/>
        <w:gridCol w:w="213"/>
        <w:gridCol w:w="547"/>
        <w:gridCol w:w="110"/>
        <w:gridCol w:w="110"/>
        <w:gridCol w:w="110"/>
        <w:gridCol w:w="110"/>
        <w:gridCol w:w="213"/>
        <w:gridCol w:w="471"/>
        <w:gridCol w:w="110"/>
        <w:gridCol w:w="109"/>
        <w:gridCol w:w="109"/>
        <w:gridCol w:w="109"/>
        <w:gridCol w:w="154"/>
      </w:tblGrid>
      <w:tr>
        <w:trPr/>
        <w:tc>
          <w:tcPr>
            <w:tcW w:w="83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favorable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unfavorable</w:t>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(427)</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EAC adjustments</w:t>
            </w:r>
          </w:p>
        </w:tc>
        <w:tc>
          <w:tcPr>
            <w:tcW w:w="2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net EAC adjustments of $160 million in the quarter ended March 31, 2023 compared to the quarter ended March 31, 2022 was primarily due to unfavorable changes in net EAC adjustments of $61 million at RMD, and $49 million at RIS spread across numerous individual programs with no individual or common significant driver.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EAC adjustments, when they occur, are discussed in each business segment’s discussion below.</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pPr>
      <w:r>
        <w:rPr>
          <w:rFonts w:ascii="Times New Roman;sans-serif" w:hAnsi="Times New Roman;sans-serif"/>
          <w:b w:val="false"/>
          <w:i/>
          <w:color w:val="000000"/>
          <w:sz w:val="20"/>
        </w:rPr>
        <w:t xml:space="preserve">Backlog and Bookings. </w:t>
      </w:r>
      <w:r>
        <w:rPr>
          <w:rFonts w:ascii="Times New Roman;sans-serif" w:hAnsi="Times New Roman;sans-serif"/>
          <w:b w:val="false"/>
          <w:color w:val="000000"/>
          <w:sz w:val="20"/>
        </w:rPr>
        <w:t>Total backlog was approximately $180 billion and $175 billion as of March 31, 2023 and December 31, 2022, respectively, which includes defense backlog of $71 billion and $69 billion as of March 31, 2023 and December 31, 2022, respectively. Our defense operations consist primarily of our RIS and RMD businesses and operations in the defense businesses within our Collins and Pratt &amp; Whitney segments. Defense bookings were approximately $12 billion and $8 billion for the quarters ended March 31, 2023 and 2022, respectively.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customer and governmental approvals and notifications. In addition, due to these factors, quarterly bookings tend to fluctuate from period to period, particularly on a segment basis.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Collins Aerospace </w:t>
      </w:r>
    </w:p>
    <w:tbl>
      <w:tblPr>
        <w:tblW w:w="5519" w:type="dxa"/>
        <w:jc w:val="left"/>
        <w:tblInd w:w="0" w:type="dxa"/>
        <w:tblCellMar>
          <w:top w:w="28" w:type="dxa"/>
          <w:left w:w="28" w:type="dxa"/>
          <w:bottom w:w="28" w:type="dxa"/>
          <w:right w:w="28" w:type="dxa"/>
        </w:tblCellMar>
      </w:tblPr>
      <w:tblGrid>
        <w:gridCol w:w="767"/>
        <w:gridCol w:w="672"/>
        <w:gridCol w:w="675"/>
        <w:gridCol w:w="306"/>
        <w:gridCol w:w="220"/>
        <w:gridCol w:w="420"/>
        <w:gridCol w:w="109"/>
        <w:gridCol w:w="109"/>
        <w:gridCol w:w="109"/>
        <w:gridCol w:w="229"/>
        <w:gridCol w:w="177"/>
        <w:gridCol w:w="408"/>
        <w:gridCol w:w="180"/>
        <w:gridCol w:w="181"/>
        <w:gridCol w:w="367"/>
        <w:gridCol w:w="109"/>
        <w:gridCol w:w="109"/>
        <w:gridCol w:w="109"/>
        <w:gridCol w:w="109"/>
        <w:gridCol w:w="154"/>
      </w:tblGrid>
      <w:tr>
        <w:trPr/>
        <w:tc>
          <w:tcPr>
            <w:tcW w:w="76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5,581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margins</w:t>
            </w:r>
          </w:p>
        </w:tc>
        <w:tc>
          <w:tcPr>
            <w:tcW w:w="526" w:type="dxa"/>
            <w:gridSpan w:val="2"/>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w:t>
            </w:r>
            <w:r>
              <w:rPr>
                <w:color w:val="000000"/>
              </w:rPr>
              <w:t> </w:t>
            </w:r>
          </w:p>
        </w:tc>
        <w:tc>
          <w:tcPr>
            <w:tcW w:w="420" w:type="dxa"/>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406" w:type="dxa"/>
            <w:gridSpan w:val="2"/>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408" w:type="dxa"/>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3"/>
            <w:tcBorders>
              <w:bottom w:val="single" w:sz="16"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i/>
          <w:color w:val="000000"/>
          <w:sz w:val="20"/>
        </w:rPr>
      </w:pPr>
      <w:r>
        <w:rPr>
          <w:rFonts w:ascii="Times New Roman;sans-serif" w:hAnsi="Times New Roman;sans-serif"/>
          <w:b/>
          <w:i/>
          <w:color w:val="000000"/>
          <w:sz w:val="20"/>
        </w:rPr>
        <w:t>Quarter Ended March 31, 2023 Compared with Quarter Ended March 31, 2022</w:t>
      </w:r>
    </w:p>
    <w:tbl>
      <w:tblPr>
        <w:tblW w:w="8192" w:type="dxa"/>
        <w:jc w:val="center"/>
        <w:tblInd w:w="0" w:type="dxa"/>
        <w:tblCellMar>
          <w:top w:w="28" w:type="dxa"/>
          <w:left w:w="28" w:type="dxa"/>
          <w:bottom w:w="28" w:type="dxa"/>
          <w:right w:w="28" w:type="dxa"/>
        </w:tblCellMar>
      </w:tblPr>
      <w:tblGrid>
        <w:gridCol w:w="565"/>
        <w:gridCol w:w="495"/>
        <w:gridCol w:w="500"/>
        <w:gridCol w:w="221"/>
        <w:gridCol w:w="489"/>
        <w:gridCol w:w="114"/>
        <w:gridCol w:w="109"/>
        <w:gridCol w:w="109"/>
        <w:gridCol w:w="109"/>
        <w:gridCol w:w="109"/>
        <w:gridCol w:w="109"/>
        <w:gridCol w:w="386"/>
        <w:gridCol w:w="689"/>
        <w:gridCol w:w="201"/>
        <w:gridCol w:w="109"/>
        <w:gridCol w:w="109"/>
        <w:gridCol w:w="109"/>
        <w:gridCol w:w="322"/>
        <w:gridCol w:w="621"/>
        <w:gridCol w:w="168"/>
        <w:gridCol w:w="109"/>
        <w:gridCol w:w="109"/>
        <w:gridCol w:w="109"/>
        <w:gridCol w:w="211"/>
        <w:gridCol w:w="436"/>
        <w:gridCol w:w="109"/>
        <w:gridCol w:w="109"/>
        <w:gridCol w:w="109"/>
        <w:gridCol w:w="109"/>
        <w:gridCol w:w="289"/>
        <w:gridCol w:w="639"/>
        <w:gridCol w:w="211"/>
      </w:tblGrid>
      <w:tr>
        <w:trPr/>
        <w:tc>
          <w:tcPr>
            <w:tcW w:w="56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83" w:type="dxa"/>
            <w:gridSpan w:val="1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Factors Contributing to Total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6"/>
            <w:tcBorders/>
            <w:shd w:fill="auto" w:val="clea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i/>
                <w:color w:val="000000"/>
                <w:sz w:val="16"/>
              </w:rPr>
              <w:t>(dollars in millions)</w:t>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Organic</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 /</w:t>
              <w:br/>
              <w:t>Divestitures, 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w:t>
              <w:br/>
              <w:t>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Change</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560"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710"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14"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5"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1"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47"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pPr>
      <w:r>
        <w:rPr>
          <w:rFonts w:ascii="Times New Roman;sans-serif" w:hAnsi="Times New Roman;sans-serif"/>
          <w:b w:val="false"/>
          <w:color w:val="000000"/>
          <w:sz w:val="16"/>
        </w:rPr>
        <w:t xml:space="preserve">(1)    See “Segment Review” above for definition of organic. </w:t>
      </w:r>
      <w:r>
        <w:rPr>
          <w:rFonts w:ascii="Times New Roman;sans-serif" w:hAnsi="Times New Roman;sans-serif"/>
          <w:b w:val="false"/>
          <w:color w:val="000000"/>
          <w:sz w:val="16"/>
          <w:highlight w:val="white"/>
        </w:rPr>
        <w:t>A reconciliation of these measures to reported U.S. GAAP amounts is provided in the table above.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sales increase of $0.8 billion in the quarter ended March 31, 2023 compared to the quarter ended March 31, 2022 primarily relates to higher commercial aerospace aftermarket sales of $0.5 billion, including increases across all aftermarket sales channels, and higher commercial aerospace OEM sales of $0.2 billion. These increases were principally driven by the recovery of commercial air traffic which has resulted in an increase in flight hours, aircraft fleet utilization and OEM production rates. Military sales increased $0.1 billion in the quarter ended March 31, 2023 compared to the quarter ended March 31, 2022 primarily due to higher material receipts and increased production volume.</w:t>
      </w:r>
    </w:p>
    <w:p>
      <w:pPr>
        <w:pStyle w:val="TextBody"/>
        <w:spacing w:lineRule="auto" w:line="288" w:before="120" w:after="283"/>
        <w:jc w:val="both"/>
        <w:rPr/>
      </w:pPr>
      <w:r>
        <w:rPr>
          <w:rFonts w:ascii="Times New Roman;sans-serif" w:hAnsi="Times New Roman;sans-serif"/>
          <w:b w:val="false"/>
          <w:color w:val="000000"/>
          <w:sz w:val="20"/>
        </w:rPr>
        <w:t xml:space="preserve">The organic operating profit increase of $0.2 billion in the quarter ended March 31, 2023 compared to the quarter ended March 31, 2022 was primarily due to higher commercial aerospace operating profit of $0.3 billion, principally driven by the higher commercial aerospace aftermarket sales discussed above as well as favorable mix. </w:t>
      </w:r>
      <w:r>
        <w:rPr>
          <w:rFonts w:ascii="Times New Roman;sans-serif" w:hAnsi="Times New Roman;sans-serif"/>
          <w:b w:val="false"/>
          <w:color w:val="000000"/>
          <w:sz w:val="20"/>
          <w:highlight w:val="white"/>
        </w:rPr>
        <w:t>This increase in</w:t>
      </w:r>
      <w:r>
        <w:rPr>
          <w:color w:val="000000"/>
        </w:rPr>
        <w:t xml:space="preserve"> </w:t>
      </w:r>
      <w:r>
        <w:rPr>
          <w:rFonts w:ascii="Times New Roman;sans-serif" w:hAnsi="Times New Roman;sans-serif"/>
          <w:b w:val="false"/>
          <w:color w:val="000000"/>
          <w:sz w:val="20"/>
        </w:rPr>
        <w:t>commercial aerospace operating profit was partially offset by higher production costs and selling, general and administrative expenses.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operating profit of $0.1 billion in the quarter ended March 31, 2023 compared to the quarter ended March 31, 2022 was primarily due to the absence of $141 million of pretax charges recorded in the first quarter of 2022 related to increased estimates for credit losses, inventory reserves, recognition of purchase order obligations, and a loss resulting from the exit of our investment in a Russia-based joint venture, all due to global sanctions on and export controls with respect to Russia. See “Note 1: Basis of Presentation” within Item 1 of this Form 10-Q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Pratt &amp; Whitney</w:t>
      </w:r>
    </w:p>
    <w:tbl>
      <w:tblPr>
        <w:tblW w:w="5519" w:type="dxa"/>
        <w:jc w:val="left"/>
        <w:tblInd w:w="0" w:type="dxa"/>
        <w:tblCellMar>
          <w:top w:w="28" w:type="dxa"/>
          <w:left w:w="28" w:type="dxa"/>
          <w:bottom w:w="28" w:type="dxa"/>
          <w:right w:w="28" w:type="dxa"/>
        </w:tblCellMar>
      </w:tblPr>
      <w:tblGrid>
        <w:gridCol w:w="767"/>
        <w:gridCol w:w="672"/>
        <w:gridCol w:w="675"/>
        <w:gridCol w:w="245"/>
        <w:gridCol w:w="176"/>
        <w:gridCol w:w="420"/>
        <w:gridCol w:w="109"/>
        <w:gridCol w:w="109"/>
        <w:gridCol w:w="109"/>
        <w:gridCol w:w="229"/>
        <w:gridCol w:w="177"/>
        <w:gridCol w:w="408"/>
        <w:gridCol w:w="232"/>
        <w:gridCol w:w="234"/>
        <w:gridCol w:w="367"/>
        <w:gridCol w:w="109"/>
        <w:gridCol w:w="109"/>
        <w:gridCol w:w="109"/>
        <w:gridCol w:w="109"/>
        <w:gridCol w:w="154"/>
      </w:tblGrid>
      <w:tr>
        <w:trPr/>
        <w:tc>
          <w:tcPr>
            <w:tcW w:w="76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8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margins</w:t>
            </w:r>
          </w:p>
        </w:tc>
        <w:tc>
          <w:tcPr>
            <w:tcW w:w="421" w:type="dxa"/>
            <w:gridSpan w:val="2"/>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7.9</w:t>
            </w:r>
            <w:r>
              <w:rPr>
                <w:color w:val="000000"/>
              </w:rPr>
              <w:t> </w:t>
            </w:r>
          </w:p>
        </w:tc>
        <w:tc>
          <w:tcPr>
            <w:tcW w:w="420" w:type="dxa"/>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406" w:type="dxa"/>
            <w:gridSpan w:val="2"/>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08" w:type="dxa"/>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gridSpan w:val="3"/>
            <w:tcBorders>
              <w:bottom w:val="single" w:sz="16"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i/>
          <w:color w:val="000000"/>
          <w:sz w:val="20"/>
        </w:rPr>
      </w:pPr>
      <w:r>
        <w:rPr>
          <w:rFonts w:ascii="Times New Roman;sans-serif" w:hAnsi="Times New Roman;sans-serif"/>
          <w:b/>
          <w:i/>
          <w:color w:val="000000"/>
          <w:sz w:val="20"/>
        </w:rPr>
        <w:t>Quarter Ended March 31, 2023 Compared with Quarter Ended March 31, 2022</w:t>
      </w:r>
    </w:p>
    <w:tbl>
      <w:tblPr>
        <w:tblW w:w="8027" w:type="dxa"/>
        <w:jc w:val="center"/>
        <w:tblInd w:w="0" w:type="dxa"/>
        <w:tblCellMar>
          <w:top w:w="28" w:type="dxa"/>
          <w:left w:w="28" w:type="dxa"/>
          <w:bottom w:w="28" w:type="dxa"/>
          <w:right w:w="28" w:type="dxa"/>
        </w:tblCellMar>
      </w:tblPr>
      <w:tblGrid>
        <w:gridCol w:w="544"/>
        <w:gridCol w:w="477"/>
        <w:gridCol w:w="479"/>
        <w:gridCol w:w="221"/>
        <w:gridCol w:w="489"/>
        <w:gridCol w:w="114"/>
        <w:gridCol w:w="109"/>
        <w:gridCol w:w="109"/>
        <w:gridCol w:w="109"/>
        <w:gridCol w:w="109"/>
        <w:gridCol w:w="109"/>
        <w:gridCol w:w="370"/>
        <w:gridCol w:w="713"/>
        <w:gridCol w:w="193"/>
        <w:gridCol w:w="109"/>
        <w:gridCol w:w="109"/>
        <w:gridCol w:w="109"/>
        <w:gridCol w:w="322"/>
        <w:gridCol w:w="621"/>
        <w:gridCol w:w="168"/>
        <w:gridCol w:w="109"/>
        <w:gridCol w:w="109"/>
        <w:gridCol w:w="109"/>
        <w:gridCol w:w="211"/>
        <w:gridCol w:w="331"/>
        <w:gridCol w:w="109"/>
        <w:gridCol w:w="109"/>
        <w:gridCol w:w="109"/>
        <w:gridCol w:w="109"/>
        <w:gridCol w:w="289"/>
        <w:gridCol w:w="639"/>
        <w:gridCol w:w="211"/>
      </w:tblGrid>
      <w:tr>
        <w:trPr/>
        <w:tc>
          <w:tcPr>
            <w:tcW w:w="54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83" w:type="dxa"/>
            <w:gridSpan w:val="1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Factors Contributing to Total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6"/>
            <w:tcBorders/>
            <w:shd w:fill="auto" w:val="clea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Organic</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 /</w:t>
              <w:br/>
              <w:t>Divestitures, 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w:t>
              <w:br/>
              <w:t>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Change</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500"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710"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14"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3"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43"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68"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542"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28"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pPr>
      <w:r>
        <w:rPr>
          <w:rFonts w:ascii="Times New Roman;sans-serif" w:hAnsi="Times New Roman;sans-serif"/>
          <w:b w:val="false"/>
          <w:color w:val="000000"/>
          <w:sz w:val="16"/>
        </w:rPr>
        <w:t xml:space="preserve">(1)    See “Segment Review” above for definition of organic. </w:t>
      </w:r>
      <w:r>
        <w:rPr>
          <w:rFonts w:ascii="Times New Roman;sans-serif" w:hAnsi="Times New Roman;sans-serif"/>
          <w:b w:val="false"/>
          <w:color w:val="000000"/>
          <w:sz w:val="16"/>
          <w:highlight w:val="white"/>
        </w:rPr>
        <w:t>A reconciliation of these measures to reported U.S. GAAP amounts is provided in the table above.</w:t>
      </w:r>
      <w:r>
        <w:rPr>
          <w:color w:val="000000"/>
        </w:rPr>
        <w:t xml:space="preserve"> </w:t>
      </w:r>
    </w:p>
    <w:p>
      <w:pPr>
        <w:pStyle w:val="TextBody"/>
        <w:spacing w:lineRule="auto" w:line="288" w:before="120" w:after="283"/>
        <w:jc w:val="both"/>
        <w:rPr/>
      </w:pPr>
      <w:r>
        <w:rPr>
          <w:rFonts w:ascii="Times New Roman;sans-serif" w:hAnsi="Times New Roman;sans-serif"/>
          <w:b w:val="false"/>
          <w:color w:val="000000"/>
          <w:sz w:val="20"/>
        </w:rPr>
        <w:t xml:space="preserve">The organic sales increase of $0.7 billion in the quarter ended March 31, 2023 compared to the quarter ended March 31, 2022 reflects higher commercial aftermarket sales of $0.3 billion primarily due to an increase in volume and favorable mix as the commercial aerospace environment continues to recover. The increase also includes higher commercial OEM sales of $0.2 billion primarily driven by volume and favorable mix on commercial engine shipments and higher military sales of </w:t>
      </w:r>
      <w:r>
        <w:rPr>
          <w:rFonts w:ascii="Times New Roman;sans-serif" w:hAnsi="Times New Roman;sans-serif"/>
          <w:b w:val="false"/>
          <w:color w:val="000000"/>
          <w:sz w:val="20"/>
          <w:highlight w:val="white"/>
        </w:rPr>
        <w:t>$0.2</w:t>
      </w:r>
      <w:r>
        <w:rPr>
          <w:color w:val="000000"/>
        </w:rPr>
        <w:t xml:space="preserve"> </w:t>
      </w:r>
      <w:r>
        <w:rPr>
          <w:rFonts w:ascii="Times New Roman;sans-serif" w:hAnsi="Times New Roman;sans-serif"/>
          <w:b w:val="false"/>
          <w:color w:val="000000"/>
          <w:sz w:val="20"/>
        </w:rPr>
        <w:t>billion primarily driven by the F135 production contract award in the second quarter of 2022 and higher F135 sustainment volume.</w:t>
      </w:r>
    </w:p>
    <w:p>
      <w:pPr>
        <w:pStyle w:val="TextBody"/>
        <w:spacing w:lineRule="auto" w:line="288" w:before="120" w:after="283"/>
        <w:jc w:val="both"/>
        <w:rPr/>
      </w:pPr>
      <w:r>
        <w:rPr>
          <w:rFonts w:ascii="Times New Roman;sans-serif" w:hAnsi="Times New Roman;sans-serif"/>
          <w:b w:val="false"/>
          <w:color w:val="000000"/>
          <w:sz w:val="20"/>
        </w:rPr>
        <w:t>The organic operating profit increase of $0.1 billion in the quarter ended March 31, 2023 compared to the quarter ended March 31, 2022 was primarily driven by higher commercial aerospace operating profit of $0.1 billion principally due to the aftermarket sales increase discussed above and includes a $60 million favorable contract matter. These increases were partially offset by lower commercial OEM operating profit driven by the volume increases noted above. T</w:t>
      </w:r>
      <w:r>
        <w:rPr>
          <w:rFonts w:ascii="Times New Roman;sans-serif" w:hAnsi="Times New Roman;sans-serif"/>
          <w:b w:val="false"/>
          <w:color w:val="000000"/>
          <w:sz w:val="20"/>
          <w:highlight w:val="white"/>
        </w:rPr>
        <w:t>he increase in operating profit also includes higher military operating profit primarily driven by the sales increases discussed above.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operating profits of $0.2 billion in the quarter ended March 31, 2023 compared to the quarter ended March 31, 2022 was primarily due to the absence of $155 million of pretax charges recorded the first quarter of 2022 related to impairment of customer financing assets for products under lease, increased estimates for credit losses, inventory reserves, and recognition of purchase order obligations, all due to global sanctions on and export controls with respect to Russia. See “Note 1: Basis of Presentation” within Item 1 of this Form 10-Q for additional information.</w:t>
      </w:r>
    </w:p>
    <w:p>
      <w:pPr>
        <w:pStyle w:val="TextBody"/>
        <w:spacing w:lineRule="auto" w:line="288" w:before="120" w:after="283"/>
        <w:jc w:val="both"/>
        <w:rPr/>
      </w:pPr>
      <w:r>
        <w:rPr>
          <w:rFonts w:ascii="Times New Roman;sans-serif" w:hAnsi="Times New Roman;sans-serif"/>
          <w:b w:val="false"/>
          <w:i/>
          <w:color w:val="000000"/>
          <w:sz w:val="20"/>
        </w:rPr>
        <w:t>Defense Bookings</w:t>
      </w:r>
      <w:r>
        <w:rPr>
          <w:color w:val="000000"/>
        </w:rPr>
        <w:t xml:space="preserve"> – </w:t>
      </w:r>
      <w:r>
        <w:rPr>
          <w:rFonts w:ascii="Times New Roman;sans-serif" w:hAnsi="Times New Roman;sans-serif"/>
          <w:b w:val="false"/>
          <w:color w:val="000000"/>
          <w:sz w:val="20"/>
        </w:rPr>
        <w:t xml:space="preserve">In addition to a number of smaller bookings, in the quarter ended March 31, 2023, </w:t>
      </w:r>
      <w:r>
        <w:rPr>
          <w:rFonts w:ascii="Times New Roman;sans-serif" w:hAnsi="Times New Roman;sans-serif"/>
          <w:b w:val="false"/>
          <w:color w:val="000000"/>
          <w:sz w:val="20"/>
          <w:highlight w:val="white"/>
        </w:rPr>
        <w:t>Pratt &amp; Whitney</w:t>
      </w:r>
      <w:r>
        <w:rPr>
          <w:color w:val="000000"/>
        </w:rPr>
        <w:t xml:space="preserve"> </w:t>
      </w:r>
      <w:r>
        <w:rPr>
          <w:rFonts w:ascii="Times New Roman;sans-serif" w:hAnsi="Times New Roman;sans-serif"/>
          <w:b w:val="false"/>
          <w:color w:val="000000"/>
          <w:sz w:val="20"/>
        </w:rPr>
        <w:t>booked $308 million for F119 sustainment, $224 million for F117 sustainment, $217 million for tanker production Lots 8 and 9, and $213 million for F135 sustainment.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Raytheon Intelligence &amp; Space</w:t>
      </w:r>
    </w:p>
    <w:tbl>
      <w:tblPr>
        <w:tblW w:w="5773" w:type="dxa"/>
        <w:jc w:val="left"/>
        <w:tblInd w:w="0" w:type="dxa"/>
        <w:tblCellMar>
          <w:top w:w="28" w:type="dxa"/>
          <w:left w:w="28" w:type="dxa"/>
          <w:bottom w:w="28" w:type="dxa"/>
          <w:right w:w="28" w:type="dxa"/>
        </w:tblCellMar>
      </w:tblPr>
      <w:tblGrid>
        <w:gridCol w:w="767"/>
        <w:gridCol w:w="672"/>
        <w:gridCol w:w="675"/>
        <w:gridCol w:w="245"/>
        <w:gridCol w:w="176"/>
        <w:gridCol w:w="420"/>
        <w:gridCol w:w="109"/>
        <w:gridCol w:w="109"/>
        <w:gridCol w:w="109"/>
        <w:gridCol w:w="211"/>
        <w:gridCol w:w="616"/>
        <w:gridCol w:w="271"/>
        <w:gridCol w:w="218"/>
        <w:gridCol w:w="218"/>
        <w:gridCol w:w="367"/>
        <w:gridCol w:w="109"/>
        <w:gridCol w:w="109"/>
        <w:gridCol w:w="109"/>
        <w:gridCol w:w="109"/>
        <w:gridCol w:w="154"/>
      </w:tblGrid>
      <w:tr>
        <w:trPr/>
        <w:tc>
          <w:tcPr>
            <w:tcW w:w="76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8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3,565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margins</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w:t>
            </w:r>
            <w:r>
              <w:rPr>
                <w:color w:val="000000"/>
              </w:rPr>
              <w:t> </w:t>
            </w:r>
          </w:p>
        </w:tc>
        <w:tc>
          <w:tcPr>
            <w:tcW w:w="4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Bookings</w:t>
            </w:r>
          </w:p>
        </w:tc>
        <w:tc>
          <w:tcPr>
            <w:tcW w:w="245"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6"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4,295</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271"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36"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67"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i/>
          <w:color w:val="000000"/>
          <w:sz w:val="20"/>
        </w:rPr>
      </w:pPr>
      <w:r>
        <w:rPr>
          <w:rFonts w:ascii="Times New Roman;sans-serif" w:hAnsi="Times New Roman;sans-serif"/>
          <w:b/>
          <w:i/>
          <w:color w:val="000000"/>
          <w:sz w:val="20"/>
        </w:rPr>
        <w:t>Quarter Ended March 31, 2023 Compared with Quarter Ended March 31, 2022</w:t>
      </w:r>
    </w:p>
    <w:tbl>
      <w:tblPr>
        <w:tblW w:w="8030" w:type="dxa"/>
        <w:jc w:val="center"/>
        <w:tblInd w:w="0" w:type="dxa"/>
        <w:tblCellMar>
          <w:top w:w="28" w:type="dxa"/>
          <w:left w:w="28" w:type="dxa"/>
          <w:bottom w:w="28" w:type="dxa"/>
          <w:right w:w="28" w:type="dxa"/>
        </w:tblCellMar>
      </w:tblPr>
      <w:tblGrid>
        <w:gridCol w:w="544"/>
        <w:gridCol w:w="477"/>
        <w:gridCol w:w="479"/>
        <w:gridCol w:w="430"/>
        <w:gridCol w:w="521"/>
        <w:gridCol w:w="222"/>
        <w:gridCol w:w="222"/>
        <w:gridCol w:w="222"/>
        <w:gridCol w:w="222"/>
        <w:gridCol w:w="222"/>
        <w:gridCol w:w="222"/>
        <w:gridCol w:w="430"/>
        <w:gridCol w:w="827"/>
        <w:gridCol w:w="222"/>
        <w:gridCol w:w="109"/>
        <w:gridCol w:w="109"/>
        <w:gridCol w:w="109"/>
        <w:gridCol w:w="109"/>
        <w:gridCol w:w="109"/>
        <w:gridCol w:w="211"/>
        <w:gridCol w:w="436"/>
        <w:gridCol w:w="109"/>
        <w:gridCol w:w="109"/>
        <w:gridCol w:w="109"/>
        <w:gridCol w:w="109"/>
        <w:gridCol w:w="362"/>
        <w:gridCol w:w="512"/>
        <w:gridCol w:w="266"/>
      </w:tblGrid>
      <w:tr>
        <w:trPr/>
        <w:tc>
          <w:tcPr>
            <w:tcW w:w="54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2"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Factors Contributing to Total Change in Net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10"/>
            <w:tcBorders/>
            <w:shd w:fill="auto" w:val="clea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Organic</w:t>
            </w:r>
            <w:r>
              <w:rPr>
                <w:rFonts w:ascii="Times New Roman;sans-serif" w:hAnsi="Times New Roman;sans-serif"/>
                <w:b/>
                <w:color w:val="000000"/>
                <w:sz w:val="10"/>
              </w:rPr>
              <w:t>(1)</w:t>
            </w:r>
          </w:p>
        </w:tc>
        <w:tc>
          <w:tcPr>
            <w:tcW w:w="6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 /</w:t>
              <w:br/>
              <w:t>Divestitures, 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Change</w:t>
            </w:r>
          </w:p>
        </w:tc>
      </w:tr>
      <w:tr>
        <w:trPr/>
        <w:tc>
          <w:tcPr>
            <w:tcW w:w="150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4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66"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pPr>
      <w:r>
        <w:rPr>
          <w:rFonts w:ascii="Times New Roman;sans-serif" w:hAnsi="Times New Roman;sans-serif"/>
          <w:b w:val="false"/>
          <w:color w:val="000000"/>
          <w:sz w:val="16"/>
        </w:rPr>
        <w:t xml:space="preserve">(1)    See “Segment Review” above for definition of organic. </w:t>
      </w:r>
      <w:r>
        <w:rPr>
          <w:rFonts w:ascii="Times New Roman;sans-serif" w:hAnsi="Times New Roman;sans-serif"/>
          <w:b w:val="false"/>
          <w:color w:val="000000"/>
          <w:sz w:val="16"/>
          <w:highlight w:val="white"/>
        </w:rPr>
        <w:t>A reconciliation of this measure to the reported U.S. GAAP amount is provided in the table above.</w:t>
      </w:r>
    </w:p>
    <w:tbl>
      <w:tblPr>
        <w:tblW w:w="10205" w:type="dxa"/>
        <w:jc w:val="left"/>
        <w:tblInd w:w="0" w:type="dxa"/>
        <w:tblCellMar>
          <w:top w:w="28" w:type="dxa"/>
          <w:left w:w="28" w:type="dxa"/>
          <w:bottom w:w="28" w:type="dxa"/>
          <w:right w:w="28" w:type="dxa"/>
        </w:tblCellMar>
      </w:tblPr>
      <w:tblGrid>
        <w:gridCol w:w="541"/>
        <w:gridCol w:w="462"/>
        <w:gridCol w:w="464"/>
        <w:gridCol w:w="242"/>
        <w:gridCol w:w="293"/>
        <w:gridCol w:w="126"/>
        <w:gridCol w:w="109"/>
        <w:gridCol w:w="109"/>
        <w:gridCol w:w="109"/>
        <w:gridCol w:w="700"/>
        <w:gridCol w:w="1253"/>
        <w:gridCol w:w="365"/>
        <w:gridCol w:w="109"/>
        <w:gridCol w:w="109"/>
        <w:gridCol w:w="109"/>
        <w:gridCol w:w="370"/>
        <w:gridCol w:w="713"/>
        <w:gridCol w:w="193"/>
        <w:gridCol w:w="109"/>
        <w:gridCol w:w="109"/>
        <w:gridCol w:w="109"/>
        <w:gridCol w:w="731"/>
        <w:gridCol w:w="942"/>
        <w:gridCol w:w="380"/>
        <w:gridCol w:w="109"/>
        <w:gridCol w:w="109"/>
        <w:gridCol w:w="109"/>
        <w:gridCol w:w="295"/>
        <w:gridCol w:w="607"/>
        <w:gridCol w:w="220"/>
      </w:tblGrid>
      <w:tr>
        <w:trPr/>
        <w:tc>
          <w:tcPr>
            <w:tcW w:w="54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16"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Factors Contributing to Change in Operating Profit</w:t>
            </w:r>
          </w:p>
        </w:tc>
        <w:tc>
          <w:tcPr>
            <w:tcW w:w="1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change in EAC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 /</w:t>
              <w:br/>
              <w:t>Divestitures, 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Mix and other performance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Change</w:t>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2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7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7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Organic sales in the quarter ended March 31, 2023 were relatively consistent with the quarter ended March 31, 2022. Included in the organic change in sales were higher Cyber and Services sales (formerly Cyber, Training and Services), and lower Command, Control and Communications sales.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operating profit of $0.1 billion, and the related decrease in operating profit margins, in the quarter ended March 31, 2023 compared to the quarter ended March 31, 2022, were primarily due to the net unfavorable change in EAC adjustments of $49 million, which was spread across numerous programs, with no individual common or significant driver.</w:t>
      </w:r>
    </w:p>
    <w:p>
      <w:pPr>
        <w:pStyle w:val="TextBody"/>
        <w:spacing w:lineRule="auto" w:line="288" w:before="120" w:after="283"/>
        <w:jc w:val="both"/>
        <w:rPr/>
      </w:pPr>
      <w:r>
        <w:rPr>
          <w:rFonts w:ascii="Times New Roman;sans-serif" w:hAnsi="Times New Roman;sans-serif"/>
          <w:b w:val="false"/>
          <w:i/>
          <w:color w:val="000000"/>
          <w:sz w:val="20"/>
        </w:rPr>
        <w:t>Backlog and Bookings</w:t>
      </w:r>
      <w:r>
        <w:rPr>
          <w:color w:val="000000"/>
        </w:rPr>
        <w:t xml:space="preserve">– </w:t>
      </w:r>
      <w:r>
        <w:rPr>
          <w:rFonts w:ascii="Times New Roman;sans-serif" w:hAnsi="Times New Roman;sans-serif"/>
          <w:b w:val="false"/>
          <w:color w:val="000000"/>
          <w:sz w:val="20"/>
        </w:rPr>
        <w:t>Backlog was $17 billion at March 31, 2023 and $16 billion at December 31, 2022. In addition to a number of smaller bookings, in the quarter ended March 31, 2023, RIS booked $1.9 billion on a number of classified contracts, $650 million on Next Generation Jammer Mid-Band (NGJ-MB) for the U.S. Navy and the government of Australia, $275 million on a seven-vehicle missile tracking satellite constellation for the Space Development Agency, and $266 million to deliver airborne radars to an international customer.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Raytheon Missiles &amp; Defense</w:t>
      </w:r>
    </w:p>
    <w:tbl>
      <w:tblPr>
        <w:tblW w:w="5773" w:type="dxa"/>
        <w:jc w:val="left"/>
        <w:tblInd w:w="0" w:type="dxa"/>
        <w:tblCellMar>
          <w:top w:w="28" w:type="dxa"/>
          <w:left w:w="28" w:type="dxa"/>
          <w:bottom w:w="28" w:type="dxa"/>
          <w:right w:w="28" w:type="dxa"/>
        </w:tblCellMar>
      </w:tblPr>
      <w:tblGrid>
        <w:gridCol w:w="767"/>
        <w:gridCol w:w="672"/>
        <w:gridCol w:w="675"/>
        <w:gridCol w:w="245"/>
        <w:gridCol w:w="176"/>
        <w:gridCol w:w="420"/>
        <w:gridCol w:w="109"/>
        <w:gridCol w:w="109"/>
        <w:gridCol w:w="109"/>
        <w:gridCol w:w="211"/>
        <w:gridCol w:w="616"/>
        <w:gridCol w:w="271"/>
        <w:gridCol w:w="218"/>
        <w:gridCol w:w="218"/>
        <w:gridCol w:w="367"/>
        <w:gridCol w:w="109"/>
        <w:gridCol w:w="109"/>
        <w:gridCol w:w="109"/>
        <w:gridCol w:w="109"/>
        <w:gridCol w:w="154"/>
      </w:tblGrid>
      <w:tr>
        <w:trPr/>
        <w:tc>
          <w:tcPr>
            <w:tcW w:w="76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8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margins</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8.9</w:t>
            </w:r>
            <w:r>
              <w:rPr>
                <w:color w:val="000000"/>
              </w:rPr>
              <w:t> </w:t>
            </w:r>
          </w:p>
        </w:tc>
        <w:tc>
          <w:tcPr>
            <w:tcW w:w="4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Bookings</w:t>
            </w:r>
          </w:p>
        </w:tc>
        <w:tc>
          <w:tcPr>
            <w:tcW w:w="245"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6"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5,200</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4,100 </w:t>
            </w:r>
          </w:p>
        </w:tc>
        <w:tc>
          <w:tcPr>
            <w:tcW w:w="271"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36"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67"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i/>
          <w:color w:val="000000"/>
          <w:sz w:val="20"/>
        </w:rPr>
      </w:pPr>
      <w:r>
        <w:rPr>
          <w:rFonts w:ascii="Times New Roman;sans-serif" w:hAnsi="Times New Roman;sans-serif"/>
          <w:b/>
          <w:i/>
          <w:color w:val="000000"/>
          <w:sz w:val="20"/>
        </w:rPr>
        <w:t>Quarter Ended March 31, 2023 Compared with Quarter Ended March 31, 2022</w:t>
      </w:r>
    </w:p>
    <w:tbl>
      <w:tblPr>
        <w:tblW w:w="8008" w:type="dxa"/>
        <w:jc w:val="center"/>
        <w:tblInd w:w="0" w:type="dxa"/>
        <w:tblCellMar>
          <w:top w:w="28" w:type="dxa"/>
          <w:left w:w="28" w:type="dxa"/>
          <w:bottom w:w="28" w:type="dxa"/>
          <w:right w:w="28" w:type="dxa"/>
        </w:tblCellMar>
      </w:tblPr>
      <w:tblGrid>
        <w:gridCol w:w="544"/>
        <w:gridCol w:w="477"/>
        <w:gridCol w:w="479"/>
        <w:gridCol w:w="400"/>
        <w:gridCol w:w="885"/>
        <w:gridCol w:w="207"/>
        <w:gridCol w:w="207"/>
        <w:gridCol w:w="207"/>
        <w:gridCol w:w="207"/>
        <w:gridCol w:w="207"/>
        <w:gridCol w:w="207"/>
        <w:gridCol w:w="455"/>
        <w:gridCol w:w="628"/>
        <w:gridCol w:w="236"/>
        <w:gridCol w:w="109"/>
        <w:gridCol w:w="109"/>
        <w:gridCol w:w="109"/>
        <w:gridCol w:w="109"/>
        <w:gridCol w:w="109"/>
        <w:gridCol w:w="211"/>
        <w:gridCol w:w="331"/>
        <w:gridCol w:w="109"/>
        <w:gridCol w:w="109"/>
        <w:gridCol w:w="109"/>
        <w:gridCol w:w="109"/>
        <w:gridCol w:w="289"/>
        <w:gridCol w:w="639"/>
        <w:gridCol w:w="211"/>
      </w:tblGrid>
      <w:tr>
        <w:trPr/>
        <w:tc>
          <w:tcPr>
            <w:tcW w:w="54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46"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Factors Contributing to Total Change in Net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10"/>
            <w:tcBorders/>
            <w:shd w:fill="auto" w:val="clea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Organic</w:t>
            </w:r>
            <w:r>
              <w:rPr>
                <w:rFonts w:ascii="Times New Roman;sans-serif" w:hAnsi="Times New Roman;sans-serif"/>
                <w:b/>
                <w:color w:val="000000"/>
                <w:sz w:val="10"/>
              </w:rPr>
              <w:t>(1)</w:t>
            </w:r>
          </w:p>
        </w:tc>
        <w:tc>
          <w:tcPr>
            <w:tcW w:w="6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 /</w:t>
              <w:br/>
              <w:t>Divestitures, 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Change</w:t>
            </w:r>
          </w:p>
        </w:tc>
      </w:tr>
      <w:tr>
        <w:trPr/>
        <w:tc>
          <w:tcPr>
            <w:tcW w:w="150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4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21"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pPr>
      <w:r>
        <w:rPr>
          <w:rFonts w:ascii="Times New Roman;sans-serif" w:hAnsi="Times New Roman;sans-serif"/>
          <w:b w:val="false"/>
          <w:color w:val="000000"/>
          <w:sz w:val="16"/>
        </w:rPr>
        <w:t xml:space="preserve">(1)    See “Segment Review” above for definition of organic. </w:t>
      </w:r>
      <w:r>
        <w:rPr>
          <w:rFonts w:ascii="Times New Roman;sans-serif" w:hAnsi="Times New Roman;sans-serif"/>
          <w:b w:val="false"/>
          <w:color w:val="000000"/>
          <w:sz w:val="16"/>
          <w:highlight w:val="white"/>
        </w:rPr>
        <w:t>A reconciliation of this measure to the reported U.S. GAAP amount is provided in the table above.</w:t>
      </w:r>
    </w:p>
    <w:tbl>
      <w:tblPr>
        <w:tblW w:w="10205" w:type="dxa"/>
        <w:jc w:val="left"/>
        <w:tblInd w:w="0" w:type="dxa"/>
        <w:tblCellMar>
          <w:top w:w="28" w:type="dxa"/>
          <w:left w:w="28" w:type="dxa"/>
          <w:bottom w:w="28" w:type="dxa"/>
          <w:right w:w="28" w:type="dxa"/>
        </w:tblCellMar>
      </w:tblPr>
      <w:tblGrid>
        <w:gridCol w:w="541"/>
        <w:gridCol w:w="460"/>
        <w:gridCol w:w="462"/>
        <w:gridCol w:w="211"/>
        <w:gridCol w:w="361"/>
        <w:gridCol w:w="109"/>
        <w:gridCol w:w="109"/>
        <w:gridCol w:w="109"/>
        <w:gridCol w:w="109"/>
        <w:gridCol w:w="698"/>
        <w:gridCol w:w="1248"/>
        <w:gridCol w:w="364"/>
        <w:gridCol w:w="109"/>
        <w:gridCol w:w="109"/>
        <w:gridCol w:w="109"/>
        <w:gridCol w:w="455"/>
        <w:gridCol w:w="585"/>
        <w:gridCol w:w="236"/>
        <w:gridCol w:w="109"/>
        <w:gridCol w:w="109"/>
        <w:gridCol w:w="109"/>
        <w:gridCol w:w="620"/>
        <w:gridCol w:w="1105"/>
        <w:gridCol w:w="321"/>
        <w:gridCol w:w="109"/>
        <w:gridCol w:w="109"/>
        <w:gridCol w:w="109"/>
        <w:gridCol w:w="294"/>
        <w:gridCol w:w="605"/>
        <w:gridCol w:w="222"/>
      </w:tblGrid>
      <w:tr>
        <w:trPr/>
        <w:tc>
          <w:tcPr>
            <w:tcW w:w="541"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14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21"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Factors Contributing to Change in Operating Profit</w:t>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change in EAC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 /</w:t>
              <w:br/>
              <w:t>Divestitures, 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Mix and other performance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Change</w:t>
            </w:r>
          </w:p>
        </w:tc>
      </w:tr>
      <w:tr>
        <w:trPr/>
        <w:tc>
          <w:tcPr>
            <w:tcW w:w="1463"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1463"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6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6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organic sales increase of $0.2 billion in the quarter ended March 31, 2023 compared to the quarter ended March 31, 2022 was primarily due to higher net sales of $0.1 billion from our Advanced Technologies programs, and $0.1 billion from our Air Power programs. The increase in Advanced Technologies programs includes higher net sales on certain classified programs awarded in 2022. The increase in Air Power programs includes higher net sales on the StormBreaker program driven by the award in the first quarter of 2023, primarily driven by the recognition of previously deferred precontract costs.</w:t>
      </w:r>
    </w:p>
    <w:p>
      <w:pPr>
        <w:pStyle w:val="TextBody"/>
        <w:spacing w:lineRule="auto" w:line="288" w:before="120" w:after="283"/>
        <w:jc w:val="both"/>
        <w:rPr/>
      </w:pPr>
      <w:r>
        <w:rPr>
          <w:rFonts w:ascii="Times New Roman;sans-serif" w:hAnsi="Times New Roman;sans-serif"/>
          <w:b w:val="false"/>
          <w:color w:val="000000"/>
          <w:sz w:val="20"/>
        </w:rPr>
        <w:t>The decrease in operating profit of $0.1 billion in the quarter ended March 31, 2023 compared to the quarter ended March 31, 2022, was primarily due to a net unfavorable change in EAC adjustments of $61 million and mix and other performance of $27 million, partially offset by the impact of higher volume of $30 million. The net change in EAC adjustments was driven primarily by an unfavorable impact related to a significant contract option exercised in the first quarter of 2023. The unfavorable change in mix and other performance was spread across numerous programs and includes higher development program mix</w:t>
      </w:r>
      <w:r>
        <w:rPr>
          <w:rFonts w:ascii="Times New Roman;sans-serif" w:hAnsi="Times New Roman;sans-serif"/>
          <w:b w:val="false"/>
          <w:color w:val="000000"/>
          <w:sz w:val="20"/>
          <w:highlight w:val="white"/>
        </w:rPr>
        <w:t>. The increase in</w:t>
      </w:r>
      <w:r>
        <w:rPr>
          <w:color w:val="000000"/>
        </w:rPr>
        <w:t xml:space="preserve"> </w:t>
      </w:r>
      <w:r>
        <w:rPr>
          <w:rFonts w:ascii="Times New Roman;sans-serif" w:hAnsi="Times New Roman;sans-serif"/>
          <w:b w:val="false"/>
          <w:color w:val="000000"/>
          <w:sz w:val="20"/>
        </w:rPr>
        <w:t>volume was principally driven by the higher net sales on the Advanced Technologies and Air Power programs discussed above. The decrease in operating profit margins in the quarter ended March 31, 2023 compared to the quarter ended March 31, 2022, was primarily due to the net change in EAC adjustments and the change in mix and other performance discussed above.</w:t>
      </w:r>
    </w:p>
    <w:p>
      <w:pPr>
        <w:pStyle w:val="TextBody"/>
        <w:spacing w:lineRule="auto" w:line="288" w:before="120" w:after="283"/>
        <w:jc w:val="both"/>
        <w:rPr/>
      </w:pPr>
      <w:r>
        <w:rPr>
          <w:rFonts w:ascii="Times New Roman;sans-serif" w:hAnsi="Times New Roman;sans-serif"/>
          <w:b w:val="false"/>
          <w:i/>
          <w:color w:val="000000"/>
          <w:sz w:val="20"/>
        </w:rPr>
        <w:t>Backlog and Bookings</w:t>
      </w:r>
      <w:r>
        <w:rPr>
          <w:color w:val="000000"/>
        </w:rPr>
        <w:t xml:space="preserve">– </w:t>
      </w:r>
      <w:r>
        <w:rPr>
          <w:rFonts w:ascii="Times New Roman;sans-serif" w:hAnsi="Times New Roman;sans-serif"/>
          <w:b w:val="false"/>
          <w:color w:val="000000"/>
          <w:sz w:val="20"/>
        </w:rPr>
        <w:t>Backlog was $35 billion at March 31, 2023 and $34 billion at December 31, 2022. In addition to a number of smaller bookings, in the quarter ended March 31, 2023, RMD booked $1.2 billion to provide Patriot Air Defense system to Switzerland, $619 million on the SPY-6 Hardware Production and Sustainment contract for the U.S. Navy, $320 million on StormBreaker for the U.S. Air Force and Navy, $234 million on Naval Strike Missiles (NSM) for the U.S. Navy, and $212 million on Excalibur for the U.S. Army and international customers. In addition to the bookings noted above, RMD booked $827 million on a number of classified contracts.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Corporate and Eliminations and other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Eliminations and other reflects the elimination of sales, other income, and operating profit transacted between segments, as well as the operating results of certain smaller non-reportable business segments.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 unallocated items consists of costs and certain other unallowable corporate costs not considered part of management’s evaluation of reportable segment operating performance and certain reserves. In addition, in 2022, net costs associated with corporate research and development related to the LTAMDS program were included in Corporate Eliminations and other. Beginning in 2023, the remaining net costs associated with the LTAMDS program are within the RMD segment.</w:t>
      </w:r>
    </w:p>
    <w:tbl>
      <w:tblPr>
        <w:tblW w:w="8416" w:type="dxa"/>
        <w:jc w:val="left"/>
        <w:tblInd w:w="0" w:type="dxa"/>
        <w:tblCellMar>
          <w:top w:w="28" w:type="dxa"/>
          <w:left w:w="28" w:type="dxa"/>
          <w:bottom w:w="28" w:type="dxa"/>
          <w:right w:w="28" w:type="dxa"/>
        </w:tblCellMar>
      </w:tblPr>
      <w:tblGrid>
        <w:gridCol w:w="1453"/>
        <w:gridCol w:w="1273"/>
        <w:gridCol w:w="1279"/>
        <w:gridCol w:w="211"/>
        <w:gridCol w:w="541"/>
        <w:gridCol w:w="109"/>
        <w:gridCol w:w="109"/>
        <w:gridCol w:w="109"/>
        <w:gridCol w:w="109"/>
        <w:gridCol w:w="211"/>
        <w:gridCol w:w="541"/>
        <w:gridCol w:w="109"/>
        <w:gridCol w:w="109"/>
        <w:gridCol w:w="109"/>
        <w:gridCol w:w="109"/>
        <w:gridCol w:w="236"/>
        <w:gridCol w:w="420"/>
        <w:gridCol w:w="121"/>
        <w:gridCol w:w="121"/>
        <w:gridCol w:w="121"/>
        <w:gridCol w:w="121"/>
        <w:gridCol w:w="236"/>
        <w:gridCol w:w="487"/>
        <w:gridCol w:w="172"/>
      </w:tblGrid>
      <w:tr>
        <w:trPr/>
        <w:tc>
          <w:tcPr>
            <w:tcW w:w="1453"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Profit</w:t>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 unallocated items</w:t>
            </w:r>
          </w:p>
        </w:tc>
        <w:tc>
          <w:tcPr>
            <w:tcW w:w="752"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52"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56"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w:t>
            </w:r>
          </w:p>
        </w:tc>
        <w:tc>
          <w:tcPr>
            <w:tcW w:w="121"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723" w:type="dxa"/>
            <w:gridSpan w:val="2"/>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72"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eliminations and other sales of $97 million in the quarter ended March 31, 2023 compared to the quarter ended March 31, 2022 was primarily due to an increase in intersegment eliminations, principally driven by Collins and RIS.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eliminations and other operating profit of $47 million in the quarter ended March 31, 2023 compared to the quarter ended March 31, 2022 was primarily due to a gain on sale of land in the first quarter of 2023.</w:t>
      </w:r>
    </w:p>
    <w:p>
      <w:pPr>
        <w:pStyle w:val="TextBody"/>
        <w:spacing w:lineRule="auto" w:line="288" w:before="120" w:after="283"/>
        <w:jc w:val="both"/>
        <w:rPr/>
      </w:pPr>
      <w:r>
        <w:rPr>
          <w:rFonts w:ascii="Times New Roman;sans-serif" w:hAnsi="Times New Roman;sans-serif"/>
          <w:b w:val="false"/>
          <w:color w:val="000000"/>
          <w:sz w:val="20"/>
        </w:rPr>
        <w:t xml:space="preserve">The change in corporate expenses and other unallocated items operating profit of $93 million in the quarter ended March 31, 2023 compared to the quarter ended March 31, 2022 was primarily due to </w:t>
      </w:r>
      <w:r>
        <w:rPr>
          <w:rFonts w:ascii="Times New Roman;sans-serif" w:hAnsi="Times New Roman;sans-serif"/>
          <w:b w:val="false"/>
          <w:color w:val="000000"/>
          <w:sz w:val="20"/>
          <w:highlight w:val="white"/>
        </w:rPr>
        <w:t xml:space="preserve">a </w:t>
      </w:r>
      <w:r>
        <w:rPr>
          <w:rFonts w:ascii="Times New Roman;sans-serif" w:hAnsi="Times New Roman;sans-serif"/>
          <w:b w:val="false"/>
          <w:color w:val="000000"/>
          <w:sz w:val="20"/>
        </w:rPr>
        <w:t>decrease in expenses related to the LTAMDS project, which are now included in the RMD segment, and lower restructuring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FAS/CAS operating adjustment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a FAS/CAS operating adjustment outside of segment results, which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RIS and RMD segments. While the ultimate liability for pension and PRB costs under FAS and CAS is similar, the pattern of cost recognition is different. Over time, we generally expect to recover the related RIS and RMD pension and PRB liabilities through the pricing of our products and services to the U.S. government. Collins and Pratt &amp; Whitney generally record pension and PRB expense on a FAS basis.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components of the FAS/CAS operating adjustment were as follows:</w:t>
      </w:r>
    </w:p>
    <w:tbl>
      <w:tblPr>
        <w:tblW w:w="5141" w:type="dxa"/>
        <w:jc w:val="left"/>
        <w:tblInd w:w="0" w:type="dxa"/>
        <w:tblCellMar>
          <w:top w:w="28" w:type="dxa"/>
          <w:left w:w="28" w:type="dxa"/>
          <w:bottom w:w="28" w:type="dxa"/>
          <w:right w:w="28" w:type="dxa"/>
        </w:tblCellMar>
      </w:tblPr>
      <w:tblGrid>
        <w:gridCol w:w="968"/>
        <w:gridCol w:w="849"/>
        <w:gridCol w:w="852"/>
        <w:gridCol w:w="220"/>
        <w:gridCol w:w="501"/>
        <w:gridCol w:w="113"/>
        <w:gridCol w:w="113"/>
        <w:gridCol w:w="113"/>
        <w:gridCol w:w="113"/>
        <w:gridCol w:w="220"/>
        <w:gridCol w:w="485"/>
        <w:gridCol w:w="113"/>
        <w:gridCol w:w="109"/>
        <w:gridCol w:w="109"/>
        <w:gridCol w:w="109"/>
        <w:gridCol w:w="154"/>
      </w:tblGrid>
      <w:tr>
        <w:trPr/>
        <w:tc>
          <w:tcPr>
            <w:tcW w:w="968"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 service cost (expense)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 expense</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354</w:t>
            </w: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FAS/CAS operating adjustment</w:t>
            </w:r>
          </w:p>
        </w:tc>
        <w:tc>
          <w:tcPr>
            <w:tcW w:w="2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314</w:t>
            </w:r>
            <w:r>
              <w:rPr>
                <w:color w:val="000000"/>
              </w:rPr>
              <w:t> </w:t>
            </w:r>
          </w:p>
        </w:tc>
        <w:tc>
          <w:tcPr>
            <w:tcW w:w="1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our FAS/CAS operating adjustment of $64 million in the quarter ended March 31, 2023 compared to the quarter ended March 31, 2022 was driven by a $115 million decrease in CAS expense, partially offset by a $51 million decrease in FAS service cost. The decrease in CAS expense was primarily due to changes to the Raytheon Company domestic pension plans announced in December 2020 that was effective December 31, 2022, and the recognition of historical CAS gain/loss experience. The decrease in FAS service cost was primarily due to changes to the Raytheon Company domestic pension plans announced in December 2020 that was effective December 31, 2022. Refer to “Note 9: Employee Benefit Plans” within Item 1 of this Form 10-Q for additional information on the Raytheon Company domestic pension plan change.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Acquisition accounting adjustments</w:t>
      </w:r>
    </w:p>
    <w:p>
      <w:pPr>
        <w:pStyle w:val="TextBody"/>
        <w:spacing w:lineRule="auto" w:line="288" w:before="0" w:after="0"/>
        <w:jc w:val="both"/>
        <w:rPr/>
      </w:pPr>
      <w:r>
        <w:rPr>
          <w:rFonts w:ascii="Times New Roman;sans-serif" w:hAnsi="Times New Roman;sans-serif"/>
          <w:b w:val="false"/>
          <w:color w:val="000000"/>
          <w:sz w:val="20"/>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These adjustments are not considered part of management’s evaluation of segment results</w:t>
      </w:r>
      <w:r>
        <w:rPr>
          <w:rFonts w:ascii="Times New Roman;sans-serif" w:hAnsi="Times New Roman;sans-serif"/>
          <w:b/>
          <w:color w:val="000000"/>
          <w:sz w:val="20"/>
        </w:rPr>
        <w: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components of Acquisition accounting adjustments were as follows:</w:t>
      </w:r>
    </w:p>
    <w:tbl>
      <w:tblPr>
        <w:tblW w:w="10205" w:type="dxa"/>
        <w:jc w:val="left"/>
        <w:tblInd w:w="0" w:type="dxa"/>
        <w:tblCellMar>
          <w:top w:w="28" w:type="dxa"/>
          <w:left w:w="28" w:type="dxa"/>
          <w:bottom w:w="28" w:type="dxa"/>
          <w:right w:w="28" w:type="dxa"/>
        </w:tblCellMar>
      </w:tblPr>
      <w:tblGrid>
        <w:gridCol w:w="2812"/>
        <w:gridCol w:w="2454"/>
        <w:gridCol w:w="2428"/>
        <w:gridCol w:w="211"/>
        <w:gridCol w:w="530"/>
        <w:gridCol w:w="109"/>
        <w:gridCol w:w="109"/>
        <w:gridCol w:w="109"/>
        <w:gridCol w:w="109"/>
        <w:gridCol w:w="211"/>
        <w:gridCol w:w="530"/>
        <w:gridCol w:w="109"/>
        <w:gridCol w:w="109"/>
        <w:gridCol w:w="109"/>
        <w:gridCol w:w="109"/>
        <w:gridCol w:w="157"/>
      </w:tblGrid>
      <w:tr>
        <w:trPr/>
        <w:tc>
          <w:tcPr>
            <w:tcW w:w="2812"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acquired intangibles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property, plant and equipment fair value adjustment</w:t>
            </w:r>
          </w:p>
        </w:tc>
        <w:tc>
          <w:tcPr>
            <w:tcW w:w="7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customer contractual obligations related to acquired loss-making and below-market contracts</w:t>
            </w:r>
          </w:p>
        </w:tc>
        <w:tc>
          <w:tcPr>
            <w:tcW w:w="7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(493)</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 related to acquisitions in each segment were as follows:</w:t>
      </w:r>
    </w:p>
    <w:tbl>
      <w:tblPr>
        <w:tblW w:w="5589" w:type="dxa"/>
        <w:jc w:val="left"/>
        <w:tblInd w:w="0" w:type="dxa"/>
        <w:tblCellMar>
          <w:top w:w="28" w:type="dxa"/>
          <w:left w:w="28" w:type="dxa"/>
          <w:bottom w:w="28" w:type="dxa"/>
          <w:right w:w="28" w:type="dxa"/>
        </w:tblCellMar>
      </w:tblPr>
      <w:tblGrid>
        <w:gridCol w:w="1110"/>
        <w:gridCol w:w="973"/>
        <w:gridCol w:w="976"/>
        <w:gridCol w:w="211"/>
        <w:gridCol w:w="541"/>
        <w:gridCol w:w="109"/>
        <w:gridCol w:w="109"/>
        <w:gridCol w:w="109"/>
        <w:gridCol w:w="109"/>
        <w:gridCol w:w="211"/>
        <w:gridCol w:w="541"/>
        <w:gridCol w:w="109"/>
        <w:gridCol w:w="109"/>
        <w:gridCol w:w="109"/>
        <w:gridCol w:w="109"/>
        <w:gridCol w:w="154"/>
      </w:tblGrid>
      <w:tr>
        <w:trPr/>
        <w:tc>
          <w:tcPr>
            <w:tcW w:w="1110"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Collins Aerospace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Pratt &amp; Whitney</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 Intelligence &amp; Space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 Missiles &amp; Defense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 and other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accounting adjustments in the quarter ended March 31, 2023 were relatively consistent with the quarter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LIQUIDITY AND FINANCIAL CONDITION</w:t>
      </w:r>
    </w:p>
    <w:tbl>
      <w:tblPr>
        <w:tblW w:w="7727" w:type="dxa"/>
        <w:jc w:val="center"/>
        <w:tblInd w:w="0" w:type="dxa"/>
        <w:tblCellMar>
          <w:top w:w="28" w:type="dxa"/>
          <w:left w:w="28" w:type="dxa"/>
          <w:bottom w:w="28" w:type="dxa"/>
          <w:right w:w="28" w:type="dxa"/>
        </w:tblCellMar>
      </w:tblPr>
      <w:tblGrid>
        <w:gridCol w:w="1469"/>
        <w:gridCol w:w="1288"/>
        <w:gridCol w:w="1293"/>
        <w:gridCol w:w="109"/>
        <w:gridCol w:w="109"/>
        <w:gridCol w:w="109"/>
        <w:gridCol w:w="232"/>
        <w:gridCol w:w="696"/>
        <w:gridCol w:w="332"/>
        <w:gridCol w:w="109"/>
        <w:gridCol w:w="109"/>
        <w:gridCol w:w="109"/>
        <w:gridCol w:w="288"/>
        <w:gridCol w:w="842"/>
        <w:gridCol w:w="370"/>
        <w:gridCol w:w="109"/>
        <w:gridCol w:w="154"/>
      </w:tblGrid>
      <w:tr>
        <w:trPr/>
        <w:tc>
          <w:tcPr>
            <w:tcW w:w="1469"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5,893</w:t>
            </w: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34,486</w:t>
            </w:r>
            <w:r>
              <w:rPr>
                <w:color w:val="000000"/>
              </w:rPr>
              <w:t>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31,914 </w:t>
            </w:r>
          </w:p>
        </w:tc>
        <w:tc>
          <w:tcPr>
            <w:tcW w:w="3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74,347</w:t>
            </w:r>
            <w:r>
              <w:rPr>
                <w:color w:val="000000"/>
              </w:rPr>
              <w:t> </w:t>
            </w:r>
          </w:p>
        </w:tc>
        <w:tc>
          <w:tcPr>
            <w:tcW w:w="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74,178 </w:t>
            </w:r>
          </w:p>
        </w:tc>
        <w:tc>
          <w:tcPr>
            <w:tcW w:w="3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capitalization (total debt plus total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108,833</w:t>
            </w:r>
            <w:r>
              <w:rPr>
                <w:color w:val="000000"/>
              </w:rPr>
              <w:t>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106,092 </w:t>
            </w:r>
          </w:p>
        </w:tc>
        <w:tc>
          <w:tcPr>
            <w:tcW w:w="3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to total capitalization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28" w:type="dxa"/>
            <w:gridSpan w:val="2"/>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w:t>
            </w:r>
            <w:r>
              <w:rPr>
                <w:color w:val="000000"/>
              </w:rPr>
              <w:t> </w:t>
            </w:r>
          </w:p>
        </w:tc>
        <w:tc>
          <w:tcPr>
            <w:tcW w:w="332" w:type="dxa"/>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30" w:type="dxa"/>
            <w:gridSpan w:val="2"/>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70" w:type="dxa"/>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our liquidity in terms of our ability to generate cash to fund our operating, investing, and financing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 </w:t>
      </w:r>
    </w:p>
    <w:p>
      <w:pPr>
        <w:pStyle w:val="TextBody"/>
        <w:spacing w:lineRule="auto" w:line="288" w:before="120" w:after="283"/>
        <w:jc w:val="both"/>
        <w:rPr/>
      </w:pPr>
      <w:r>
        <w:rPr>
          <w:rFonts w:ascii="Times New Roman;sans-serif" w:hAnsi="Times New Roman;sans-serif"/>
          <w:b w:val="false"/>
          <w:color w:val="000000"/>
          <w:sz w:val="20"/>
        </w:rPr>
        <w:t>At March 31, 2023, we had cash and cash equivalents of $5.9 billion, of which approximatel</w:t>
      </w:r>
      <w:r>
        <w:rPr>
          <w:rFonts w:ascii="Times New Roman;sans-serif" w:hAnsi="Times New Roman;sans-serif"/>
          <w:b w:val="false"/>
          <w:color w:val="000000"/>
          <w:sz w:val="20"/>
          <w:highlight w:val="white"/>
        </w:rPr>
        <w:t xml:space="preserve">y 34% </w:t>
      </w:r>
      <w:r>
        <w:rPr>
          <w:rFonts w:ascii="Times New Roman;sans-serif" w:hAnsi="Times New Roman;sans-serif"/>
          <w:b w:val="false"/>
          <w:color w:val="000000"/>
          <w:sz w:val="20"/>
        </w:rPr>
        <w:t>was held by RTC’s foreign subsidiaries. We manage our worldwide cash requirements by reviewing available funds among the many subsidiaries through which we conduct our business and the cost effectiveness with which those funds can be accessed. The Company does not intend to reinvest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RTC will continue to permanently reinvest these earnings.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strong credit ratings and financial position have enabled us to issue long-term debt at favorable market rates.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revolving credit agreements with various banks permitting aggregate borrowings of up to $7.0 billion, consisting of a $5.0 billion revolving credit agreement, which expires in April 2025, and a $2.0 billion revolving credit agreement, which expires in September 2023. As of March 31, 2023, there were no borrowings outstanding under these agreements.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March 31, 2023,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maximum commercial paper borrowing limit was $5.0 billion as the commercial paper is backed by our $5.0 billion revolving credit agreement. We had $0.1 billion of commercial paper outstanding at March 31, 2023. At March 31, 2023 short-term commercial paper borrowings outstanding had a weighted-average interest rate of 4.3%.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repayments of long-term debt during the quarters ended March 31, 2023 and 2022, and there were no issuances of long-term debt during the quarter ended March 31, 2022. We had the following issuances of long-term debt during the quarter ended March 31, 2023:</w:t>
      </w:r>
    </w:p>
    <w:tbl>
      <w:tblPr>
        <w:tblW w:w="7084" w:type="dxa"/>
        <w:jc w:val="left"/>
        <w:tblInd w:w="0" w:type="dxa"/>
        <w:tblCellMar>
          <w:top w:w="28" w:type="dxa"/>
          <w:left w:w="28" w:type="dxa"/>
          <w:bottom w:w="28" w:type="dxa"/>
          <w:right w:w="28" w:type="dxa"/>
        </w:tblCellMar>
      </w:tblPr>
      <w:tblGrid>
        <w:gridCol w:w="582"/>
        <w:gridCol w:w="509"/>
        <w:gridCol w:w="514"/>
        <w:gridCol w:w="744"/>
        <w:gridCol w:w="744"/>
        <w:gridCol w:w="747"/>
        <w:gridCol w:w="812"/>
        <w:gridCol w:w="1856"/>
        <w:gridCol w:w="422"/>
        <w:gridCol w:w="154"/>
      </w:tblGrid>
      <w:tr>
        <w:trPr/>
        <w:tc>
          <w:tcPr>
            <w:tcW w:w="582"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Issuance Date</w:t>
            </w:r>
          </w:p>
        </w:tc>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Notes</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Principal Balance (in millions)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2023</w:t>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5.000% notes due 2026 </w:t>
            </w:r>
            <w:r>
              <w:rPr>
                <w:rFonts w:ascii="Times New Roman;sans-serif" w:hAnsi="Times New Roman;sans-serif"/>
                <w:b w:val="false"/>
                <w:color w:val="000000"/>
                <w:sz w:val="13"/>
              </w:rPr>
              <w:t>(1)</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500</w:t>
            </w: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5.150% notes due 2033 </w:t>
            </w:r>
            <w:r>
              <w:rPr>
                <w:rFonts w:ascii="Times New Roman;sans-serif" w:hAnsi="Times New Roman;sans-serif"/>
                <w:b w:val="false"/>
                <w:color w:val="000000"/>
                <w:sz w:val="13"/>
              </w:rPr>
              <w:t>(1)</w:t>
            </w:r>
          </w:p>
        </w:tc>
        <w:tc>
          <w:tcPr>
            <w:tcW w:w="26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1,250</w:t>
            </w:r>
            <w:r>
              <w:rPr>
                <w:color w:val="000000"/>
              </w:rPr>
              <w:t>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bottom w:val="single" w:sz="16"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235" w:type="dxa"/>
            <w:gridSpan w:val="3"/>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5.375% notes due 2053 </w:t>
            </w:r>
            <w:r>
              <w:rPr>
                <w:rFonts w:ascii="Times New Roman;sans-serif" w:hAnsi="Times New Roman;sans-serif"/>
                <w:b w:val="false"/>
                <w:color w:val="000000"/>
                <w:sz w:val="13"/>
              </w:rPr>
              <w:t>(1)</w:t>
            </w:r>
          </w:p>
        </w:tc>
        <w:tc>
          <w:tcPr>
            <w:tcW w:w="2668" w:type="dxa"/>
            <w:gridSpan w:val="2"/>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1,250</w:t>
            </w:r>
            <w:r>
              <w:rPr>
                <w:color w:val="000000"/>
              </w:rPr>
              <w:t> </w:t>
            </w:r>
          </w:p>
        </w:tc>
        <w:tc>
          <w:tcPr>
            <w:tcW w:w="422" w:type="dxa"/>
            <w:tcBorders>
              <w:bottom w:val="single" w:sz="16"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vAlign w:val="center"/>
          </w:tcPr>
          <w:p>
            <w:pPr>
              <w:pStyle w:val="TableContents"/>
              <w:spacing w:before="0" w:after="283"/>
              <w:rPr>
                <w:sz w:val="4"/>
                <w:szCs w:val="4"/>
              </w:rPr>
            </w:pPr>
            <w:r>
              <w:rPr>
                <w:sz w:val="4"/>
                <w:szCs w:val="4"/>
              </w:rPr>
            </w:r>
          </w:p>
        </w:tc>
        <w:tc>
          <w:tcPr>
            <w:tcW w:w="2235" w:type="dxa"/>
            <w:gridSpan w:val="3"/>
            <w:tcBorders/>
            <w:shd w:fill="auto" w:val="clear"/>
            <w:vAlign w:val="center"/>
          </w:tcPr>
          <w:p>
            <w:pPr>
              <w:pStyle w:val="TableContents"/>
              <w:spacing w:before="0" w:after="283"/>
              <w:rPr>
                <w:sz w:val="4"/>
                <w:szCs w:val="4"/>
              </w:rPr>
            </w:pPr>
            <w:r>
              <w:rPr>
                <w:sz w:val="4"/>
                <w:szCs w:val="4"/>
              </w:rPr>
            </w:r>
          </w:p>
        </w:tc>
        <w:tc>
          <w:tcPr>
            <w:tcW w:w="3090"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The net proceeds from these issuances will be used to fund repayment at maturity of the 3.650% notes due August 16, 2023 and the 3.700% notes due December 15, 2023, with the remaining proceeds to be used for general corporate purposes.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an existing universal shelf registration statement, which we filed with the Securities and Exchange Commission (SEC) on September 22, 2022, for an indeterminate amount of debt and equity securities for future issuance, subject to our internal limitations on the amount of debt to be issued under this shelf registration statement.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voluntary supply chain finance (SCF) programs with global financial institutions which enables our suppliers, at their sole discretion, to sell their receivables from the Company to the financial institutions at a rate that leverages our credit rating, which might be beneficial to them. Our suppliers’ participation in the SCF programs does not impact or change our terms and conditions with those suppliers, and therefore, we have no economic interest in a supplier’s decision to participate in the programs. In addition, we do not pay for any of the costs of the programs incurred by those suppliers that choose to participate, and have no direct financial relationship with the financial institutions, as it relates to sales of receivables made by those suppliers. As such, the SCF programs do not impact our working capital, cash flows, or overall liquidity.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Cash Flow - Operating Activities</w:t>
      </w:r>
    </w:p>
    <w:tbl>
      <w:tblPr>
        <w:tblW w:w="8997" w:type="dxa"/>
        <w:jc w:val="center"/>
        <w:tblInd w:w="0" w:type="dxa"/>
        <w:tblCellMar>
          <w:top w:w="28" w:type="dxa"/>
          <w:left w:w="28" w:type="dxa"/>
          <w:bottom w:w="28" w:type="dxa"/>
          <w:right w:w="28" w:type="dxa"/>
        </w:tblCellMar>
      </w:tblPr>
      <w:tblGrid>
        <w:gridCol w:w="2524"/>
        <w:gridCol w:w="2213"/>
        <w:gridCol w:w="2222"/>
        <w:gridCol w:w="213"/>
        <w:gridCol w:w="546"/>
        <w:gridCol w:w="110"/>
        <w:gridCol w:w="110"/>
        <w:gridCol w:w="110"/>
        <w:gridCol w:w="110"/>
        <w:gridCol w:w="213"/>
        <w:gridCol w:w="471"/>
        <w:gridCol w:w="155"/>
      </w:tblGrid>
      <w:tr>
        <w:trPr/>
        <w:tc>
          <w:tcPr>
            <w:tcW w:w="2524" w:type="dxa"/>
            <w:tcBorders/>
            <w:shd w:fill="auto" w:val="clear"/>
            <w:vAlign w:val="center"/>
          </w:tcPr>
          <w:p>
            <w:pPr>
              <w:pStyle w:val="TableContents"/>
              <w:spacing w:before="0" w:after="283"/>
              <w:rPr>
                <w:sz w:val="4"/>
                <w:szCs w:val="4"/>
              </w:rPr>
            </w:pPr>
            <w:r>
              <w:rPr>
                <w:sz w:val="4"/>
                <w:szCs w:val="4"/>
              </w:rPr>
            </w:r>
          </w:p>
        </w:tc>
        <w:tc>
          <w:tcPr>
            <w:tcW w:w="2213" w:type="dxa"/>
            <w:tcBorders/>
            <w:shd w:fill="auto" w:val="clear"/>
            <w:vAlign w:val="center"/>
          </w:tcPr>
          <w:p>
            <w:pPr>
              <w:pStyle w:val="TableContents"/>
              <w:spacing w:before="0" w:after="283"/>
              <w:rPr>
                <w:sz w:val="4"/>
                <w:szCs w:val="4"/>
              </w:rPr>
            </w:pPr>
            <w:r>
              <w:rPr>
                <w:sz w:val="4"/>
                <w:szCs w:val="4"/>
              </w:rPr>
            </w:r>
          </w:p>
        </w:tc>
        <w:tc>
          <w:tcPr>
            <w:tcW w:w="222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6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5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provided by operating activities from continuing operations</w:t>
            </w:r>
          </w:p>
        </w:tc>
        <w:tc>
          <w:tcPr>
            <w:tcW w:w="2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(863)</w:t>
            </w:r>
          </w:p>
        </w:tc>
        <w:tc>
          <w:tcPr>
            <w:tcW w:w="1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959" w:type="dxa"/>
            <w:gridSpan w:val="3"/>
            <w:tcBorders/>
            <w:shd w:fill="auto" w:val="clear"/>
            <w:vAlign w:val="center"/>
          </w:tcPr>
          <w:p>
            <w:pPr>
              <w:pStyle w:val="TableContents"/>
              <w:spacing w:before="0" w:after="283"/>
              <w:rPr>
                <w:sz w:val="4"/>
                <w:szCs w:val="4"/>
              </w:rPr>
            </w:pPr>
            <w:r>
              <w:rPr>
                <w:sz w:val="4"/>
                <w:szCs w:val="4"/>
              </w:rPr>
            </w:r>
          </w:p>
        </w:tc>
        <w:tc>
          <w:tcPr>
            <w:tcW w:w="869"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 from continuing operations in the quarter ended March 31, 2023 was $1.3 billion lower than the same period in 2022, primarily driven by an unfavorable impact to cash flow from accounts receivable as a result of increased sales volume and related factoring activity, and an increase in contract assets driven by sales in excess of billings at RMD, Pratt &amp; Whitney, and RIS. These impacts were partially offset by the increase in net income after adjustments for depreciation and amortization, deferred income tax benefit, stock compensation costs, and net periodic pension and other postretirement income. Included in the change in accounts payable and accrued liabilities was an increase in collaborator payables at Pratt &amp; Whitney, which was mostly offset by an increase in collaborator receivables, included in accounts receivable, due to the timing of settlements.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various factoring agreements with third-party financial institutions to sell certain of its receivables. Factoring activity resulted in a decrease of approximately $0.4 billion in cash provided by operating activities during the quarter ended March 31, 2023, compared to an increase of approximately $0.5 billion in cash provided by operating activities during the quarter ended March 31, 2022. Factoring activity includes amounts factored on certain aerospace receivables at the customers’ request for which we may be compensated by the customer.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made net tax payments of $171 million and $133 million in the quarters ended March 31, 2023 and 2022,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Cash Flow - Investing Activities</w:t>
      </w:r>
    </w:p>
    <w:tbl>
      <w:tblPr>
        <w:tblW w:w="7884" w:type="dxa"/>
        <w:jc w:val="center"/>
        <w:tblInd w:w="0" w:type="dxa"/>
        <w:tblCellMar>
          <w:top w:w="28" w:type="dxa"/>
          <w:left w:w="28" w:type="dxa"/>
          <w:bottom w:w="28" w:type="dxa"/>
          <w:right w:w="28" w:type="dxa"/>
        </w:tblCellMar>
      </w:tblPr>
      <w:tblGrid>
        <w:gridCol w:w="2100"/>
        <w:gridCol w:w="1841"/>
        <w:gridCol w:w="1849"/>
        <w:gridCol w:w="211"/>
        <w:gridCol w:w="541"/>
        <w:gridCol w:w="109"/>
        <w:gridCol w:w="109"/>
        <w:gridCol w:w="109"/>
        <w:gridCol w:w="109"/>
        <w:gridCol w:w="211"/>
        <w:gridCol w:w="541"/>
        <w:gridCol w:w="154"/>
      </w:tblGrid>
      <w:tr>
        <w:trPr/>
        <w:tc>
          <w:tcPr>
            <w:tcW w:w="2100" w:type="dxa"/>
            <w:tcBorders/>
            <w:shd w:fill="auto" w:val="clear"/>
            <w:vAlign w:val="center"/>
          </w:tcPr>
          <w:p>
            <w:pPr>
              <w:pStyle w:val="TableContents"/>
              <w:spacing w:before="0" w:after="283"/>
              <w:rPr>
                <w:sz w:val="4"/>
                <w:szCs w:val="4"/>
              </w:rPr>
            </w:pPr>
            <w:r>
              <w:rPr>
                <w:sz w:val="4"/>
                <w:szCs w:val="4"/>
              </w:rPr>
            </w:r>
          </w:p>
        </w:tc>
        <w:tc>
          <w:tcPr>
            <w:tcW w:w="1841"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5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9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from continuing operations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$0.1 billion increase in cash flows used in investing activities from continuing operations in the quarter ended March 31, 2023 compared to in the quarter ended March 31, 2022 primarily related to an increase in capital expenditures and other intangible assets, both of which are described below, partially offset by proceeds from a land sale in the first quarter of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Capital expenditures in the quarter ended March 31, 2023 increased by $81 million from the quarter ended March 31, 2022 primarily due to investments in production facilities at Pratt &amp; Whitney.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financing assets receipts (payments), net were receipts of $28 million and payments of $19 million in the quarters ended March 31, 2023 and 2022, respectively, and included purchases and sales of engines in our leased asset pool as well as customer financing activity.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quarters ended March 31, 2023 and 2022, we increased other intangible assets by approximately $154 million and $82 million, respectively, primarily related to collaboration payment commitments made under our 2012 agreement to acquire Rolls-Royce’s collaboration interests in International Aero Engines AG (IAE) and exclusivity payments made on contractual commitments included within intangible assets.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11: Financial Instruments” within Item 1 of this Form 10-Q, 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quarters ended March 31, 2023 and 2022, we had net cash payments of $13 million and $33 million, respectively, from the settlement of these derivative instruments not designated as hedging instruments.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Cash Flow - Financing Activities</w:t>
      </w:r>
    </w:p>
    <w:tbl>
      <w:tblPr>
        <w:tblW w:w="9293" w:type="dxa"/>
        <w:jc w:val="center"/>
        <w:tblInd w:w="0" w:type="dxa"/>
        <w:tblCellMar>
          <w:top w:w="28" w:type="dxa"/>
          <w:left w:w="28" w:type="dxa"/>
          <w:bottom w:w="28" w:type="dxa"/>
          <w:right w:w="28" w:type="dxa"/>
        </w:tblCellMar>
      </w:tblPr>
      <w:tblGrid>
        <w:gridCol w:w="2524"/>
        <w:gridCol w:w="2213"/>
        <w:gridCol w:w="2222"/>
        <w:gridCol w:w="211"/>
        <w:gridCol w:w="631"/>
        <w:gridCol w:w="109"/>
        <w:gridCol w:w="109"/>
        <w:gridCol w:w="109"/>
        <w:gridCol w:w="109"/>
        <w:gridCol w:w="211"/>
        <w:gridCol w:w="691"/>
        <w:gridCol w:w="154"/>
      </w:tblGrid>
      <w:tr>
        <w:trPr/>
        <w:tc>
          <w:tcPr>
            <w:tcW w:w="2524" w:type="dxa"/>
            <w:tcBorders/>
            <w:shd w:fill="auto" w:val="clear"/>
            <w:vAlign w:val="center"/>
          </w:tcPr>
          <w:p>
            <w:pPr>
              <w:pStyle w:val="TableContents"/>
              <w:spacing w:before="0" w:after="283"/>
              <w:rPr>
                <w:sz w:val="4"/>
                <w:szCs w:val="4"/>
              </w:rPr>
            </w:pPr>
            <w:r>
              <w:rPr>
                <w:sz w:val="4"/>
                <w:szCs w:val="4"/>
              </w:rPr>
            </w:r>
          </w:p>
        </w:tc>
        <w:tc>
          <w:tcPr>
            <w:tcW w:w="2213" w:type="dxa"/>
            <w:tcBorders/>
            <w:shd w:fill="auto" w:val="clear"/>
            <w:vAlign w:val="center"/>
          </w:tcPr>
          <w:p>
            <w:pPr>
              <w:pStyle w:val="TableContents"/>
              <w:spacing w:before="0" w:after="283"/>
              <w:rPr>
                <w:sz w:val="4"/>
                <w:szCs w:val="4"/>
              </w:rPr>
            </w:pPr>
            <w:r>
              <w:rPr>
                <w:sz w:val="4"/>
                <w:szCs w:val="4"/>
              </w:rPr>
            </w:r>
          </w:p>
        </w:tc>
        <w:tc>
          <w:tcPr>
            <w:tcW w:w="22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6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5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(used in) financing activities from continuing operations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1,096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95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include the issuance and repayment of commercial paper and other short-term and long-term debt, payment of dividends, and stock repurchases.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$2.8 billion change in cash flows provided by (used in) financing activities from continuing operations in the quarter ended March 31, 2023 compared to in the quarter ended March 31, 2022 was primarily driven by long-term debt issuances of $3.0 billion, offset by repayments of commercial paper, net of $0.4 billion. Refer to “Note 8: Borrowings and Lines of Credit” within Item 1 of this Form 10-Q for additional information on debt issuances and commercial paper.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management had remaining authority to repurchase approximately $5.4 billion of our common stock under the December 12, 2022 share repurchase program. Under the 2022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share repurchases were as follows:</w:t>
      </w:r>
    </w:p>
    <w:tbl>
      <w:tblPr>
        <w:tblW w:w="7261" w:type="dxa"/>
        <w:jc w:val="left"/>
        <w:tblInd w:w="0" w:type="dxa"/>
        <w:tblCellMar>
          <w:top w:w="28" w:type="dxa"/>
          <w:left w:w="28" w:type="dxa"/>
          <w:bottom w:w="28" w:type="dxa"/>
          <w:right w:w="28" w:type="dxa"/>
        </w:tblCellMar>
      </w:tblPr>
      <w:tblGrid>
        <w:gridCol w:w="1200"/>
        <w:gridCol w:w="1055"/>
        <w:gridCol w:w="1059"/>
        <w:gridCol w:w="109"/>
        <w:gridCol w:w="109"/>
        <w:gridCol w:w="109"/>
        <w:gridCol w:w="211"/>
        <w:gridCol w:w="481"/>
        <w:gridCol w:w="109"/>
        <w:gridCol w:w="315"/>
        <w:gridCol w:w="316"/>
        <w:gridCol w:w="196"/>
        <w:gridCol w:w="109"/>
        <w:gridCol w:w="109"/>
        <w:gridCol w:w="109"/>
        <w:gridCol w:w="211"/>
        <w:gridCol w:w="466"/>
        <w:gridCol w:w="109"/>
        <w:gridCol w:w="308"/>
        <w:gridCol w:w="308"/>
        <w:gridCol w:w="263"/>
      </w:tblGrid>
      <w:tr>
        <w:trPr/>
        <w:tc>
          <w:tcPr>
            <w:tcW w:w="120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0"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shares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8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r>
      <w:tr>
        <w:trPr/>
        <w:tc>
          <w:tcPr>
            <w:tcW w:w="3314" w:type="dxa"/>
            <w:gridSpan w:val="3"/>
            <w:tcBorders>
              <w:bottom w:val="single" w:sz="16" w:space="0" w:color="000000"/>
            </w:tcBorders>
            <w:shd w:fill="CCEEFF" w:val="clear"/>
            <w:tcMar>
              <w:top w:w="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Shares of common stock repurchased </w:t>
            </w:r>
            <w:r>
              <w:rPr>
                <w:rFonts w:ascii="Times New Roman;sans-serif" w:hAnsi="Times New Roman;sans-serif"/>
                <w:b w:val="false"/>
                <w:color w:val="000000"/>
                <w:sz w:val="13"/>
              </w:rPr>
              <w:t>(1)</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5,714</w:t>
            </w:r>
            <w:r>
              <w:rPr>
                <w:color w:val="000000"/>
              </w:rPr>
              <w:t> </w:t>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2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Relates to share repurchases that were settled in cash during the period.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authorized the following cash dividends:</w:t>
      </w:r>
    </w:p>
    <w:tbl>
      <w:tblPr>
        <w:tblW w:w="5828" w:type="dxa"/>
        <w:jc w:val="left"/>
        <w:tblInd w:w="0" w:type="dxa"/>
        <w:tblCellMar>
          <w:top w:w="28" w:type="dxa"/>
          <w:left w:w="28" w:type="dxa"/>
          <w:bottom w:w="28" w:type="dxa"/>
          <w:right w:w="28" w:type="dxa"/>
        </w:tblCellMar>
      </w:tblPr>
      <w:tblGrid>
        <w:gridCol w:w="1292"/>
        <w:gridCol w:w="1134"/>
        <w:gridCol w:w="1143"/>
        <w:gridCol w:w="211"/>
        <w:gridCol w:w="631"/>
        <w:gridCol w:w="109"/>
        <w:gridCol w:w="109"/>
        <w:gridCol w:w="109"/>
        <w:gridCol w:w="109"/>
        <w:gridCol w:w="211"/>
        <w:gridCol w:w="616"/>
        <w:gridCol w:w="154"/>
      </w:tblGrid>
      <w:tr>
        <w:trPr/>
        <w:tc>
          <w:tcPr>
            <w:tcW w:w="1292"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amounts)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per share of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0.550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dividends paid</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790</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24, 2023, the Board of Directors declared a dividend of $0.59 per share payable June 15, 2023 to shareowners of record at the close of business on May 19,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ind w:left="0" w:right="0" w:hanging="1440"/>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significant change in our exposure to market risk during the quarter ended March 31, 2023. For discussion of our exposure to market risk, refer to Part II, Item 7A, “Quantitative and Qualitative Disclosures About Market Risk,” contained in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ind w:left="0" w:right="0" w:hanging="144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 under the Securities Exchange Act of 1934, as amended, we carried out an evaluation under the supervision and with the participation of our management, including the Chief Executive Officer (CEO), the Executive Vice President and Chief Financial Officer (CFO), and the Corporate Vice President and Controller (Controller), of the effectiveness of the design and operation of our disclosure controls and procedures as of March 31, 2023.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March 31, 2023,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quarter ended March 31, 2023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Cautionary Note Concerning Factors That May Affect Future Results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and other statements that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 </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 xml:space="preserve">the effect of changes in economic, capital market, and political conditions in the U.S. and globally, such as from the global sanctions and export controls with respect to Russia, and any changes therein, including related to financial market conditions, bank failures and other banking industry disruptions, fluctuations in commodity prices or supply (including energy supply), inflation, interest rates and foreign currency exchange rates, disruptions in global supply chain and labor markets, and geopolitical risks;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U.S. government sales, including changes or shifts in defense spending due to budgetary constraints, spending cuts resulting from sequestration, a continuing resolution, a government shutdown, the debt ceiling or measures taken to avoid a government default, or otherwise, and uncertain funding of programs;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challenges in the development, production, delivery, and support of Raytheon Technologies Corporation (RTC) advanced technologies and new products and services and the realization of the anticipated benefits (including our expected returns under customer contracts), as well as the challenges of operating in RTC’s highly-competitive industries;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RTC’s reliance on U.S. and non-U.S. suppliers and commodity markets, including the effect of sanctions, delays and disruptions in the delivery of materials and services to RTC or its suppliers and price increases;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RTC international operations from, among other things, changes in trade policies and implementation of sanctions, foreign currency fluctuations, economic conditions, political factors, sales methods, and U.S. or local government regulations;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condition of the aerospace industry;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RTC to attract, train, and retain qualified personnel and maintain its culture and high ethical standards, and ability of our personnel to continue to operate our facilities and businesses around the world;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effect of and risks relating to the coronavirus disease 2019 (COVID-19) pandemic on RTC’s business, supply chain, operations, and the industries in which it operates, including the decrease in global air travel, and the timing and extent of the recovery from COVID-19;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scope, nature, timing, and challenges of managing acquisitions, investments, divestitures, and other transactions, including the realization of synergies and opportunities for growth and innovation, the assumption of liabilities, and other risks and incurrence of related costs and expenses;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compliance with legal, environmental, regulatory, and other requirements, including, among other things, export and import requirements such as the International Traffic in Arms Regulations and the Export Administration Regulations, anti-bribery and anticorruption requirements, such as the Foreign Corrupt Practices Act, industrial cooperation agreement obligations, and procurement and other regulations in the U.S. and other countries in which RTC and its businesses operate;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pending, threatened and future legal proceedings, investigations, and other contingencies, including those related to U.S. government audits and disputes;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factors that could impact RTC’s ability to engage in desirable capital-raising or strategic transactions, including its capital structure, levels of indebtedness, capital expenditures, and research and development spending, and the availability of credit, credit market conditions including the cost of debt, and other factors;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uncertainties associated with the timing and scope of future repurchases by RTC of its common stock or declarations of cash dividends, which may be discontinued, accelerated, suspended, or delayed at any time due to various factors, including market conditions and the level of other investing activities and uses of cash;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realizing expected benefits from RTC strategic initiatives such as cost reduction, restructuring, digital transformation, and other operational initiatives;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the integration of the legacy businesses of United Technologies Corporation (UTC) and Raytheon Company in connection with the Raytheon merger, and the realization of the anticipated benefits of those transactions;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of additional tax exposures due to new tax legislation or other developments in the U.S. and other countries in which RTC and its businesses operate;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risks relating to RTC product performance, including quality, reliability, or durability;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a RTC product safety failure or other failure affecting RTC’s or its customers’ or suppliers’ products or systems;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cyber-attacks on RTC’s information technology infrastructure, products, suppliers, customers, and partners, threats to RTC facilities and personnel, as well as other events outside of RTC’s control such as public health crises, damaging weather, or other acts of nature;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changes in accounting estimates for our programs on our financial results;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changes in pension and other postretirement plan estimates and assumptions and contributions;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an impairment of goodwill and other intangible assets;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climate change and changing or new climate-related regulations, customer and market demands, products and technologies;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intended qualification of (1) the Raytheon merger as a tax-free reorganization and (2) the Carrier and Otis separation transactions and other internal restructurings as tax-free to UTC and former UTC shareowners, in each case, for U.S. federal income tax purposes.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this Form 10-Q includes important information as to risks, uncertainties, and other factors that may cause actual results to differ materially from those expressed or implied in the forward-looking statements. See “Note 15: Commitments and Contingencies” within Item 1 of this Form 10-Q and “Management’s Discussion and Analysis of Financial Condition and Results of Operations” under the headings “Business Overview,” “Results of Operations,”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“Results of Operations”, “Critical Accounting Estimates,” and “Government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Securities and Exchange Commission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15: Commitments and Contingencies” within Item 1 of this Form 10-Q for a discussion regarding material legal proceedings.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noted, there have been no material developments in legal proceedings. For previously reported information about legal proceedings refer to Part I, Item 3, “Legal Proceedings,” of our 2022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review and consider the information regarding certain factors which could materially affect our business, financial condition, or future results set forth under Item 1A in our 2022 Annual Report on Form 10-K (2022 Form 10-K). Except for the risk factors discussed below, there have been no material changes from the factors disclosed in our 2022 Form 10-K, although we may disclose changes to such factors or disclose additional factors from time to time in our future filings with the Securities and Exchange Commission (SEC).</w:t>
      </w:r>
    </w:p>
    <w:p>
      <w:pPr>
        <w:pStyle w:val="TextBody"/>
        <w:spacing w:lineRule="auto" w:line="288" w:before="120" w:after="283"/>
        <w:jc w:val="both"/>
        <w:rPr/>
      </w:pPr>
      <w:r>
        <w:rPr>
          <w:rFonts w:ascii="Times New Roman;sans-serif" w:hAnsi="Times New Roman;sans-serif"/>
          <w:b/>
          <w:i/>
          <w:color w:val="000000"/>
          <w:sz w:val="20"/>
        </w:rPr>
        <w:t xml:space="preserve">Geopolitical factors and changes in policies and regulations could adversely affect our business. </w:t>
      </w:r>
      <w:r>
        <w:rPr>
          <w:rFonts w:ascii="Times New Roman;sans-serif" w:hAnsi="Times New Roman;sans-serif"/>
          <w:b w:val="false"/>
          <w:color w:val="000000"/>
          <w:sz w:val="20"/>
        </w:rPr>
        <w:t xml:space="preserve">Our international sales and operations are sensitive to changes in foreign national priorities, foreign government budgets, and regional and local political and economic factors, including volatility in energy prices or supply, political or civil unrest, changes in threat environments and political relations, geopolitical uncertainties, and changes in U.S. foreign policy. Our international sales and operations are also sensitive to changes in foreign government laws, regulations and policies, including those related to tariffs, sanctions, embargoes, export and import controls and other trade restrictions. Events such as increased trade restrictions or retaliatory trade policies, renegotiation of existing trade agreements, or regime change can affect demand for our products and services, the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competitive position of our products, our supply chain, and our ability to manufacture or sell products in certain countries. Further, operations in emerging market countries are subject to additional risks, including volatility in gross domestic product and rates of economic growth, government instability, cultural differences (such as employment and business practices), the imposition of exchange and capital controls, and risks associated with exporting components manufactured in those countries for incorporation into finished products completed in other countries. While these factors and their impact are difficult to predict, any one or more of them could have a material adverse effect on our competitive position, results of operations, financial condition, or liquidity.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given the role of our defense businesses in the support of the national security interests of the U. S. and its allies, we are subject to risks and uncertainties relating to policies of the U.S. and its allies, as well as other countries, including those that are or become regarded as potential adversaries or threats. We engage in both direct commercial sales, which generally require U.S. government licenses and approvals, as well as foreign military sales, which are government-to-government transactions initiated by, and carried out at the direction of, the U.S. government. Changes in budgets and spending levels, policies, or priorities, which are subject to geopolitical risks and threats, may impact our defense businesses, including the timing of and delays in U.S. government licenses and approvals for sales, the risk of sanctions or other restrictions, as well as potential human rights issues associated with the use of our defense products. These risks and uncertainties may directly or indirectly impact our commercial businesses as well.</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note, China has announced sanctions against Raytheon Missiles &amp; Defense (RMD), and previously announced it may take measures against Raytheon Technologies Corporation (RTC), in connection with certain foreign military sales to Taiwan. The Chinese sanctions against RMD include a fine equal to twice the value of the arms that RMD has sold to Taiwan since September 2020. In addition, China has indicated that it decided to sanction our Chairman and Chief Executive Officer Gregory Hayes, in connection with another foreign military sale to Taiwan involving RTC products and services. If China were to enforce sanctions, impose additional sanctions, or take other regulatory action against RTC, our suppliers, affiliates, or partners, it could potentially disrupt our business operations. The impact of the announced sanctions or other potential sanctions, or other actions by China is uncertain. Our businesses have sold, and are expected to sell in the future, additional defense products to Taiwan from time to time, and we are unable to determine the potential impact, if any, of any future sanctions or other actions by China in response to these sales. Moreover, the Chinese government has generally expanded its ability to restrict China-related import, export and investment activities, which may have an adverse impact on our ability to conduct business or sell our commercial aerospace products in China. In addition, in response to the Russian military’s invasion of Ukraine, the U.S. government and the governments of various 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purchases of equity securities that are registered by us pursuant to Section 12 of the Exchange Act during the quarter ended March 31, 2023.</w:t>
      </w:r>
    </w:p>
    <w:tbl>
      <w:tblPr>
        <w:tblW w:w="10205" w:type="dxa"/>
        <w:jc w:val="left"/>
        <w:tblInd w:w="0" w:type="dxa"/>
        <w:tblCellMar>
          <w:top w:w="28" w:type="dxa"/>
          <w:left w:w="28" w:type="dxa"/>
          <w:bottom w:w="28" w:type="dxa"/>
          <w:right w:w="28" w:type="dxa"/>
        </w:tblCellMar>
      </w:tblPr>
      <w:tblGrid>
        <w:gridCol w:w="502"/>
        <w:gridCol w:w="386"/>
        <w:gridCol w:w="390"/>
        <w:gridCol w:w="109"/>
        <w:gridCol w:w="109"/>
        <w:gridCol w:w="109"/>
        <w:gridCol w:w="487"/>
        <w:gridCol w:w="454"/>
        <w:gridCol w:w="456"/>
        <w:gridCol w:w="109"/>
        <w:gridCol w:w="109"/>
        <w:gridCol w:w="109"/>
        <w:gridCol w:w="296"/>
        <w:gridCol w:w="865"/>
        <w:gridCol w:w="152"/>
        <w:gridCol w:w="109"/>
        <w:gridCol w:w="109"/>
        <w:gridCol w:w="109"/>
        <w:gridCol w:w="766"/>
        <w:gridCol w:w="762"/>
        <w:gridCol w:w="765"/>
        <w:gridCol w:w="109"/>
        <w:gridCol w:w="109"/>
        <w:gridCol w:w="109"/>
        <w:gridCol w:w="558"/>
        <w:gridCol w:w="1637"/>
        <w:gridCol w:w="421"/>
      </w:tblGrid>
      <w:tr>
        <w:trPr/>
        <w:tc>
          <w:tcPr>
            <w:tcW w:w="502"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br/>
              <w:t>(000’s)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br/>
              <w:t>(dollars)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a Publicly Announced Program</w:t>
              <w:br/>
              <w:t>(000’s)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Approximate Dollar Value of Shares that May Yet Be Purchased Under the Program </w:t>
              <w:br/>
              <w:t>(dollars in millions)</w:t>
            </w:r>
          </w:p>
        </w:tc>
      </w:tr>
      <w:tr>
        <w:trPr/>
        <w:tc>
          <w:tcPr>
            <w:tcW w:w="12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 January 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February 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4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7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 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7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8"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94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4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98.33 </w:t>
            </w:r>
          </w:p>
        </w:tc>
        <w:tc>
          <w:tcPr>
            <w:tcW w:w="1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52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7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616"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12, 2022, our Board of Directors authorized a share repurchase program for up to $6 billion of our common stock, replacing the previous program announced on December 7, 2021. Under the 2022 program, shares may be purchased on the open market, in privately negotiated transactions, under accelerated share repurchase programs, and under plans complying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 No shares were reacquired in transactions outside the program during the quarter ended March 31,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81"/>
        <w:gridCol w:w="248"/>
        <w:gridCol w:w="249"/>
        <w:gridCol w:w="109"/>
        <w:gridCol w:w="109"/>
        <w:gridCol w:w="109"/>
        <w:gridCol w:w="4098"/>
        <w:gridCol w:w="2099"/>
        <w:gridCol w:w="2903"/>
      </w:tblGrid>
      <w:tr>
        <w:trPr/>
        <w:tc>
          <w:tcPr>
            <w:tcW w:w="28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8" w:type="dxa"/>
            <w:tcBorders/>
            <w:shd w:fill="auto" w:val="clear"/>
            <w:vAlign w:val="center"/>
          </w:tcPr>
          <w:p>
            <w:pPr>
              <w:pStyle w:val="TableContents"/>
              <w:spacing w:before="0" w:after="283"/>
              <w:rPr>
                <w:sz w:val="4"/>
                <w:szCs w:val="4"/>
              </w:rPr>
            </w:pPr>
            <w:r>
              <w:rPr>
                <w:sz w:val="4"/>
                <w:szCs w:val="4"/>
              </w:rPr>
            </w:r>
          </w:p>
        </w:tc>
        <w:tc>
          <w:tcPr>
            <w:tcW w:w="2099" w:type="dxa"/>
            <w:tcBorders/>
            <w:shd w:fill="auto" w:val="clear"/>
            <w:vAlign w:val="center"/>
          </w:tcPr>
          <w:p>
            <w:pPr>
              <w:pStyle w:val="TableContents"/>
              <w:spacing w:before="0" w:after="283"/>
              <w:rPr>
                <w:sz w:val="4"/>
                <w:szCs w:val="4"/>
              </w:rPr>
            </w:pPr>
            <w:r>
              <w:rPr>
                <w:sz w:val="4"/>
                <w:szCs w:val="4"/>
              </w:rPr>
            </w:r>
          </w:p>
        </w:tc>
        <w:tc>
          <w:tcPr>
            <w:tcW w:w="2903" w:type="dxa"/>
            <w:tcBorders/>
            <w:shd w:fill="auto" w:val="cle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7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12023-03x3110xq.htm">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1012023-03x3110xq.htm">
              <w:r>
                <w:rPr>
                  <w:rStyle w:val="InternetLink"/>
                  <w:rFonts w:ascii="Times New Roman;sans-serif" w:hAnsi="Times New Roman;sans-serif"/>
                  <w:b w:val="false"/>
                  <w:color w:val="0000FF"/>
                  <w:sz w:val="20"/>
                  <w:u w:val="single"/>
                </w:rPr>
                <w:t>2023 Schedule of Terms for restricted stock unit awards relating to the Raytheon Technologies Corporation 2018 Long-Term Incentive Plan, as amended and restated.*</w:t>
              </w:r>
            </w:hyperlink>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22023-03x3110xq.htm">
              <w:r>
                <w:rPr>
                  <w:rStyle w:val="InternetLink"/>
                  <w:rFonts w:ascii="Times New Roman;sans-serif" w:hAnsi="Times New Roman;sans-serif"/>
                  <w:b w:val="false"/>
                  <w:color w:val="0000FF"/>
                  <w:sz w:val="20"/>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1022023-03x3110xq.htm">
              <w:r>
                <w:rPr>
                  <w:rStyle w:val="InternetLink"/>
                  <w:rFonts w:ascii="Times New Roman;sans-serif" w:hAnsi="Times New Roman;sans-serif"/>
                  <w:b w:val="false"/>
                  <w:color w:val="0000FF"/>
                  <w:sz w:val="20"/>
                  <w:u w:val="single"/>
                </w:rPr>
                <w:t>2023 Schedule of Terms for performance share unit awards relating to the Raytheon Technologies Corporation 2018 Long-Term Incentive Plan, as amended and restated.*</w:t>
              </w:r>
            </w:hyperlink>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32023-03x3110xq.htm">
              <w:r>
                <w:rPr>
                  <w:rStyle w:val="InternetLink"/>
                  <w:rFonts w:ascii="Times New Roman;sans-serif" w:hAnsi="Times New Roman;sans-serif"/>
                  <w:b w:val="false"/>
                  <w:color w:val="0000FF"/>
                  <w:sz w:val="20"/>
                  <w:u w:val="single"/>
                </w:rPr>
                <w:t>10.3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1032023-03x3110xq.htm">
              <w:r>
                <w:rPr>
                  <w:rStyle w:val="InternetLink"/>
                  <w:rFonts w:ascii="Times New Roman;sans-serif" w:hAnsi="Times New Roman;sans-serif"/>
                  <w:b w:val="false"/>
                  <w:color w:val="0000FF"/>
                  <w:sz w:val="20"/>
                  <w:u w:val="single"/>
                </w:rPr>
                <w:t>2023 Schedule of Terms for stock appreciation right awards relating to the Raytheon Technologies Corporation 2018 Long-Term Incentive Plan, as amended and restated.*</w:t>
              </w:r>
            </w:hyperlink>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42023-03x3110xq.htm">
              <w:r>
                <w:rPr>
                  <w:rStyle w:val="InternetLink"/>
                  <w:rFonts w:ascii="Times New Roman;sans-serif" w:hAnsi="Times New Roman;sans-serif"/>
                  <w:b w:val="false"/>
                  <w:color w:val="0000FF"/>
                  <w:sz w:val="20"/>
                  <w:u w:val="single"/>
                </w:rPr>
                <w:t>10.4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1042023-03x3110xq.htm">
              <w:r>
                <w:rPr>
                  <w:rStyle w:val="InternetLink"/>
                  <w:rFonts w:ascii="Times New Roman;sans-serif" w:hAnsi="Times New Roman;sans-serif"/>
                  <w:b w:val="false"/>
                  <w:color w:val="0000FF"/>
                  <w:sz w:val="20"/>
                  <w:u w:val="single"/>
                </w:rPr>
                <w:t>2023 Schedule of Terms for stock option awards relating to the Raytheon Technologies Corporation 2018 Long-Term Incentive Plan, as amended and restated.*</w:t>
              </w:r>
            </w:hyperlink>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52023-03x3110xq.htm">
              <w:r>
                <w:rPr>
                  <w:rStyle w:val="InternetLink"/>
                  <w:rFonts w:ascii="Times New Roman;sans-serif" w:hAnsi="Times New Roman;sans-serif"/>
                  <w:b w:val="false"/>
                  <w:color w:val="0000FF"/>
                  <w:sz w:val="20"/>
                  <w:u w:val="single"/>
                </w:rPr>
                <w:t>15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152023-03x3110xq.htm">
              <w:r>
                <w:rPr>
                  <w:rStyle w:val="InternetLink"/>
                  <w:rFonts w:ascii="Times New Roman;sans-serif" w:hAnsi="Times New Roman;sans-serif"/>
                  <w:b w:val="false"/>
                  <w:color w:val="0000FF"/>
                  <w:sz w:val="20"/>
                  <w:u w:val="single"/>
                </w:rPr>
                <w:t>Letter re: unaudited interim financial information.*</w:t>
              </w:r>
            </w:hyperlink>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2023-03x3110xq.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3112023-03x3110xq.htm">
              <w:r>
                <w:rPr>
                  <w:rStyle w:val="InternetLink"/>
                  <w:rFonts w:ascii="Times New Roman;sans-serif" w:hAnsi="Times New Roman;sans-serif"/>
                  <w:b w:val="false"/>
                  <w:color w:val="0000FF"/>
                  <w:sz w:val="20"/>
                  <w:u w:val="single"/>
                </w:rPr>
                <w:t>Rule 13a-14(a)/15d-14(a) Certification.*</w:t>
              </w:r>
            </w:hyperlink>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2023-03x3110xq.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3122023-03x3110xq.htm">
              <w:r>
                <w:rPr>
                  <w:rStyle w:val="InternetLink"/>
                  <w:rFonts w:ascii="Times New Roman;sans-serif" w:hAnsi="Times New Roman;sans-serif"/>
                  <w:b w:val="false"/>
                  <w:color w:val="0000FF"/>
                  <w:sz w:val="20"/>
                  <w:u w:val="single"/>
                </w:rPr>
                <w:t>Rule 13a-14(a)/15d-14(a) Certification.*</w:t>
              </w:r>
            </w:hyperlink>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32023-03x3110xq.htm">
              <w:r>
                <w:rPr>
                  <w:rStyle w:val="InternetLink"/>
                  <w:rFonts w:ascii="Times New Roman;sans-serif" w:hAnsi="Times New Roman;sans-serif"/>
                  <w:b w:val="false"/>
                  <w:color w:val="0000FF"/>
                  <w:sz w:val="20"/>
                  <w:u w:val="single"/>
                </w:rPr>
                <w:t>31.3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3132023-03x3110xq.htm">
              <w:r>
                <w:rPr>
                  <w:rStyle w:val="InternetLink"/>
                  <w:rFonts w:ascii="Times New Roman;sans-serif" w:hAnsi="Times New Roman;sans-serif"/>
                  <w:b w:val="false"/>
                  <w:color w:val="0000FF"/>
                  <w:sz w:val="20"/>
                  <w:u w:val="single"/>
                </w:rPr>
                <w:t>Rule 13a-14(a)/15d-14(a) Certification.*</w:t>
              </w:r>
            </w:hyperlink>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023-03x3110xq.htm">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322023-03x3110xq.htm">
              <w:r>
                <w:rPr>
                  <w:rStyle w:val="InternetLink"/>
                  <w:rFonts w:ascii="Times New Roman;sans-serif" w:hAnsi="Times New Roman;sans-serif"/>
                  <w:b w:val="false"/>
                  <w:color w:val="0000FF"/>
                  <w:sz w:val="20"/>
                  <w:u w:val="single"/>
                </w:rPr>
                <w:t>Section 1350 Certifications.*</w:t>
              </w:r>
            </w:hyperlink>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Instance Document - the instance document does not appear in the Interactive Data File because its XBRL tags are embedded within the Inline XBRL document.* </w:t>
            </w:r>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Notes to Exhibits List: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Submitted electronically herewith.</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Attached as Exhibit 101 to this report are the following formatted in Inline XBRL (Extensible Business Reporting Language): (i) Condensed Consolidated Statement of Operations for the quarters ended March 31, 2023 and 2022, (ii) Condensed Consolidated Statement of Comprehensive Income for the quarters ended March 31, 2023 and 2022, (iii) Condensed Consolidated Balance Sheet as of March 31, 2023 and December 31, 2022, (iv) Condensed Consolidated Statement of Cash Flows for the quarters ended March 31, 2023 and 2022, (v) Condensed Consolidated Statement of Changes in Equity for the quarters ended March 31, 2023 and 2022 and (vi)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cf9b41aa342c44ad85ba061a0a9fd95f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CellMar>
          <w:top w:w="28" w:type="dxa"/>
          <w:left w:w="28" w:type="dxa"/>
          <w:bottom w:w="28" w:type="dxa"/>
          <w:right w:w="28" w:type="dxa"/>
        </w:tblCellMar>
      </w:tblPr>
      <w:tblGrid>
        <w:gridCol w:w="236"/>
        <w:gridCol w:w="208"/>
        <w:gridCol w:w="210"/>
        <w:gridCol w:w="412"/>
        <w:gridCol w:w="412"/>
        <w:gridCol w:w="414"/>
        <w:gridCol w:w="657"/>
        <w:gridCol w:w="657"/>
        <w:gridCol w:w="657"/>
        <w:gridCol w:w="1858"/>
        <w:gridCol w:w="1845"/>
        <w:gridCol w:w="2639"/>
      </w:tblGrid>
      <w:tr>
        <w:trPr/>
        <w:tc>
          <w:tcPr>
            <w:tcW w:w="23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2639" w:type="dxa"/>
            <w:tcBorders/>
            <w:shd w:fill="auto" w:val="clear"/>
            <w:vAlign w:val="center"/>
          </w:tcPr>
          <w:p>
            <w:pPr>
              <w:pStyle w:val="TableContents"/>
              <w:spacing w:before="0" w:after="283"/>
              <w:rPr>
                <w:sz w:val="4"/>
                <w:szCs w:val="4"/>
              </w:rPr>
            </w:pPr>
            <w:r>
              <w:rPr>
                <w:sz w:val="4"/>
                <w:szCs w:val="4"/>
              </w:rPr>
            </w:r>
          </w:p>
        </w:tc>
      </w:tr>
      <w:tr>
        <w:trPr/>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RAYTHEON TECHNOLOGIES CORPORATION</w:t>
              <w:br/>
              <w:t>(Registrant)</w:t>
            </w:r>
          </w:p>
        </w:tc>
      </w:tr>
      <w:tr>
        <w:trPr/>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c>
          <w:tcPr>
            <w:tcW w:w="19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NEIL G. MITCHILL, JR.</w:t>
            </w:r>
          </w:p>
        </w:tc>
      </w:tr>
      <w:tr>
        <w:trPr/>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Neil G. Mitchill, Jr.</w:t>
            </w:r>
          </w:p>
        </w:tc>
      </w:tr>
      <w:tr>
        <w:trPr/>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Vice President and Chief Financial Officer</w:t>
            </w:r>
          </w:p>
        </w:tc>
      </w:tr>
      <w:tr>
        <w:trPr/>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 behalf of the Registrant and as the Registrant’s Principal Financial Officer)</w:t>
            </w:r>
          </w:p>
        </w:tc>
      </w:tr>
      <w:tr>
        <w:trPr/>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c>
          <w:tcPr>
            <w:tcW w:w="19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AMY L. JOHNSON</w:t>
            </w:r>
          </w:p>
        </w:tc>
      </w:tr>
      <w:tr>
        <w:trPr/>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Amy L. Johnson</w:t>
            </w:r>
          </w:p>
        </w:tc>
      </w:tr>
      <w:tr>
        <w:trPr/>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Corporate Vice President and Controller</w:t>
            </w:r>
          </w:p>
        </w:tc>
      </w:tr>
      <w:tr>
        <w:trPr/>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 behalf of the Registrant and as the Registrant’s Principal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Arial;sans-serif" w:hAnsi="Arial;sans-serif"/>
          <w:b/>
          <w:color w:val="000000"/>
          <w:sz w:val="22"/>
        </w:rPr>
      </w:pPr>
      <w:r>
        <w:rPr>
          <w:rFonts w:ascii="Arial;sans-serif" w:hAnsi="Arial;sans-serif"/>
          <w:b/>
          <w:color w:val="000000"/>
          <w:sz w:val="22"/>
        </w:rPr>
        <w:t>E</w:t>
      </w:r>
      <w:r>
        <w:rPr>
          <w:rFonts w:ascii="Arial;sans-serif" w:hAnsi="Arial;sans-serif"/>
          <w:b/>
          <w:color w:val="000000"/>
          <w:sz w:val="22"/>
        </w:rPr>
        <w:t>xhibit 10.1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40" w:before="0" w:after="0"/>
        <w:jc w:val="center"/>
        <w:rPr>
          <w:rFonts w:ascii="Arial;sans-serif" w:hAnsi="Arial;sans-serif"/>
          <w:b/>
          <w:color w:val="221E1F"/>
          <w:sz w:val="24"/>
        </w:rPr>
      </w:pPr>
      <w:r>
        <w:rPr>
          <w:rFonts w:ascii="Arial;sans-serif" w:hAnsi="Arial;sans-serif"/>
          <w:b/>
          <w:color w:val="221E1F"/>
          <w:sz w:val="24"/>
        </w:rPr>
        <w:t>Raytheon Technologies Corporation</w:t>
      </w:r>
    </w:p>
    <w:p>
      <w:pPr>
        <w:pStyle w:val="TextBody"/>
        <w:spacing w:lineRule="auto" w:line="276" w:before="0" w:after="0"/>
        <w:jc w:val="center"/>
        <w:rPr>
          <w:rFonts w:ascii="Arial;sans-serif" w:hAnsi="Arial;sans-serif"/>
          <w:b/>
          <w:color w:val="221E1F"/>
          <w:sz w:val="24"/>
        </w:rPr>
      </w:pPr>
      <w:r>
        <w:rPr>
          <w:rFonts w:ascii="Arial;sans-serif" w:hAnsi="Arial;sans-serif"/>
          <w:b/>
          <w:color w:val="221E1F"/>
          <w:sz w:val="24"/>
        </w:rPr>
        <w:t>2018 Long-Term Incentive Plan</w:t>
      </w:r>
    </w:p>
    <w:p>
      <w:pPr>
        <w:pStyle w:val="TextBody"/>
        <w:spacing w:lineRule="auto" w:line="276" w:before="3000" w:after="283"/>
        <w:jc w:val="center"/>
        <w:rPr>
          <w:rFonts w:ascii="Arial;sans-serif" w:hAnsi="Arial;sans-serif"/>
          <w:b/>
          <w:color w:val="221E1F"/>
          <w:sz w:val="48"/>
        </w:rPr>
      </w:pPr>
      <w:r>
        <w:rPr>
          <w:rFonts w:ascii="Arial;sans-serif" w:hAnsi="Arial;sans-serif"/>
          <w:b/>
          <w:color w:val="221E1F"/>
          <w:sz w:val="48"/>
        </w:rPr>
        <w:t>Restricted Stock Unit Award</w:t>
      </w:r>
    </w:p>
    <w:p>
      <w:pPr>
        <w:pStyle w:val="TextBody"/>
        <w:spacing w:lineRule="auto" w:line="276" w:before="280" w:after="283"/>
        <w:jc w:val="center"/>
        <w:rPr>
          <w:rFonts w:ascii="Arial;sans-serif" w:hAnsi="Arial;sans-serif"/>
          <w:b/>
          <w:i/>
          <w:color w:val="221E1F"/>
          <w:sz w:val="36"/>
        </w:rPr>
      </w:pPr>
      <w:r>
        <w:rPr>
          <w:rFonts w:ascii="Arial;sans-serif" w:hAnsi="Arial;sans-serif"/>
          <w:b/>
          <w:i/>
          <w:color w:val="221E1F"/>
          <w:sz w:val="36"/>
        </w:rPr>
        <w:t>Schedule of Terms</w:t>
      </w:r>
    </w:p>
    <w:p>
      <w:pPr>
        <w:pStyle w:val="TextBody"/>
        <w:spacing w:lineRule="auto" w:line="276" w:before="3120" w:after="283"/>
        <w:jc w:val="center"/>
        <w:rPr>
          <w:rFonts w:ascii="Arial;sans-serif" w:hAnsi="Arial;sans-serif"/>
          <w:b/>
          <w:i/>
          <w:color w:val="221E1F"/>
          <w:sz w:val="36"/>
        </w:rPr>
      </w:pPr>
      <w:r>
        <w:rPr>
          <w:rFonts w:ascii="Arial;sans-serif" w:hAnsi="Arial;sans-serif"/>
          <w:b/>
          <w:i/>
          <w:color w:val="221E1F"/>
          <w:sz w:val="36"/>
        </w:rPr>
        <w:t>(Rev. February 2023)</w:t>
      </w:r>
    </w:p>
    <w:p>
      <w:pPr>
        <w:pStyle w:val="TextBody"/>
        <w:spacing w:before="2000" w:after="283"/>
        <w:jc w:val="center"/>
        <w:rPr/>
      </w:pPr>
      <w:r>
        <w:rPr/>
      </w:r>
    </w:p>
    <w:p>
      <w:pPr>
        <w:pStyle w:val="TextBody"/>
        <w:spacing w:lineRule="auto" w:line="304" w:before="0" w:after="0"/>
        <w:rPr/>
      </w:pPr>
      <w:r>
        <w:rPr>
          <w:rFonts w:ascii="Arial;sans-serif" w:hAnsi="Arial;sans-serif"/>
          <w:b w:val="false"/>
          <w:color w:val="000000"/>
          <w:sz w:val="20"/>
        </w:rPr>
        <w:t xml:space="preserve">This Schedule of Terms describes the material features of the Participant’s Restricted Stock Unit Award (the “RSU Award” or the “Award”) granted under the Raytheon Technologies Corporation 2018 Long-Term Incentive Plan, as amended and restated effective April 26, 2021 (the “LTIP”), subject to this Schedule of Terms, the Award Agreement, and the terms and conditions set forth in the LTIP. The LTIP Prospectus contains further information about the LTIP and this Award and is available at </w:t>
      </w:r>
      <w:r>
        <w:rPr>
          <w:rFonts w:ascii="Arial;sans-serif" w:hAnsi="Arial;sans-serif"/>
          <w:b w:val="false"/>
          <w:color w:val="0000FF"/>
          <w:sz w:val="20"/>
          <w:u w:val="single"/>
        </w:rPr>
        <w:t>www.ubs.com/onesource/rtx</w:t>
      </w:r>
      <w:r>
        <w:rPr>
          <w:rFonts w:ascii="Arial;sans-serif" w:hAnsi="Arial;sans-serif"/>
          <w:b w:val="false"/>
          <w:color w:val="00000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67360"/>
                <wp:effectExtent l="0" t="0" r="0" b="0"/>
                <wp:wrapNone/>
                <wp:docPr id="49" name="Frame49"/>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before="0" w:after="0"/>
                              <w:jc w:val="right"/>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right"/>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Certain Definitions</w:t>
      </w:r>
    </w:p>
    <w:p>
      <w:pPr>
        <w:pStyle w:val="TextBody"/>
        <w:spacing w:lineRule="auto" w:line="304" w:before="0" w:after="240"/>
        <w:rPr/>
      </w:pPr>
      <w:r>
        <w:rPr>
          <w:rFonts w:ascii="Arial;sans-serif" w:hAnsi="Arial;sans-serif"/>
          <w:b w:val="false"/>
          <w:color w:val="221E1F"/>
          <w:sz w:val="22"/>
        </w:rPr>
        <w:t>A Restricted Stock Unit (an “RSU”) represents the right to receive one share of Common Stock of Raytheon Technologies</w:t>
      </w:r>
      <w:r>
        <w:rPr>
          <w:color w:val="000000"/>
        </w:rPr>
        <w:t xml:space="preserve"> </w:t>
      </w:r>
      <w:r>
        <w:rPr>
          <w:rFonts w:ascii="Arial;sans-serif" w:hAnsi="Arial;sans-serif"/>
          <w:b w:val="false"/>
          <w:color w:val="000000"/>
          <w:sz w:val="22"/>
        </w:rPr>
        <w:t>Corporation</w:t>
      </w:r>
      <w:r>
        <w:rPr>
          <w:color w:val="221E1F"/>
        </w:rPr>
        <w:t xml:space="preserve"> </w:t>
      </w:r>
      <w:r>
        <w:rPr>
          <w:rFonts w:ascii="Arial;sans-serif" w:hAnsi="Arial;sans-serif"/>
          <w:b w:val="false"/>
          <w:color w:val="221E1F"/>
          <w:sz w:val="22"/>
        </w:rPr>
        <w:t xml:space="preserve">(the “Common Stock”) (or a cash payment equal to the Fair Market Value thereof). RSUs generally vest and are converted into shares of Common Stock if the Participant remains employed by the Company through the applicable vesting date schedule set forth in the Award Agreement (see “Vesting” below), or upon an earlier Termination of Service under limited circumstances that result in accelerated vesting (see “Termination of Service” below). </w:t>
      </w:r>
      <w:r>
        <w:rPr>
          <w:color w:val="000000"/>
        </w:rPr>
        <w:t>“</w:t>
      </w:r>
      <w:r>
        <w:rPr>
          <w:rFonts w:ascii="Arial;sans-serif" w:hAnsi="Arial;sans-serif"/>
          <w:b w:val="false"/>
          <w:color w:val="000000"/>
          <w:sz w:val="22"/>
        </w:rPr>
        <w:t xml:space="preserve">Company” means Raytheon Technologies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w:t>
      </w:r>
      <w:r>
        <w:rPr>
          <w:rFonts w:ascii="Arial;sans-serif" w:hAnsi="Arial;sans-serif"/>
          <w:b w:val="false"/>
          <w:color w:val="221E1F"/>
          <w:sz w:val="22"/>
        </w:rPr>
        <w:t xml:space="preserve">the Human Capital &amp; Compensation Committee of the Board of Directors of the Corporation. </w:t>
      </w:r>
      <w:r>
        <w:rPr>
          <w:rFonts w:ascii="Arial;sans-serif" w:hAnsi="Arial;sans-serif"/>
          <w:b w:val="false"/>
          <w:color w:val="000000"/>
          <w:sz w:val="22"/>
        </w:rPr>
        <w:t>Capitalized terms not otherwise defined in this Schedule of Terms have the same meaning as defined in the LTIP.</w:t>
      </w:r>
    </w:p>
    <w:p>
      <w:pPr>
        <w:pStyle w:val="TextBody"/>
        <w:spacing w:lineRule="auto" w:line="240" w:before="0" w:after="240"/>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 xml:space="preserve">The number of RSUs granted under the RSU Award is set forth in the Award Agreement. An LTIP Award recipient (a “Participant”) must affirmatively acknowledge and accept the terms and conditions of the RSU Award within 150 days following the Grant Date. A failure to acknowledge and accept the RSU Award subject to the LTIP and this Schedule of Terms, within such 150-day period may result in forfeiture of the RSU Award, effective as of the 150th day following the Grant Date. </w:t>
      </w:r>
    </w:p>
    <w:p>
      <w:pPr>
        <w:pStyle w:val="TextBody"/>
        <w:spacing w:lineRule="auto" w:line="304" w:before="0" w:after="240"/>
        <w:rPr/>
      </w:pPr>
      <w:r>
        <w:rPr>
          <w:rFonts w:ascii="Arial;sans-serif" w:hAnsi="Arial;sans-serif"/>
          <w:b w:val="false"/>
          <w:color w:val="000000"/>
          <w:sz w:val="22"/>
        </w:rPr>
        <w:t xml:space="preserve">Participants must acknowledge and accept the terms and conditions of this RSU Award electronically via the UBS </w:t>
      </w:r>
      <w:r>
        <w:rPr>
          <w:rFonts w:ascii="Arial;sans-serif" w:hAnsi="Arial;sans-serif"/>
          <w:b w:val="false"/>
          <w:i/>
          <w:color w:val="000000"/>
          <w:sz w:val="22"/>
        </w:rPr>
        <w:t xml:space="preserve">One Source </w:t>
      </w:r>
      <w:r>
        <w:rPr>
          <w:rFonts w:ascii="Arial;sans-serif" w:hAnsi="Arial;sans-serif"/>
          <w:b w:val="false"/>
          <w:color w:val="000000"/>
          <w:sz w:val="22"/>
        </w:rPr>
        <w:t xml:space="preserve">website at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Participants based in certain countries may be required to acknowledge and accept the terms and conditions of this RSU Award by signing and returning the designated hard copy portion of the Award Agreement to the Stock Plan Administrator. </w:t>
      </w:r>
      <w:r>
        <w:rPr>
          <w:rFonts w:ascii="Arial;sans-serif" w:hAnsi="Arial;sans-serif"/>
          <w:b w:val="false"/>
          <w:color w:val="221E1F"/>
          <w:sz w:val="22"/>
        </w:rPr>
        <w:t>These countries currently include Russia, Turkey, Hungary, and Slovenia.</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Dividends</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RSUs granted under this Award will earn dividend equivalent units each time the Corporation pays a cash dividend to Common Stock shareholders of record. Dividend equivalents will be credited as additional RSUs to Awards outstanding on the dividend payment date and will vest on the same date as the underlying RSUs. The number of additional RSUs that will be credited on any dividend payment date will equal (1) the per share cash dividend amount, multiplied by (2) the number of RSUs subject to the RSU Award (including RSUs resulting from prior dividend equivalents), divided by (3) the Fair Market Value of a share of Common Stock on the dividend payment date, rounded down to the nearest whole number of RSUs.</w:t>
      </w:r>
    </w:p>
    <w:p>
      <w:pPr>
        <w:pStyle w:val="TextBody"/>
        <w:spacing w:before="0" w:after="24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84200"/>
                <wp:effectExtent l="0" t="0" r="0" b="0"/>
                <wp:wrapNone/>
                <wp:docPr id="50" name="Frame50"/>
                <a:graphic xmlns:a="http://schemas.openxmlformats.org/drawingml/2006/main">
                  <a:graphicData uri="http://schemas.microsoft.com/office/word/2010/wordprocessingShape">
                    <wps:wsp>
                      <wps:cNvSpPr txBox="1"/>
                      <wps:spPr>
                        <a:xfrm>
                          <a:off x="0" y="0"/>
                          <a:ext cx="6480175" cy="584200"/>
                        </a:xfrm>
                        <a:prstGeom prst="rect"/>
                      </wps:spPr>
                      <wps:txb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1</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1</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v:textbox>
              </v:rect>
            </w:pict>
          </mc:Fallback>
        </mc:AlternateContent>
      </w:r>
    </w:p>
    <w:p>
      <w:pPr>
        <w:pStyle w:val="TextBody"/>
        <w:spacing w:lineRule="auto" w:line="240" w:before="0" w:after="240"/>
        <w:rPr>
          <w:rFonts w:ascii="Arial;sans-serif" w:hAnsi="Arial;sans-serif"/>
          <w:b/>
          <w:color w:val="221E1F"/>
          <w:sz w:val="22"/>
        </w:rPr>
      </w:pPr>
      <w:r>
        <w:rPr>
          <w:rFonts w:ascii="Arial;sans-serif" w:hAnsi="Arial;sans-serif"/>
          <w:b/>
          <w:color w:val="221E1F"/>
          <w:sz w:val="22"/>
        </w:rPr>
        <w:t>Vesting</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RSUs will vest in accordance with the schedule set forth in the Award Agreement, subject to the Participant’s continued employment with the Company through each applicable vesting date. RSUs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RSUs may also be forfeited and value realized from previously vested RSUs may be recouped by the Company under certain circumstances (see “Forfeiture of Award and Repayment of Realized Gains” below).</w:t>
      </w:r>
    </w:p>
    <w:p>
      <w:pPr>
        <w:pStyle w:val="TextBody"/>
        <w:spacing w:lineRule="auto" w:line="240" w:before="0" w:after="240"/>
        <w:rPr>
          <w:rFonts w:ascii="Arial;sans-serif" w:hAnsi="Arial;sans-serif"/>
          <w:b/>
          <w:color w:val="221E1F"/>
          <w:sz w:val="22"/>
        </w:rPr>
      </w:pPr>
      <w:r>
        <w:rPr>
          <w:rFonts w:ascii="Arial;sans-serif" w:hAnsi="Arial;sans-serif"/>
          <w:b/>
          <w:color w:val="221E1F"/>
          <w:sz w:val="22"/>
        </w:rPr>
        <w:t>No Shareowner Rights</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An RSU is the right to receive a share of Common Stock in the future (or a cash payment equal to the Fair Market Value), subject to continued employment and certain other conditions. The holder of an RSU has no voting or other rights accorded to owners of Common Stock, unless and until RSUs are converted into shares of Common Stock.</w:t>
      </w:r>
    </w:p>
    <w:p>
      <w:pPr>
        <w:pStyle w:val="TextBody"/>
        <w:spacing w:lineRule="auto" w:line="240" w:before="0" w:after="240"/>
        <w:rPr>
          <w:rFonts w:ascii="Arial;sans-serif" w:hAnsi="Arial;sans-serif"/>
          <w:b/>
          <w:color w:val="221E1F"/>
          <w:sz w:val="22"/>
        </w:rPr>
      </w:pPr>
      <w:r>
        <w:rPr>
          <w:rFonts w:ascii="Arial;sans-serif" w:hAnsi="Arial;sans-serif"/>
          <w:b/>
          <w:color w:val="221E1F"/>
          <w:sz w:val="22"/>
        </w:rPr>
        <w:t xml:space="preserve">Payment / Conversion of RSUs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Vested RSUs will be converted into shares of Common Stock to be delivered to the Participant as soon as administratively practicable following the vesting date. RSUs may instead be paid in cash if the Committee so determines, including where local law restricts the distribution of Common Stock.</w:t>
      </w:r>
    </w:p>
    <w:p>
      <w:pPr>
        <w:pStyle w:val="TextBody"/>
        <w:spacing w:lineRule="auto" w:line="240" w:before="0" w:after="240"/>
        <w:rPr>
          <w:rFonts w:ascii="Arial;sans-serif" w:hAnsi="Arial;sans-serif"/>
          <w:b/>
          <w:color w:val="221E1F"/>
          <w:sz w:val="22"/>
        </w:rPr>
      </w:pPr>
      <w:r>
        <w:rPr>
          <w:rFonts w:ascii="Arial;sans-serif" w:hAnsi="Arial;sans-serif"/>
          <w:b/>
          <w:color w:val="221E1F"/>
          <w:sz w:val="22"/>
        </w:rPr>
        <w:t>Termination of Service</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The treatment of RSUs upon Termination of Service depends upon the reason for termination, as detailed in the following sections. RSUs held for less than one year as of the Termination Date will be forfeited, except in the event of Death, Disability, or Change-in-Control Termination, as discussed below.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Absences from employment because of notice periods, garden leaves, or similar paid leaves associated with a Termination of Service will not be recognized as service in determining the Termination Date. </w:t>
      </w:r>
    </w:p>
    <w:p>
      <w:pPr>
        <w:pStyle w:val="TextBody"/>
        <w:spacing w:lineRule="auto" w:line="304" w:before="0" w:after="240"/>
        <w:rPr/>
      </w:pPr>
      <w:r>
        <w:rPr>
          <w:rFonts w:ascii="Arial;sans-serif" w:hAnsi="Arial;sans-serif"/>
          <w:b/>
          <w:color w:val="221E1F"/>
          <w:sz w:val="22"/>
        </w:rPr>
        <w:t xml:space="preserve">Retirement. </w:t>
      </w:r>
      <w:r>
        <w:rPr>
          <w:rFonts w:ascii="Arial;sans-serif" w:hAnsi="Arial;sans-serif"/>
          <w:b w:val="false"/>
          <w:color w:val="221E1F"/>
          <w:sz w:val="22"/>
        </w:rPr>
        <w:t xml:space="preserve">If the Participant’s termination results from Retirement, unvested RSUs held for at least one year as of the Termination Date will vest and convert into shares of Common Stock (or cash) to be delivered to the Participant as soon as administratively practicable thereafter. For this purpose, Retirement means either Normal Retirement or Early Retirement as defined below: </w:t>
      </w:r>
    </w:p>
    <w:p>
      <w:pPr>
        <w:pStyle w:val="TextBody"/>
        <w:spacing w:lineRule="auto" w:line="304" w:before="0" w:after="240"/>
        <w:ind w:left="0" w:right="0" w:hanging="360"/>
        <w:rPr/>
      </w:pPr>
      <w:r>
        <w:rPr>
          <w:color w:val="221E1F"/>
        </w:rPr>
        <w:t>•“</w:t>
      </w:r>
      <w:r>
        <w:rPr>
          <w:rFonts w:ascii="Arial;sans-serif" w:hAnsi="Arial;sans-serif"/>
          <w:b w:val="false"/>
          <w:color w:val="221E1F"/>
          <w:sz w:val="22"/>
        </w:rPr>
        <w:t>Normal Retirement” means retirement on or after age 65;</w:t>
      </w:r>
    </w:p>
    <w:p>
      <w:pPr>
        <w:pStyle w:val="TextBody"/>
        <w:spacing w:lineRule="auto" w:line="304" w:before="0" w:after="240"/>
        <w:ind w:left="0" w:right="0" w:hanging="360"/>
        <w:rPr/>
      </w:pPr>
      <w:r>
        <w:rPr>
          <w:color w:val="221E1F"/>
        </w:rPr>
        <w:t>• “</w:t>
      </w:r>
      <w:r>
        <w:rPr>
          <w:rFonts w:ascii="Arial;sans-serif" w:hAnsi="Arial;sans-serif"/>
          <w:b w:val="false"/>
          <w:color w:val="221E1F"/>
          <w:sz w:val="22"/>
        </w:rPr>
        <w:t>Early Retirement” means retirement on or after:</w:t>
      </w:r>
    </w:p>
    <w:p>
      <w:pPr>
        <w:pStyle w:val="TextBody"/>
        <w:spacing w:lineRule="auto" w:line="304" w:before="0" w:after="240"/>
        <w:ind w:left="0" w:right="0" w:hanging="360"/>
        <w:rPr/>
      </w:pPr>
      <w:r>
        <w:rPr>
          <w:rFonts w:ascii="Courier New;monospace" w:hAnsi="Courier New;monospace"/>
          <w:b w:val="false"/>
          <w:color w:val="221E1F"/>
          <w:sz w:val="22"/>
        </w:rPr>
        <w:t>o</w:t>
      </w:r>
      <w:r>
        <w:rPr>
          <w:rFonts w:ascii="Arial;sans-serif" w:hAnsi="Arial;sans-serif"/>
          <w:b w:val="false"/>
          <w:color w:val="221E1F"/>
          <w:sz w:val="22"/>
        </w:rPr>
        <w:t>Age 55 with 10 or more years of continuous service as of the Termination Date; or</w:t>
      </w:r>
    </w:p>
    <w:p>
      <w:pPr>
        <w:pStyle w:val="TextBody"/>
        <w:spacing w:lineRule="auto" w:line="304" w:before="0" w:after="240"/>
        <w:ind w:left="0" w:right="0" w:hanging="360"/>
        <w:rPr/>
      </w:pPr>
      <w:r>
        <w:rPr>
          <w:rFonts w:ascii="Courier New;monospace" w:hAnsi="Courier New;monospace"/>
          <w:b w:val="false"/>
          <w:color w:val="221E1F"/>
          <w:sz w:val="22"/>
        </w:rPr>
        <w:t>o</w:t>
      </w:r>
      <w:r>
        <w:rPr>
          <w:rFonts w:ascii="Arial;sans-serif" w:hAnsi="Arial;sans-serif"/>
          <w:b w:val="false"/>
          <w:color w:val="221E1F"/>
          <w:sz w:val="22"/>
        </w:rPr>
        <w:t>Age 50, but before age 55, and the Participant’s age and continuous service as of the Termination Date adds up to 65 or more (“Rule of 65”).</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84200"/>
                <wp:effectExtent l="0" t="0" r="0" b="0"/>
                <wp:wrapNone/>
                <wp:docPr id="51" name="Frame51"/>
                <a:graphic xmlns:a="http://schemas.openxmlformats.org/drawingml/2006/main">
                  <a:graphicData uri="http://schemas.microsoft.com/office/word/2010/wordprocessingShape">
                    <wps:wsp>
                      <wps:cNvSpPr txBox="1"/>
                      <wps:spPr>
                        <a:xfrm>
                          <a:off x="0" y="0"/>
                          <a:ext cx="6480175" cy="584200"/>
                        </a:xfrm>
                        <a:prstGeom prst="rect"/>
                      </wps:spPr>
                      <wps:txb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2</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2</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v:textbox>
              </v:rect>
            </w:pict>
          </mc:Fallback>
        </mc:AlternateConten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Service used to determine eligibility for Normal or Early Retirement means “Continuous Service” as defined under the Raytheon Technologies Savings Plan. The calculation to determine Early Retirement will include partial years, rounded down to the nearest full month.</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A Participant will not receive Retirement treatment with respect to any Award in the event of involuntary termination by the Company for Cause.</w:t>
      </w:r>
    </w:p>
    <w:p>
      <w:pPr>
        <w:pStyle w:val="TextBody"/>
        <w:spacing w:lineRule="auto" w:line="304" w:before="0" w:after="240"/>
        <w:rPr/>
      </w:pPr>
      <w:r>
        <w:rPr>
          <w:rFonts w:ascii="Arial;sans-serif" w:hAnsi="Arial;sans-serif"/>
          <w:b/>
          <w:color w:val="000000"/>
          <w:sz w:val="22"/>
        </w:rPr>
        <w:t xml:space="preserve">Involuntary Termination for Cause. </w:t>
      </w:r>
      <w:r>
        <w:rPr>
          <w:rFonts w:ascii="Arial;sans-serif" w:hAnsi="Arial;sans-serif"/>
          <w:b w:val="false"/>
          <w:color w:val="000000"/>
          <w:sz w:val="22"/>
        </w:rPr>
        <w:t>If the Participant’s termination results from an involuntary termination by the Company for Cause (as defined in the LTIP), unvested RSUs will be forfeited as of the Termination Date regardless of the Participant’s Retirement eligibility. In addition, value realized from previously vested RSUs is subject to repayment in the event of termination for Cause or certain other occurrences (see “Forfeiture of Award and Repayment of Realized Gains” below).</w:t>
      </w:r>
    </w:p>
    <w:p>
      <w:pPr>
        <w:pStyle w:val="TextBody"/>
        <w:spacing w:lineRule="auto" w:line="304" w:before="0" w:after="240"/>
        <w:rPr/>
      </w:pPr>
      <w:r>
        <w:rPr>
          <w:rFonts w:ascii="Arial;sans-serif" w:hAnsi="Arial;sans-serif"/>
          <w:b/>
          <w:color w:val="221E1F"/>
          <w:sz w:val="22"/>
        </w:rPr>
        <w:t>Involuntary Termination.</w:t>
      </w:r>
      <w:r>
        <w:rPr>
          <w:color w:val="221E1F"/>
        </w:rPr>
        <w:t xml:space="preserve"> </w:t>
      </w:r>
      <w:r>
        <w:rPr>
          <w:rFonts w:ascii="Arial;sans-serif" w:hAnsi="Arial;sans-serif"/>
          <w:b w:val="false"/>
          <w:color w:val="221E1F"/>
          <w:sz w:val="22"/>
        </w:rPr>
        <w:t xml:space="preserve">If the Participant’s termination results from an involuntary termination by the Company for reasons other than Cause, unvested RSUs held for at least one year as of the Termination Date will receive pro-rata vesting treatment, subject to the Participant providing the Company with a release of claims against the Company in a form and manner satisfactory to the Company. The pro-rata vesting of an RSU Award held for at least one year will be based on the number of months worked during the vesting period, including partial months, relative to the full vesting period. RSUs not vested under this pro-rata vesting formula will be forfeited </w:t>
      </w:r>
      <w:r>
        <w:rPr>
          <w:rFonts w:ascii="Arial;sans-serif" w:hAnsi="Arial;sans-serif"/>
          <w:b w:val="false"/>
          <w:color w:val="000000"/>
          <w:sz w:val="22"/>
        </w:rPr>
        <w:t xml:space="preserve">as of the </w:t>
      </w:r>
      <w:r>
        <w:rPr>
          <w:rFonts w:ascii="Arial;sans-serif" w:hAnsi="Arial;sans-serif"/>
          <w:b w:val="false"/>
          <w:color w:val="221E1F"/>
          <w:sz w:val="22"/>
        </w:rPr>
        <w:t>Termination</w:t>
      </w:r>
      <w:r>
        <w:rPr>
          <w:color w:val="000000"/>
        </w:rPr>
        <w:t xml:space="preserve"> </w:t>
      </w:r>
      <w:r>
        <w:rPr>
          <w:rFonts w:ascii="Arial;sans-serif" w:hAnsi="Arial;sans-serif"/>
          <w:b w:val="false"/>
          <w:color w:val="000000"/>
          <w:sz w:val="22"/>
        </w:rPr>
        <w:t>Date</w:t>
      </w:r>
      <w:r>
        <w:rPr>
          <w:rFonts w:ascii="Arial;sans-serif" w:hAnsi="Arial;sans-serif"/>
          <w:b w:val="false"/>
          <w:color w:val="221E1F"/>
          <w:sz w:val="22"/>
        </w:rPr>
        <w:t xml:space="preserve">.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Absences from employment because of notice periods, garden leaves, or similar paid leaves associated with a Termination of Service will not be recognized as service in determining the pro-rata vesting percentage.</w:t>
      </w:r>
    </w:p>
    <w:p>
      <w:pPr>
        <w:pStyle w:val="TextBody"/>
        <w:spacing w:lineRule="auto" w:line="304" w:before="0" w:after="240"/>
        <w:rPr/>
      </w:pPr>
      <w:r>
        <w:rPr>
          <w:rFonts w:ascii="Arial;sans-serif" w:hAnsi="Arial;sans-serif"/>
          <w:b w:val="false"/>
          <w:color w:val="000000"/>
          <w:sz w:val="22"/>
        </w:rPr>
        <w:t>Pro-rata vesting will occur for involuntary terminations resulting from workforce reductions, location closings, restructurings, layoffs</w:t>
      </w:r>
      <w:r>
        <w:rPr>
          <w:rFonts w:ascii="Arial;sans-serif" w:hAnsi="Arial;sans-serif"/>
          <w:b w:val="false"/>
          <w:color w:val="221E1F"/>
          <w:sz w:val="22"/>
        </w:rPr>
        <w:t>,</w:t>
      </w:r>
      <w:r>
        <w:rPr>
          <w:color w:val="000000"/>
        </w:rPr>
        <w:t xml:space="preserve"> </w:t>
      </w:r>
      <w:r>
        <w:rPr>
          <w:rFonts w:ascii="Arial;sans-serif" w:hAnsi="Arial;sans-serif"/>
          <w:b w:val="false"/>
          <w:color w:val="000000"/>
          <w:sz w:val="22"/>
        </w:rPr>
        <w:t xml:space="preserve">or similar events, as determined by the Committee </w:t>
      </w:r>
      <w:r>
        <w:rPr>
          <w:rFonts w:ascii="Arial;sans-serif" w:hAnsi="Arial;sans-serif"/>
          <w:b w:val="false"/>
          <w:color w:val="221E1F"/>
          <w:sz w:val="22"/>
        </w:rPr>
        <w:t>or its delegate</w:t>
      </w:r>
      <w:r>
        <w:rPr>
          <w:rFonts w:ascii="Arial;sans-serif" w:hAnsi="Arial;sans-serif"/>
          <w:b w:val="false"/>
          <w:color w:val="000000"/>
          <w:sz w:val="22"/>
        </w:rPr>
        <w:t xml:space="preserve">.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Retirement eligible Participants will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pStyle w:val="TextBody"/>
        <w:spacing w:lineRule="auto" w:line="304" w:before="0" w:after="240"/>
        <w:rPr/>
      </w:pPr>
      <w:r>
        <w:rPr>
          <w:rFonts w:ascii="Arial;sans-serif" w:hAnsi="Arial;sans-serif"/>
          <w:b/>
          <w:color w:val="221E1F"/>
          <w:sz w:val="22"/>
        </w:rPr>
        <w:t>Voluntary Termination.</w:t>
      </w:r>
      <w:r>
        <w:rPr>
          <w:color w:val="221E1F"/>
        </w:rPr>
        <w:t xml:space="preserve"> </w:t>
      </w:r>
      <w:r>
        <w:rPr>
          <w:rFonts w:ascii="Arial;sans-serif" w:hAnsi="Arial;sans-serif"/>
          <w:b w:val="false"/>
          <w:color w:val="221E1F"/>
          <w:sz w:val="22"/>
        </w:rPr>
        <w:t>A Participant who voluntarily terminates employment (other than for Retirement or a Change-in-Control Termination) prior to the vesting date is not entitled to pro-rata vesting and will forfeit all unvested RSUs.</w:t>
      </w:r>
    </w:p>
    <w:p>
      <w:pPr>
        <w:pStyle w:val="TextBody"/>
        <w:spacing w:lineRule="auto" w:line="304" w:before="0" w:after="240"/>
        <w:rPr/>
      </w:pPr>
      <w:r>
        <w:rPr>
          <w:rFonts w:ascii="Arial;sans-serif" w:hAnsi="Arial;sans-serif"/>
          <w:b/>
          <w:color w:val="221E1F"/>
          <w:sz w:val="22"/>
        </w:rPr>
        <w:t>Disability.</w:t>
      </w:r>
      <w:r>
        <w:rPr>
          <w:color w:val="000000"/>
        </w:rPr>
        <w:t xml:space="preserve"> </w:t>
      </w:r>
      <w:r>
        <w:rPr>
          <w:rFonts w:ascii="Arial;sans-serif" w:hAnsi="Arial;sans-serif"/>
          <w:b w:val="false"/>
          <w:color w:val="221E1F"/>
          <w:sz w:val="22"/>
        </w:rPr>
        <w:t>If a Participant incurs a Disability (as defined in the LTIP), unvested RSUs will not be forfeited while a Participant remains disabled under a Company sponsored long-term disability plan.</w:t>
      </w:r>
      <w:r>
        <w:rPr>
          <w:color w:val="000000"/>
        </w:rPr>
        <w:t xml:space="preserve"> </w:t>
      </w:r>
      <w:r>
        <w:rPr>
          <w:rFonts w:ascii="Arial;sans-serif" w:hAnsi="Arial;sans-serif"/>
          <w:b w:val="false"/>
          <w:color w:val="000000"/>
          <w:sz w:val="22"/>
        </w:rPr>
        <w:t>Unvested RSUs will remain eligible to vest on the earlier of (</w:t>
      </w:r>
      <w:r>
        <w:rPr>
          <w:rFonts w:ascii="Arial;sans-serif" w:hAnsi="Arial;sans-serif"/>
          <w:b w:val="false"/>
          <w:color w:val="221E1F"/>
          <w:sz w:val="22"/>
        </w:rPr>
        <w:t>i</w:t>
      </w:r>
      <w:r>
        <w:rPr>
          <w:rFonts w:ascii="Arial;sans-serif" w:hAnsi="Arial;sans-serif"/>
          <w:b w:val="false"/>
          <w:color w:val="000000"/>
          <w:sz w:val="22"/>
        </w:rPr>
        <w:t>) the vesting date specified in the Award Agreement; or (</w:t>
      </w:r>
      <w:r>
        <w:rPr>
          <w:rFonts w:ascii="Arial;sans-serif" w:hAnsi="Arial;sans-serif"/>
          <w:b w:val="false"/>
          <w:color w:val="221E1F"/>
          <w:sz w:val="22"/>
        </w:rPr>
        <w:t>ii</w:t>
      </w:r>
      <w:r>
        <w:rPr>
          <w:rFonts w:ascii="Arial;sans-serif" w:hAnsi="Arial;sans-serif"/>
          <w:b w:val="false"/>
          <w:color w:val="000000"/>
          <w:sz w:val="22"/>
        </w:rPr>
        <w:t>) 29 months following the date a Participant incurs a Disability.</w:t>
      </w:r>
    </w:p>
    <w:p>
      <w:pPr>
        <w:pStyle w:val="TextBody"/>
        <w:spacing w:lineRule="auto" w:line="304" w:before="0" w:after="240"/>
        <w:rPr/>
      </w:pPr>
      <w:r>
        <w:rPr>
          <w:rFonts w:ascii="Arial;sans-serif" w:hAnsi="Arial;sans-serif"/>
          <w:b/>
          <w:color w:val="000000"/>
          <w:sz w:val="22"/>
        </w:rPr>
        <w:t xml:space="preserve">Authorized Leave of Absence. </w:t>
      </w:r>
      <w:r>
        <w:rPr>
          <w:rFonts w:ascii="Arial;sans-serif" w:hAnsi="Arial;sans-serif"/>
          <w:b w:val="false"/>
          <w:color w:val="000000"/>
          <w:sz w:val="22"/>
        </w:rPr>
        <w:t xml:space="preserve">If a </w:t>
      </w:r>
      <w:r>
        <w:rPr>
          <w:rFonts w:ascii="Arial;sans-serif" w:hAnsi="Arial;sans-serif"/>
          <w:b w:val="false"/>
          <w:color w:val="221E1F"/>
          <w:sz w:val="22"/>
        </w:rPr>
        <w:t>Participant is on a Company authorized leave of absence (including Military leave) that is not associated with a Termination of Service, unvested RSUs will remain eligible to vest during the period of leave, subject to the Participant’s continued employment with the Company through the vesting date</w:t>
      </w:r>
      <w:r>
        <w:rPr>
          <w:rFonts w:ascii="Arial;sans-serif" w:hAnsi="Arial;sans-serif"/>
          <w:b w:val="false"/>
          <w:color w:val="000000"/>
          <w:sz w:val="22"/>
        </w:rPr>
        <w:t>.</w:t>
      </w:r>
      <w:r>
        <w:rPr>
          <w:color w:val="221E1F"/>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84200"/>
                <wp:effectExtent l="0" t="0" r="0" b="0"/>
                <wp:wrapNone/>
                <wp:docPr id="52" name="Frame52"/>
                <a:graphic xmlns:a="http://schemas.openxmlformats.org/drawingml/2006/main">
                  <a:graphicData uri="http://schemas.microsoft.com/office/word/2010/wordprocessingShape">
                    <wps:wsp>
                      <wps:cNvSpPr txBox="1"/>
                      <wps:spPr>
                        <a:xfrm>
                          <a:off x="0" y="0"/>
                          <a:ext cx="6480175" cy="584200"/>
                        </a:xfrm>
                        <a:prstGeom prst="rect"/>
                      </wps:spPr>
                      <wps:txb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3</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3</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v:textbox>
              </v:rect>
            </w:pict>
          </mc:Fallback>
        </mc:AlternateContent>
      </w:r>
    </w:p>
    <w:p>
      <w:pPr>
        <w:pStyle w:val="TextBody"/>
        <w:spacing w:lineRule="auto" w:line="304" w:before="0" w:after="240"/>
        <w:rPr/>
      </w:pPr>
      <w:r>
        <w:rPr>
          <w:rFonts w:ascii="Arial;sans-serif" w:hAnsi="Arial;sans-serif"/>
          <w:b/>
          <w:color w:val="221E1F"/>
          <w:sz w:val="22"/>
        </w:rPr>
        <w:t>Death.</w:t>
      </w:r>
      <w:r>
        <w:rPr>
          <w:color w:val="221E1F"/>
        </w:rPr>
        <w:t xml:space="preserve"> </w:t>
      </w:r>
      <w:r>
        <w:rPr>
          <w:rFonts w:ascii="Arial;sans-serif" w:hAnsi="Arial;sans-serif"/>
          <w:b w:val="false"/>
          <w:color w:val="221E1F"/>
          <w:sz w:val="22"/>
        </w:rPr>
        <w:t xml:space="preserve">If a Participant dies while actively employed by the Company, or on Disability, all RSUs will vest as of the date of death and be converted to shares of Common Stock to be delivered to the Participant’s estate, net of taxes (where applicable), as soon as administratively practicable. </w:t>
      </w:r>
    </w:p>
    <w:p>
      <w:pPr>
        <w:pStyle w:val="TextBody"/>
        <w:spacing w:lineRule="auto" w:line="304" w:before="0" w:after="240"/>
        <w:rPr/>
      </w:pPr>
      <w:r>
        <w:rPr>
          <w:rFonts w:ascii="Arial;sans-serif" w:hAnsi="Arial;sans-serif"/>
          <w:b/>
          <w:color w:val="221E1F"/>
          <w:sz w:val="22"/>
        </w:rPr>
        <w:t xml:space="preserve">Change-in-Control Termination. </w:t>
      </w:r>
      <w:r>
        <w:rPr>
          <w:rFonts w:ascii="Arial;sans-serif" w:hAnsi="Arial;sans-serif"/>
          <w:b w:val="false"/>
          <w:color w:val="000000"/>
          <w:sz w:val="22"/>
        </w:rPr>
        <w:t>If a Participant’s termination results from an involuntary termination by the Company for reasons other than for Cause, or due to the Participant’s voluntary termination for “Good Reason,” in each case, within 24 months following a Change-in-Control in accordance with Section 10(d) of the LTIP (such Termination of Service, a “CIC Termination”), then all unvested RSUs will vest as of the Termination Date and be converted into shares of Common Stock (or cash) to be delivered to the Participant as soon as administratively practicable after the Termination Date, subject to the six-month delay noted below under “Specified Employees”, if applicable.</w:t>
      </w:r>
    </w:p>
    <w:p>
      <w:pPr>
        <w:pStyle w:val="TextBody"/>
        <w:spacing w:lineRule="auto" w:line="304" w:before="0" w:after="240"/>
        <w:rPr/>
      </w:pPr>
      <w:r>
        <w:rPr>
          <w:rFonts w:ascii="Arial;sans-serif" w:hAnsi="Arial;sans-serif"/>
          <w:b/>
          <w:color w:val="221E1F"/>
          <w:sz w:val="22"/>
        </w:rPr>
        <w:t>Specified Employees</w:t>
      </w:r>
      <w:r>
        <w:rPr>
          <w:rFonts w:ascii="Arial;sans-serif" w:hAnsi="Arial;sans-serif"/>
          <w:b w:val="false"/>
          <w:color w:val="221E1F"/>
          <w:sz w:val="22"/>
        </w:rPr>
        <w:t>. If a Participant is a “specified employee” within the meaning of Section 409A of the Code (i.e., generally the fifty highest paid employees, as determined by the Company) at the time of the Participant’s Termination of Service, and the RSUs will vest by reason of such Participant’s Termination of Service, then, to the extent necessary to avoid the application of any additional tax or penalty under IRC Section 409A and consistent with the terms of the Plan, RSUs will be held in the Participant’s UBS account (dividend equivalent eligible) and will vest on the first day of the seventh month following the Termination Date.</w:t>
      </w:r>
      <w:r>
        <w:rPr>
          <w:color w:val="000000"/>
        </w:rPr>
        <w:t xml:space="preserve"> </w:t>
      </w:r>
      <w:r>
        <w:rPr>
          <w:rFonts w:ascii="Arial;sans-serif" w:hAnsi="Arial;sans-serif"/>
          <w:b w:val="false"/>
          <w:color w:val="000000"/>
          <w:sz w:val="22"/>
        </w:rPr>
        <w:t>Upon vest, RSUs will convert into an equal number of shares of Common Stock (or cash) to be delivered to the Participant as soon as administratively practicable. The value of the RSUs will be determined as of the vest date.</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 xml:space="preserve">Forfeiture of Award and Repayment of Realized Gains </w:t>
      </w:r>
    </w:p>
    <w:p>
      <w:pPr>
        <w:pStyle w:val="TextBody"/>
        <w:spacing w:lineRule="auto" w:line="304" w:before="0" w:after="240"/>
        <w:rPr/>
      </w:pPr>
      <w:r>
        <w:rPr>
          <w:rFonts w:ascii="Arial;sans-serif" w:hAnsi="Arial;sans-serif"/>
          <w:b w:val="false"/>
          <w:color w:val="221E1F"/>
          <w:sz w:val="22"/>
        </w:rPr>
        <w:t xml:space="preserve">RSU Awards, including Common Stock delivered for vested RSUs, are subject to the applicable Raytheon Technologies Corporation Clawback Policy, as amended from time to time, available on </w:t>
      </w:r>
      <w:r>
        <w:rPr>
          <w:rFonts w:ascii="Arial;sans-serif" w:hAnsi="Arial;sans-serif"/>
          <w:b w:val="false"/>
          <w:color w:val="0000FF"/>
          <w:sz w:val="22"/>
          <w:u w:val="single"/>
        </w:rPr>
        <w:t>www.rtx.com</w:t>
      </w:r>
      <w:r>
        <w:rPr>
          <w:rFonts w:ascii="Arial;sans-serif" w:hAnsi="Arial;sans-serif"/>
          <w:b w:val="false"/>
          <w:color w:val="221E1F"/>
          <w:sz w:val="22"/>
        </w:rPr>
        <w:t xml:space="preserve">. RSUs will be immediately forfeited, and a Participant may be obligated to repay to the Company the value realized from previously vested RSUs upon the occurrence of any of the following events: </w: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 xml:space="preserve">(i)Termination for Cause (as defined in the LTIP); </w: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(ii)Within three-years following a Participant’s Termination Date, the Committee determines that the Participant engaged in conduct that could have constituted the basis for a Termination for Cause;</w: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 xml:space="preserve">(iii)A restatement of financial results attributable to a Participant’s actions, whether intentional or negligent; </w: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 xml:space="preserve">(iv)Within twenty-four months following the Termination Date, the Participant: </w:t>
      </w:r>
    </w:p>
    <w:p>
      <w:pPr>
        <w:pStyle w:val="TextBody"/>
        <w:spacing w:lineRule="auto" w:line="304" w:before="0" w:after="240"/>
        <w:ind w:left="0" w:right="0" w:hanging="360"/>
        <w:rPr>
          <w:rFonts w:ascii="Arial;sans-serif" w:hAnsi="Arial;sans-serif"/>
          <w:b w:val="false"/>
          <w:color w:val="000000"/>
          <w:sz w:val="22"/>
        </w:rPr>
      </w:pPr>
      <w:r>
        <w:rPr>
          <w:rFonts w:ascii="Arial;sans-serif" w:hAnsi="Arial;sans-serif"/>
          <w:b w:val="false"/>
          <w:color w:val="000000"/>
          <w:sz w:val="22"/>
        </w:rPr>
        <w:t xml:space="preserve">(A)Solicits a Company employee, or individual who had been a Company employee within the previous three months, for an opportunity outside of the Company; or </w:t>
      </w:r>
    </w:p>
    <w:p>
      <w:pPr>
        <w:pStyle w:val="TextBody"/>
        <w:spacing w:lineRule="auto" w:line="304" w:before="0" w:after="240"/>
        <w:ind w:left="0" w:right="0" w:hanging="360"/>
        <w:rPr>
          <w:rFonts w:ascii="Arial;sans-serif" w:hAnsi="Arial;sans-serif"/>
          <w:b w:val="false"/>
          <w:color w:val="000000"/>
          <w:sz w:val="22"/>
        </w:rPr>
      </w:pPr>
      <w:r>
        <w:rPr>
          <w:rFonts w:ascii="Arial;sans-serif" w:hAnsi="Arial;sans-serif"/>
          <w:b w:val="false"/>
          <w:color w:val="000000"/>
          <w:sz w:val="22"/>
        </w:rPr>
        <w:t xml:space="preserve">(B)Publicly disparages the Company, its employees, directors, products, or otherwise makes a public statement that is materially detrimental to the interests of the Company or such individuals; </w:t>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84200"/>
                <wp:effectExtent l="0" t="0" r="0" b="0"/>
                <wp:wrapNone/>
                <wp:docPr id="53" name="Frame53"/>
                <a:graphic xmlns:a="http://schemas.openxmlformats.org/drawingml/2006/main">
                  <a:graphicData uri="http://schemas.microsoft.com/office/word/2010/wordprocessingShape">
                    <wps:wsp>
                      <wps:cNvSpPr txBox="1"/>
                      <wps:spPr>
                        <a:xfrm>
                          <a:off x="0" y="0"/>
                          <a:ext cx="6480175" cy="584200"/>
                        </a:xfrm>
                        <a:prstGeom prst="rect"/>
                      </wps:spPr>
                      <wps:txb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4</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4</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v:textbox>
              </v:rect>
            </w:pict>
          </mc:Fallback>
        </mc:AlternateConten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 xml:space="preserve">(v)Except where prohibited by law, at any time during the twelve-month period following the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 </w: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(vi)Negligent conduct injurious to the Company, including negligent supervision of a subordinate whose action requires a restatement of financial results, or other significant harm to the Company as determined by the Committee; or</w:t>
      </w:r>
    </w:p>
    <w:p>
      <w:pPr>
        <w:pStyle w:val="TextBody"/>
        <w:spacing w:lineRule="auto" w:line="304" w:before="0" w:after="240"/>
        <w:ind w:left="0" w:right="0" w:hanging="450"/>
        <w:rPr/>
      </w:pPr>
      <w:r>
        <w:rPr>
          <w:rFonts w:ascii="Arial;sans-serif" w:hAnsi="Arial;sans-serif"/>
          <w:b w:val="false"/>
          <w:color w:val="000000"/>
          <w:sz w:val="22"/>
        </w:rPr>
        <w:t>(vii)</w:t>
      </w:r>
      <w:r>
        <w:rPr>
          <w:color w:val="000000"/>
        </w:rPr>
        <w:t xml:space="preserve"> </w:t>
      </w:r>
      <w:r>
        <w:rPr>
          <w:rFonts w:ascii="Arial;sans-serif" w:hAnsi="Arial;sans-serif"/>
          <w:b w:val="false"/>
          <w:color w:val="000000"/>
          <w:sz w:val="22"/>
        </w:rPr>
        <w:t xml:space="preserve">A Participant’s misappropriation of RTX Intellectual Property or violation of his/her Intellectual Property (IP) Agreement. </w:t>
      </w:r>
    </w:p>
    <w:p>
      <w:pPr>
        <w:pStyle w:val="TextBody"/>
        <w:spacing w:lineRule="auto" w:line="304" w:before="100" w:after="240"/>
        <w:rPr>
          <w:rFonts w:ascii="Arial;sans-serif" w:hAnsi="Arial;sans-serif"/>
          <w:b w:val="false"/>
          <w:color w:val="000000"/>
          <w:sz w:val="22"/>
        </w:rPr>
      </w:pPr>
      <w:r>
        <w:rPr>
          <w:rFonts w:ascii="Arial;sans-serif" w:hAnsi="Arial;sans-serif"/>
          <w:b w:val="false"/>
          <w:color w:val="000000"/>
          <w:sz w:val="22"/>
        </w:rPr>
        <w:t>In addition, the Committee reserves the right to require repayment of all or any portion of an RSU Award under item (iii) above, without regard to whether a restatement is attributable to the Participant’s actions, as appropriate and determined at the Committee’s sole discretion.</w:t>
      </w:r>
    </w:p>
    <w:p>
      <w:pPr>
        <w:pStyle w:val="TextBody"/>
        <w:spacing w:lineRule="auto" w:line="304" w:before="100" w:after="240"/>
        <w:rPr/>
      </w:pPr>
      <w:r>
        <w:rPr>
          <w:rFonts w:ascii="Arial;sans-serif" w:hAnsi="Arial;sans-serif"/>
          <w:b w:val="false"/>
          <w:color w:val="000000"/>
          <w:sz w:val="22"/>
        </w:rPr>
        <w:t>The Participant agrees that the foregoing restrictions are reasonable and that the value of</w:t>
      </w:r>
      <w:r>
        <w:rPr>
          <w:color w:val="221E1F"/>
        </w:rPr>
        <w:t xml:space="preserve"> </w:t>
      </w:r>
      <w:r>
        <w:rPr>
          <w:rFonts w:ascii="Arial;sans-serif" w:hAnsi="Arial;sans-serif"/>
          <w:b w:val="false"/>
          <w:color w:val="221E1F"/>
          <w:sz w:val="22"/>
        </w:rPr>
        <w:t>the</w:t>
      </w:r>
      <w:r>
        <w:rPr>
          <w:color w:val="000000"/>
        </w:rPr>
        <w:t xml:space="preserve"> </w:t>
      </w:r>
      <w:r>
        <w:rPr>
          <w:rFonts w:ascii="Arial;sans-serif" w:hAnsi="Arial;sans-serif"/>
          <w:b w:val="false"/>
          <w:color w:val="000000"/>
          <w:sz w:val="22"/>
        </w:rPr>
        <w:t xml:space="preserve">LTIP awards is reasonable consideration for accepting such restrictions and forfeiture contingencies. </w:t>
      </w:r>
      <w:r>
        <w:rPr>
          <w:rFonts w:ascii="Arial;sans-serif" w:hAnsi="Arial;sans-serif"/>
          <w:b w:val="false"/>
          <w:color w:val="221E1F"/>
          <w:sz w:val="22"/>
        </w:rPr>
        <w:t xml:space="preserve">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w:t>
      </w:r>
      <w:r>
        <w:rPr>
          <w:rFonts w:ascii="Arial;sans-serif" w:hAnsi="Arial;sans-serif"/>
          <w:b w:val="false"/>
          <w:color w:val="000000"/>
          <w:sz w:val="22"/>
        </w:rPr>
        <w:t>Further details concerning the forfeiture of awards and the obligation to repay gains realized from LTIP awards are set forth in Section 14(i) of the LTIP, available</w:t>
      </w:r>
      <w:r>
        <w:rPr>
          <w:color w:val="221E1F"/>
        </w:rPr>
        <w:t xml:space="preserve"> </w:t>
      </w:r>
      <w:r>
        <w:rPr>
          <w:rFonts w:ascii="Arial;sans-serif" w:hAnsi="Arial;sans-serif"/>
          <w:b w:val="false"/>
          <w:color w:val="221E1F"/>
          <w:sz w:val="22"/>
        </w:rPr>
        <w:t>at</w:t>
      </w:r>
      <w:r>
        <w:rPr>
          <w:color w:val="221E1F"/>
          <w:u w:val="single"/>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and the applicable RTX Clawback Policy, available on </w:t>
      </w:r>
      <w:r>
        <w:rPr>
          <w:rFonts w:ascii="Arial;sans-serif" w:hAnsi="Arial;sans-serif"/>
          <w:b w:val="false"/>
          <w:color w:val="0000FF"/>
          <w:sz w:val="22"/>
          <w:u w:val="single"/>
        </w:rPr>
        <w:t>www.rtx.com</w:t>
      </w:r>
      <w:r>
        <w:rPr>
          <w:rFonts w:ascii="Arial;sans-serif" w:hAnsi="Arial;sans-serif"/>
          <w:b w:val="false"/>
          <w:color w:val="221E1F"/>
          <w:sz w:val="22"/>
        </w:rPr>
        <w:t>.</w:t>
      </w:r>
      <w:r>
        <w:rPr>
          <w:color w:val="000000"/>
        </w:rPr>
        <w:t xml:space="preserve"> </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Adjustments</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If the Corporation engages in a transaction affecting its capital structure, such as a merger, distribution of a special dividend, spin-off of a business unit, stock split, subdivision or consolidation of shares of Common Stock or other events affecting the value of Common Stock, RSU awards may be adjusted as determined by the Committee, in its sole discretion. </w:t>
      </w:r>
    </w:p>
    <w:p>
      <w:pPr>
        <w:pStyle w:val="TextBody"/>
        <w:spacing w:lineRule="auto" w:line="304" w:before="0" w:after="240"/>
        <w:rPr/>
      </w:pPr>
      <w:r>
        <w:rPr>
          <w:rFonts w:ascii="Arial;sans-serif" w:hAnsi="Arial;sans-serif"/>
          <w:b w:val="false"/>
          <w:color w:val="221E1F"/>
          <w:sz w:val="22"/>
        </w:rPr>
        <w:t xml:space="preserve">Further information concerning capital adjustments is set forth in Section 3(e) of the LTIP, available at </w:t>
      </w:r>
      <w:r>
        <w:rPr>
          <w:rFonts w:ascii="Arial;sans-serif" w:hAnsi="Arial;sans-serif"/>
          <w:b w:val="false"/>
          <w:color w:val="0000FF"/>
          <w:sz w:val="22"/>
          <w:u w:val="single"/>
        </w:rPr>
        <w:t>www.ubs.com/onesource/rtx.</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Change-in-Control</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w:t>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84200"/>
                <wp:effectExtent l="0" t="0" r="0" b="0"/>
                <wp:wrapNone/>
                <wp:docPr id="54" name="Frame54"/>
                <a:graphic xmlns:a="http://schemas.openxmlformats.org/drawingml/2006/main">
                  <a:graphicData uri="http://schemas.microsoft.com/office/word/2010/wordprocessingShape">
                    <wps:wsp>
                      <wps:cNvSpPr txBox="1"/>
                      <wps:spPr>
                        <a:xfrm>
                          <a:off x="0" y="0"/>
                          <a:ext cx="6480175" cy="584200"/>
                        </a:xfrm>
                        <a:prstGeom prst="rect"/>
                      </wps:spPr>
                      <wps:txb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5</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5</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v:textbox>
              </v:rect>
            </w:pict>
          </mc:Fallback>
        </mc:AlternateContent>
      </w:r>
    </w:p>
    <w:p>
      <w:pPr>
        <w:pStyle w:val="TextBody"/>
        <w:spacing w:lineRule="auto" w:line="304" w:before="0" w:after="240"/>
        <w:rPr/>
      </w:pPr>
      <w:r>
        <w:rPr>
          <w:rFonts w:ascii="Arial;sans-serif" w:hAnsi="Arial;sans-serif"/>
          <w:b w:val="false"/>
          <w:color w:val="221E1F"/>
          <w:sz w:val="22"/>
        </w:rPr>
        <w:t xml:space="preserve">Committee may deem appropriate. Further details concerning Change-in-Control are set forth in Section 10 of the LTIP, which can be located at </w:t>
      </w:r>
      <w:r>
        <w:rPr>
          <w:rFonts w:ascii="Arial;sans-serif" w:hAnsi="Arial;sans-serif"/>
          <w:b w:val="false"/>
          <w:color w:val="0000FF"/>
          <w:sz w:val="22"/>
          <w:u w:val="single"/>
        </w:rPr>
        <w:t>www.ubs.com/onesource/rtx</w:t>
      </w:r>
      <w:r>
        <w:rPr>
          <w:rFonts w:ascii="Arial;sans-serif" w:hAnsi="Arial;sans-serif"/>
          <w:b w:val="false"/>
          <w:color w:val="221E1F"/>
          <w:sz w:val="22"/>
          <w:u w:val="single"/>
        </w:rPr>
        <w:t>.</w:t>
      </w:r>
      <w:r>
        <w:rPr>
          <w:color w:val="221E1F"/>
        </w:rPr>
        <w:t xml:space="preserve"> </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Awards Not to Affect Certain Transactions</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RSU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 </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Taxes / Withholding</w:t>
      </w:r>
    </w:p>
    <w:p>
      <w:pPr>
        <w:pStyle w:val="TextBody"/>
        <w:spacing w:lineRule="auto" w:line="304" w:before="0" w:after="240"/>
        <w:rPr/>
      </w:pPr>
      <w:r>
        <w:rPr>
          <w:rFonts w:ascii="Arial;sans-serif" w:hAnsi="Arial;sans-serif"/>
          <w:b w:val="false"/>
          <w:color w:val="221E1F"/>
          <w:sz w:val="22"/>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RSUs. The provisions of Section 14(d) (Required Taxes) of the LTIP apply to this Award. The Company shall have the right to deduct directly from RSUs, any payment or delivery of shares due to a Participant or from Participant’s regular compensation to effect compliance with all Tax-Related Items, including withholding and reporting with respect to the vesting of any RSU, or in advance of vesting, for retirement eligible Participants to comply with FICA tax requirements. Acceptance of an Award constitutes affirmative consent by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sans-serif" w:hAnsi="Arial;sans-serif"/>
          <w:b w:val="false"/>
          <w:color w:val="211F1F"/>
          <w:sz w:val="22"/>
        </w:rPr>
        <w:t xml:space="preserve">Further, if the Participant has become subject to tax in more than one jurisdiction between the date of grant and the date of any relevant taxable event, the Participant acknowledges that the Company may be required to withhold or account for Tax-Related Items in more than one jurisdiction. </w:t>
      </w:r>
      <w:r>
        <w:rPr>
          <w:rFonts w:ascii="Arial;sans-serif" w:hAnsi="Arial;sans-serif"/>
          <w:b w:val="false"/>
          <w:color w:val="221E1F"/>
          <w:sz w:val="22"/>
        </w:rPr>
        <w:t xml:space="preserve">In those countries where there is no 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If the Participant is a Section 16 officer of the Company under Section 16 of the Securities Exchange Act of 1934, as amended, at the time that a taxable event occurs, then the Company shall satisfy the Participant’s withholding obligation as follows: (i) with respect to FICA taxes due and owing prior to the vesting of the RSU Award and (ii) with respect to any other Tax-Related Items, the Company shall satisfy the withholding obligation by withholding shares of Common Stock converted from RSUs under the RSU Award having a Fair Market Value on the date of withholding equal to the amount required to be withheld for tax purposes (calculated using the minimum statutory withholding rate, except as otherwise approved by the Committee , or its delegate). Provided for both items (i) and (ii) above, the Committee retains the right to determine an alternative method of withholding for the Participant, at its sole discretion, provided in all </w:t>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84200"/>
                <wp:effectExtent l="0" t="0" r="0" b="0"/>
                <wp:wrapNone/>
                <wp:docPr id="55" name="Frame55"/>
                <a:graphic xmlns:a="http://schemas.openxmlformats.org/drawingml/2006/main">
                  <a:graphicData uri="http://schemas.microsoft.com/office/word/2010/wordprocessingShape">
                    <wps:wsp>
                      <wps:cNvSpPr txBox="1"/>
                      <wps:spPr>
                        <a:xfrm>
                          <a:off x="0" y="0"/>
                          <a:ext cx="6480175" cy="584200"/>
                        </a:xfrm>
                        <a:prstGeom prst="rect"/>
                      </wps:spPr>
                      <wps:txb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6</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6</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v:textbox>
              </v:rect>
            </w:pict>
          </mc:Fallback>
        </mc:AlternateConten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cases, such determination shall be made by the Committee prior to the Tax-Related Items withholding event.</w:t>
      </w:r>
    </w:p>
    <w:p>
      <w:pPr>
        <w:pStyle w:val="TextBody"/>
        <w:spacing w:lineRule="auto" w:line="304" w:before="0" w:after="240"/>
        <w:rPr/>
      </w:pPr>
      <w:r>
        <w:rPr>
          <w:rFonts w:ascii="Arial;sans-serif" w:hAnsi="Arial;sans-serif"/>
          <w:b w:val="false"/>
          <w:color w:val="000000"/>
          <w:sz w:val="22"/>
        </w:rPr>
        <w:t xml:space="preserve">Important information about the U.S. Federal income tax consequences of LTIP Awards can be found in the LTIP Prospectus at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Nonassignability</w:t>
      </w:r>
    </w:p>
    <w:p>
      <w:pPr>
        <w:pStyle w:val="TextBody"/>
        <w:spacing w:lineRule="auto" w:line="304" w:before="0" w:after="240"/>
        <w:rPr/>
      </w:pPr>
      <w:r>
        <w:rPr>
          <w:rFonts w:ascii="Arial;sans-serif" w:hAnsi="Arial;sans-serif"/>
          <w:b w:val="false"/>
          <w:color w:val="221E1F"/>
          <w:sz w:val="22"/>
        </w:rPr>
        <w:t>Unless otherwise approved by the Committee or its delegate, no assignment or transfer of any right or interest of a Participant in any RSU Award, whether voluntary or involuntary, by operation of law or otherwise, is permitted except by will or the laws of descent and distribution</w:t>
      </w:r>
      <w:r>
        <w:rPr>
          <w:rFonts w:ascii="Arial;sans-serif" w:hAnsi="Arial;sans-serif"/>
          <w:b w:val="false"/>
          <w:color w:val="000000"/>
          <w:sz w:val="22"/>
        </w:rPr>
        <w:t>. Any other</w:t>
      </w:r>
      <w:r>
        <w:rPr>
          <w:color w:val="221E1F"/>
        </w:rPr>
        <w:t xml:space="preserve"> </w:t>
      </w:r>
      <w:r>
        <w:rPr>
          <w:rFonts w:ascii="Arial;sans-serif" w:hAnsi="Arial;sans-serif"/>
          <w:b w:val="false"/>
          <w:color w:val="221E1F"/>
          <w:sz w:val="22"/>
        </w:rPr>
        <w:t xml:space="preserve">attempt to assign such rights or interest shall be void and without force or effect. </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Nature of Payments</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pStyle w:val="TextBody"/>
        <w:spacing w:lineRule="auto" w:line="304" w:before="0" w:after="240"/>
        <w:rPr>
          <w:rFonts w:ascii="Arial;sans-serif" w:hAnsi="Arial;sans-serif"/>
          <w:b/>
          <w:color w:val="211E1F"/>
          <w:sz w:val="22"/>
        </w:rPr>
      </w:pPr>
      <w:r>
        <w:rPr>
          <w:rFonts w:ascii="Arial;sans-serif" w:hAnsi="Arial;sans-serif"/>
          <w:b/>
          <w:color w:val="211E1F"/>
          <w:sz w:val="22"/>
        </w:rPr>
        <w:t>Right of Discharge Reserved</w:t>
      </w:r>
    </w:p>
    <w:p>
      <w:pPr>
        <w:pStyle w:val="TextBody"/>
        <w:spacing w:lineRule="auto" w:line="304" w:before="0" w:after="240"/>
        <w:rPr>
          <w:rFonts w:ascii="Arial;sans-serif" w:hAnsi="Arial;sans-serif"/>
          <w:b w:val="false"/>
          <w:color w:val="211E1F"/>
          <w:sz w:val="22"/>
        </w:rPr>
      </w:pPr>
      <w:r>
        <w:rPr>
          <w:rFonts w:ascii="Arial;sans-serif" w:hAnsi="Arial;sans-serif"/>
          <w:b w:val="false"/>
          <w:color w:val="211E1F"/>
          <w:sz w:val="22"/>
        </w:rPr>
        <w:t>Nothing in the LTIP or in any RSU Award shall confer upon any Participant the right to continued employment or service for any period of time or affect any right that the Company may have to terminate the employment of any Participant at any time for any reason.</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Administration</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and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Data Privacy</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w:t>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84200"/>
                <wp:effectExtent l="0" t="0" r="0" b="0"/>
                <wp:wrapNone/>
                <wp:docPr id="56" name="Frame56"/>
                <a:graphic xmlns:a="http://schemas.openxmlformats.org/drawingml/2006/main">
                  <a:graphicData uri="http://schemas.microsoft.com/office/word/2010/wordprocessingShape">
                    <wps:wsp>
                      <wps:cNvSpPr txBox="1"/>
                      <wps:spPr>
                        <a:xfrm>
                          <a:off x="0" y="0"/>
                          <a:ext cx="6480175" cy="584200"/>
                        </a:xfrm>
                        <a:prstGeom prst="rect"/>
                      </wps:spPr>
                      <wps:txb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7</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7</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v:textbox>
              </v:rect>
            </w:pict>
          </mc:Fallback>
        </mc:AlternateConten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Company Compliance Policies</w:t>
      </w:r>
    </w:p>
    <w:p>
      <w:pPr>
        <w:pStyle w:val="TextBody"/>
        <w:spacing w:lineRule="auto" w:line="304" w:before="0" w:after="240"/>
        <w:rPr/>
      </w:pPr>
      <w:r>
        <w:rPr>
          <w:rFonts w:ascii="Arial;sans-serif" w:hAnsi="Arial;sans-serif"/>
          <w:b w:val="false"/>
          <w:color w:val="221E1F"/>
          <w:sz w:val="22"/>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sans-serif" w:hAnsi="Arial;sans-serif"/>
          <w:b w:val="false"/>
          <w:color w:val="0000FF"/>
          <w:sz w:val="22"/>
          <w:u w:val="single"/>
        </w:rPr>
        <w:t>http://epolicy.corp.ray.com/epolicy/</w:t>
      </w:r>
      <w:r>
        <w:rPr>
          <w:rFonts w:ascii="Arial;sans-serif" w:hAnsi="Arial;sans-serif"/>
          <w:b w:val="false"/>
          <w:color w:val="221E1F"/>
          <w:sz w:val="22"/>
        </w:rPr>
        <w:t>.</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Interpretations</w:t>
      </w:r>
    </w:p>
    <w:p>
      <w:pPr>
        <w:pStyle w:val="TextBody"/>
        <w:spacing w:lineRule="auto" w:line="304" w:before="0" w:after="240"/>
        <w:rPr/>
      </w:pPr>
      <w:r>
        <w:rPr>
          <w:rFonts w:ascii="Arial;sans-serif" w:hAnsi="Arial;sans-serif"/>
          <w:b w:val="false"/>
          <w:color w:val="000000"/>
          <w:sz w:val="22"/>
        </w:rPr>
        <w:t>This Schedule of Terms provides a summary of terms applicable to the RSU Award.</w:t>
      </w:r>
      <w:r>
        <w:rPr>
          <w:color w:val="221E1F"/>
        </w:rPr>
        <w:t xml:space="preserve"> </w:t>
      </w:r>
      <w:r>
        <w:rPr>
          <w:rFonts w:ascii="Arial;sans-serif" w:hAnsi="Arial;sans-serif"/>
          <w:b w:val="false"/>
          <w:color w:val="221E1F"/>
          <w:sz w:val="22"/>
        </w:rPr>
        <w:t>This Schedule of Terms and each Award Agreement are subject in all respects to the terms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221E1F"/>
          <w:sz w:val="22"/>
        </w:rPr>
        <w:t>.</w:t>
      </w:r>
      <w:r>
        <w:rPr>
          <w:color w:val="000000"/>
        </w:rPr>
        <w:t xml:space="preserve"> </w:t>
      </w:r>
      <w:r>
        <w:rPr>
          <w:rFonts w:ascii="Arial;sans-serif" w:hAnsi="Arial;sans-serif"/>
          <w:b w:val="false"/>
          <w:color w:val="221E1F"/>
          <w:sz w:val="22"/>
        </w:rPr>
        <w:t>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Governing Law</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 xml:space="preserve">Additional Information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Questions concerning the LTIP or Awards and requests for LTIP documents can be directed to:</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Stock Plan Administrator</w:t>
      </w:r>
    </w:p>
    <w:p>
      <w:pPr>
        <w:pStyle w:val="TextBody"/>
        <w:spacing w:lineRule="auto" w:line="304" w:before="0" w:after="240"/>
        <w:rPr>
          <w:rFonts w:ascii="Arial;sans-serif" w:hAnsi="Arial;sans-serif"/>
          <w:b w:val="false"/>
          <w:color w:val="0000FF"/>
          <w:sz w:val="22"/>
          <w:u w:val="single"/>
        </w:rPr>
      </w:pPr>
      <w:r>
        <w:rPr>
          <w:rFonts w:ascii="Arial;sans-serif" w:hAnsi="Arial;sans-serif"/>
          <w:b w:val="false"/>
          <w:color w:val="0000FF"/>
          <w:sz w:val="22"/>
          <w:u w:val="single"/>
        </w:rPr>
        <w:t xml:space="preserve">rtxstockadmin@rtx.com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OR</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Raytheon Technologies Corporation</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Attn: Stock Plan Administrator</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4 Farm Springs Road</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Farmington, CT 06032</w:t>
      </w:r>
    </w:p>
    <w:p>
      <w:pPr>
        <w:pStyle w:val="TextBody"/>
        <w:spacing w:before="0" w:after="0"/>
        <w:rPr/>
      </w:pPr>
      <w:r>
        <w:rPr/>
      </w:r>
    </w:p>
    <w:p>
      <w:pPr>
        <w:pStyle w:val="TextBody"/>
        <w:spacing w:before="0" w:after="0"/>
        <w:rPr/>
      </w:pPr>
      <w:r>
        <w:rPr/>
      </w:r>
    </w:p>
    <w:p>
      <w:pPr>
        <w:pStyle w:val="TextBody"/>
        <w:spacing w:lineRule="auto" w:line="304"/>
        <w:rPr/>
      </w:pPr>
      <w:r>
        <w:rPr>
          <w:rFonts w:ascii="Arial;sans-serif" w:hAnsi="Arial;sans-serif"/>
          <w:b w:val="false"/>
          <w:color w:val="000000"/>
          <w:sz w:val="22"/>
        </w:rPr>
        <w:t xml:space="preserve">The Corporation and/or its approved Stock Plan Administrator will send any Award-related communications to the Participant’s email address or physical address on record. </w:t>
      </w:r>
      <w:r>
        <w:rPr>
          <w:rFonts w:ascii="Arial;sans-serif" w:hAnsi="Arial;sans-serif"/>
          <w:b w:val="false"/>
          <w:color w:val="221E1F"/>
          <w:sz w:val="22"/>
        </w:rPr>
        <w:t xml:space="preserve">It is the </w:t>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84200"/>
                <wp:effectExtent l="0" t="0" r="0" b="0"/>
                <wp:wrapNone/>
                <wp:docPr id="57" name="Frame57"/>
                <a:graphic xmlns:a="http://schemas.openxmlformats.org/drawingml/2006/main">
                  <a:graphicData uri="http://schemas.microsoft.com/office/word/2010/wordprocessingShape">
                    <wps:wsp>
                      <wps:cNvSpPr txBox="1"/>
                      <wps:spPr>
                        <a:xfrm>
                          <a:off x="0" y="0"/>
                          <a:ext cx="6480175" cy="584200"/>
                        </a:xfrm>
                        <a:prstGeom prst="rect"/>
                      </wps:spPr>
                      <wps:txb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8</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8</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v:textbox>
              </v:rect>
            </w:pict>
          </mc:Fallback>
        </mc:AlternateContent>
      </w:r>
    </w:p>
    <w:p>
      <w:pPr>
        <w:pStyle w:val="TextBody"/>
        <w:spacing w:lineRule="auto" w:line="304"/>
        <w:rPr>
          <w:rFonts w:ascii="Arial;sans-serif" w:hAnsi="Arial;sans-serif"/>
          <w:b w:val="false"/>
          <w:color w:val="221E1F"/>
          <w:sz w:val="22"/>
        </w:rPr>
      </w:pPr>
      <w:r>
        <w:rPr>
          <w:rFonts w:ascii="Arial;sans-serif" w:hAnsi="Arial;sans-serif"/>
          <w:b w:val="false"/>
          <w:color w:val="221E1F"/>
          <w:sz w:val="22"/>
        </w:rPr>
        <w:t xml:space="preserve">responsibility of the Participant to ensure that both the e-mail and physical address on record are up-to-date and accurate at all times to ensure delivery of Award-related communications.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Arial;sans-serif" w:hAnsi="Arial;sans-serif"/>
          <w:b/>
          <w:color w:val="000000"/>
          <w:sz w:val="22"/>
        </w:rPr>
      </w:pPr>
      <w:r>
        <w:rPr>
          <w:rFonts w:ascii="Arial;sans-serif" w:hAnsi="Arial;sans-serif"/>
          <w:b/>
          <w:color w:val="000000"/>
          <w:sz w:val="22"/>
        </w:rPr>
        <w:t>E</w:t>
      </w:r>
      <w:r>
        <w:rPr>
          <w:rFonts w:ascii="Arial;sans-serif" w:hAnsi="Arial;sans-serif"/>
          <w:b/>
          <w:color w:val="000000"/>
          <w:sz w:val="22"/>
        </w:rPr>
        <w:t>xhibit 10.2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84200"/>
                <wp:effectExtent l="0" t="0" r="0" b="0"/>
                <wp:wrapNone/>
                <wp:docPr id="58" name="Frame58"/>
                <a:graphic xmlns:a="http://schemas.openxmlformats.org/drawingml/2006/main">
                  <a:graphicData uri="http://schemas.microsoft.com/office/word/2010/wordprocessingShape">
                    <wps:wsp>
                      <wps:cNvSpPr txBox="1"/>
                      <wps:spPr>
                        <a:xfrm>
                          <a:off x="0" y="0"/>
                          <a:ext cx="6480175" cy="584200"/>
                        </a:xfrm>
                        <a:prstGeom prst="rect"/>
                      </wps:spPr>
                      <wps:txb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9</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spacing w:lineRule="auto" w:line="240" w:before="0" w:after="0"/>
                        <w:jc w:val="right"/>
                        <w:rPr>
                          <w:rFonts w:ascii="Arial;sans-serif" w:hAnsi="Arial;sans-serif"/>
                          <w:b w:val="false"/>
                          <w:color w:val="221E1F"/>
                          <w:sz w:val="16"/>
                        </w:rPr>
                      </w:pPr>
                      <w:r>
                        <w:rPr>
                          <w:rFonts w:ascii="Arial;sans-serif" w:hAnsi="Arial;sans-serif"/>
                          <w:b w:val="false"/>
                          <w:color w:val="221E1F"/>
                          <w:sz w:val="16"/>
                        </w:rPr>
                        <w:t>9</w:t>
                      </w:r>
                    </w:p>
                    <w:p>
                      <w:pPr>
                        <w:pStyle w:val="TextBody"/>
                        <w:spacing w:before="0" w:after="0"/>
                        <w:rPr/>
                      </w:pPr>
                      <w:r>
                        <w:rPr/>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         </w:t>
                      </w:r>
                    </w:p>
                    <w:p>
                      <w:pPr>
                        <w:pStyle w:val="TextBody"/>
                        <w:spacing w:lineRule="auto" w:line="240" w:before="0" w:after="0"/>
                        <w:rPr>
                          <w:color w:val="221E1F"/>
                        </w:rPr>
                      </w:pPr>
                      <w:r>
                        <w:rPr>
                          <w:color w:val="221E1F"/>
                        </w:rPr>
                        <w:t>        </w:t>
                      </w:r>
                    </w:p>
                  </w:txbxContent>
                </v:textbox>
              </v:rect>
            </w:pict>
          </mc:Fallback>
        </mc:AlternateContent>
      </w:r>
    </w:p>
    <w:p>
      <w:pPr>
        <w:pStyle w:val="TextBody"/>
        <w:spacing w:lineRule="auto" w:line="276" w:before="0" w:after="0"/>
        <w:jc w:val="center"/>
        <w:rPr>
          <w:rFonts w:ascii="Arial;sans-serif" w:hAnsi="Arial;sans-serif"/>
          <w:b/>
          <w:color w:val="221E1F"/>
          <w:sz w:val="24"/>
        </w:rPr>
      </w:pPr>
      <w:r>
        <w:rPr>
          <w:rFonts w:ascii="Arial;sans-serif" w:hAnsi="Arial;sans-serif"/>
          <w:b/>
          <w:color w:val="221E1F"/>
          <w:sz w:val="24"/>
        </w:rPr>
        <w:t>Raytheon Technologies Corporation</w:t>
      </w:r>
    </w:p>
    <w:p>
      <w:pPr>
        <w:pStyle w:val="TextBody"/>
        <w:spacing w:lineRule="auto" w:line="276" w:before="0" w:after="0"/>
        <w:jc w:val="center"/>
        <w:rPr>
          <w:rFonts w:ascii="Arial;sans-serif" w:hAnsi="Arial;sans-serif"/>
          <w:b/>
          <w:color w:val="221E1F"/>
          <w:sz w:val="24"/>
        </w:rPr>
      </w:pPr>
      <w:r>
        <w:rPr>
          <w:rFonts w:ascii="Arial;sans-serif" w:hAnsi="Arial;sans-serif"/>
          <w:b/>
          <w:color w:val="221E1F"/>
          <w:sz w:val="24"/>
        </w:rPr>
        <w:t xml:space="preserve">2018 Long-Term Incentive Plan </w:t>
      </w:r>
    </w:p>
    <w:p>
      <w:pPr>
        <w:pStyle w:val="TextBody"/>
        <w:spacing w:lineRule="auto" w:line="276" w:before="3000" w:after="283"/>
        <w:jc w:val="center"/>
        <w:rPr>
          <w:rFonts w:ascii="Arial;sans-serif" w:hAnsi="Arial;sans-serif"/>
          <w:b/>
          <w:color w:val="221E1F"/>
          <w:sz w:val="48"/>
        </w:rPr>
      </w:pPr>
      <w:r>
        <w:rPr>
          <w:rFonts w:ascii="Arial;sans-serif" w:hAnsi="Arial;sans-serif"/>
          <w:b/>
          <w:color w:val="221E1F"/>
          <w:sz w:val="48"/>
        </w:rPr>
        <w:t>Performance Share Unit Award</w:t>
      </w:r>
    </w:p>
    <w:p>
      <w:pPr>
        <w:pStyle w:val="TextBody"/>
        <w:spacing w:lineRule="auto" w:line="276" w:before="280" w:after="283"/>
        <w:jc w:val="center"/>
        <w:rPr>
          <w:rFonts w:ascii="Arial;sans-serif" w:hAnsi="Arial;sans-serif"/>
          <w:b/>
          <w:i/>
          <w:color w:val="221E1F"/>
          <w:sz w:val="36"/>
        </w:rPr>
      </w:pPr>
      <w:r>
        <w:rPr>
          <w:rFonts w:ascii="Arial;sans-serif" w:hAnsi="Arial;sans-serif"/>
          <w:b/>
          <w:i/>
          <w:color w:val="221E1F"/>
          <w:sz w:val="36"/>
        </w:rPr>
        <w:t>Schedule of Terms</w:t>
      </w:r>
    </w:p>
    <w:p>
      <w:pPr>
        <w:pStyle w:val="TextBody"/>
        <w:spacing w:lineRule="auto" w:line="276" w:before="3120" w:after="283"/>
        <w:jc w:val="center"/>
        <w:rPr>
          <w:rFonts w:ascii="Arial;sans-serif" w:hAnsi="Arial;sans-serif"/>
          <w:b/>
          <w:i/>
          <w:color w:val="221E1F"/>
          <w:sz w:val="36"/>
        </w:rPr>
      </w:pPr>
      <w:r>
        <w:rPr>
          <w:rFonts w:ascii="Arial;sans-serif" w:hAnsi="Arial;sans-serif"/>
          <w:b/>
          <w:i/>
          <w:color w:val="221E1F"/>
          <w:sz w:val="36"/>
        </w:rPr>
        <w:t>(Rev. February 2023)</w:t>
      </w:r>
    </w:p>
    <w:p>
      <w:pPr>
        <w:pStyle w:val="TextBody"/>
        <w:spacing w:before="2000" w:after="283"/>
        <w:rPr/>
      </w:pPr>
      <w:r>
        <w:rPr/>
      </w:r>
    </w:p>
    <w:p>
      <w:pPr>
        <w:pStyle w:val="TextBody"/>
        <w:spacing w:lineRule="auto" w:line="276" w:before="0" w:after="240"/>
        <w:rPr/>
      </w:pPr>
      <w:r>
        <w:rPr>
          <w:rFonts w:ascii="Arial;sans-serif" w:hAnsi="Arial;sans-serif"/>
          <w:b w:val="false"/>
          <w:color w:val="000000"/>
          <w:sz w:val="20"/>
        </w:rPr>
        <w:t xml:space="preserve">This Schedule of Terms describes the material features of the Participant’s Performance Share Unit Award (the “PSU Award” or the “Award”) granted under the Raytheon Technologies Corporation 2018 Long-Term Incentive Plan, as amended and restated effective April 26, 2021 (the “LTIP”), subject to this Schedule of Terms, the Award Agreement and the terms and conditions set forth in the LTIP. The LTIP Prospectus contains further information about the LTIP and this Award and is available at </w:t>
      </w:r>
      <w:r>
        <w:rPr>
          <w:rFonts w:ascii="Arial;sans-serif" w:hAnsi="Arial;sans-serif"/>
          <w:b w:val="false"/>
          <w:color w:val="0000FF"/>
          <w:sz w:val="20"/>
          <w:u w:val="single"/>
        </w:rPr>
        <w:t>www.ubs.com/onesource/RTX</w:t>
      </w:r>
      <w:r>
        <w:rPr>
          <w:rFonts w:ascii="Arial;sans-serif" w:hAnsi="Arial;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2100"/>
                <wp:effectExtent l="0" t="0" r="0" b="0"/>
                <wp:wrapNone/>
                <wp:docPr id="59" name="Frame5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276" w:before="0" w:after="240"/>
        <w:rPr>
          <w:rFonts w:ascii="Arial;sans-serif" w:hAnsi="Arial;sans-serif"/>
          <w:b/>
          <w:color w:val="221E1F"/>
          <w:sz w:val="22"/>
        </w:rPr>
      </w:pPr>
      <w:r>
        <w:rPr>
          <w:rFonts w:ascii="Arial;sans-serif" w:hAnsi="Arial;sans-serif"/>
          <w:b/>
          <w:color w:val="221E1F"/>
          <w:sz w:val="22"/>
        </w:rPr>
        <w:t>Certain Definitions</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 xml:space="preserve">A Performance Share Unit (a “PSU”) represents the right to receive one share of Common Stock of Raytheon Technologies Corporation (the “Common Stock”) (or a cash payment equal to the Fair Market Value thereof). PSUs generally vest and are converted into shares of Common Stock if, and to the extent, the associated pre-established performance targets are achieved and the Participant remains employed by the Company through the end of the applicable performance measurement period, and vesting date (see “Vesting” below), or upon an earlier Termination of Service under limited circumstances that result in accelerated vesting (see “Termination of Service” below). “Company” means Raytheon Technologies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of Directors of the Corporation. Capitalized terms not otherwise defined in this Schedule of Terms have the same meaning as defined in the LTIP. </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The number of PSUs granted under the PSU Award is set forth in the Award Agreement. An LTIP Award recipient (a “Participant”) must affirmatively acknowledge and accept the terms and conditions of the PSU Award within 150 days following the Grant Date. A failure to acknowledge and accept the PSU Award subject to the LTIP and this Schedule of Terms, within such 150-day period will result in forfeiture of the PSU Award, effective as of the 150th day following the Grant Date.</w:t>
      </w:r>
    </w:p>
    <w:p>
      <w:pPr>
        <w:pStyle w:val="TextBody"/>
        <w:spacing w:lineRule="auto" w:line="304" w:before="0" w:after="240"/>
        <w:rPr/>
      </w:pPr>
      <w:r>
        <w:rPr>
          <w:rFonts w:ascii="Arial;sans-serif" w:hAnsi="Arial;sans-serif"/>
          <w:b w:val="false"/>
          <w:color w:val="000000"/>
          <w:sz w:val="22"/>
        </w:rPr>
        <w:t xml:space="preserve">Participants must acknowledge and accept the terms and conditions of this PSU Award electronically via the UBS </w:t>
      </w:r>
      <w:r>
        <w:rPr>
          <w:rFonts w:ascii="Arial;sans-serif" w:hAnsi="Arial;sans-serif"/>
          <w:b w:val="false"/>
          <w:i/>
          <w:color w:val="000000"/>
          <w:sz w:val="22"/>
        </w:rPr>
        <w:t xml:space="preserve">One Source </w:t>
      </w:r>
      <w:r>
        <w:rPr>
          <w:rFonts w:ascii="Arial;sans-serif" w:hAnsi="Arial;sans-serif"/>
          <w:b w:val="false"/>
          <w:color w:val="000000"/>
          <w:sz w:val="22"/>
        </w:rPr>
        <w:t xml:space="preserve">website at </w:t>
      </w:r>
      <w:r>
        <w:rPr>
          <w:rFonts w:ascii="Arial;sans-serif" w:hAnsi="Arial;sans-serif"/>
          <w:b w:val="false"/>
          <w:color w:val="0000FF"/>
          <w:sz w:val="22"/>
          <w:u w:val="single"/>
        </w:rPr>
        <w:t>www.ubs.com/onesource/rtx</w:t>
      </w:r>
      <w:r>
        <w:rPr>
          <w:rFonts w:ascii="Arial;sans-serif" w:hAnsi="Arial;sans-serif"/>
          <w:b w:val="false"/>
          <w:color w:val="000000"/>
          <w:sz w:val="22"/>
        </w:rPr>
        <w:t>. Participants based in certain countries may be required to acknowledge and accept the terms and conditions of the PSU Award by signing and returning the designated hard copy portion of the Award Agreement to the Stock Plan Administrator. These countries currently include Russia, Turkey, Hungary, and Slovenia.</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Vesting</w:t>
      </w:r>
    </w:p>
    <w:p>
      <w:pPr>
        <w:pStyle w:val="TextBody"/>
        <w:spacing w:lineRule="auto" w:line="304" w:before="0" w:after="240"/>
        <w:rPr/>
      </w:pPr>
      <w:r>
        <w:rPr>
          <w:rFonts w:ascii="Arial;sans-serif" w:hAnsi="Arial;sans-serif"/>
          <w:b w:val="false"/>
          <w:color w:val="221E1F"/>
          <w:sz w:val="22"/>
        </w:rPr>
        <w:t xml:space="preserve">PSU Awards will vest in accordance with the schedule set forth in the Award Agreement, subject to performance relative to pre-established Performance Goals, and the Participant’s continued employment with the Company through the applicable performance measurement period, and vesting date. Potential Performance Goals are provided in the LTIP. PSU Awards may be subject to multiple Performance Goals. The Award Agreement will specify the performance period and vesting date. </w:t>
      </w:r>
      <w:r>
        <w:rPr>
          <w:rFonts w:ascii="Arial;sans-serif" w:hAnsi="Arial;sans-serif"/>
          <w:b/>
          <w:color w:val="000000"/>
          <w:sz w:val="22"/>
        </w:rPr>
        <w:t>Please refer to Appendix A for actual Performance Goals for the 2023-2025 performance cycle</w:t>
      </w:r>
      <w:r>
        <w:rPr>
          <w:rFonts w:ascii="Arial;sans-serif" w:hAnsi="Arial;sans-serif"/>
          <w:b/>
          <w:color w:val="221E1F"/>
          <w:sz w:val="22"/>
        </w:rPr>
        <w:t>, including minimum performance required for vesting, range of vesting and relative weighting for each Performance Goal.</w:t>
      </w:r>
      <w:r>
        <w:rPr>
          <w:color w:val="221E1F"/>
        </w:rPr>
        <w:t xml:space="preserve">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 xml:space="preserve">2023 Performance Goals include: (i) diluted earnings per share (“EPS”); (ii) return on invested capital (“ROIC”); (iii) total shareowner return (“TSR”) relative to the companies within the S&amp;P </w:t>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08940"/>
                <wp:effectExtent l="0" t="0" r="0" b="0"/>
                <wp:wrapNone/>
                <wp:docPr id="60" name="Frame60"/>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 xml:space="preserve">500 Index; and (iv) TSR relative to nine aerospace and defense companies (i.e., Honeywell, Boeing, General Electric, Lockheed Martin, Airbus, Northrop Grumman, General Dynamics, L3Harris and Safran) (the “A&amp;D peer companies”). For 2023, all Performance Goals will be measured over the three-year performance period of the Award (as discussed below). In the case that the scheduled vesting date occurs prior to the Committee’s certification of performance results, the actual vesting date of the PSU Award shall be the date of the Committee’s certification of performance results.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 xml:space="preserve">The 2023 PSU Award will include a three-year compound annual growth rate EPS goal. EPS is defined as net income from continuing operations divided by weighted average diluted shares outstanding, subject to adjustments for changes in tax and/or accounting laws, the impact of acquisitions and divestitures (including acquisition accounting adjustments), restructuring, non-recurring and other significant, non-operational items, which could include any material changes in non-service pension, when necessary to maintain the validity of the Performance Goal, as established. The Committee may adjust the EPS calculation (positively or negatively) to exclude the impact of certain items unrelated to operational performance. Such adjustment may be made when necessary to maintain the validity of the Performance Goal, as originally formulated. </w:t>
      </w:r>
    </w:p>
    <w:p>
      <w:pPr>
        <w:pStyle w:val="TextBody"/>
        <w:spacing w:lineRule="auto" w:line="304" w:before="0" w:after="240"/>
        <w:rPr/>
      </w:pPr>
      <w:r>
        <w:rPr>
          <w:rFonts w:ascii="Arial;sans-serif" w:hAnsi="Arial;sans-serif"/>
          <w:b w:val="false"/>
          <w:color w:val="000000"/>
          <w:sz w:val="22"/>
        </w:rPr>
        <w:t>The 2023 PSU Award will measure TSR over the three-year performance period of the Award. TSR is the percentage change in share price over the cumulative three-year performance period (plus reinvested dividends) divided by the share price at the beginning of the performance period. TSR is calculated using the trailing November/December average adjusted closing share price prior to and at the end of the three-year period, as calculated by Standard &amp; Poor’s. If relative TSR is negative for the three-year performance period, the TSR payout percentage for that metric may not exceed 100% of target, even if relative performance exceeds the target-level Performance Goal. Relative TSR is the rank of RTX’s three-year TSR versus: (i) the companies within the S&amp;P 500 Index at the beginning of the three-year performance period; and (ii) the A&amp;D peer companies. To the extent that such companies are acquired, delist from a stock exchange, or in the case of the S&amp;P 500, companies are removed from the S&amp;P 500 Index during the performance period, these companies will be excluded from the ranking calculation.</w:t>
      </w:r>
      <w:r>
        <w:rPr>
          <w:color w:val="000000"/>
        </w:rPr>
        <w:t xml:space="preserve">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The 2023 PSU Award will include a three-year ROIC goal measured on an average quarterly basis over the three-year performance period of the Award. ROIC is defined as the ratio of net operating profit after tax (“NOPAT”) to Invested Capital (total debt less cash plus equity), subject to certain adjustments as detailed below. NOPAT excludes non-controlling interest, non-service pension, acquisitions and divestiture earnings, one-timers, restructuring, material one-time tax charges and the impact of foreign exchange fluctuations. Invested Capital excludes accumulated other comprehensive income, cash and equivalents, acquisition and divestiture borrowings, short-term borrowings and material one-time tax charges. ROIC is based on continuing operations and subject to adjustment for changes in tax and/or accounting laws, the impact of acquisitions and divestitures (including acquisition accounting adjustments), restructuring, non-recurring and other significant, non-operational items, which could include any material changes in non-service pension, when necessary to maintain the validity of the Performance Goal, as originally established. The Committee may adjust the ROIC calculation (positively or negatively) to exclude the impact of certain items unrelated to operational performance. Such adjustment may be made when necessary to maintain the validity of the Performance Goal, as originally formulated.</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In the case that that value of the PSU award at vesting is greater than 400% of the value of the PSU award at grant, the performance results shall be reduced so that the value delivered to </w:t>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08940"/>
                <wp:effectExtent l="0" t="0" r="0" b="0"/>
                <wp:wrapNone/>
                <wp:docPr id="61" name="Frame61"/>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participants will be no greater than 400% of the grant value. The value of the PSU award at grant is equal to the number of PSUs at target level performance granted to a participant multiplied by the closing stock price of RTX on the grant date. The value of the PSU award at vest is equal to the product of: (i) the number of the PSUs at target level performance granted to a participant; (ii) the Performance Factor certified by the Committee; and (iii) the closing stock price of RTX on the vesting date.</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PSUs will be forfeited in the event of a Termination of Service prior to the vesting date, except in certain earlier terminations involving Retirement, Involuntary Termination (Not for Cause), Disability, Change-in-Control Termination or Death (see “Termination of Service” below).</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PSUs may also be forfeited and value realized from previously vested PSUs may be recouped by the Company under certain circumstances (see “Forfeiture of Award and Repayment of Realized Gains” below).</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No Shareowner Rights</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A PSU is the right to receive a share of Common Stock in the future (or a cash payment equal to the Fair Market Value), subject to continued employment, achievement of performance targets, and certain other conditions. The holder of a PSU has no voting, dividend or other rights accorded to owners of Common Stock unless and until PSUs are converted into shares of Common Stock.</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 xml:space="preserve">Payment / Conversion of PSUs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Vested PSUs will be converted into shares of Common Stock to be delivered to the Participant as soon as administratively practicable following the vesting date and, when the Committee determines if, and to what extent, PSUs have vested as a result of the achievement of Performance Goals. If Performance Goals are not met, the PSUs that do not vest will be cancelled without value. PSUs may instead be paid in cash if the Committee so determines, including where local law restricts the distribution of Common Stock.</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Termination of Service</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The treatment of PSUs upon Termination of Service depends upon the reason for termination, as detailed in the following sections. PSUs held for less than one year as of the Termination Date will be forfeited, except in the event of Death, Disability, or Change-in-Control Termination, as discussed below. </w:t>
      </w:r>
    </w:p>
    <w:p>
      <w:pPr>
        <w:pStyle w:val="TextBody"/>
        <w:spacing w:lineRule="auto" w:line="304" w:before="0" w:after="240"/>
        <w:rPr/>
      </w:pPr>
      <w:r>
        <w:rPr>
          <w:rFonts w:ascii="Arial;sans-serif" w:hAnsi="Arial;sans-serif"/>
          <w:b w:val="false"/>
          <w:color w:val="221E1F"/>
          <w:sz w:val="22"/>
        </w:rPr>
        <w:t>Absences from employment because of notice periods, garden leaves, or similar paid leaves associated with a Termination of Service will not be recognized as service in determining the Termination Date.</w:t>
      </w:r>
      <w:r>
        <w:rPr>
          <w:color w:val="221E1F"/>
        </w:rPr>
        <w:t xml:space="preserve"> </w:t>
      </w:r>
    </w:p>
    <w:p>
      <w:pPr>
        <w:pStyle w:val="TextBody"/>
        <w:spacing w:lineRule="auto" w:line="304" w:before="0" w:after="240"/>
        <w:rPr/>
      </w:pPr>
      <w:r>
        <w:rPr>
          <w:rFonts w:ascii="Arial;sans-serif" w:hAnsi="Arial;sans-serif"/>
          <w:b/>
          <w:color w:val="221E1F"/>
          <w:sz w:val="22"/>
        </w:rPr>
        <w:t xml:space="preserve">Retirement. </w:t>
      </w:r>
      <w:r>
        <w:rPr>
          <w:rFonts w:ascii="Arial;sans-serif" w:hAnsi="Arial;sans-serif"/>
          <w:b w:val="false"/>
          <w:color w:val="221E1F"/>
          <w:sz w:val="22"/>
        </w:rPr>
        <w:t xml:space="preserve">If the Participant’s termination results from Retirement, unvested PSUs held for at least one year as of the Termination Date will remain outstanding and eligible to vest on the originally scheduled vest date, if and to the extent the Committee determines that Performance Goals have been achieved. Upon vest, PSUs will be converted into shares of Common Stock (or cash) to be delivered to the Participant as soon as administratively practicable thereafter. For this purpose, Retirement means either Normal Retirement or Early Retirement as defined below: </w:t>
      </w:r>
    </w:p>
    <w:p>
      <w:pPr>
        <w:pStyle w:val="TextBody"/>
        <w:spacing w:lineRule="auto" w:line="304" w:before="0" w:after="240"/>
        <w:ind w:left="0" w:right="0" w:hanging="360"/>
        <w:rPr/>
      </w:pPr>
      <w:r>
        <w:rPr>
          <w:color w:val="221E1F"/>
        </w:rPr>
        <w:t>•“</w:t>
      </w:r>
      <w:r>
        <w:rPr>
          <w:rFonts w:ascii="Arial;sans-serif" w:hAnsi="Arial;sans-serif"/>
          <w:b w:val="false"/>
          <w:color w:val="221E1F"/>
          <w:sz w:val="22"/>
        </w:rPr>
        <w:t xml:space="preserve">Normal Retirement” means retirement on or after age 65; </w:t>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08940"/>
                <wp:effectExtent l="0" t="0" r="0" b="0"/>
                <wp:wrapNone/>
                <wp:docPr id="62" name="Frame62"/>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304" w:before="0" w:after="240"/>
        <w:ind w:left="0" w:right="0" w:hanging="360"/>
        <w:rPr/>
      </w:pPr>
      <w:r>
        <w:rPr>
          <w:color w:val="221E1F"/>
        </w:rPr>
        <w:t>•“</w:t>
      </w:r>
      <w:r>
        <w:rPr>
          <w:rFonts w:ascii="Arial;sans-serif" w:hAnsi="Arial;sans-serif"/>
          <w:b w:val="false"/>
          <w:color w:val="221E1F"/>
          <w:sz w:val="22"/>
        </w:rPr>
        <w:t>Early Retirement” means retirement on or after:</w:t>
      </w:r>
    </w:p>
    <w:p>
      <w:pPr>
        <w:pStyle w:val="TextBody"/>
        <w:spacing w:lineRule="auto" w:line="304" w:before="0" w:after="240"/>
        <w:ind w:left="0" w:right="0" w:hanging="360"/>
        <w:rPr/>
      </w:pPr>
      <w:r>
        <w:rPr>
          <w:rFonts w:ascii="Courier New;monospace" w:hAnsi="Courier New;monospace"/>
          <w:b w:val="false"/>
          <w:color w:val="221E1F"/>
          <w:sz w:val="22"/>
        </w:rPr>
        <w:t>o</w:t>
      </w:r>
      <w:r>
        <w:rPr>
          <w:rFonts w:ascii="Arial;sans-serif" w:hAnsi="Arial;sans-serif"/>
          <w:b w:val="false"/>
          <w:color w:val="221E1F"/>
          <w:sz w:val="22"/>
        </w:rPr>
        <w:t>Age 55, with 10 or more years of continuous service as of the Termination Date; or</w:t>
      </w:r>
    </w:p>
    <w:p>
      <w:pPr>
        <w:pStyle w:val="TextBody"/>
        <w:spacing w:lineRule="auto" w:line="304" w:before="0" w:after="240"/>
        <w:ind w:left="0" w:right="0" w:hanging="360"/>
        <w:rPr/>
      </w:pPr>
      <w:r>
        <w:rPr>
          <w:rFonts w:ascii="Courier New;monospace" w:hAnsi="Courier New;monospace"/>
          <w:b w:val="false"/>
          <w:color w:val="221E1F"/>
          <w:sz w:val="22"/>
        </w:rPr>
        <w:t>o</w:t>
      </w:r>
      <w:r>
        <w:rPr>
          <w:rFonts w:ascii="Arial;sans-serif" w:hAnsi="Arial;sans-serif"/>
          <w:b w:val="false"/>
          <w:color w:val="221E1F"/>
          <w:sz w:val="22"/>
        </w:rPr>
        <w:t>Age 50, but before age 55, and the Participant’s age and continuous service as of the Termination Date adds up to 65 or more (“Rule of 65”).</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Service used to determine eligibility for Normal or Early Retirement means “Continuous Service” as defined under the Raytheon Technologies Savings Plan. The calculation to determine Early Retirement will include partial years, rounded down to the nearest full month.</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A Participant will not receive Retirement treatment with respect to any Award in the event of involuntary termination by the Company for Cause.</w:t>
      </w:r>
    </w:p>
    <w:p>
      <w:pPr>
        <w:pStyle w:val="TextBody"/>
        <w:spacing w:lineRule="auto" w:line="304" w:before="0" w:after="240"/>
        <w:rPr/>
      </w:pPr>
      <w:r>
        <w:rPr>
          <w:rFonts w:ascii="Arial;sans-serif" w:hAnsi="Arial;sans-serif"/>
          <w:b/>
          <w:color w:val="000000"/>
          <w:sz w:val="22"/>
        </w:rPr>
        <w:t>Involuntary Termination for Cause.</w:t>
      </w:r>
      <w:r>
        <w:rPr>
          <w:color w:val="000000"/>
        </w:rPr>
        <w:t xml:space="preserve"> </w:t>
      </w:r>
      <w:r>
        <w:rPr>
          <w:rFonts w:ascii="Arial;sans-serif" w:hAnsi="Arial;sans-serif"/>
          <w:b w:val="false"/>
          <w:color w:val="000000"/>
          <w:sz w:val="22"/>
        </w:rPr>
        <w:t>If the Participant’s termination results from an involuntary termination by the Company for Cause (as defined in the LTIP), unvested PSUs will be forfeited as of the Termination Date regardless of the Participant’s Retirement eligibility. In addition, value realized from previously vested PSUs is subject to repayment in the event of termination for Cause or certain other occurrences (see “Forfeiture of Award and Repayment of Realized Gains” below).</w:t>
      </w:r>
    </w:p>
    <w:p>
      <w:pPr>
        <w:pStyle w:val="TextBody"/>
        <w:spacing w:lineRule="auto" w:line="304" w:before="0" w:after="240"/>
        <w:rPr/>
      </w:pPr>
      <w:r>
        <w:rPr>
          <w:rFonts w:ascii="Arial;sans-serif" w:hAnsi="Arial;sans-serif"/>
          <w:b/>
          <w:color w:val="000000"/>
          <w:sz w:val="22"/>
        </w:rPr>
        <w:t>Involuntary Termination.</w:t>
      </w:r>
      <w:r>
        <w:rPr>
          <w:color w:val="000000"/>
        </w:rPr>
        <w:t xml:space="preserve"> </w:t>
      </w:r>
      <w:r>
        <w:rPr>
          <w:rFonts w:ascii="Arial;sans-serif" w:hAnsi="Arial;sans-serif"/>
          <w:b w:val="false"/>
          <w:color w:val="000000"/>
          <w:sz w:val="22"/>
        </w:rPr>
        <w:t xml:space="preserve">If the Participant’s termination results from an involuntary termination by the Company for reasons other than Cause, unvested PSUs held for at least one year as of the Termination Date will receive pro-rata vesting treatment, subject to the Participant providing the Company with a release of claims against the Company in a form and manner satisfactory to the Company. The pro-rata vesting of a PSU Award held for at least one year will be based on the number of months worked during the vesting period, including partial months, relative to the full vesting period. </w:t>
      </w:r>
      <w:r>
        <w:rPr>
          <w:rFonts w:ascii="Arial;sans-serif" w:hAnsi="Arial;sans-serif"/>
          <w:b w:val="false"/>
          <w:color w:val="221E1F"/>
          <w:sz w:val="22"/>
        </w:rPr>
        <w:t xml:space="preserve">The pro-rata PSUs will remain outstanding and eligible to vest on the originally scheduled vest date, following the Committee’s certification of performance results, per the terms of the Award. </w:t>
      </w:r>
      <w:r>
        <w:rPr>
          <w:rFonts w:ascii="Arial;sans-serif" w:hAnsi="Arial;sans-serif"/>
          <w:b w:val="false"/>
          <w:color w:val="000000"/>
          <w:sz w:val="22"/>
        </w:rPr>
        <w:t xml:space="preserve">PSUs not deemed eligible to vest under this pro-rata vesting formula will be forfeited as of the Termination Date.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 xml:space="preserve">Absences from employment because of notice periods, garden leaves, or similar paid leaves associated with a Termination of Service will not be recognized as service in determining the pro-rata vesting percentage. </w:t>
      </w:r>
    </w:p>
    <w:p>
      <w:pPr>
        <w:pStyle w:val="TextBody"/>
        <w:spacing w:lineRule="auto" w:line="304" w:before="0" w:after="240"/>
        <w:rPr/>
      </w:pPr>
      <w:r>
        <w:rPr>
          <w:rFonts w:ascii="Arial;sans-serif" w:hAnsi="Arial;sans-serif"/>
          <w:b w:val="false"/>
          <w:color w:val="221E1F"/>
          <w:sz w:val="22"/>
        </w:rPr>
        <w:t xml:space="preserve">Pro-rata vesting eligibility will occur for involuntary terminations resulting from </w:t>
      </w:r>
      <w:r>
        <w:rPr>
          <w:rFonts w:ascii="Arial;sans-serif" w:hAnsi="Arial;sans-serif"/>
          <w:b w:val="false"/>
          <w:color w:val="000000"/>
          <w:sz w:val="22"/>
        </w:rPr>
        <w:t xml:space="preserve">workforce reductions, location closings, restructurings, layoffs, or similar events, as determined by the Committee or its delegate.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Retirement eligible Participants will be eligible to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pStyle w:val="TextBody"/>
        <w:spacing w:lineRule="auto" w:line="304" w:before="0" w:after="240"/>
        <w:rPr/>
      </w:pPr>
      <w:r>
        <w:rPr>
          <w:rFonts w:ascii="Arial;sans-serif" w:hAnsi="Arial;sans-serif"/>
          <w:b/>
          <w:color w:val="221E1F"/>
          <w:sz w:val="22"/>
        </w:rPr>
        <w:t>Voluntary Termination.</w:t>
      </w:r>
      <w:r>
        <w:rPr>
          <w:color w:val="221E1F"/>
        </w:rPr>
        <w:t xml:space="preserve"> </w:t>
      </w:r>
      <w:r>
        <w:rPr>
          <w:rFonts w:ascii="Arial;sans-serif" w:hAnsi="Arial;sans-serif"/>
          <w:b w:val="false"/>
          <w:color w:val="221E1F"/>
          <w:sz w:val="22"/>
        </w:rPr>
        <w:t>A Participant who voluntarily terminates employment (other than for Retirement or a Change-in-Control Termination) prior to the vesting date is not entitled to pro-rata vesting and will forfeit all unvested PSUs.</w:t>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08940"/>
                <wp:effectExtent l="0" t="0" r="0" b="0"/>
                <wp:wrapNone/>
                <wp:docPr id="63" name="Frame63"/>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304" w:before="0" w:after="240"/>
        <w:rPr/>
      </w:pPr>
      <w:r>
        <w:rPr>
          <w:rFonts w:ascii="Arial;sans-serif" w:hAnsi="Arial;sans-serif"/>
          <w:b/>
          <w:color w:val="221E1F"/>
          <w:sz w:val="22"/>
        </w:rPr>
        <w:t>Disability.</w:t>
      </w:r>
      <w:r>
        <w:rPr>
          <w:color w:val="221E1F"/>
        </w:rPr>
        <w:t xml:space="preserve"> </w:t>
      </w:r>
      <w:r>
        <w:rPr>
          <w:rFonts w:ascii="Arial;sans-serif" w:hAnsi="Arial;sans-serif"/>
          <w:b w:val="false"/>
          <w:color w:val="221E1F"/>
          <w:sz w:val="22"/>
        </w:rPr>
        <w:t xml:space="preserve">If a Participant incurs a Disability (as defined in the LTIP), unvested PSUs will not be forfeited while a Participant remains disabled under a Company-sponsored long-term disability plan. Unvested PSUs will remain eligible to vest on the earlier of (1) the vesting date specified in the Award Agreement; or (2) 29 months following the date a Participant incurs a Disability. </w:t>
      </w:r>
    </w:p>
    <w:p>
      <w:pPr>
        <w:pStyle w:val="TextBody"/>
        <w:spacing w:lineRule="auto" w:line="304" w:before="0" w:after="240"/>
        <w:rPr/>
      </w:pPr>
      <w:r>
        <w:rPr>
          <w:rFonts w:ascii="Arial;sans-serif" w:hAnsi="Arial;sans-serif"/>
          <w:b/>
          <w:color w:val="000000"/>
          <w:sz w:val="22"/>
        </w:rPr>
        <w:t xml:space="preserve">Authorized Leave of Absence. </w:t>
      </w:r>
      <w:r>
        <w:rPr>
          <w:rFonts w:ascii="Arial;sans-serif" w:hAnsi="Arial;sans-serif"/>
          <w:b w:val="false"/>
          <w:color w:val="000000"/>
          <w:sz w:val="22"/>
        </w:rPr>
        <w:t xml:space="preserve">If a </w:t>
      </w:r>
      <w:r>
        <w:rPr>
          <w:rFonts w:ascii="Arial;sans-serif" w:hAnsi="Arial;sans-serif"/>
          <w:b w:val="false"/>
          <w:color w:val="221E1F"/>
          <w:sz w:val="22"/>
        </w:rPr>
        <w:t>Participant is on a Company authorized leave of absence (including Military leave) that is not associated with a Termination of Service, unvested PSUs will remain eligible to vest during the period of leave, subject to the Participant’s continued employment with the Company through the applicable performance measurement period and vesting date and t</w:t>
      </w:r>
      <w:r>
        <w:rPr>
          <w:rFonts w:ascii="Arial;sans-serif" w:hAnsi="Arial;sans-serif"/>
          <w:b w:val="false"/>
          <w:color w:val="000000"/>
          <w:sz w:val="22"/>
        </w:rPr>
        <w:t>he Committee’s certification of performance results.</w:t>
      </w:r>
      <w:r>
        <w:rPr>
          <w:color w:val="221E1F"/>
        </w:rPr>
        <w:t xml:space="preserve"> </w:t>
      </w:r>
    </w:p>
    <w:p>
      <w:pPr>
        <w:pStyle w:val="TextBody"/>
        <w:spacing w:lineRule="auto" w:line="304" w:before="0" w:after="240"/>
        <w:rPr/>
      </w:pPr>
      <w:r>
        <w:rPr>
          <w:rFonts w:ascii="Arial;sans-serif" w:hAnsi="Arial;sans-serif"/>
          <w:b/>
          <w:color w:val="221E1F"/>
          <w:sz w:val="22"/>
        </w:rPr>
        <w:t>Death.</w:t>
      </w:r>
      <w:r>
        <w:rPr>
          <w:color w:val="221E1F"/>
        </w:rPr>
        <w:t xml:space="preserve"> </w:t>
      </w:r>
      <w:r>
        <w:rPr>
          <w:rFonts w:ascii="Arial;sans-serif" w:hAnsi="Arial;sans-serif"/>
          <w:b w:val="false"/>
          <w:color w:val="221E1F"/>
          <w:sz w:val="22"/>
        </w:rPr>
        <w:t xml:space="preserve">If a Participant dies while actively employed by the Company, or on Disability, all PSUs will vest as of the date of death and be converted (at target performance) to shares of Common Stock to be delivered to the Participant’s estate, net of taxes (where applicable), as soon as administratively practicable. </w:t>
      </w:r>
    </w:p>
    <w:p>
      <w:pPr>
        <w:pStyle w:val="TextBody"/>
        <w:spacing w:lineRule="auto" w:line="304" w:before="0" w:after="240"/>
        <w:rPr/>
      </w:pPr>
      <w:r>
        <w:rPr>
          <w:rFonts w:ascii="Arial;sans-serif" w:hAnsi="Arial;sans-serif"/>
          <w:b/>
          <w:color w:val="221E1F"/>
          <w:sz w:val="22"/>
        </w:rPr>
        <w:t xml:space="preserve">Change-in-Control Termination. </w:t>
      </w:r>
      <w:r>
        <w:rPr>
          <w:rFonts w:ascii="Arial;sans-serif" w:hAnsi="Arial;sans-serif"/>
          <w:b w:val="false"/>
          <w:color w:val="000000"/>
          <w:sz w:val="22"/>
        </w:rPr>
        <w:t>If a Participant’s termination results from an involuntary termination by the Company for reasons other than for Cause, or due to the Participant’s voluntary termination for “Good Reason”, in each case, within 24 months following a Change-in-Control in accordance with Section 10(d) of the LTIP (such Termination of Service, a “CIC Termination”), then all PSUs will vest at the greater of: (1) the applicable target level performance as of the Termination Date; or (2) the level of achievement as determined by the Committee not later than the date of the Change-in-Control, taking into account performance through the latest date preceding the Change-in-Control as to which performance can, as a practical matter be determined (but not later than the end of the applicable performance period) and be converted into shares of Common Stock (or cash) to be delivered to the Participant as soon as administratively practicable after the Termination Date, subject to the six-month delay noted below under “Specified Employees,” if applicable.</w:t>
      </w:r>
    </w:p>
    <w:p>
      <w:pPr>
        <w:pStyle w:val="TextBody"/>
        <w:spacing w:lineRule="auto" w:line="304" w:before="0" w:after="240"/>
        <w:rPr/>
      </w:pPr>
      <w:r>
        <w:rPr>
          <w:rFonts w:ascii="Arial;sans-serif" w:hAnsi="Arial;sans-serif"/>
          <w:b/>
          <w:color w:val="221E1F"/>
          <w:sz w:val="22"/>
        </w:rPr>
        <w:t>Specified Employees.</w:t>
      </w:r>
      <w:r>
        <w:rPr>
          <w:color w:val="221E1F"/>
        </w:rPr>
        <w:t xml:space="preserve"> </w:t>
      </w:r>
      <w:r>
        <w:rPr>
          <w:rFonts w:ascii="Arial;sans-serif" w:hAnsi="Arial;sans-serif"/>
          <w:b w:val="false"/>
          <w:color w:val="221E1F"/>
          <w:sz w:val="22"/>
        </w:rPr>
        <w:t xml:space="preserve">If a Participant is a “specified employee” within the meaning of Section 409A of the Code (i.e., generally the fifty highest paid employees, as determined by the Company) at the time of the Participant’s Termination of Service, and PSUs are accelerated and will vest by reason of such Participant’s Termination of Service (e.g., Change-in-Control Termination), then, to the extent necessary to avoid the application of any additional tax or penalty under IRC Section 409A and consistent with the terms of the Plan, PSUs will be held in the Participant’s UBS account and will vest on the first day of the seventh month following the Participant’s Termination Date. Upon vest, PSUs will convert into an equal number of shares of Common Stock (or cash). The value of the PSUs will be determined as of the vest date. </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Forfeiture of Award and Repayment of Realized Gains</w:t>
      </w:r>
    </w:p>
    <w:p>
      <w:pPr>
        <w:pStyle w:val="TextBody"/>
        <w:spacing w:lineRule="auto" w:line="304" w:before="0" w:after="240"/>
        <w:rPr/>
      </w:pPr>
      <w:r>
        <w:rPr>
          <w:rFonts w:ascii="Arial;sans-serif" w:hAnsi="Arial;sans-serif"/>
          <w:b w:val="false"/>
          <w:color w:val="221E1F"/>
          <w:sz w:val="22"/>
        </w:rPr>
        <w:t xml:space="preserve">PSU Awards, including Common Stock delivered for vested PSUs, are subject to the applicable Raytheon Technologies Corporation Clawback Policy, as amended from time to time, available at </w:t>
      </w:r>
      <w:r>
        <w:rPr>
          <w:rFonts w:ascii="Arial;sans-serif" w:hAnsi="Arial;sans-serif"/>
          <w:b w:val="false"/>
          <w:color w:val="0000FF"/>
          <w:sz w:val="22"/>
          <w:u w:val="single"/>
        </w:rPr>
        <w:t>www.rtx.com</w:t>
      </w:r>
      <w:r>
        <w:rPr>
          <w:rFonts w:ascii="Arial;sans-serif" w:hAnsi="Arial;sans-serif"/>
          <w:b w:val="false"/>
          <w:color w:val="221E1F"/>
          <w:sz w:val="22"/>
        </w:rPr>
        <w:t xml:space="preserve">. PSUs will be immediately forfeited and a Participant may be obligated to repay to the Company the value realized from previously vested PSUs upon the occurrence of any of the following events: </w: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 xml:space="preserve">(i)Termination for Cause (as defined in the LTIP); </w:t>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08940"/>
                <wp:effectExtent l="0" t="0" r="0" b="0"/>
                <wp:wrapNone/>
                <wp:docPr id="64" name="Frame64"/>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(ii)The Committee determines that Award vesting was based on incorrect performance measurement calculations. In such event, vesting (and recoupment, if applicable) will be adjusted consistent with the actual corrected results;</w: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(iii)Within three-years following a Participant’s Termination Date, the Committee determines that the Participant engaged in conduct that could have constituted the basis for a Termination for Cause;</w: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 xml:space="preserve">(iv)A restatement of financial results attributable to a Participant’s actions, whether intentional or negligent. </w: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 xml:space="preserve">(v)Within twenty-four months following a Participant’s Termination Date, the Participant: </w:t>
      </w:r>
    </w:p>
    <w:p>
      <w:pPr>
        <w:pStyle w:val="TextBody"/>
        <w:spacing w:lineRule="auto" w:line="304" w:before="0" w:after="240"/>
        <w:ind w:left="0" w:right="0" w:hanging="540"/>
        <w:rPr>
          <w:rFonts w:ascii="Arial;sans-serif" w:hAnsi="Arial;sans-serif"/>
          <w:b w:val="false"/>
          <w:color w:val="000000"/>
          <w:sz w:val="22"/>
        </w:rPr>
      </w:pPr>
      <w:r>
        <w:rPr>
          <w:rFonts w:ascii="Arial;sans-serif" w:hAnsi="Arial;sans-serif"/>
          <w:b w:val="false"/>
          <w:color w:val="000000"/>
          <w:sz w:val="22"/>
        </w:rPr>
        <w:t xml:space="preserve">(A)Solicits a Company employee, or individual who had been a Company employee within the previous three months, for an opportunity outside of the Company; or </w:t>
      </w:r>
    </w:p>
    <w:p>
      <w:pPr>
        <w:pStyle w:val="TextBody"/>
        <w:spacing w:lineRule="auto" w:line="304" w:before="0" w:after="240"/>
        <w:ind w:left="0" w:right="0" w:hanging="540"/>
        <w:rPr>
          <w:rFonts w:ascii="Arial;sans-serif" w:hAnsi="Arial;sans-serif"/>
          <w:b w:val="false"/>
          <w:color w:val="000000"/>
          <w:sz w:val="22"/>
        </w:rPr>
      </w:pPr>
      <w:r>
        <w:rPr>
          <w:rFonts w:ascii="Arial;sans-serif" w:hAnsi="Arial;sans-serif"/>
          <w:b w:val="false"/>
          <w:color w:val="000000"/>
          <w:sz w:val="22"/>
        </w:rPr>
        <w:t xml:space="preserve">(B)Publicly disparages the Company, its employees, directors, products, or otherwise makes a public statement that is materially detrimental to the interests of the Company or such individuals; </w: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 xml:space="preserve">(vi)Except where prohibited by law, at any time during the twelve-month period following a Participant’s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 </w: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(vii)Negligent conduct injurious to the Company, including negligent supervision of a subordinate whose action requires a restatement of financial results, or other significant harm to the Company as determined by the Committee; or</w:t>
      </w:r>
    </w:p>
    <w:p>
      <w:pPr>
        <w:pStyle w:val="TextBody"/>
        <w:spacing w:lineRule="auto" w:line="304" w:before="0" w:after="240"/>
        <w:ind w:left="0" w:right="0" w:hanging="450"/>
        <w:rPr>
          <w:rFonts w:ascii="Arial;sans-serif" w:hAnsi="Arial;sans-serif"/>
          <w:b w:val="false"/>
          <w:color w:val="000000"/>
          <w:sz w:val="22"/>
        </w:rPr>
      </w:pPr>
      <w:r>
        <w:rPr>
          <w:rFonts w:ascii="Arial;sans-serif" w:hAnsi="Arial;sans-serif"/>
          <w:b w:val="false"/>
          <w:color w:val="000000"/>
          <w:sz w:val="22"/>
        </w:rPr>
        <w:t xml:space="preserve">(viii) A Participant’s misappropriation of RTX Intellectual Property or violation of his/her Intellectual Property (IP) Agreement. </w:t>
      </w:r>
    </w:p>
    <w:p>
      <w:pPr>
        <w:pStyle w:val="TextBody"/>
        <w:spacing w:lineRule="auto" w:line="304" w:before="0" w:after="0"/>
        <w:rPr>
          <w:rFonts w:ascii="Arial;sans-serif" w:hAnsi="Arial;sans-serif"/>
          <w:b w:val="false"/>
          <w:color w:val="221E1F"/>
          <w:sz w:val="22"/>
        </w:rPr>
      </w:pPr>
      <w:r>
        <w:rPr>
          <w:rFonts w:ascii="Arial;sans-serif" w:hAnsi="Arial;sans-serif"/>
          <w:b w:val="false"/>
          <w:color w:val="221E1F"/>
          <w:sz w:val="22"/>
        </w:rPr>
        <w:t>In addition, the Committee reserves the right to require repayment of all or any portion of a PSU Award under item (iv) above, without regard to whether a restatement is attributable to the Participant’s actions, as appropriate and determined at the Committee’s sole discretion.</w:t>
      </w:r>
    </w:p>
    <w:p>
      <w:pPr>
        <w:pStyle w:val="TextBody"/>
        <w:spacing w:before="2" w:after="2"/>
        <w:rPr/>
      </w:pPr>
      <w:r>
        <w:rPr/>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w:t>
      </w:r>
      <w:r>
        <w:br w:type="page"/>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08940"/>
                <wp:effectExtent l="0" t="0" r="0" b="0"/>
                <wp:wrapNone/>
                <wp:docPr id="65" name="Frame65"/>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304" w:before="0" w:after="240"/>
        <w:rPr/>
      </w:pPr>
      <w:r>
        <w:rPr>
          <w:rFonts w:ascii="Arial;sans-serif" w:hAnsi="Arial;sans-serif"/>
          <w:b w:val="false"/>
          <w:color w:val="221E1F"/>
          <w:sz w:val="22"/>
        </w:rPr>
        <w:t xml:space="preserve">realized from LTIP awards are set forth in Section 14(i) of the LTIP, available at </w:t>
      </w:r>
      <w:r>
        <w:rPr>
          <w:rFonts w:ascii="Arial;sans-serif" w:hAnsi="Arial;sans-serif"/>
          <w:b w:val="false"/>
          <w:color w:val="0000FF"/>
          <w:sz w:val="22"/>
          <w:u w:val="single"/>
        </w:rPr>
        <w:t>www.ubs.com/onesource/rtx</w:t>
      </w:r>
      <w:r>
        <w:rPr>
          <w:rFonts w:ascii="Arial;sans-serif" w:hAnsi="Arial;sans-serif"/>
          <w:b w:val="false"/>
          <w:color w:val="000000"/>
          <w:sz w:val="22"/>
        </w:rPr>
        <w:t xml:space="preserve">, and </w:t>
      </w:r>
      <w:r>
        <w:rPr>
          <w:rFonts w:ascii="Arial;sans-serif" w:hAnsi="Arial;sans-serif"/>
          <w:b w:val="false"/>
          <w:color w:val="221E1F"/>
          <w:sz w:val="22"/>
        </w:rPr>
        <w:t xml:space="preserve">the applicable RTX Clawback Policy, available at </w:t>
      </w:r>
      <w:r>
        <w:rPr>
          <w:rFonts w:ascii="Arial;sans-serif" w:hAnsi="Arial;sans-serif"/>
          <w:b w:val="false"/>
          <w:color w:val="0000FF"/>
          <w:sz w:val="22"/>
          <w:u w:val="single"/>
        </w:rPr>
        <w:t>www.rtx.com</w:t>
      </w:r>
      <w:r>
        <w:rPr>
          <w:rFonts w:ascii="Arial;sans-serif" w:hAnsi="Arial;sans-serif"/>
          <w:b w:val="false"/>
          <w:color w:val="221E1F"/>
          <w:sz w:val="22"/>
        </w:rPr>
        <w:t>.</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Adjustments</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PSU Awards may be adjusted as determined by the Committee, in its sole discretion.</w:t>
      </w:r>
    </w:p>
    <w:p>
      <w:pPr>
        <w:pStyle w:val="TextBody"/>
        <w:spacing w:lineRule="auto" w:line="304" w:before="0" w:after="240"/>
        <w:rPr/>
      </w:pPr>
      <w:r>
        <w:rPr>
          <w:rFonts w:ascii="Arial;sans-serif" w:hAnsi="Arial;sans-serif"/>
          <w:b w:val="false"/>
          <w:color w:val="221E1F"/>
          <w:sz w:val="22"/>
        </w:rPr>
        <w:t xml:space="preserve">Further information concerning capital adjustments is set forth in Section 3(e) of the LTIP, available at </w:t>
      </w:r>
      <w:r>
        <w:rPr>
          <w:rFonts w:ascii="Arial;sans-serif" w:hAnsi="Arial;sans-serif"/>
          <w:b w:val="false"/>
          <w:color w:val="0000FF"/>
          <w:sz w:val="22"/>
          <w:u w:val="single"/>
        </w:rPr>
        <w:t>www.ubs.com/onesource/rtx</w:t>
      </w:r>
      <w:r>
        <w:rPr>
          <w:rFonts w:ascii="Arial;sans-serif" w:hAnsi="Arial;sans-serif"/>
          <w:b w:val="false"/>
          <w:color w:val="221E1F"/>
          <w:sz w:val="22"/>
        </w:rPr>
        <w:t>.</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Change-in-Control</w:t>
      </w:r>
    </w:p>
    <w:p>
      <w:pPr>
        <w:pStyle w:val="TextBody"/>
        <w:spacing w:lineRule="auto" w:line="304" w:before="0" w:after="240"/>
        <w:rPr/>
      </w:pPr>
      <w:r>
        <w:rPr>
          <w:rFonts w:ascii="Arial;sans-serif" w:hAnsi="Arial;sans-serif"/>
          <w:b w:val="false"/>
          <w:color w:val="221E1F"/>
          <w:sz w:val="22"/>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or Performance Goals, as the Committee may deem appropriate. Further details concerning Change-in-Control are set forth in Section 10 of the LTIP, available at </w:t>
      </w:r>
      <w:r>
        <w:rPr>
          <w:rFonts w:ascii="Arial;sans-serif" w:hAnsi="Arial;sans-serif"/>
          <w:b w:val="false"/>
          <w:color w:val="0000FF"/>
          <w:sz w:val="22"/>
          <w:u w:val="single"/>
        </w:rPr>
        <w:t>www.ubs.com/onesource/rtx</w:t>
      </w:r>
      <w:r>
        <w:rPr>
          <w:rFonts w:ascii="Arial;sans-serif" w:hAnsi="Arial;sans-serif"/>
          <w:b w:val="false"/>
          <w:color w:val="221E1F"/>
          <w:sz w:val="22"/>
        </w:rPr>
        <w:t>.</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Awards Not to Affect Certain Transactions</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PSU Awards do not in any way affect the right of the Corporation or its shareowners to effect: (a) any adjustments, recapitalizations, reorganizations or other changes in the Corporation’s capital or business structure; (b) any merger or consolidation of the Corporation; (c) any issue of bonds, debentures, shares of stock preferred to, or otherwise affecting the Common Stock of the Corporation or the rights of the holders of such Common Stock; (d) the dissolution or liquidation of the Corporation; (e) any sale or transfer of all or any part of its assets or business; or (f) any other corporate act or proceeding. </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Taxes / Withholding</w:t>
      </w:r>
    </w:p>
    <w:p>
      <w:pPr>
        <w:pStyle w:val="TextBody"/>
        <w:spacing w:lineRule="auto" w:line="304" w:before="0" w:after="240"/>
        <w:rPr/>
      </w:pPr>
      <w:r>
        <w:rPr>
          <w:rFonts w:ascii="Arial;sans-serif" w:hAnsi="Arial;sans-serif"/>
          <w:b w:val="false"/>
          <w:color w:val="221E1F"/>
          <w:sz w:val="22"/>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PSUs. The provisions of Section 14(d) (Required Taxes) of the LTIP apply to this Award. The Company shall have the right to deduct directly from any payment or delivery of shares due to a Participant or from Participant’s regular compensation to effect compliance with all Tax-Related Items, including withholding and reporting with respect to the vesting of any PSU. Acceptance of an Award constitutes affirmative consent by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sans-serif" w:hAnsi="Arial;sans-serif"/>
          <w:b w:val="false"/>
          <w:color w:val="211F1F"/>
          <w:sz w:val="22"/>
        </w:rPr>
        <w:t xml:space="preserve">Further, if the Participant has become subject to tax in more than one jurisdiction between the date of grant and the date of any relevant taxable event, the Participant acknowledges that the Company may be required to </w:t>
      </w:r>
      <w:r>
        <w:br w:type="page"/>
      </w: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08940"/>
                <wp:effectExtent l="0" t="0" r="0" b="0"/>
                <wp:wrapNone/>
                <wp:docPr id="66" name="Frame66"/>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304" w:before="0" w:after="240"/>
        <w:rPr/>
      </w:pPr>
      <w:r>
        <w:rPr>
          <w:rFonts w:ascii="Arial;sans-serif" w:hAnsi="Arial;sans-serif"/>
          <w:b w:val="false"/>
          <w:color w:val="211F1F"/>
          <w:sz w:val="22"/>
        </w:rPr>
        <w:t xml:space="preserve">withhold or account for Tax-Related Items in more than one jurisdiction. </w:t>
      </w:r>
      <w:r>
        <w:rPr>
          <w:rFonts w:ascii="Arial;sans-serif" w:hAnsi="Arial;sans-serif"/>
          <w:b w:val="false"/>
          <w:color w:val="221E1F"/>
          <w:sz w:val="22"/>
        </w:rPr>
        <w:t>In those countries where there is no withholding on account of such Tax-Related 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the Participant fails to comply with his or her obligations in connection with Tax-Related Items.</w:t>
      </w:r>
    </w:p>
    <w:p>
      <w:pPr>
        <w:pStyle w:val="TextBody"/>
        <w:spacing w:lineRule="auto" w:line="304" w:before="0" w:after="240"/>
        <w:rPr/>
      </w:pPr>
      <w:r>
        <w:rPr>
          <w:rFonts w:ascii="Arial;sans-serif" w:hAnsi="Arial;sans-serif"/>
          <w:b w:val="false"/>
          <w:color w:val="221E1F"/>
          <w:sz w:val="22"/>
        </w:rPr>
        <w:t>If the Participant is a Section 16 officer of the Company under Section 16 of the Securities Exchange Act of 1934, as amended, at the time that a taxable event occurs, then the Company shall satisfy the Participant’s withholding obligation as follows: (i) with respect to FICA taxes due and owing prior the vesting of the PSU Award and (ii) with respect to any other Tax-Related Items, the Company shall satisfy the withholding obligation by withholding shares of Common Stock converted from PSUs under the Award having a Fair Market Value on the date of withholding equal to the amount required to be withheld for tax purposes (calculated using the minimum statutory withholding rate, except as otherwise approved by the Committee, or its delegate). Provided for both items (i) and (ii) above, t</w:t>
      </w:r>
      <w:r>
        <w:rPr>
          <w:rFonts w:ascii="Arial;sans-serif" w:hAnsi="Arial;sans-serif"/>
          <w:b w:val="false"/>
          <w:color w:val="000000"/>
          <w:sz w:val="22"/>
        </w:rPr>
        <w:t>he Committee retains the right to determine an alternative method of withholding for the Participant, at its sole discretion, provided in all cases, such determination shall be made by the Committee prior to the Tax-Related Items withholding event.</w:t>
      </w:r>
    </w:p>
    <w:p>
      <w:pPr>
        <w:pStyle w:val="TextBody"/>
        <w:spacing w:lineRule="auto" w:line="304" w:before="0" w:after="240"/>
        <w:rPr/>
      </w:pPr>
      <w:r>
        <w:rPr>
          <w:rFonts w:ascii="Arial;sans-serif" w:hAnsi="Arial;sans-serif"/>
          <w:b w:val="false"/>
          <w:color w:val="000000"/>
          <w:sz w:val="22"/>
        </w:rPr>
        <w:t xml:space="preserve">Important information about the U.S. Federal income tax consequences of LTIP Awards can be found in the LTIP Prospectus at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Deferral of Gain (U.S. based executives)</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A Participant who is qualified to participate in the Company’s Performance Share Unit Deferral Plan may irrevocably elect to defer the conversion of vested PSUs into shares of Common Stock to a date that is at least five years after the scheduled vesting date. The election to defer the conversion of shares must be made no later than the end of the second year of the performance measurement period, or such earlier date as may be specified by the Committee. Vested PSUs subject to a deferral election will be converted to unfunded deferred share units (“DSUs”) that will convert into shares of Common Stock on the distribution date as specified in the deferral election and the Performance Share Unit Deferral Plan. DSUs will be credited with dividend equivalent units when the Company pays a dividend to shareholders, which will be deferred and invested in additional DSUs. Under U.S. income tax law, a Participant will generally not be taxed until the DSUs are converted to shares of Common Stock and distributed. DSUs will not be funded by the Company. In this regard, a Participant’s rights to DSUs are those of a general unsecured creditor of the Company. Details of the deferral of PSUs into DSUs will be provided with election materials. The opportunity to make such an election is subject to the discretion of the Committee and changes in Federal tax law. The Committee reserves the right to determine whether a deferral election will be offered to Participants with respect to an annual award of PSUs, and to discontinue offering PSU deferral elections at any time for any reason it deems appropriate in its sole discretion.</w:t>
      </w:r>
    </w:p>
    <w:p>
      <w:pPr>
        <w:pStyle w:val="TextBody"/>
        <w:spacing w:before="0" w:after="24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08940"/>
                <wp:effectExtent l="0" t="0" r="0" b="0"/>
                <wp:wrapNone/>
                <wp:docPr id="67" name="Frame67"/>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304" w:before="2" w:after="240"/>
        <w:rPr>
          <w:rFonts w:ascii="Arial;sans-serif" w:hAnsi="Arial;sans-serif"/>
          <w:b/>
          <w:color w:val="221E1F"/>
          <w:sz w:val="22"/>
        </w:rPr>
      </w:pPr>
      <w:r>
        <w:rPr>
          <w:rFonts w:ascii="Arial;sans-serif" w:hAnsi="Arial;sans-serif"/>
          <w:b/>
          <w:color w:val="221E1F"/>
          <w:sz w:val="22"/>
        </w:rPr>
        <w:t>Nonassignability</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Unless otherwise approved by the Committee or its delegate, no assignment or transfer of any right or interest of a Participant in any PSU Award, whether voluntary or involuntary, by operation of law or otherwise, is permitted except by will or the laws of descent and distribution. Any other attempt to assign such rights or interest shall be void and without force or effect. </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Nature of Payments</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 </w:t>
      </w:r>
    </w:p>
    <w:p>
      <w:pPr>
        <w:pStyle w:val="TextBody"/>
        <w:spacing w:lineRule="auto" w:line="304" w:before="0" w:after="240"/>
        <w:rPr>
          <w:rFonts w:ascii="Arial;sans-serif" w:hAnsi="Arial;sans-serif"/>
          <w:b/>
          <w:color w:val="211E1F"/>
          <w:sz w:val="22"/>
        </w:rPr>
      </w:pPr>
      <w:r>
        <w:rPr>
          <w:rFonts w:ascii="Arial;sans-serif" w:hAnsi="Arial;sans-serif"/>
          <w:b/>
          <w:color w:val="211E1F"/>
          <w:sz w:val="22"/>
        </w:rPr>
        <w:t>Right of Discharge Reserved</w:t>
      </w:r>
    </w:p>
    <w:p>
      <w:pPr>
        <w:pStyle w:val="TextBody"/>
        <w:spacing w:lineRule="auto" w:line="304" w:before="0" w:after="240"/>
        <w:rPr>
          <w:rFonts w:ascii="Arial;sans-serif" w:hAnsi="Arial;sans-serif"/>
          <w:b w:val="false"/>
          <w:color w:val="211E1F"/>
          <w:sz w:val="22"/>
        </w:rPr>
      </w:pPr>
      <w:r>
        <w:rPr>
          <w:rFonts w:ascii="Arial;sans-serif" w:hAnsi="Arial;sans-serif"/>
          <w:b w:val="false"/>
          <w:color w:val="211E1F"/>
          <w:sz w:val="22"/>
        </w:rPr>
        <w:t>Nothing in the LTIP or in any PSU Award shall confer upon any Participant the right to continued employment or service for any period of time or affect any right that the Company may have to terminate the employment of any Participant at any time for any reason.</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Administration</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 on any matter related to an Award shall be binding, final, and conclusive on all parties in interest.</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Data Privacy</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r>
        <w:br w:type="page"/>
      </w: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08940"/>
                <wp:effectExtent l="0" t="0" r="0" b="0"/>
                <wp:wrapNone/>
                <wp:docPr id="68" name="Frame68"/>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Company Compliance Policies</w:t>
      </w:r>
    </w:p>
    <w:p>
      <w:pPr>
        <w:pStyle w:val="TextBody"/>
        <w:spacing w:lineRule="auto" w:line="304" w:before="0" w:after="240"/>
        <w:rPr/>
      </w:pPr>
      <w:r>
        <w:rPr>
          <w:rFonts w:ascii="Arial;sans-serif" w:hAnsi="Arial;sans-serif"/>
          <w:b w:val="false"/>
          <w:color w:val="221E1F"/>
          <w:sz w:val="22"/>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sans-serif" w:hAnsi="Arial;sans-serif"/>
          <w:b w:val="false"/>
          <w:color w:val="0000FF"/>
          <w:sz w:val="22"/>
          <w:u w:val="single"/>
        </w:rPr>
        <w:t>http://epolicy.corp.ray.com/epolicy/</w:t>
      </w:r>
      <w:r>
        <w:rPr>
          <w:rFonts w:ascii="Arial;sans-serif" w:hAnsi="Arial;sans-serif"/>
          <w:b w:val="false"/>
          <w:color w:val="221E1F"/>
          <w:sz w:val="22"/>
        </w:rPr>
        <w:t>.</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Interpretations</w:t>
      </w:r>
    </w:p>
    <w:p>
      <w:pPr>
        <w:pStyle w:val="TextBody"/>
        <w:spacing w:lineRule="auto" w:line="304" w:before="0" w:after="240"/>
        <w:rPr/>
      </w:pPr>
      <w:r>
        <w:rPr>
          <w:rFonts w:ascii="Arial;sans-serif" w:hAnsi="Arial;sans-serif"/>
          <w:b w:val="false"/>
          <w:color w:val="221E1F"/>
          <w:sz w:val="22"/>
        </w:rPr>
        <w:t xml:space="preserve">This Schedule of Terms provides a summary of terms applicable to the PSU Award. This Schedule of Terms and each Award Agreement are subject in all respects to the terms of the LTIP, available at </w:t>
      </w:r>
      <w:r>
        <w:rPr>
          <w:rFonts w:ascii="Arial;sans-serif" w:hAnsi="Arial;sans-serif"/>
          <w:b w:val="false"/>
          <w:color w:val="0000FF"/>
          <w:sz w:val="22"/>
          <w:u w:val="single"/>
        </w:rPr>
        <w:t>www.ubs.com/onesource/rtx</w:t>
      </w:r>
      <w:r>
        <w:rPr>
          <w:rFonts w:ascii="Arial;sans-serif" w:hAnsi="Arial;sans-serif"/>
          <w:b w:val="false"/>
          <w:color w:val="221E1F"/>
          <w:sz w:val="22"/>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Governing Law</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spacing w:lineRule="auto" w:line="304" w:before="0" w:after="0"/>
        <w:rPr>
          <w:rFonts w:ascii="Arial;sans-serif" w:hAnsi="Arial;sans-serif"/>
          <w:b/>
          <w:color w:val="000000"/>
          <w:sz w:val="22"/>
        </w:rPr>
      </w:pPr>
      <w:r>
        <w:rPr>
          <w:rFonts w:ascii="Arial;sans-serif" w:hAnsi="Arial;sans-serif"/>
          <w:b/>
          <w:color w:val="000000"/>
          <w:sz w:val="22"/>
        </w:rPr>
        <w:t xml:space="preserve">Additional Information </w:t>
      </w:r>
    </w:p>
    <w:p>
      <w:pPr>
        <w:pStyle w:val="TextBody"/>
        <w:spacing w:before="0" w:after="0"/>
        <w:rPr/>
      </w:pPr>
      <w:r>
        <w:rPr/>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Questions concerning the LTIP or Awards and requests for LTIP documents can be directed to:</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Stock Plan Administrator</w:t>
      </w:r>
    </w:p>
    <w:p>
      <w:pPr>
        <w:pStyle w:val="TextBody"/>
        <w:spacing w:lineRule="auto" w:line="304" w:before="0" w:after="0"/>
        <w:rPr>
          <w:rFonts w:ascii="Arial;sans-serif" w:hAnsi="Arial;sans-serif"/>
          <w:b w:val="false"/>
          <w:color w:val="0000FF"/>
          <w:sz w:val="22"/>
          <w:u w:val="single"/>
        </w:rPr>
      </w:pPr>
      <w:r>
        <w:rPr>
          <w:rFonts w:ascii="Arial;sans-serif" w:hAnsi="Arial;sans-serif"/>
          <w:b w:val="false"/>
          <w:color w:val="0000FF"/>
          <w:sz w:val="22"/>
          <w:u w:val="single"/>
        </w:rPr>
        <w:t>rtxstockadmin@rtx.com</w:t>
      </w:r>
    </w:p>
    <w:p>
      <w:pPr>
        <w:pStyle w:val="TextBody"/>
        <w:spacing w:before="0" w:after="0"/>
        <w:ind w:left="0" w:right="0" w:firstLine="720"/>
        <w:rPr/>
      </w:pPr>
      <w:r>
        <w:rPr/>
      </w:r>
    </w:p>
    <w:p>
      <w:pPr>
        <w:pStyle w:val="TextBody"/>
        <w:spacing w:lineRule="auto" w:line="304" w:before="0" w:after="0"/>
        <w:ind w:left="0" w:right="0" w:firstLine="720"/>
        <w:rPr>
          <w:rFonts w:ascii="Arial;sans-serif" w:hAnsi="Arial;sans-serif"/>
          <w:b w:val="false"/>
          <w:color w:val="000000"/>
          <w:sz w:val="22"/>
        </w:rPr>
      </w:pPr>
      <w:r>
        <w:rPr>
          <w:rFonts w:ascii="Arial;sans-serif" w:hAnsi="Arial;sans-serif"/>
          <w:b w:val="false"/>
          <w:color w:val="000000"/>
          <w:sz w:val="22"/>
        </w:rPr>
        <w:t>OR</w:t>
      </w:r>
    </w:p>
    <w:p>
      <w:pPr>
        <w:pStyle w:val="TextBody"/>
        <w:spacing w:lineRule="auto" w:line="304" w:before="0" w:after="0"/>
        <w:rPr>
          <w:color w:val="000000"/>
        </w:rPr>
      </w:pPr>
      <w:r>
        <w:rPr>
          <w:color w:val="000000"/>
        </w:rPr>
        <w:t>    </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Raytheon Technologies Corporation</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Attn: Stock Plan Administrator</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4 Farm Springs Road</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Farmington, CT 06032</w:t>
      </w:r>
    </w:p>
    <w:p>
      <w:pPr>
        <w:pStyle w:val="TextBody"/>
        <w:spacing w:lineRule="auto" w:line="304" w:before="0" w:after="0"/>
        <w:rPr>
          <w:color w:val="000000"/>
        </w:rPr>
      </w:pPr>
      <w:r>
        <w:rPr>
          <w:color w:val="000000"/>
        </w:rPr>
        <w:t>    </w:t>
      </w:r>
    </w:p>
    <w:p>
      <w:pPr>
        <w:pStyle w:val="TextBody"/>
        <w:spacing w:before="0" w:after="0"/>
        <w:rPr/>
      </w:pPr>
      <w:r>
        <w:rPr/>
      </w:r>
    </w:p>
    <w:p>
      <w:pPr>
        <w:pStyle w:val="TextBody"/>
        <w:spacing w:lineRule="auto" w:line="304" w:before="0" w:after="240"/>
        <w:rPr/>
      </w:pPr>
      <w:r>
        <w:rPr>
          <w:rFonts w:ascii="Arial;sans-serif" w:hAnsi="Arial;sans-serif"/>
          <w:b w:val="false"/>
          <w:color w:val="000000"/>
          <w:sz w:val="22"/>
        </w:rPr>
        <w:t xml:space="preserve">The Corporation and/or its approved Stock Plan Administrator will send any Award-related communications to the Participant’s email address or physical address on record. </w:t>
      </w:r>
      <w:r>
        <w:rPr>
          <w:rFonts w:ascii="Arial;sans-serif" w:hAnsi="Arial;sans-serif"/>
          <w:b w:val="false"/>
          <w:color w:val="221E1F"/>
          <w:sz w:val="22"/>
        </w:rPr>
        <w:t xml:space="preserve">It is the responsibility of the Participant to ensure that both the e-mail and physical address on record are up-to-date and accurate at all times to ensure delivery of Award-related communications. </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08940"/>
                <wp:effectExtent l="0" t="0" r="0" b="0"/>
                <wp:wrapNone/>
                <wp:docPr id="69" name="Frame69"/>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10</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10</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240" w:before="0" w:after="0"/>
        <w:jc w:val="center"/>
        <w:rPr>
          <w:rFonts w:ascii="Helvetica;sans-serif" w:hAnsi="Helvetica;sans-serif"/>
          <w:b/>
          <w:color w:val="000000"/>
          <w:sz w:val="24"/>
        </w:rPr>
      </w:pPr>
      <w:r>
        <w:rPr>
          <w:rFonts w:ascii="Helvetica;sans-serif" w:hAnsi="Helvetica;sans-serif"/>
          <w:b/>
          <w:color w:val="000000"/>
          <w:sz w:val="24"/>
        </w:rPr>
        <w:t>Appendix A: 2023 PSU Performance Goals</w:t>
      </w:r>
    </w:p>
    <w:p>
      <w:pPr>
        <w:pStyle w:val="TextBody"/>
        <w:spacing w:before="0" w:after="0"/>
        <w:jc w:val="center"/>
        <w:rPr/>
      </w:pPr>
      <w:r>
        <w:rPr/>
      </w:r>
    </w:p>
    <w:p>
      <w:pPr>
        <w:pStyle w:val="TextBody"/>
        <w:spacing w:before="0" w:after="0"/>
        <w:jc w:val="center"/>
        <w:rPr/>
      </w:pPr>
      <w:r>
        <w:rPr/>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 xml:space="preserve">The table below illustrates the Performance Goals for the 2023-2025 performance cycle. </w:t>
      </w:r>
    </w:p>
    <w:p>
      <w:pPr>
        <w:pStyle w:val="TextBody"/>
        <w:spacing w:before="0" w:after="0"/>
        <w:rPr/>
      </w:pPr>
      <w:r>
        <w:rPr/>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Threshold, target and maximum Performance Goals each have a corresponding payout percentage, and each metric is measured and funded independently. Performance below the threshold level will result in 0% payout, while performance above the maximum level cannot exceed the maximum payout level. Performance that falls between the threshold, target and maximum levels will results in a payout that is interpolated between the applicable levels.</w:t>
      </w:r>
    </w:p>
    <w:p>
      <w:pPr>
        <w:pStyle w:val="TextBody"/>
        <w:spacing w:before="0" w:after="0"/>
        <w:rPr/>
      </w:pPr>
      <w:r>
        <w:rPr/>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The final Performance Factor will be based on the Company’s actual achievement against these Performance Goals at the conclusion of the award’s performance cycle and will equal the sum of the four payout percentages after weighting is applied.</w:t>
      </w:r>
    </w:p>
    <w:p>
      <w:pPr>
        <w:pStyle w:val="TextBody"/>
        <w:spacing w:before="0" w:after="0"/>
        <w:rPr/>
      </w:pPr>
      <w:r>
        <w:rPr/>
      </w:r>
    </w:p>
    <w:tbl>
      <w:tblPr>
        <w:tblW w:w="9747" w:type="dxa"/>
        <w:jc w:val="left"/>
        <w:tblInd w:w="0" w:type="dxa"/>
        <w:tblCellMar>
          <w:top w:w="28" w:type="dxa"/>
          <w:left w:w="28" w:type="dxa"/>
          <w:bottom w:w="28" w:type="dxa"/>
          <w:right w:w="28" w:type="dxa"/>
        </w:tblCellMar>
      </w:tblPr>
      <w:tblGrid>
        <w:gridCol w:w="959"/>
        <w:gridCol w:w="843"/>
        <w:gridCol w:w="852"/>
        <w:gridCol w:w="230"/>
        <w:gridCol w:w="230"/>
        <w:gridCol w:w="231"/>
        <w:gridCol w:w="414"/>
        <w:gridCol w:w="414"/>
        <w:gridCol w:w="416"/>
        <w:gridCol w:w="413"/>
        <w:gridCol w:w="413"/>
        <w:gridCol w:w="418"/>
        <w:gridCol w:w="408"/>
        <w:gridCol w:w="408"/>
        <w:gridCol w:w="429"/>
        <w:gridCol w:w="320"/>
        <w:gridCol w:w="320"/>
        <w:gridCol w:w="321"/>
        <w:gridCol w:w="239"/>
        <w:gridCol w:w="239"/>
        <w:gridCol w:w="239"/>
        <w:gridCol w:w="290"/>
        <w:gridCol w:w="290"/>
        <w:gridCol w:w="411"/>
      </w:tblGrid>
      <w:tr>
        <w:trPr/>
        <w:tc>
          <w:tcPr>
            <w:tcW w:w="959"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654" w:type="dxa"/>
            <w:gridSpan w:val="3"/>
            <w:vMerge w:val="restart"/>
            <w:tcBorders>
              <w:top w:val="single" w:sz="4" w:space="0" w:color="000000"/>
              <w:left w:val="single" w:sz="4" w:space="0" w:color="000000"/>
              <w:right w:val="single" w:sz="4" w:space="0" w:color="000000"/>
            </w:tcBorders>
            <w:shd w:fill="C00000" w:val="clear"/>
            <w:tcMar>
              <w:top w:w="30" w:type="dxa"/>
              <w:left w:w="140" w:type="dxa"/>
              <w:bottom w:w="0" w:type="dxa"/>
            </w:tcMar>
            <w:vAlign w:val="center"/>
          </w:tcPr>
          <w:p>
            <w:pPr>
              <w:pStyle w:val="TableContents"/>
              <w:spacing w:lineRule="auto" w:line="240" w:before="0" w:after="283"/>
              <w:jc w:val="left"/>
              <w:rPr>
                <w:rFonts w:ascii="Arial;sans-serif" w:hAnsi="Arial;sans-serif"/>
                <w:b/>
                <w:color w:val="FFFFFF"/>
                <w:sz w:val="18"/>
              </w:rPr>
            </w:pPr>
            <w:r>
              <w:rPr>
                <w:rFonts w:ascii="Arial;sans-serif" w:hAnsi="Arial;sans-serif"/>
                <w:b/>
                <w:color w:val="FFFFFF"/>
                <w:sz w:val="18"/>
              </w:rPr>
              <w:t>Metric</w:t>
            </w:r>
          </w:p>
        </w:tc>
        <w:tc>
          <w:tcPr>
            <w:tcW w:w="691" w:type="dxa"/>
            <w:gridSpan w:val="3"/>
            <w:vMerge w:val="restart"/>
            <w:tcBorders>
              <w:top w:val="single" w:sz="4" w:space="0" w:color="000000"/>
              <w:left w:val="single" w:sz="4" w:space="0" w:color="000000"/>
            </w:tcBorders>
            <w:shd w:fill="C00000" w:val="clear"/>
            <w:tcMar>
              <w:top w:w="30" w:type="dxa"/>
              <w:bottom w:w="0" w:type="dxa"/>
              <w:right w:w="0" w:type="dxa"/>
            </w:tcMar>
            <w:vAlign w:val="center"/>
          </w:tcPr>
          <w:p>
            <w:pPr>
              <w:pStyle w:val="TableContents"/>
              <w:spacing w:lineRule="auto" w:line="240" w:before="0" w:after="283"/>
              <w:jc w:val="center"/>
              <w:rPr>
                <w:rFonts w:ascii="Arial;sans-serif" w:hAnsi="Arial;sans-serif"/>
                <w:b/>
                <w:color w:val="FFFFFF"/>
                <w:sz w:val="18"/>
              </w:rPr>
            </w:pPr>
            <w:r>
              <w:rPr>
                <w:rFonts w:ascii="Arial;sans-serif" w:hAnsi="Arial;sans-serif"/>
                <w:b/>
                <w:color w:val="FFFFFF"/>
                <w:sz w:val="18"/>
              </w:rPr>
              <w:t>Weight</w:t>
            </w:r>
          </w:p>
        </w:tc>
        <w:tc>
          <w:tcPr>
            <w:tcW w:w="3733" w:type="dxa"/>
            <w:gridSpan w:val="9"/>
            <w:tcBorders>
              <w:top w:val="single" w:sz="4" w:space="0" w:color="000000"/>
              <w:left w:val="single" w:sz="4" w:space="0" w:color="000000"/>
            </w:tcBorders>
            <w:shd w:fill="C00000" w:val="clear"/>
            <w:tcMar>
              <w:top w:w="30" w:type="dxa"/>
              <w:bottom w:w="0" w:type="dxa"/>
              <w:right w:w="0" w:type="dxa"/>
            </w:tcMar>
            <w:vAlign w:val="center"/>
          </w:tcPr>
          <w:p>
            <w:pPr>
              <w:pStyle w:val="TableContents"/>
              <w:spacing w:lineRule="auto" w:line="240" w:before="0" w:after="283"/>
              <w:jc w:val="center"/>
              <w:rPr>
                <w:rFonts w:ascii="Arial;sans-serif" w:hAnsi="Arial;sans-serif"/>
                <w:b/>
                <w:color w:val="FFFFFF"/>
                <w:sz w:val="18"/>
              </w:rPr>
            </w:pPr>
            <w:r>
              <w:rPr>
                <w:rFonts w:ascii="Arial;sans-serif" w:hAnsi="Arial;sans-serif"/>
                <w:b/>
                <w:color w:val="FFFFFF"/>
                <w:sz w:val="18"/>
              </w:rPr>
              <w:t>Performance Goals</w:t>
            </w:r>
          </w:p>
        </w:tc>
        <w:tc>
          <w:tcPr>
            <w:tcW w:w="2669" w:type="dxa"/>
            <w:gridSpan w:val="9"/>
            <w:tcBorders>
              <w:top w:val="single" w:sz="4" w:space="0" w:color="000000"/>
              <w:left w:val="single" w:sz="4" w:space="0" w:color="000000"/>
              <w:right w:val="single" w:sz="4" w:space="0" w:color="000000"/>
            </w:tcBorders>
            <w:shd w:fill="C00000" w:val="clear"/>
            <w:tcMar>
              <w:top w:w="30" w:type="dxa"/>
              <w:bottom w:w="0" w:type="dxa"/>
            </w:tcMar>
            <w:vAlign w:val="center"/>
          </w:tcPr>
          <w:p>
            <w:pPr>
              <w:pStyle w:val="TableContents"/>
              <w:spacing w:lineRule="auto" w:line="240" w:before="0" w:after="0"/>
              <w:ind w:left="0" w:right="0" w:firstLine="3"/>
              <w:jc w:val="center"/>
              <w:rPr>
                <w:rFonts w:ascii="Arial;sans-serif" w:hAnsi="Arial;sans-serif"/>
                <w:b/>
                <w:color w:val="FFFFFF"/>
                <w:sz w:val="18"/>
              </w:rPr>
            </w:pPr>
            <w:r>
              <w:rPr>
                <w:rFonts w:ascii="Arial;sans-serif" w:hAnsi="Arial;sans-serif"/>
                <w:b/>
                <w:color w:val="FFFFFF"/>
                <w:sz w:val="18"/>
              </w:rPr>
              <w:t>Payout (as a % of target)</w:t>
            </w:r>
          </w:p>
        </w:tc>
      </w:tr>
      <w:tr>
        <w:trPr/>
        <w:tc>
          <w:tcPr>
            <w:tcW w:w="2654" w:type="dxa"/>
            <w:gridSpan w:val="3"/>
            <w:vMerge w:val="continue"/>
            <w:tcBorders>
              <w:top w:val="single" w:sz="4" w:space="0" w:color="000000"/>
              <w:left w:val="single" w:sz="4" w:space="0" w:color="000000"/>
              <w:right w:val="single" w:sz="4" w:space="0" w:color="000000"/>
            </w:tcBorders>
            <w:shd w:fill="C00000" w:val="clear"/>
            <w:tcMar>
              <w:top w:w="30" w:type="dxa"/>
              <w:left w:w="140" w:type="dxa"/>
              <w:bottom w:w="0" w:type="dxa"/>
            </w:tcMar>
            <w:vAlign w:val="center"/>
          </w:tcPr>
          <w:p>
            <w:pPr>
              <w:pStyle w:val="Normal"/>
              <w:rPr/>
            </w:pPr>
            <w:r>
              <w:rPr/>
            </w:r>
          </w:p>
        </w:tc>
        <w:tc>
          <w:tcPr>
            <w:tcW w:w="691" w:type="dxa"/>
            <w:gridSpan w:val="3"/>
            <w:vMerge w:val="continue"/>
            <w:tcBorders>
              <w:top w:val="single" w:sz="4" w:space="0" w:color="000000"/>
              <w:left w:val="single" w:sz="4" w:space="0" w:color="000000"/>
            </w:tcBorders>
            <w:shd w:fill="C00000" w:val="clear"/>
            <w:tcMar>
              <w:top w:w="30" w:type="dxa"/>
              <w:bottom w:w="0" w:type="dxa"/>
              <w:right w:w="0" w:type="dxa"/>
            </w:tcMar>
            <w:vAlign w:val="center"/>
          </w:tcPr>
          <w:p>
            <w:pPr>
              <w:pStyle w:val="Normal"/>
              <w:rPr/>
            </w:pPr>
            <w:r>
              <w:rPr/>
            </w:r>
          </w:p>
        </w:tc>
        <w:tc>
          <w:tcPr>
            <w:tcW w:w="1244" w:type="dxa"/>
            <w:gridSpan w:val="3"/>
            <w:tcBorders>
              <w:top w:val="single" w:sz="4" w:space="0" w:color="000000"/>
              <w:left w:val="single" w:sz="4" w:space="0" w:color="000000"/>
            </w:tcBorders>
            <w:shd w:fill="C00000" w:val="clear"/>
            <w:tcMar>
              <w:top w:w="30" w:type="dxa"/>
              <w:bottom w:w="0" w:type="dxa"/>
              <w:right w:w="0" w:type="dxa"/>
            </w:tcMar>
            <w:vAlign w:val="center"/>
          </w:tcPr>
          <w:p>
            <w:pPr>
              <w:pStyle w:val="TableContents"/>
              <w:spacing w:lineRule="auto" w:line="240" w:before="0" w:after="283"/>
              <w:jc w:val="center"/>
              <w:rPr>
                <w:rFonts w:ascii="Arial;sans-serif" w:hAnsi="Arial;sans-serif"/>
                <w:b/>
                <w:color w:val="FFFFFF"/>
                <w:sz w:val="18"/>
              </w:rPr>
            </w:pPr>
            <w:r>
              <w:rPr>
                <w:rFonts w:ascii="Arial;sans-serif" w:hAnsi="Arial;sans-serif"/>
                <w:b/>
                <w:color w:val="FFFFFF"/>
                <w:sz w:val="18"/>
              </w:rPr>
              <w:t>Threshold</w:t>
            </w:r>
          </w:p>
        </w:tc>
        <w:tc>
          <w:tcPr>
            <w:tcW w:w="1244" w:type="dxa"/>
            <w:gridSpan w:val="3"/>
            <w:tcBorders>
              <w:top w:val="single" w:sz="4" w:space="0" w:color="000000"/>
              <w:left w:val="single" w:sz="4" w:space="0" w:color="000000"/>
            </w:tcBorders>
            <w:shd w:fill="C00000" w:val="clear"/>
            <w:tcMar>
              <w:top w:w="30" w:type="dxa"/>
              <w:bottom w:w="0" w:type="dxa"/>
              <w:right w:w="0" w:type="dxa"/>
            </w:tcMar>
            <w:vAlign w:val="center"/>
          </w:tcPr>
          <w:p>
            <w:pPr>
              <w:pStyle w:val="TableContents"/>
              <w:spacing w:lineRule="auto" w:line="240" w:before="0" w:after="283"/>
              <w:jc w:val="center"/>
              <w:rPr>
                <w:rFonts w:ascii="Arial;sans-serif" w:hAnsi="Arial;sans-serif"/>
                <w:b/>
                <w:color w:val="FFFFFF"/>
                <w:sz w:val="18"/>
              </w:rPr>
            </w:pPr>
            <w:r>
              <w:rPr>
                <w:rFonts w:ascii="Arial;sans-serif" w:hAnsi="Arial;sans-serif"/>
                <w:b/>
                <w:color w:val="FFFFFF"/>
                <w:sz w:val="18"/>
              </w:rPr>
              <w:t>Target</w:t>
            </w:r>
          </w:p>
        </w:tc>
        <w:tc>
          <w:tcPr>
            <w:tcW w:w="1245" w:type="dxa"/>
            <w:gridSpan w:val="3"/>
            <w:tcBorders>
              <w:top w:val="single" w:sz="4" w:space="0" w:color="000000"/>
              <w:left w:val="single" w:sz="4" w:space="0" w:color="000000"/>
            </w:tcBorders>
            <w:shd w:fill="C00000" w:val="clear"/>
            <w:tcMar>
              <w:top w:w="30" w:type="dxa"/>
              <w:bottom w:w="0" w:type="dxa"/>
              <w:right w:w="0" w:type="dxa"/>
            </w:tcMar>
            <w:vAlign w:val="center"/>
          </w:tcPr>
          <w:p>
            <w:pPr>
              <w:pStyle w:val="TableContents"/>
              <w:spacing w:lineRule="auto" w:line="240" w:before="0" w:after="283"/>
              <w:jc w:val="center"/>
              <w:rPr>
                <w:rFonts w:ascii="Arial;sans-serif" w:hAnsi="Arial;sans-serif"/>
                <w:b/>
                <w:color w:val="FFFFFF"/>
                <w:sz w:val="18"/>
              </w:rPr>
            </w:pPr>
            <w:r>
              <w:rPr>
                <w:rFonts w:ascii="Arial;sans-serif" w:hAnsi="Arial;sans-serif"/>
                <w:b/>
                <w:color w:val="FFFFFF"/>
                <w:sz w:val="18"/>
              </w:rPr>
              <w:t>Maximum</w:t>
            </w:r>
          </w:p>
        </w:tc>
        <w:tc>
          <w:tcPr>
            <w:tcW w:w="961" w:type="dxa"/>
            <w:gridSpan w:val="3"/>
            <w:tcBorders>
              <w:top w:val="single" w:sz="4" w:space="0" w:color="000000"/>
              <w:left w:val="single" w:sz="4" w:space="0" w:color="000000"/>
            </w:tcBorders>
            <w:shd w:fill="C00000" w:val="clear"/>
            <w:tcMar>
              <w:top w:w="30" w:type="dxa"/>
              <w:bottom w:w="0" w:type="dxa"/>
              <w:right w:w="0" w:type="dxa"/>
            </w:tcMar>
            <w:vAlign w:val="center"/>
          </w:tcPr>
          <w:p>
            <w:pPr>
              <w:pStyle w:val="TableContents"/>
              <w:spacing w:lineRule="auto" w:line="240" w:before="0" w:after="283"/>
              <w:jc w:val="center"/>
              <w:rPr>
                <w:rFonts w:ascii="Arial;sans-serif" w:hAnsi="Arial;sans-serif"/>
                <w:b/>
                <w:color w:val="FFFFFF"/>
                <w:sz w:val="18"/>
              </w:rPr>
            </w:pPr>
            <w:r>
              <w:rPr>
                <w:rFonts w:ascii="Arial;sans-serif" w:hAnsi="Arial;sans-serif"/>
                <w:b/>
                <w:color w:val="FFFFFF"/>
                <w:sz w:val="18"/>
              </w:rPr>
              <w:t>Threshold</w:t>
            </w:r>
          </w:p>
        </w:tc>
        <w:tc>
          <w:tcPr>
            <w:tcW w:w="717" w:type="dxa"/>
            <w:gridSpan w:val="3"/>
            <w:tcBorders>
              <w:top w:val="single" w:sz="4" w:space="0" w:color="000000"/>
              <w:left w:val="single" w:sz="4" w:space="0" w:color="000000"/>
            </w:tcBorders>
            <w:shd w:fill="C00000" w:val="clear"/>
            <w:tcMar>
              <w:top w:w="30" w:type="dxa"/>
              <w:bottom w:w="0" w:type="dxa"/>
              <w:right w:w="0" w:type="dxa"/>
            </w:tcMar>
            <w:vAlign w:val="center"/>
          </w:tcPr>
          <w:p>
            <w:pPr>
              <w:pStyle w:val="TableContents"/>
              <w:spacing w:lineRule="auto" w:line="240" w:before="0" w:after="283"/>
              <w:jc w:val="center"/>
              <w:rPr>
                <w:rFonts w:ascii="Arial;sans-serif" w:hAnsi="Arial;sans-serif"/>
                <w:b/>
                <w:color w:val="FFFFFF"/>
                <w:sz w:val="18"/>
              </w:rPr>
            </w:pPr>
            <w:r>
              <w:rPr>
                <w:rFonts w:ascii="Arial;sans-serif" w:hAnsi="Arial;sans-serif"/>
                <w:b/>
                <w:color w:val="FFFFFF"/>
                <w:sz w:val="18"/>
              </w:rPr>
              <w:t>Target</w:t>
            </w:r>
          </w:p>
        </w:tc>
        <w:tc>
          <w:tcPr>
            <w:tcW w:w="991" w:type="dxa"/>
            <w:gridSpan w:val="3"/>
            <w:tcBorders>
              <w:top w:val="single" w:sz="4" w:space="0" w:color="000000"/>
              <w:left w:val="single" w:sz="4" w:space="0" w:color="000000"/>
              <w:right w:val="single" w:sz="4" w:space="0" w:color="000000"/>
            </w:tcBorders>
            <w:shd w:fill="C00000" w:val="clear"/>
            <w:tcMar>
              <w:top w:w="30" w:type="dxa"/>
              <w:bottom w:w="0" w:type="dxa"/>
            </w:tcMar>
            <w:vAlign w:val="center"/>
          </w:tcPr>
          <w:p>
            <w:pPr>
              <w:pStyle w:val="TableContents"/>
              <w:spacing w:lineRule="auto" w:line="240" w:before="0" w:after="283"/>
              <w:jc w:val="center"/>
              <w:rPr>
                <w:rFonts w:ascii="Arial;sans-serif" w:hAnsi="Arial;sans-serif"/>
                <w:b/>
                <w:color w:val="FFFFFF"/>
                <w:sz w:val="18"/>
              </w:rPr>
            </w:pPr>
            <w:r>
              <w:rPr>
                <w:rFonts w:ascii="Arial;sans-serif" w:hAnsi="Arial;sans-serif"/>
                <w:b/>
                <w:color w:val="FFFFFF"/>
                <w:sz w:val="18"/>
              </w:rPr>
              <w:t>Maximum</w:t>
            </w:r>
          </w:p>
        </w:tc>
      </w:tr>
      <w:tr>
        <w:trPr/>
        <w:tc>
          <w:tcPr>
            <w:tcW w:w="265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Adjusted EPS </w:t>
            </w:r>
            <w:r>
              <w:rPr>
                <w:rFonts w:ascii="Arial;sans-serif" w:hAnsi="Arial;sans-serif"/>
                <w:b w:val="false"/>
                <w:color w:val="000000"/>
                <w:sz w:val="12"/>
              </w:rPr>
              <w:t>(1)</w:t>
            </w:r>
          </w:p>
        </w:tc>
        <w:tc>
          <w:tcPr>
            <w:tcW w:w="69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12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12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11.6%</w:t>
            </w:r>
          </w:p>
        </w:tc>
        <w:tc>
          <w:tcPr>
            <w:tcW w:w="124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15.1%</w:t>
            </w:r>
          </w:p>
        </w:tc>
        <w:tc>
          <w:tcPr>
            <w:tcW w:w="96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71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9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265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ROIC </w:t>
            </w:r>
            <w:r>
              <w:rPr>
                <w:rFonts w:ascii="Arial;sans-serif" w:hAnsi="Arial;sans-serif"/>
                <w:b w:val="false"/>
                <w:color w:val="000000"/>
                <w:sz w:val="12"/>
              </w:rPr>
              <w:t>(1)</w:t>
            </w:r>
          </w:p>
        </w:tc>
        <w:tc>
          <w:tcPr>
            <w:tcW w:w="69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12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w:t>
            </w:r>
          </w:p>
        </w:tc>
        <w:tc>
          <w:tcPr>
            <w:tcW w:w="12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124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8.3%</w:t>
            </w:r>
          </w:p>
        </w:tc>
        <w:tc>
          <w:tcPr>
            <w:tcW w:w="96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71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9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265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TSR vs. S&amp;P 500 companies </w:t>
            </w:r>
            <w:r>
              <w:rPr>
                <w:rFonts w:ascii="Arial;sans-serif" w:hAnsi="Arial;sans-serif"/>
                <w:b w:val="false"/>
                <w:color w:val="000000"/>
                <w:sz w:val="12"/>
              </w:rPr>
              <w:t>(2)</w:t>
            </w:r>
          </w:p>
        </w:tc>
        <w:tc>
          <w:tcPr>
            <w:tcW w:w="69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12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25</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12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50</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124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18"/>
              </w:rPr>
              <w:t>75</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96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71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9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265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pPr>
            <w:r>
              <w:rPr>
                <w:rFonts w:ascii="Arial;sans-serif" w:hAnsi="Arial;sans-serif"/>
                <w:b w:val="false"/>
                <w:color w:val="000000"/>
                <w:sz w:val="18"/>
              </w:rPr>
              <w:t>TSR vs. A&amp;D peers</w:t>
            </w:r>
            <w:r>
              <w:rPr>
                <w:color w:val="000000"/>
              </w:rPr>
              <w:t xml:space="preserve"> </w:t>
            </w:r>
            <w:r>
              <w:rPr>
                <w:rFonts w:ascii="Arial;sans-serif" w:hAnsi="Arial;sans-serif"/>
                <w:b w:val="false"/>
                <w:color w:val="000000"/>
                <w:sz w:val="12"/>
              </w:rPr>
              <w:t>(2)</w:t>
            </w:r>
          </w:p>
        </w:tc>
        <w:tc>
          <w:tcPr>
            <w:tcW w:w="691"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124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center"/>
              <w:rPr/>
            </w:pPr>
            <w:r>
              <w:rPr>
                <w:rFonts w:ascii="Arial;sans-serif" w:hAnsi="Arial;sans-serif"/>
                <w:b w:val="false"/>
                <w:color w:val="000000"/>
                <w:sz w:val="18"/>
              </w:rPr>
              <w:t>25</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124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center"/>
              <w:rPr/>
            </w:pPr>
            <w:r>
              <w:rPr>
                <w:rFonts w:ascii="Arial;sans-serif" w:hAnsi="Arial;sans-serif"/>
                <w:b w:val="false"/>
                <w:color w:val="000000"/>
                <w:sz w:val="18"/>
              </w:rPr>
              <w:t>50</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124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center"/>
              <w:rPr/>
            </w:pPr>
            <w:r>
              <w:rPr>
                <w:rFonts w:ascii="Arial;sans-serif" w:hAnsi="Arial;sans-serif"/>
                <w:b w:val="false"/>
                <w:color w:val="000000"/>
                <w:sz w:val="18"/>
              </w:rPr>
              <w:t>75</w:t>
            </w:r>
            <w:r>
              <w:rPr>
                <w:rFonts w:ascii="Arial;sans-serif" w:hAnsi="Arial;sans-serif"/>
                <w:b w:val="false"/>
                <w:color w:val="000000"/>
                <w:sz w:val="12"/>
              </w:rPr>
              <w:t xml:space="preserve">th </w:t>
            </w:r>
            <w:r>
              <w:rPr>
                <w:rFonts w:ascii="Arial;sans-serif" w:hAnsi="Arial;sans-serif"/>
                <w:b w:val="false"/>
                <w:color w:val="000000"/>
                <w:sz w:val="18"/>
              </w:rPr>
              <w:t>percentile</w:t>
            </w:r>
          </w:p>
        </w:tc>
        <w:tc>
          <w:tcPr>
            <w:tcW w:w="961"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717"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91"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bl>
    <w:p>
      <w:pPr>
        <w:pStyle w:val="TextBody"/>
        <w:spacing w:lineRule="auto" w:line="240" w:before="120" w:after="60"/>
        <w:ind w:left="0" w:right="0" w:hanging="187"/>
        <w:rPr>
          <w:rFonts w:ascii="Arial;sans-serif" w:hAnsi="Arial;sans-serif"/>
          <w:b w:val="false"/>
          <w:i/>
          <w:color w:val="000000"/>
          <w:sz w:val="14"/>
        </w:rPr>
      </w:pPr>
      <w:r>
        <w:rPr>
          <w:rFonts w:ascii="Arial;sans-serif" w:hAnsi="Arial;sans-serif"/>
          <w:b w:val="false"/>
          <w:i/>
          <w:color w:val="000000"/>
          <w:sz w:val="14"/>
        </w:rPr>
        <w:t>(1)Measurement period: January 1, 2023 through December 31, 2025</w:t>
      </w:r>
    </w:p>
    <w:p>
      <w:pPr>
        <w:pStyle w:val="TextBody"/>
        <w:spacing w:lineRule="auto" w:line="300" w:before="0" w:after="120"/>
        <w:ind w:left="0" w:right="0" w:hanging="187"/>
        <w:rPr>
          <w:rFonts w:ascii="Arial;sans-serif" w:hAnsi="Arial;sans-serif"/>
          <w:b w:val="false"/>
          <w:i/>
          <w:color w:val="000000"/>
          <w:sz w:val="14"/>
        </w:rPr>
      </w:pPr>
      <w:r>
        <w:rPr>
          <w:rFonts w:ascii="Arial;sans-serif" w:hAnsi="Arial;sans-serif"/>
          <w:b w:val="false"/>
          <w:i/>
          <w:color w:val="000000"/>
          <w:sz w:val="14"/>
        </w:rPr>
        <w:t>(2)Measurement period: January 1, 2023 through December 31, 2025, calculated using the November/December average adjusted stock price prior to and at the end of the performance measurement period.</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Arial;sans-serif" w:hAnsi="Arial;sans-serif"/>
          <w:b/>
          <w:color w:val="000000"/>
          <w:sz w:val="22"/>
        </w:rPr>
      </w:pPr>
      <w:r>
        <w:rPr>
          <w:rFonts w:ascii="Arial;sans-serif" w:hAnsi="Arial;sans-serif"/>
          <w:b/>
          <w:color w:val="000000"/>
          <w:sz w:val="22"/>
        </w:rPr>
        <w:t>E</w:t>
      </w:r>
      <w:r>
        <w:rPr>
          <w:rFonts w:ascii="Arial;sans-serif" w:hAnsi="Arial;sans-serif"/>
          <w:b/>
          <w:color w:val="000000"/>
          <w:sz w:val="22"/>
        </w:rPr>
        <w:t>xhibit 10.3</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08940"/>
                <wp:effectExtent l="0" t="0" r="0" b="0"/>
                <wp:wrapNone/>
                <wp:docPr id="70" name="Frame70"/>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11</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11</w:t>
                      </w:r>
                    </w:p>
                    <w:p>
                      <w:pPr>
                        <w:pStyle w:val="TextBody"/>
                        <w:spacing w:lineRule="auto" w:line="240" w:before="0" w:after="0"/>
                        <w:rPr>
                          <w:rFonts w:ascii="Arial;sans-serif" w:hAnsi="Arial;sans-serif"/>
                          <w:b w:val="false"/>
                          <w:color w:val="221E1F"/>
                          <w:sz w:val="16"/>
                        </w:rPr>
                      </w:pPr>
                      <w:r>
                        <w:rPr>
                          <w:rFonts w:ascii="Arial;sans-serif" w:hAnsi="Arial;sans-serif"/>
                          <w:b w:val="false"/>
                          <w:color w:val="221E1F"/>
                          <w:sz w:val="16"/>
                        </w:rPr>
                        <w:t>02/2023</w:t>
                      </w:r>
                    </w:p>
                    <w:p>
                      <w:pPr>
                        <w:pStyle w:val="TextBody"/>
                        <w:spacing w:before="0" w:after="0"/>
                        <w:rPr/>
                      </w:pPr>
                      <w:r>
                        <w:rPr/>
                      </w:r>
                    </w:p>
                  </w:txbxContent>
                </v:textbox>
              </v:rect>
            </w:pict>
          </mc:Fallback>
        </mc:AlternateContent>
      </w:r>
    </w:p>
    <w:p>
      <w:pPr>
        <w:pStyle w:val="TextBody"/>
        <w:spacing w:lineRule="auto" w:line="240" w:before="0" w:after="0"/>
        <w:jc w:val="center"/>
        <w:rPr>
          <w:rFonts w:ascii="Arial;sans-serif" w:hAnsi="Arial;sans-serif"/>
          <w:b/>
          <w:color w:val="221E1F"/>
          <w:sz w:val="24"/>
        </w:rPr>
      </w:pPr>
      <w:r>
        <w:rPr>
          <w:rFonts w:ascii="Arial;sans-serif" w:hAnsi="Arial;sans-serif"/>
          <w:b/>
          <w:color w:val="221E1F"/>
          <w:sz w:val="24"/>
        </w:rPr>
        <w:t>Raytheon Technologies Corporation</w:t>
      </w:r>
    </w:p>
    <w:p>
      <w:pPr>
        <w:pStyle w:val="TextBody"/>
        <w:spacing w:lineRule="auto" w:line="276" w:before="0" w:after="0"/>
        <w:jc w:val="center"/>
        <w:rPr>
          <w:rFonts w:ascii="Arial;sans-serif" w:hAnsi="Arial;sans-serif"/>
          <w:b/>
          <w:color w:val="221E1F"/>
          <w:sz w:val="24"/>
        </w:rPr>
      </w:pPr>
      <w:r>
        <w:rPr>
          <w:rFonts w:ascii="Arial;sans-serif" w:hAnsi="Arial;sans-serif"/>
          <w:b/>
          <w:color w:val="221E1F"/>
          <w:sz w:val="24"/>
        </w:rPr>
        <w:t>2018 Long-Term Incentive Plan</w:t>
      </w:r>
    </w:p>
    <w:p>
      <w:pPr>
        <w:pStyle w:val="TextBody"/>
        <w:spacing w:before="0" w:after="0"/>
        <w:rPr/>
      </w:pPr>
      <w:r>
        <w:rPr/>
      </w:r>
    </w:p>
    <w:p>
      <w:pPr>
        <w:pStyle w:val="TextBody"/>
        <w:spacing w:lineRule="auto" w:line="276" w:before="3000" w:after="283"/>
        <w:jc w:val="center"/>
        <w:rPr>
          <w:rFonts w:ascii="Arial;sans-serif" w:hAnsi="Arial;sans-serif"/>
          <w:b/>
          <w:color w:val="221E1F"/>
          <w:sz w:val="48"/>
        </w:rPr>
      </w:pPr>
      <w:r>
        <w:rPr>
          <w:rFonts w:ascii="Arial;sans-serif" w:hAnsi="Arial;sans-serif"/>
          <w:b/>
          <w:color w:val="221E1F"/>
          <w:sz w:val="48"/>
        </w:rPr>
        <w:t>Stock Appreciation Right Award</w:t>
      </w:r>
    </w:p>
    <w:p>
      <w:pPr>
        <w:pStyle w:val="TextBody"/>
        <w:spacing w:lineRule="auto" w:line="276" w:before="280" w:after="283"/>
        <w:jc w:val="center"/>
        <w:rPr>
          <w:rFonts w:ascii="Arial;sans-serif" w:hAnsi="Arial;sans-serif"/>
          <w:b/>
          <w:i/>
          <w:color w:val="221E1F"/>
          <w:sz w:val="36"/>
        </w:rPr>
      </w:pPr>
      <w:r>
        <w:rPr>
          <w:rFonts w:ascii="Arial;sans-serif" w:hAnsi="Arial;sans-serif"/>
          <w:b/>
          <w:i/>
          <w:color w:val="221E1F"/>
          <w:sz w:val="36"/>
        </w:rPr>
        <w:t>Schedule of Terms</w:t>
      </w:r>
    </w:p>
    <w:p>
      <w:pPr>
        <w:pStyle w:val="TextBody"/>
        <w:spacing w:lineRule="auto" w:line="276" w:before="3120" w:after="283"/>
        <w:jc w:val="center"/>
        <w:rPr>
          <w:rFonts w:ascii="Arial;sans-serif" w:hAnsi="Arial;sans-serif"/>
          <w:b/>
          <w:i/>
          <w:color w:val="221E1F"/>
          <w:sz w:val="36"/>
        </w:rPr>
      </w:pPr>
      <w:r>
        <w:rPr>
          <w:rFonts w:ascii="Arial;sans-serif" w:hAnsi="Arial;sans-serif"/>
          <w:b/>
          <w:i/>
          <w:color w:val="221E1F"/>
          <w:sz w:val="36"/>
        </w:rPr>
        <w:t>(Rev. February 2023)</w:t>
      </w:r>
    </w:p>
    <w:p>
      <w:pPr>
        <w:pStyle w:val="TextBody"/>
        <w:spacing w:before="2000" w:after="283"/>
        <w:jc w:val="center"/>
        <w:rPr/>
      </w:pPr>
      <w:r>
        <w:rPr/>
      </w:r>
    </w:p>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 xml:space="preserve">This Schedule of Terms describes the material features of the Participant’s Stock Appreciation Right Award (the “SAR Award” or the “Award”) granted under the Raytheon Technologies Corporation 2018 Long-Term Incentive Plan, as amended and restated effective April 26, 2021 (the “LTIP”), subject to this Schedule of Terms, the Award Agreement, and the terms and conditions set forth in the LTIP. The LTIP Prospectus contains further information about the LTIP and this Award and is available at www.ubs.com/onesource/rtx.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2100"/>
                <wp:effectExtent l="0" t="0" r="0" b="0"/>
                <wp:wrapNone/>
                <wp:docPr id="71" name="Frame7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04" w:before="0" w:after="240"/>
        <w:rPr/>
      </w:pPr>
      <w:r>
        <w:rPr>
          <w:rFonts w:ascii="Arial;sans-serif" w:hAnsi="Arial;sans-serif"/>
          <w:b/>
          <w:color w:val="221E1F"/>
          <w:sz w:val="22"/>
        </w:rPr>
        <w:t>Ce</w:t>
      </w:r>
      <w:r>
        <w:rPr>
          <w:rFonts w:ascii="Arial;sans-serif" w:hAnsi="Arial;sans-serif"/>
          <w:b/>
          <w:color w:val="000000"/>
          <w:sz w:val="22"/>
        </w:rPr>
        <w:t>rtain Definitions</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 xml:space="preserve">A Stock Appreciation Right (a “SAR”) represents the right to receive the appreciation in one share of Common Stock of Raytheon Technologies Corporation (the “Common Stock”) measured from the date of grant to the date of exercise. The appreciation, upon exercise, is generally paid to the Participant in the form of shares of Common Stock. SARs are generally exercisable if the Participant remains employed by the Company through the applicable vesting date schedule set forth in the Award Agreement (see “Vesting and Expiration” below), or upon an earlier Termination of Service under limited circumstances that result in accelerated vesting (see “Termination of Service” below). “Company” means Raytheon Technologies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of Directors of the Corporation. Capitalized terms not otherwise defined in this Schedule of Terms have the same meaning as defined in the LTIP. </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The number of SARs granted under the SAR Award and the SAR grant price are set forth in the Award Agreement. An LTIP Award recipient (a “Participant”) must affirmatively acknowledge and accept the terms and conditions of the SAR Award within 150 days following the Grant Date. A failure to acknowledge and accept the SAR Award subject to the LTIP and this Schedule of Terms, within such 150-day period may result in forfeiture of the SAR Award, effective as of the 150th day following the Grant Date.</w:t>
      </w:r>
    </w:p>
    <w:p>
      <w:pPr>
        <w:pStyle w:val="TextBody"/>
        <w:spacing w:lineRule="auto" w:line="304" w:before="0" w:after="240"/>
        <w:rPr/>
      </w:pPr>
      <w:r>
        <w:rPr>
          <w:rFonts w:ascii="Arial;sans-serif" w:hAnsi="Arial;sans-serif"/>
          <w:b w:val="false"/>
          <w:color w:val="000000"/>
          <w:sz w:val="22"/>
        </w:rPr>
        <w:t xml:space="preserve">Participants must acknowledge and accept the terms and conditions of this SAR Award electronically via the UBS </w:t>
      </w:r>
      <w:r>
        <w:rPr>
          <w:rFonts w:ascii="Arial;sans-serif" w:hAnsi="Arial;sans-serif"/>
          <w:b w:val="false"/>
          <w:i/>
          <w:color w:val="000000"/>
          <w:sz w:val="22"/>
        </w:rPr>
        <w:t xml:space="preserve">One Source </w:t>
      </w:r>
      <w:r>
        <w:rPr>
          <w:rFonts w:ascii="Arial;sans-serif" w:hAnsi="Arial;sans-serif"/>
          <w:b w:val="false"/>
          <w:color w:val="000000"/>
          <w:sz w:val="22"/>
        </w:rPr>
        <w:t xml:space="preserve">website at </w:t>
      </w:r>
      <w:r>
        <w:rPr>
          <w:rFonts w:ascii="Arial;sans-serif" w:hAnsi="Arial;sans-serif"/>
          <w:b w:val="false"/>
          <w:color w:val="0000FF"/>
          <w:sz w:val="22"/>
          <w:u w:val="single"/>
        </w:rPr>
        <w:t>www.ubs.com/onesource/rtx</w:t>
      </w:r>
      <w:r>
        <w:rPr>
          <w:rFonts w:ascii="Arial;sans-serif" w:hAnsi="Arial;sans-serif"/>
          <w:b w:val="false"/>
          <w:color w:val="000000"/>
          <w:sz w:val="22"/>
        </w:rPr>
        <w:t>. Participants based in certain countries may be required to acknowledge and accept the terms and conditions of the SAR Award by signing and returning the designated hard copy portion of the Award Agreement to the Stock Plan Administrator. These countries currently include Russia, Turkey, Hungary, and Slovenia.</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Exercise Price (or “Grant Price”)</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 xml:space="preserve">The Grant Price represents the Fair Market Value of the Corporation’s Common Stock on the date of grant. “Fair Market Value” means, as of any given date, the closing price of the Common Stock on the New York Stock Exchange. </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Vesting and Expiration</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SARs will vest and expire (if unexercised) in accordance with the schedule set forth in the Award Agreement, subject to the Participant’s continued employment with the Company through each applicable vesting date. SARs will be forfeited in the event of Termination of Service prior to the vesting date, except in certain earlier terminations involving Retirement, Involuntary Termination </w:t>
      </w:r>
      <w:r>
        <w:br w:type="page"/>
      </w: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67360"/>
                <wp:effectExtent l="0" t="0" r="0" b="0"/>
                <wp:wrapNone/>
                <wp:docPr id="72" name="Frame72"/>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(Not for Cause), Disability, Change-in-Control Termination, or Death (see “Termination of Service” below).</w:t>
      </w:r>
    </w:p>
    <w:p>
      <w:pPr>
        <w:pStyle w:val="TextBody"/>
        <w:spacing w:lineRule="auto" w:line="304" w:before="0" w:after="2"/>
        <w:rPr>
          <w:rFonts w:ascii="Arial;sans-serif" w:hAnsi="Arial;sans-serif"/>
          <w:b w:val="false"/>
          <w:color w:val="221E1F"/>
          <w:sz w:val="22"/>
        </w:rPr>
      </w:pPr>
      <w:r>
        <w:rPr>
          <w:rFonts w:ascii="Arial;sans-serif" w:hAnsi="Arial;sans-serif"/>
          <w:b w:val="false"/>
          <w:color w:val="221E1F"/>
          <w:sz w:val="22"/>
        </w:rPr>
        <w:t xml:space="preserve">SARs may be exercised on or after the vesting date until the earlier of the: </w:t>
      </w:r>
    </w:p>
    <w:p>
      <w:pPr>
        <w:pStyle w:val="TextBody"/>
        <w:spacing w:before="0" w:after="2"/>
        <w:rPr/>
      </w:pPr>
      <w:r>
        <w:rPr/>
      </w:r>
    </w:p>
    <w:p>
      <w:pPr>
        <w:pStyle w:val="TextBody"/>
        <w:spacing w:lineRule="auto" w:line="304" w:before="0" w:after="240"/>
        <w:ind w:left="0" w:right="0" w:hanging="300"/>
        <w:rPr>
          <w:rFonts w:ascii="Arial;sans-serif" w:hAnsi="Arial;sans-serif"/>
          <w:b w:val="false"/>
          <w:color w:val="221E1F"/>
          <w:sz w:val="22"/>
        </w:rPr>
      </w:pPr>
      <w:r>
        <w:rPr>
          <w:rFonts w:ascii="Arial;sans-serif" w:hAnsi="Arial;sans-serif"/>
          <w:b w:val="false"/>
          <w:color w:val="221E1F"/>
          <w:sz w:val="22"/>
        </w:rPr>
        <w:t xml:space="preserve">(i) Expiration date specified in the Award Agreement, at which time the SARs and all associated rights lapse; or </w:t>
      </w:r>
    </w:p>
    <w:p>
      <w:pPr>
        <w:pStyle w:val="TextBody"/>
        <w:spacing w:lineRule="auto" w:line="304" w:before="0" w:after="240"/>
        <w:ind w:left="0" w:right="0" w:hanging="300"/>
        <w:rPr>
          <w:rFonts w:ascii="Arial;sans-serif" w:hAnsi="Arial;sans-serif"/>
          <w:b w:val="false"/>
          <w:color w:val="221E1F"/>
          <w:sz w:val="22"/>
        </w:rPr>
      </w:pPr>
      <w:r>
        <w:rPr>
          <w:rFonts w:ascii="Arial;sans-serif" w:hAnsi="Arial;sans-serif"/>
          <w:b w:val="false"/>
          <w:color w:val="221E1F"/>
          <w:sz w:val="22"/>
        </w:rPr>
        <w:t>(ii) Last day permitted on or following Termination of Service as specified in “Termination of Service” below.</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SARs may also be forfeited, and value realized from exercised SARs may be recouped by the Company under certain circumstances (see “Forfeiture of Award and Repayment of Realized Gains” below).</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No Shareowner Rights</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The holder of a SAR has no voting, dividend, or other rights accorded to owners of Common Stock, unless and until SARs are exercised and settled in Common Stock.</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 xml:space="preserve">Exercise and Payment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While a Participant is employed by the Company, the Participant may exercise SARs on or after the vesting date until the expiration date. The value a Participant will realize upon the exercise of a SAR is the difference between the price of the Common Stock at the time of exercise and the Grant Price. The Participant will generally receive shares of Common Stock as soon as administratively practicable following exercise. The value of the SARs may instead be paid in cash if the Committee so determines, including where local law restricts the distribution of Common Stock.</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It is the responsibility of the Participant, or a designated representative, to track the expiration of the Award and exercise SARs in a timely manner. The Company assumes no responsibility for, and will make no adjustments with respect to, SARs that expire unexercised. Any communication from the Company to the Participant with respect to expiration is provided as a courtesy only. </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Termination of Service</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The treatment of SARs upon Termination of Service depends upon the reason for termination, as detailed in the following sections. SARs held for less than one year as of the Termination Date will be forfeited, except in the event of Death, Disability, or Change-in-Control Termination, as discussed below.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Absences from employment because of notice periods, garden leaves, or similar paid leaves associated with a Termination of Service will not be recognized as service in determining the Termination Date. </w:t>
      </w:r>
    </w:p>
    <w:p>
      <w:pPr>
        <w:pStyle w:val="TextBody"/>
        <w:spacing w:lineRule="auto" w:line="304" w:before="0" w:after="240"/>
        <w:rPr/>
      </w:pPr>
      <w:r>
        <w:rPr>
          <w:rFonts w:ascii="Arial;sans-serif" w:hAnsi="Arial;sans-serif"/>
          <w:b/>
          <w:color w:val="221E1F"/>
          <w:sz w:val="22"/>
        </w:rPr>
        <w:t xml:space="preserve">Retirement. </w:t>
      </w:r>
      <w:r>
        <w:rPr>
          <w:rFonts w:ascii="Arial;sans-serif" w:hAnsi="Arial;sans-serif"/>
          <w:b w:val="false"/>
          <w:color w:val="221E1F"/>
          <w:sz w:val="22"/>
        </w:rPr>
        <w:t xml:space="preserve">If the Participant’s termination results from Retirement, unvested SARs held for at least one year as of the Termination Date will vest and become exercisable. For this purpose, Retirement means either a Normal Retirement or Early Retirement as defined below: </w:t>
      </w:r>
      <w:r>
        <w:br w:type="page"/>
      </w: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67360"/>
                <wp:effectExtent l="0" t="0" r="0" b="0"/>
                <wp:wrapNone/>
                <wp:docPr id="73" name="Frame73"/>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04" w:before="0" w:after="240"/>
        <w:ind w:left="0" w:right="0" w:hanging="360"/>
        <w:rPr/>
      </w:pPr>
      <w:r>
        <w:rPr>
          <w:color w:val="221E1F"/>
        </w:rPr>
        <w:t>•“</w:t>
      </w:r>
      <w:r>
        <w:rPr>
          <w:rFonts w:ascii="Arial;sans-serif" w:hAnsi="Arial;sans-serif"/>
          <w:b w:val="false"/>
          <w:color w:val="221E1F"/>
          <w:sz w:val="22"/>
        </w:rPr>
        <w:t xml:space="preserve">Normal Retirement” means retirement on or after age 65; </w:t>
      </w:r>
    </w:p>
    <w:p>
      <w:pPr>
        <w:pStyle w:val="TextBody"/>
        <w:spacing w:lineRule="auto" w:line="304" w:before="0" w:after="240"/>
        <w:ind w:left="0" w:right="0" w:hanging="360"/>
        <w:rPr/>
      </w:pPr>
      <w:r>
        <w:rPr>
          <w:color w:val="221E1F"/>
        </w:rPr>
        <w:t>• “</w:t>
      </w:r>
      <w:r>
        <w:rPr>
          <w:rFonts w:ascii="Arial;sans-serif" w:hAnsi="Arial;sans-serif"/>
          <w:b w:val="false"/>
          <w:color w:val="221E1F"/>
          <w:sz w:val="22"/>
        </w:rPr>
        <w:t>Early Retirement” means retirement on or after:</w:t>
      </w:r>
    </w:p>
    <w:p>
      <w:pPr>
        <w:pStyle w:val="TextBody"/>
        <w:spacing w:lineRule="auto" w:line="304" w:before="0" w:after="240"/>
        <w:ind w:left="0" w:right="0" w:hanging="360"/>
        <w:rPr/>
      </w:pPr>
      <w:r>
        <w:rPr>
          <w:rFonts w:ascii="Courier New;monospace" w:hAnsi="Courier New;monospace"/>
          <w:b w:val="false"/>
          <w:color w:val="221E1F"/>
          <w:sz w:val="22"/>
        </w:rPr>
        <w:t>o</w:t>
      </w:r>
      <w:r>
        <w:rPr>
          <w:rFonts w:ascii="Arial;sans-serif" w:hAnsi="Arial;sans-serif"/>
          <w:b w:val="false"/>
          <w:color w:val="221E1F"/>
          <w:sz w:val="22"/>
        </w:rPr>
        <w:t>Age 55 with 10 or more years of continuous service as of the Termination Date; or</w:t>
      </w:r>
    </w:p>
    <w:p>
      <w:pPr>
        <w:pStyle w:val="TextBody"/>
        <w:spacing w:lineRule="auto" w:line="304" w:before="0" w:after="240"/>
        <w:ind w:left="0" w:right="0" w:hanging="360"/>
        <w:rPr/>
      </w:pPr>
      <w:r>
        <w:rPr>
          <w:rFonts w:ascii="Courier New;monospace" w:hAnsi="Courier New;monospace"/>
          <w:b w:val="false"/>
          <w:color w:val="221E1F"/>
          <w:sz w:val="22"/>
        </w:rPr>
        <w:t>o</w:t>
      </w:r>
      <w:r>
        <w:rPr>
          <w:rFonts w:ascii="Arial;sans-serif" w:hAnsi="Arial;sans-serif"/>
          <w:b w:val="false"/>
          <w:color w:val="221E1F"/>
          <w:sz w:val="22"/>
        </w:rPr>
        <w:t>Age 50, but before age 55, and the Participant’s age and continuous service as of the Termination Date adds up to 65 or more (“Rule of 65”).</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Upon Retirement, vested SARs may be exercised as detailed in the chart below:</w:t>
      </w:r>
    </w:p>
    <w:tbl>
      <w:tblPr>
        <w:tblW w:w="10205" w:type="dxa"/>
        <w:jc w:val="left"/>
        <w:tblInd w:w="0" w:type="dxa"/>
        <w:tblCellMar>
          <w:top w:w="28" w:type="dxa"/>
          <w:left w:w="28" w:type="dxa"/>
          <w:bottom w:w="28" w:type="dxa"/>
          <w:right w:w="28" w:type="dxa"/>
        </w:tblCellMar>
      </w:tblPr>
      <w:tblGrid>
        <w:gridCol w:w="1362"/>
        <w:gridCol w:w="1197"/>
        <w:gridCol w:w="1203"/>
        <w:gridCol w:w="703"/>
        <w:gridCol w:w="703"/>
        <w:gridCol w:w="704"/>
        <w:gridCol w:w="1389"/>
        <w:gridCol w:w="1213"/>
        <w:gridCol w:w="1731"/>
      </w:tblGrid>
      <w:tr>
        <w:trPr/>
        <w:tc>
          <w:tcPr>
            <w:tcW w:w="1362"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731" w:type="dxa"/>
            <w:tcBorders/>
            <w:shd w:fill="auto" w:val="clear"/>
            <w:vAlign w:val="center"/>
          </w:tcPr>
          <w:p>
            <w:pPr>
              <w:pStyle w:val="TableContents"/>
              <w:spacing w:before="0" w:after="283"/>
              <w:rPr>
                <w:sz w:val="4"/>
                <w:szCs w:val="4"/>
              </w:rPr>
            </w:pPr>
            <w:r>
              <w:rPr>
                <w:sz w:val="4"/>
                <w:szCs w:val="4"/>
              </w:rPr>
            </w:r>
          </w:p>
        </w:tc>
      </w:tr>
      <w:tr>
        <w:trPr/>
        <w:tc>
          <w:tcPr>
            <w:tcW w:w="376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33" w:before="0" w:after="283"/>
              <w:jc w:val="center"/>
              <w:rPr>
                <w:rFonts w:ascii="Arial;sans-serif" w:hAnsi="Arial;sans-serif"/>
                <w:b/>
                <w:color w:val="221E1F"/>
                <w:sz w:val="22"/>
              </w:rPr>
            </w:pPr>
            <w:r>
              <w:rPr>
                <w:rFonts w:ascii="Arial;sans-serif" w:hAnsi="Arial;sans-serif"/>
                <w:b/>
                <w:color w:val="221E1F"/>
                <w:sz w:val="22"/>
              </w:rPr>
              <w:t>Retirement Type</w:t>
            </w:r>
          </w:p>
        </w:tc>
        <w:tc>
          <w:tcPr>
            <w:tcW w:w="21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33" w:before="0" w:after="283"/>
              <w:jc w:val="center"/>
              <w:rPr>
                <w:rFonts w:ascii="Arial;sans-serif" w:hAnsi="Arial;sans-serif"/>
                <w:b/>
                <w:color w:val="221E1F"/>
                <w:sz w:val="22"/>
              </w:rPr>
            </w:pPr>
            <w:r>
              <w:rPr>
                <w:rFonts w:ascii="Arial;sans-serif" w:hAnsi="Arial;sans-serif"/>
                <w:b/>
                <w:color w:val="221E1F"/>
                <w:sz w:val="22"/>
              </w:rPr>
              <w:t>Company Consents to Early Retirement *</w:t>
            </w:r>
          </w:p>
        </w:tc>
        <w:tc>
          <w:tcPr>
            <w:tcW w:w="4333"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33" w:before="0" w:after="283"/>
              <w:jc w:val="center"/>
              <w:rPr>
                <w:rFonts w:ascii="Arial;sans-serif" w:hAnsi="Arial;sans-serif"/>
                <w:b/>
                <w:color w:val="221E1F"/>
                <w:sz w:val="22"/>
              </w:rPr>
            </w:pPr>
            <w:r>
              <w:rPr>
                <w:rFonts w:ascii="Arial;sans-serif" w:hAnsi="Arial;sans-serif"/>
                <w:b/>
                <w:color w:val="221E1F"/>
                <w:sz w:val="22"/>
              </w:rPr>
              <w:t>Exercise Period</w:t>
            </w:r>
          </w:p>
        </w:tc>
      </w:tr>
      <w:tr>
        <w:trPr/>
        <w:tc>
          <w:tcPr>
            <w:tcW w:w="376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Normal Retirement (age 65)</w:t>
            </w:r>
          </w:p>
        </w:tc>
        <w:tc>
          <w:tcPr>
            <w:tcW w:w="21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N/A</w:t>
            </w:r>
          </w:p>
        </w:tc>
        <w:tc>
          <w:tcPr>
            <w:tcW w:w="4333"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04" w:before="0" w:after="283"/>
              <w:jc w:val="left"/>
              <w:rPr>
                <w:rFonts w:ascii="Arial;sans-serif" w:hAnsi="Arial;sans-serif"/>
                <w:b w:val="false"/>
                <w:color w:val="221E1F"/>
                <w:sz w:val="22"/>
              </w:rPr>
            </w:pPr>
            <w:r>
              <w:rPr>
                <w:rFonts w:ascii="Arial;sans-serif" w:hAnsi="Arial;sans-serif"/>
                <w:b w:val="false"/>
                <w:color w:val="221E1F"/>
                <w:sz w:val="22"/>
              </w:rPr>
              <w:t>SARs may be exercised until the expiration of their term</w:t>
            </w:r>
          </w:p>
        </w:tc>
      </w:tr>
      <w:tr>
        <w:trPr/>
        <w:tc>
          <w:tcPr>
            <w:tcW w:w="3762" w:type="dxa"/>
            <w:gridSpan w:val="3"/>
            <w:vMerge w:val="restart"/>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Early Retirement on or after age 55 + 10 years of continuous service as of the Termination Date</w:t>
            </w:r>
          </w:p>
        </w:tc>
        <w:tc>
          <w:tcPr>
            <w:tcW w:w="21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Yes</w:t>
            </w:r>
          </w:p>
        </w:tc>
        <w:tc>
          <w:tcPr>
            <w:tcW w:w="4333"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04" w:before="0" w:after="283"/>
              <w:jc w:val="left"/>
              <w:rPr>
                <w:rFonts w:ascii="Arial;sans-serif" w:hAnsi="Arial;sans-serif"/>
                <w:b w:val="false"/>
                <w:color w:val="221E1F"/>
                <w:sz w:val="22"/>
              </w:rPr>
            </w:pPr>
            <w:r>
              <w:rPr>
                <w:rFonts w:ascii="Arial;sans-serif" w:hAnsi="Arial;sans-serif"/>
                <w:b w:val="false"/>
                <w:color w:val="221E1F"/>
                <w:sz w:val="22"/>
              </w:rPr>
              <w:t>SARs may be exercised until the expiration of their term</w:t>
            </w:r>
          </w:p>
        </w:tc>
      </w:tr>
      <w:tr>
        <w:trPr/>
        <w:tc>
          <w:tcPr>
            <w:tcW w:w="3762"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21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No</w:t>
            </w:r>
          </w:p>
        </w:tc>
        <w:tc>
          <w:tcPr>
            <w:tcW w:w="4333"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04" w:before="0" w:after="283"/>
              <w:jc w:val="left"/>
              <w:rPr>
                <w:rFonts w:ascii="Arial;sans-serif" w:hAnsi="Arial;sans-serif"/>
                <w:b w:val="false"/>
                <w:color w:val="221E1F"/>
                <w:sz w:val="22"/>
              </w:rPr>
            </w:pPr>
            <w:r>
              <w:rPr>
                <w:rFonts w:ascii="Arial;sans-serif" w:hAnsi="Arial;sans-serif"/>
                <w:b w:val="false"/>
                <w:color w:val="221E1F"/>
                <w:sz w:val="22"/>
              </w:rPr>
              <w:t>SARs may be exercised for three (3) years following the Termination Date or until the expiration of the SAR, whichever is earlier</w:t>
            </w:r>
          </w:p>
        </w:tc>
      </w:tr>
      <w:tr>
        <w:trPr/>
        <w:tc>
          <w:tcPr>
            <w:tcW w:w="3762" w:type="dxa"/>
            <w:gridSpan w:val="3"/>
            <w:vMerge w:val="restart"/>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Early Retirement on or after age 50, but prior to age 55 + years of service = 65+ as of the Termination Date</w:t>
            </w:r>
          </w:p>
        </w:tc>
        <w:tc>
          <w:tcPr>
            <w:tcW w:w="21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Yes</w:t>
            </w:r>
          </w:p>
        </w:tc>
        <w:tc>
          <w:tcPr>
            <w:tcW w:w="4333" w:type="dxa"/>
            <w:gridSpan w:val="3"/>
            <w:tcBorders>
              <w:top w:val="single" w:sz="4" w:space="0" w:color="000000"/>
              <w:left w:val="single" w:sz="4" w:space="0" w:color="000000"/>
              <w:right w:val="single" w:sz="4" w:space="0" w:color="000000"/>
            </w:tcBorders>
            <w:shd w:fill="auto" w:val="clear"/>
            <w:tcMar>
              <w:top w:w="30" w:type="dxa"/>
              <w:left w:w="39" w:type="dxa"/>
              <w:bottom w:w="0" w:type="dxa"/>
            </w:tcMar>
            <w:vAlign w:val="center"/>
          </w:tcPr>
          <w:p>
            <w:pPr>
              <w:pStyle w:val="TableContents"/>
              <w:spacing w:lineRule="auto" w:line="304" w:before="0" w:after="283"/>
              <w:jc w:val="left"/>
              <w:rPr>
                <w:rFonts w:ascii="Arial;sans-serif" w:hAnsi="Arial;sans-serif"/>
                <w:b w:val="false"/>
                <w:color w:val="221E1F"/>
                <w:sz w:val="22"/>
              </w:rPr>
            </w:pPr>
            <w:r>
              <w:rPr>
                <w:rFonts w:ascii="Arial;sans-serif" w:hAnsi="Arial;sans-serif"/>
                <w:b w:val="false"/>
                <w:color w:val="221E1F"/>
                <w:sz w:val="22"/>
              </w:rPr>
              <w:t>SARs may be exercised for five (5) years following the Termination Date or until the expiration of the SAR, whichever is earlier</w:t>
            </w:r>
          </w:p>
        </w:tc>
      </w:tr>
      <w:tr>
        <w:trPr/>
        <w:tc>
          <w:tcPr>
            <w:tcW w:w="3762"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211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No</w:t>
            </w:r>
          </w:p>
        </w:tc>
        <w:tc>
          <w:tcPr>
            <w:tcW w:w="4333" w:type="dxa"/>
            <w:gridSpan w:val="3"/>
            <w:tcBorders>
              <w:top w:val="single" w:sz="4" w:space="0" w:color="000000"/>
              <w:left w:val="single" w:sz="4" w:space="0" w:color="000000"/>
              <w:bottom w:val="single" w:sz="4" w:space="0" w:color="000000"/>
              <w:right w:val="single" w:sz="4" w:space="0" w:color="000000"/>
            </w:tcBorders>
            <w:shd w:fill="auto" w:val="clear"/>
            <w:tcMar>
              <w:top w:w="30" w:type="dxa"/>
              <w:left w:w="75" w:type="dxa"/>
              <w:bottom w:w="30" w:type="dxa"/>
            </w:tcMar>
            <w:vAlign w:val="center"/>
          </w:tcPr>
          <w:p>
            <w:pPr>
              <w:pStyle w:val="TableContents"/>
              <w:spacing w:lineRule="auto" w:line="304" w:before="0" w:after="283"/>
              <w:jc w:val="left"/>
              <w:rPr>
                <w:rFonts w:ascii="Arial;sans-serif" w:hAnsi="Arial;sans-serif"/>
                <w:b w:val="false"/>
                <w:color w:val="221E1F"/>
                <w:sz w:val="22"/>
              </w:rPr>
            </w:pPr>
            <w:r>
              <w:rPr>
                <w:rFonts w:ascii="Arial;sans-serif" w:hAnsi="Arial;sans-serif"/>
                <w:b w:val="false"/>
                <w:color w:val="221E1F"/>
                <w:sz w:val="22"/>
              </w:rPr>
              <w:t>SARs may be exercised for three (3) years following the Termination Date or until the expiration of the SAR, whichever is earlier</w:t>
            </w:r>
          </w:p>
        </w:tc>
      </w:tr>
      <w:tr>
        <w:trPr/>
        <w:tc>
          <w:tcPr>
            <w:tcW w:w="10205" w:type="dxa"/>
            <w:gridSpan w:val="9"/>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304" w:before="0" w:after="240"/>
              <w:ind w:left="0" w:right="0" w:hanging="157"/>
              <w:jc w:val="left"/>
              <w:rPr>
                <w:rFonts w:ascii="Arial;sans-serif" w:hAnsi="Arial;sans-serif"/>
                <w:b w:val="false"/>
                <w:color w:val="221E1F"/>
                <w:sz w:val="20"/>
              </w:rPr>
            </w:pPr>
            <w:r>
              <w:rPr>
                <w:rFonts w:ascii="Arial;sans-serif" w:hAnsi="Arial;sans-serif"/>
                <w:b w:val="false"/>
                <w:color w:val="221E1F"/>
                <w:sz w:val="20"/>
              </w:rPr>
              <w:t>* The Company’s consent to the Participant’s Retirement will be at the sole discretion of the Company based on its ability to effectively transition the Participant’s responsibilities as of the Termination Date and such other factors as it may deem appropriate.</w:t>
            </w:r>
          </w:p>
        </w:tc>
      </w:tr>
    </w:tbl>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Service used to determine eligibility for Normal or Early Retirement means “Continuous Service” as defined under the Raytheon Technologies Savings Plan. The calculation to determine Early Retirement will include partial years, rounded down to the nearest full month.</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A Participant will not receive Retirement treatment with respect to any Award in the event of involuntary termination by the Company for Cause.</w:t>
      </w:r>
    </w:p>
    <w:p>
      <w:pPr>
        <w:pStyle w:val="TextBody"/>
        <w:spacing w:lineRule="auto" w:line="304" w:before="0" w:after="240"/>
        <w:rPr/>
      </w:pPr>
      <w:r>
        <w:rPr>
          <w:rFonts w:ascii="Arial;sans-serif" w:hAnsi="Arial;sans-serif"/>
          <w:b/>
          <w:color w:val="221E1F"/>
          <w:sz w:val="22"/>
        </w:rPr>
        <w:t>Involuntary Termination for Cause.</w:t>
      </w:r>
      <w:r>
        <w:rPr>
          <w:color w:val="221E1F"/>
        </w:rPr>
        <w:t xml:space="preserve"> </w:t>
      </w:r>
      <w:r>
        <w:rPr>
          <w:rFonts w:ascii="Arial;sans-serif" w:hAnsi="Arial;sans-serif"/>
          <w:b w:val="false"/>
          <w:color w:val="221E1F"/>
          <w:sz w:val="22"/>
        </w:rPr>
        <w:t xml:space="preserve">If the Participant’s termination results from an involuntary termination by the Company for Cause (as defined in the LTIP), both vested and unvested SARs will be forfeited as of the Termination Date regardless of the Participant’s Retirement eligibility. In addition, value realized from previously exercised SARs may be subject to repayment in the </w:t>
      </w:r>
      <w:r>
        <w:br w:type="page"/>
      </w: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67360"/>
                <wp:effectExtent l="0" t="0" r="0" b="0"/>
                <wp:wrapNone/>
                <wp:docPr id="74" name="Frame74"/>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event of termination for Cause or certain other occurrences (see “Forfeiture of Award and Repayment of Realized Gains” below).</w:t>
      </w:r>
    </w:p>
    <w:p>
      <w:pPr>
        <w:pStyle w:val="TextBody"/>
        <w:spacing w:lineRule="auto" w:line="304" w:before="0" w:after="240"/>
        <w:rPr/>
      </w:pPr>
      <w:r>
        <w:rPr>
          <w:rFonts w:ascii="Arial;sans-serif" w:hAnsi="Arial;sans-serif"/>
          <w:b/>
          <w:color w:val="221E1F"/>
          <w:sz w:val="22"/>
        </w:rPr>
        <w:t>Involuntary Termination.</w:t>
      </w:r>
      <w:r>
        <w:rPr>
          <w:color w:val="221E1F"/>
        </w:rPr>
        <w:t xml:space="preserve"> </w:t>
      </w:r>
      <w:r>
        <w:rPr>
          <w:rFonts w:ascii="Arial;sans-serif" w:hAnsi="Arial;sans-serif"/>
          <w:b w:val="false"/>
          <w:color w:val="221E1F"/>
          <w:sz w:val="22"/>
        </w:rPr>
        <w:t xml:space="preserve">If the Participant’s termination results from an involuntary termination by the Company for reasons other than Cause, unvested SARs held for at least one year as of the Termination Date will receive pro-rata vesting treatment, subject to the Participant providing the Company with a release of claims against the Company in a form and manner satisfactory to the Company. The pro-rata vesting of a SAR Award held for at least one year will be based on the number of months worked during the vesting period, including partial months, relative to the full vesting period. SARs not vested under this pro-rata vesting formula will be forfeited as of the Termination Date. </w:t>
      </w:r>
    </w:p>
    <w:p>
      <w:pPr>
        <w:pStyle w:val="TextBody"/>
        <w:spacing w:lineRule="auto" w:line="304" w:before="60" w:after="240"/>
        <w:rPr>
          <w:rFonts w:ascii="Arial;sans-serif" w:hAnsi="Arial;sans-serif"/>
          <w:b w:val="false"/>
          <w:color w:val="221E1F"/>
          <w:sz w:val="22"/>
        </w:rPr>
      </w:pPr>
      <w:r>
        <w:rPr>
          <w:rFonts w:ascii="Arial;sans-serif" w:hAnsi="Arial;sans-serif"/>
          <w:b w:val="false"/>
          <w:color w:val="221E1F"/>
          <w:sz w:val="22"/>
        </w:rPr>
        <w:t xml:space="preserve">Upon involuntary termination for reasons other than Cause, vested SARs may be exercised for one (1) year following the Termination Date or until the expiration of the SAR, whichever is earlier. Unexercised SARs will expire without value at the close of the NYSE on the first anniversary of the Termination Date, or the expiration date, whichever comes first. In the event that the date falls on a weekend or market holiday, the SARs will be cancelled at the end of the last trading day prior to such date. </w:t>
      </w:r>
    </w:p>
    <w:p>
      <w:pPr>
        <w:pStyle w:val="TextBody"/>
        <w:spacing w:lineRule="auto" w:line="304" w:before="60" w:after="240"/>
        <w:rPr>
          <w:rFonts w:ascii="Arial;sans-serif" w:hAnsi="Arial;sans-serif"/>
          <w:b w:val="false"/>
          <w:color w:val="221E1F"/>
          <w:sz w:val="22"/>
        </w:rPr>
      </w:pPr>
      <w:r>
        <w:rPr>
          <w:rFonts w:ascii="Arial;sans-serif" w:hAnsi="Arial;sans-serif"/>
          <w:b w:val="false"/>
          <w:color w:val="221E1F"/>
          <w:sz w:val="22"/>
        </w:rPr>
        <w:t>Absences from employment because of notice periods, garden leaves, or similar paid leaves associated with a Termination of Service will not be recognized as service in determining the pro-rata vesting percentage.</w:t>
      </w:r>
    </w:p>
    <w:p>
      <w:pPr>
        <w:pStyle w:val="TextBody"/>
        <w:spacing w:lineRule="auto" w:line="304" w:before="60" w:after="240"/>
        <w:rPr>
          <w:rFonts w:ascii="Arial;sans-serif" w:hAnsi="Arial;sans-serif"/>
          <w:b w:val="false"/>
          <w:color w:val="221E1F"/>
          <w:sz w:val="22"/>
        </w:rPr>
      </w:pPr>
      <w:r>
        <w:rPr>
          <w:rFonts w:ascii="Arial;sans-serif" w:hAnsi="Arial;sans-serif"/>
          <w:b w:val="false"/>
          <w:color w:val="221E1F"/>
          <w:sz w:val="22"/>
        </w:rPr>
        <w:t xml:space="preserve">Pro-rata vesting will occur for involuntary terminations resulting from workforce reductions, location closings, restructurings, layoffs, or similar events, as determined by the Committee or its delegate. </w:t>
      </w:r>
    </w:p>
    <w:p>
      <w:pPr>
        <w:pStyle w:val="TextBody"/>
        <w:spacing w:lineRule="auto" w:line="304" w:before="60" w:after="240"/>
        <w:rPr/>
      </w:pPr>
      <w:r>
        <w:rPr>
          <w:rFonts w:ascii="Arial;sans-serif" w:hAnsi="Arial;sans-serif"/>
          <w:b w:val="false"/>
          <w:color w:val="000000"/>
          <w:sz w:val="22"/>
        </w:rPr>
        <w:t xml:space="preserve">Retirement eligible Participants will vest in accordance with the Retirement provisions set forth above. Change-in-Control Terminations are subject to vesting treatment as set forth in the Change-in-Control provisions below. </w:t>
      </w:r>
      <w:r>
        <w:rPr>
          <w:rFonts w:ascii="Arial;sans-serif" w:hAnsi="Arial;sans-serif"/>
          <w:b w:val="false"/>
          <w:color w:val="221E1F"/>
          <w:sz w:val="22"/>
        </w:rPr>
        <w:t>A Participant who is involuntarily terminated for Cause is not eligible for pro-rata vesting of Awards.</w:t>
      </w:r>
    </w:p>
    <w:p>
      <w:pPr>
        <w:pStyle w:val="TextBody"/>
        <w:spacing w:lineRule="auto" w:line="304" w:before="0" w:after="240"/>
        <w:rPr/>
      </w:pPr>
      <w:r>
        <w:rPr>
          <w:rFonts w:ascii="Arial;sans-serif" w:hAnsi="Arial;sans-serif"/>
          <w:b/>
          <w:color w:val="221E1F"/>
          <w:sz w:val="22"/>
        </w:rPr>
        <w:t>Voluntary Termination.</w:t>
      </w:r>
      <w:r>
        <w:rPr>
          <w:color w:val="221E1F"/>
        </w:rPr>
        <w:t xml:space="preserve"> </w:t>
      </w:r>
      <w:r>
        <w:rPr>
          <w:rFonts w:ascii="Arial;sans-serif" w:hAnsi="Arial;sans-serif"/>
          <w:b w:val="false"/>
          <w:color w:val="221E1F"/>
          <w:sz w:val="22"/>
        </w:rPr>
        <w:t>A Participant who voluntarily terminates employment (other than for Retirement or a Change-in-Control Termination) prior to the vesting date is not entitled to pro-rata vesting and will forfeit all unvested SARs. Vested SARs may be exercised for up to ninety (90) days from the Termination Date or until the expiration of the SAR (if earlier). Unexercised SARs will expire without value at the close of the NYSE on the ninetieth (90</w:t>
      </w:r>
      <w:r>
        <w:rPr>
          <w:rFonts w:ascii="Arial;sans-serif" w:hAnsi="Arial;sans-serif"/>
          <w:b w:val="false"/>
          <w:color w:val="221E1F"/>
          <w:sz w:val="14"/>
        </w:rPr>
        <w:t>th</w:t>
      </w:r>
      <w:r>
        <w:rPr>
          <w:rFonts w:ascii="Arial;sans-serif" w:hAnsi="Arial;sans-serif"/>
          <w:b w:val="false"/>
          <w:color w:val="221E1F"/>
          <w:sz w:val="22"/>
        </w:rPr>
        <w:t>) day following the Termination Date, or the expiration date, whichever comes first. In the event that the date falls on a weekend or market holiday, the SARs will be cancelled at the end of the last trading day prior to the 90</w:t>
      </w:r>
      <w:r>
        <w:rPr>
          <w:rFonts w:ascii="Arial;sans-serif" w:hAnsi="Arial;sans-serif"/>
          <w:b w:val="false"/>
          <w:color w:val="221E1F"/>
          <w:sz w:val="14"/>
        </w:rPr>
        <w:t>th</w:t>
      </w:r>
      <w:r>
        <w:rPr>
          <w:color w:val="221E1F"/>
        </w:rPr>
        <w:t xml:space="preserve"> </w:t>
      </w:r>
      <w:r>
        <w:rPr>
          <w:rFonts w:ascii="Arial;sans-serif" w:hAnsi="Arial;sans-serif"/>
          <w:b w:val="false"/>
          <w:color w:val="221E1F"/>
          <w:sz w:val="22"/>
        </w:rPr>
        <w:t>day.</w:t>
      </w:r>
    </w:p>
    <w:p>
      <w:pPr>
        <w:pStyle w:val="TextBody"/>
        <w:spacing w:lineRule="auto" w:line="304" w:before="0" w:after="240"/>
        <w:rPr/>
      </w:pPr>
      <w:r>
        <w:rPr>
          <w:rFonts w:ascii="Arial;sans-serif" w:hAnsi="Arial;sans-serif"/>
          <w:b/>
          <w:color w:val="221E1F"/>
          <w:sz w:val="22"/>
        </w:rPr>
        <w:t>Disability.</w:t>
      </w:r>
      <w:r>
        <w:rPr>
          <w:color w:val="221E1F"/>
        </w:rPr>
        <w:t xml:space="preserve"> </w:t>
      </w:r>
      <w:r>
        <w:rPr>
          <w:rFonts w:ascii="Arial;sans-serif" w:hAnsi="Arial;sans-serif"/>
          <w:b w:val="false"/>
          <w:color w:val="000000"/>
          <w:sz w:val="22"/>
        </w:rPr>
        <w:t xml:space="preserve">If a Participant incurs a Disability (as defined in the LTIP), vested SARs may be exercised for up to three (3) years from the Termination Date (or until the expiration of the SAR, if earlier). While a Participant remains disabled under a Company sponsored long-term disability plan, unvested SARs will remain eligible to vest on the earlier of (i) the vesting date specified in the Award Agreement; or (ii) 29 months following the date a Participant incurs a Disability and may then be exercised for three (3) years following the vesting date. </w:t>
      </w:r>
    </w:p>
    <w:p>
      <w:pPr>
        <w:pStyle w:val="TextBody"/>
        <w:spacing w:lineRule="auto" w:line="304" w:before="0" w:after="240"/>
        <w:rPr/>
      </w:pPr>
      <w:r>
        <w:rPr>
          <w:rFonts w:ascii="Arial;sans-serif" w:hAnsi="Arial;sans-serif"/>
          <w:b/>
          <w:color w:val="000000"/>
          <w:sz w:val="22"/>
        </w:rPr>
        <w:t xml:space="preserve">Authorized Leave of Absence. </w:t>
      </w:r>
      <w:r>
        <w:rPr>
          <w:rFonts w:ascii="Arial;sans-serif" w:hAnsi="Arial;sans-serif"/>
          <w:b w:val="false"/>
          <w:color w:val="000000"/>
          <w:sz w:val="22"/>
        </w:rPr>
        <w:t xml:space="preserve">If a </w:t>
      </w:r>
      <w:r>
        <w:rPr>
          <w:rFonts w:ascii="Arial;sans-serif" w:hAnsi="Arial;sans-serif"/>
          <w:b w:val="false"/>
          <w:color w:val="221E1F"/>
          <w:sz w:val="22"/>
        </w:rPr>
        <w:t xml:space="preserve">Participant is on a Company authorized leave of absence (including Military leave) that is not associated with a Termination of Service, unvested SARs will </w:t>
      </w:r>
      <w:r>
        <w:br w:type="page"/>
      </w: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67360"/>
                <wp:effectExtent l="0" t="0" r="0" b="0"/>
                <wp:wrapNone/>
                <wp:docPr id="75" name="Frame75"/>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04" w:before="0" w:after="240"/>
        <w:rPr/>
      </w:pPr>
      <w:r>
        <w:rPr>
          <w:rFonts w:ascii="Arial;sans-serif" w:hAnsi="Arial;sans-serif"/>
          <w:b w:val="false"/>
          <w:color w:val="221E1F"/>
          <w:sz w:val="22"/>
        </w:rPr>
        <w:t>remain eligible to vest during the period of leave, subject to the Participant’s continued employment with the Company through the vesting date</w:t>
      </w:r>
      <w:r>
        <w:rPr>
          <w:rFonts w:ascii="Arial;sans-serif" w:hAnsi="Arial;sans-serif"/>
          <w:b w:val="false"/>
          <w:color w:val="000000"/>
          <w:sz w:val="22"/>
        </w:rPr>
        <w:t>.</w:t>
      </w:r>
      <w:r>
        <w:rPr>
          <w:color w:val="221E1F"/>
        </w:rPr>
        <w:t xml:space="preserve"> </w:t>
      </w:r>
    </w:p>
    <w:p>
      <w:pPr>
        <w:pStyle w:val="TextBody"/>
        <w:spacing w:lineRule="auto" w:line="304" w:before="0" w:after="240"/>
        <w:rPr/>
      </w:pPr>
      <w:r>
        <w:rPr>
          <w:rFonts w:ascii="Arial;sans-serif" w:hAnsi="Arial;sans-serif"/>
          <w:b/>
          <w:color w:val="221E1F"/>
          <w:sz w:val="22"/>
        </w:rPr>
        <w:t xml:space="preserve">Death. </w:t>
      </w:r>
      <w:r>
        <w:rPr>
          <w:rFonts w:ascii="Arial;sans-serif" w:hAnsi="Arial;sans-serif"/>
          <w:b w:val="false"/>
          <w:color w:val="221E1F"/>
          <w:sz w:val="22"/>
        </w:rPr>
        <w:t xml:space="preserve">If a Participant dies while actively employed by the Company, or on Disability, all unvested SARs will vest as of the date of death and become exercisable. A Participant’s estate will have three (3) years from the date of death (or until the expiration of the SAR, if earlier) to exercise all outstanding SARs, provided however, that if a SAR expires prior to the expiration of the three-year extension period, the SAR will be deemed to be exercised by the Participant’s estate as of the SAR expiration date with net proceeds (where applicable) held for distribution to the estate. </w:t>
      </w:r>
    </w:p>
    <w:p>
      <w:pPr>
        <w:pStyle w:val="TextBody"/>
        <w:spacing w:lineRule="auto" w:line="304" w:before="0" w:after="240"/>
        <w:jc w:val="both"/>
        <w:rPr>
          <w:rFonts w:ascii="Arial;sans-serif" w:hAnsi="Arial;sans-serif"/>
          <w:b w:val="false"/>
          <w:color w:val="221E1F"/>
          <w:sz w:val="22"/>
        </w:rPr>
      </w:pPr>
      <w:r>
        <w:rPr>
          <w:rFonts w:ascii="Arial;sans-serif" w:hAnsi="Arial;sans-serif"/>
          <w:b w:val="false"/>
          <w:color w:val="221E1F"/>
          <w:sz w:val="22"/>
        </w:rPr>
        <w:t>Different tax rules may apply when the estate or heir exercises the deceased Participant’s SARs. A personal tax or financial advisor should be consulted under this scenario.</w:t>
      </w:r>
    </w:p>
    <w:p>
      <w:pPr>
        <w:pStyle w:val="TextBody"/>
        <w:spacing w:lineRule="auto" w:line="304" w:before="0" w:after="240"/>
        <w:rPr/>
      </w:pPr>
      <w:r>
        <w:rPr>
          <w:rFonts w:ascii="Arial;sans-serif" w:hAnsi="Arial;sans-serif"/>
          <w:b/>
          <w:color w:val="000000"/>
          <w:sz w:val="22"/>
        </w:rPr>
        <w:t>Change-in-Control Termination.</w:t>
      </w:r>
      <w:r>
        <w:rPr>
          <w:color w:val="000000"/>
        </w:rPr>
        <w:t xml:space="preserve"> </w:t>
      </w:r>
      <w:r>
        <w:rPr>
          <w:rFonts w:ascii="Arial;sans-serif" w:hAnsi="Arial;sans-serif"/>
          <w:b w:val="false"/>
          <w:color w:val="000000"/>
          <w:sz w:val="22"/>
        </w:rPr>
        <w:t>If a Participant’s termination results from an involuntary termination by the Company for reasons other than for Cause, or due to the Participant’s voluntary termination for “Good Reason,” in each case, within 24 months following a Change-in-Control in accordance with Section 10(d) of the LTIP (such Termination of Service, a “CIC Termination”), then all unvested SARs will vest and become exercisable as of the Termination Date and all vested SARs will be exercisable until the third anniversary of the Termination Date (or until the expiration of the SAR, if earlier).</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Forfeiture of Award and Repayment of Realized Gains</w:t>
      </w:r>
    </w:p>
    <w:p>
      <w:pPr>
        <w:pStyle w:val="TextBody"/>
        <w:spacing w:lineRule="auto" w:line="304" w:before="0" w:after="240"/>
        <w:rPr/>
      </w:pPr>
      <w:r>
        <w:rPr>
          <w:rFonts w:ascii="Arial;sans-serif" w:hAnsi="Arial;sans-serif"/>
          <w:b w:val="false"/>
          <w:color w:val="221E1F"/>
          <w:sz w:val="22"/>
        </w:rPr>
        <w:t xml:space="preserve">SAR Awards, including Common Stock delivered for exercised SARs, are subject to the applicable Raytheon Technologies Corporation Clawback Policy, as amended from time to time, available at </w:t>
      </w:r>
      <w:r>
        <w:rPr>
          <w:rFonts w:ascii="Arial;sans-serif" w:hAnsi="Arial;sans-serif"/>
          <w:b w:val="false"/>
          <w:color w:val="0000FF"/>
          <w:sz w:val="22"/>
          <w:u w:val="single"/>
        </w:rPr>
        <w:t>www.rtx.com</w:t>
      </w:r>
      <w:r>
        <w:rPr>
          <w:rFonts w:ascii="Arial;sans-serif" w:hAnsi="Arial;sans-serif"/>
          <w:b w:val="false"/>
          <w:color w:val="221E1F"/>
          <w:sz w:val="22"/>
        </w:rPr>
        <w:t xml:space="preserve">. SARs, whether or not vested, may be immediately forfeited and a Participant will be obligated to repay to the Company the value realized from the prior exercise of SARs upon the occurrence of any of the following events: </w:t>
      </w:r>
    </w:p>
    <w:p>
      <w:pPr>
        <w:pStyle w:val="TextBody"/>
        <w:spacing w:lineRule="auto" w:line="304" w:before="60" w:after="240"/>
        <w:ind w:left="0" w:right="0" w:hanging="540"/>
        <w:rPr>
          <w:rFonts w:ascii="Arial;sans-serif" w:hAnsi="Arial;sans-serif"/>
          <w:b w:val="false"/>
          <w:color w:val="000000"/>
          <w:sz w:val="22"/>
        </w:rPr>
      </w:pPr>
      <w:r>
        <w:rPr>
          <w:rFonts w:ascii="Arial;sans-serif" w:hAnsi="Arial;sans-serif"/>
          <w:b w:val="false"/>
          <w:color w:val="000000"/>
          <w:sz w:val="22"/>
        </w:rPr>
        <w:t xml:space="preserve">(i)Termination for Cause (as defined in the LTIP); </w:t>
      </w:r>
    </w:p>
    <w:p>
      <w:pPr>
        <w:pStyle w:val="TextBody"/>
        <w:spacing w:lineRule="auto" w:line="304" w:before="60" w:after="240"/>
        <w:ind w:left="0" w:right="0" w:hanging="540"/>
        <w:rPr>
          <w:rFonts w:ascii="Arial;sans-serif" w:hAnsi="Arial;sans-serif"/>
          <w:b w:val="false"/>
          <w:color w:val="000000"/>
          <w:sz w:val="22"/>
        </w:rPr>
      </w:pPr>
      <w:r>
        <w:rPr>
          <w:rFonts w:ascii="Arial;sans-serif" w:hAnsi="Arial;sans-serif"/>
          <w:b w:val="false"/>
          <w:color w:val="000000"/>
          <w:sz w:val="22"/>
        </w:rPr>
        <w:t xml:space="preserve">(ii)Within three-years following a Participant’s Termination Date, the Committee determines that the Participant engaged in conduct that could have constituted the basis for a Termination for Cause; </w:t>
      </w:r>
    </w:p>
    <w:p>
      <w:pPr>
        <w:pStyle w:val="TextBody"/>
        <w:spacing w:lineRule="auto" w:line="304" w:before="60" w:after="240"/>
        <w:ind w:left="0" w:right="0" w:hanging="180"/>
        <w:rPr>
          <w:rFonts w:ascii="Arial;sans-serif" w:hAnsi="Arial;sans-serif"/>
          <w:b w:val="false"/>
          <w:color w:val="000000"/>
          <w:sz w:val="22"/>
        </w:rPr>
      </w:pPr>
      <w:r>
        <w:rPr>
          <w:rFonts w:ascii="Arial;sans-serif" w:hAnsi="Arial;sans-serif"/>
          <w:b w:val="false"/>
          <w:color w:val="000000"/>
          <w:sz w:val="22"/>
        </w:rPr>
        <w:t xml:space="preserve">(iii)Within twenty-four months following the Termination Date, the Participant: </w:t>
      </w:r>
    </w:p>
    <w:p>
      <w:pPr>
        <w:pStyle w:val="TextBody"/>
        <w:spacing w:lineRule="auto" w:line="304" w:before="60" w:after="240"/>
        <w:ind w:left="0" w:right="0" w:hanging="540"/>
        <w:rPr>
          <w:rFonts w:ascii="Arial;sans-serif" w:hAnsi="Arial;sans-serif"/>
          <w:b w:val="false"/>
          <w:color w:val="000000"/>
          <w:sz w:val="22"/>
        </w:rPr>
      </w:pPr>
      <w:r>
        <w:rPr>
          <w:rFonts w:ascii="Arial;sans-serif" w:hAnsi="Arial;sans-serif"/>
          <w:b w:val="false"/>
          <w:color w:val="000000"/>
          <w:sz w:val="22"/>
        </w:rPr>
        <w:t xml:space="preserve">(A)Solicits a Company employee, or individual who had been a Company employee within the previous three months, for an opportunity outside of the Company; or </w:t>
      </w:r>
    </w:p>
    <w:p>
      <w:pPr>
        <w:pStyle w:val="TextBody"/>
        <w:spacing w:lineRule="auto" w:line="304" w:before="60" w:after="240"/>
        <w:ind w:left="0" w:right="0" w:hanging="540"/>
        <w:rPr>
          <w:rFonts w:ascii="Arial;sans-serif" w:hAnsi="Arial;sans-serif"/>
          <w:b w:val="false"/>
          <w:color w:val="000000"/>
          <w:sz w:val="22"/>
        </w:rPr>
      </w:pPr>
      <w:r>
        <w:rPr>
          <w:rFonts w:ascii="Arial;sans-serif" w:hAnsi="Arial;sans-serif"/>
          <w:b w:val="false"/>
          <w:color w:val="000000"/>
          <w:sz w:val="22"/>
        </w:rPr>
        <w:t xml:space="preserve">(B)Publicly disparages the Company, its employees, directors, products, or otherwise makes a public statement that is materially detrimental to the interests of the Company or such individuals; </w:t>
      </w:r>
    </w:p>
    <w:p>
      <w:pPr>
        <w:pStyle w:val="TextBody"/>
        <w:spacing w:lineRule="auto" w:line="304" w:before="60" w:after="283"/>
        <w:ind w:left="0" w:right="0" w:hanging="540"/>
        <w:rPr>
          <w:rFonts w:ascii="Arial;sans-serif" w:hAnsi="Arial;sans-serif"/>
          <w:b w:val="false"/>
          <w:color w:val="000000"/>
          <w:sz w:val="22"/>
        </w:rPr>
      </w:pPr>
      <w:r>
        <w:rPr>
          <w:rFonts w:ascii="Arial;sans-serif" w:hAnsi="Arial;sans-serif"/>
          <w:b w:val="false"/>
          <w:color w:val="000000"/>
          <w:sz w:val="22"/>
        </w:rPr>
        <w:t xml:space="preserve">(iv)A restatement of financial results attributable to a Participant’s actions, whether intentional or negligent; </w:t>
      </w:r>
    </w:p>
    <w:p>
      <w:pPr>
        <w:pStyle w:val="TextBody"/>
        <w:spacing w:before="0" w:after="0"/>
        <w:rPr/>
      </w:pPr>
      <w:r>
        <w:rPr/>
      </w:r>
    </w:p>
    <w:p>
      <w:pPr>
        <w:pStyle w:val="TextBody"/>
        <w:spacing w:lineRule="auto" w:line="304" w:before="0" w:after="240"/>
        <w:ind w:left="0" w:right="0" w:hanging="540"/>
        <w:rPr>
          <w:rFonts w:ascii="Arial;sans-serif" w:hAnsi="Arial;sans-serif"/>
          <w:b w:val="false"/>
          <w:color w:val="000000"/>
          <w:sz w:val="22"/>
        </w:rPr>
      </w:pPr>
      <w:r>
        <w:rPr>
          <w:rFonts w:ascii="Arial;sans-serif" w:hAnsi="Arial;sans-serif"/>
          <w:b w:val="false"/>
          <w:color w:val="000000"/>
          <w:sz w:val="22"/>
        </w:rPr>
        <w:t xml:space="preserve">(v)Except where prohibited by law, at any time during the twelve-month period following the Termination Date, the Participant becomes employed by, consults for, or otherwise renders services to any business entity or person: (A) engaged in activities that compete </w:t>
      </w:r>
      <w:r>
        <w:br w:type="page"/>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67360"/>
                <wp:effectExtent l="0" t="0" r="0" b="0"/>
                <wp:wrapNone/>
                <wp:docPr id="76" name="Frame76"/>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pStyle w:val="TextBody"/>
        <w:spacing w:lineRule="auto" w:line="304" w:before="0" w:after="240"/>
        <w:ind w:left="0" w:right="0" w:hanging="540"/>
        <w:rPr>
          <w:rFonts w:ascii="Arial;sans-serif" w:hAnsi="Arial;sans-serif"/>
          <w:b w:val="false"/>
          <w:color w:val="221E1F"/>
          <w:sz w:val="22"/>
        </w:rPr>
      </w:pPr>
      <w:r>
        <w:rPr>
          <w:rFonts w:ascii="Arial;sans-serif" w:hAnsi="Arial;sans-serif"/>
          <w:b w:val="false"/>
          <w:color w:val="221E1F"/>
          <w:sz w:val="22"/>
        </w:rPr>
        <w:t>(vi)    Negligent conduct injurious to the Company, including negligent supervision of a subordinate whose action requires a restatement of financial results, or other significant harm to the Company as determined by the Committee; or</w:t>
      </w:r>
    </w:p>
    <w:p>
      <w:pPr>
        <w:pStyle w:val="TextBody"/>
        <w:spacing w:lineRule="auto" w:line="304" w:before="0" w:after="240"/>
        <w:ind w:left="0" w:right="0" w:hanging="540"/>
        <w:rPr>
          <w:rFonts w:ascii="Arial;sans-serif" w:hAnsi="Arial;sans-serif"/>
          <w:b w:val="false"/>
          <w:color w:val="221E1F"/>
          <w:sz w:val="22"/>
        </w:rPr>
      </w:pPr>
      <w:r>
        <w:rPr>
          <w:rFonts w:ascii="Arial;sans-serif" w:hAnsi="Arial;sans-serif"/>
          <w:b w:val="false"/>
          <w:color w:val="221E1F"/>
          <w:sz w:val="22"/>
        </w:rPr>
        <w:t xml:space="preserve">(vii)    A Participant’s misappropriation of RTX Intellectual Property or violation of his/her Intellectual Property (IP) Agreement. </w:t>
      </w:r>
    </w:p>
    <w:p>
      <w:pPr>
        <w:pStyle w:val="TextBody"/>
        <w:spacing w:lineRule="auto" w:line="304" w:before="2" w:after="2"/>
        <w:rPr>
          <w:rFonts w:ascii="Arial;sans-serif" w:hAnsi="Arial;sans-serif"/>
          <w:b w:val="false"/>
          <w:color w:val="000000"/>
          <w:sz w:val="22"/>
        </w:rPr>
      </w:pPr>
      <w:r>
        <w:rPr>
          <w:rFonts w:ascii="Arial;sans-serif" w:hAnsi="Arial;sans-serif"/>
          <w:b w:val="false"/>
          <w:color w:val="000000"/>
          <w:sz w:val="22"/>
        </w:rPr>
        <w:t>In addition, the Committee reserves the right to require repayment of all or any portion of a SAR Award under item (iv) above, without regard to whether a restatement is attributable to the Participant’s actions, as appropriate and determined at the Committee’s sole discretion.</w:t>
      </w:r>
    </w:p>
    <w:p>
      <w:pPr>
        <w:pStyle w:val="TextBody"/>
        <w:spacing w:before="2" w:after="2"/>
        <w:rPr/>
      </w:pPr>
      <w:r>
        <w:rPr/>
      </w:r>
    </w:p>
    <w:p>
      <w:pPr>
        <w:pStyle w:val="TextBody"/>
        <w:spacing w:lineRule="auto" w:line="304" w:before="2" w:after="240"/>
        <w:rPr/>
      </w:pPr>
      <w:r>
        <w:rPr>
          <w:rFonts w:ascii="Arial;sans-serif" w:hAnsi="Arial;sans-serif"/>
          <w:b w:val="false"/>
          <w:color w:val="000000"/>
          <w:sz w:val="22"/>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sans-serif" w:hAnsi="Arial;sans-serif"/>
          <w:b w:val="false"/>
          <w:color w:val="0000FF"/>
          <w:sz w:val="22"/>
          <w:u w:val="single"/>
        </w:rPr>
        <w:t>www.ubs.com/onesource/rtx</w:t>
      </w:r>
      <w:r>
        <w:rPr>
          <w:rFonts w:ascii="Arial;sans-serif" w:hAnsi="Arial;sans-serif"/>
          <w:b w:val="false"/>
          <w:color w:val="000000"/>
          <w:sz w:val="22"/>
        </w:rPr>
        <w:t>, and the applicable RTX Clawback Policy, available at</w:t>
      </w:r>
      <w:r>
        <w:rPr>
          <w:color w:val="0000FF"/>
          <w:u w:val="single"/>
        </w:rPr>
        <w:t xml:space="preserve"> </w:t>
      </w:r>
      <w:r>
        <w:rPr>
          <w:rFonts w:ascii="Arial;sans-serif" w:hAnsi="Arial;sans-serif"/>
          <w:b w:val="false"/>
          <w:color w:val="0000FF"/>
          <w:sz w:val="22"/>
          <w:u w:val="single"/>
        </w:rPr>
        <w:t>www.rtx.com</w:t>
      </w:r>
      <w:r>
        <w:rPr>
          <w:rFonts w:ascii="Arial;sans-serif" w:hAnsi="Arial;sans-serif"/>
          <w:b w:val="false"/>
          <w:color w:val="000000"/>
          <w:sz w:val="22"/>
        </w:rPr>
        <w:t>.</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 xml:space="preserve">Adjustments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SAR Awards may be adjusted as determined by the Committee, in its sole discretion.</w:t>
      </w:r>
    </w:p>
    <w:p>
      <w:pPr>
        <w:pStyle w:val="TextBody"/>
        <w:spacing w:lineRule="auto" w:line="304" w:before="0" w:after="240"/>
        <w:rPr/>
      </w:pPr>
      <w:r>
        <w:rPr>
          <w:rFonts w:ascii="Arial;sans-serif" w:hAnsi="Arial;sans-serif"/>
          <w:b w:val="false"/>
          <w:color w:val="221E1F"/>
          <w:sz w:val="22"/>
        </w:rPr>
        <w:t>Further information concerning capital adjustments is set forth in Section 3(e)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Change-in-Control</w:t>
      </w:r>
    </w:p>
    <w:p>
      <w:pPr>
        <w:pStyle w:val="TextBody"/>
        <w:spacing w:lineRule="auto" w:line="304" w:before="0" w:after="240"/>
        <w:rPr/>
      </w:pPr>
      <w:r>
        <w:rPr>
          <w:rFonts w:ascii="Arial;sans-serif" w:hAnsi="Arial;sans-serif"/>
          <w:b w:val="false"/>
          <w:color w:val="000000"/>
          <w:sz w:val="22"/>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available at </w:t>
      </w:r>
      <w:r>
        <w:rPr>
          <w:rFonts w:ascii="Arial;sans-serif" w:hAnsi="Arial;sans-serif"/>
          <w:b w:val="false"/>
          <w:color w:val="0000FF"/>
          <w:sz w:val="22"/>
          <w:u w:val="single"/>
        </w:rPr>
        <w:t>www.ubs.com/onesource/rtx</w:t>
      </w:r>
      <w:r>
        <w:rPr>
          <w:rFonts w:ascii="Arial;sans-serif" w:hAnsi="Arial;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67360"/>
                <wp:effectExtent l="0" t="0" r="0" b="0"/>
                <wp:wrapNone/>
                <wp:docPr id="77" name="Frame77"/>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2"/>
        <w:rPr/>
      </w:pPr>
      <w:r>
        <w:rPr/>
      </w:r>
    </w:p>
    <w:p>
      <w:pPr>
        <w:pStyle w:val="TextBody"/>
        <w:spacing w:lineRule="auto" w:line="304" w:before="2" w:after="240"/>
        <w:rPr/>
      </w:pPr>
      <w:r>
        <w:rPr>
          <w:rFonts w:ascii="Arial;sans-serif" w:hAnsi="Arial;sans-serif"/>
          <w:b/>
          <w:color w:val="000000"/>
          <w:sz w:val="22"/>
        </w:rPr>
        <w:t>Awards Not to Affect Certain Transactions</w:t>
      </w:r>
      <w:r>
        <w:rPr>
          <w:color w:val="FF0000"/>
        </w:rPr>
        <w:t xml:space="preserve">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SAR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 </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 xml:space="preserve">Taxes / Withholding </w:t>
      </w:r>
    </w:p>
    <w:p>
      <w:pPr>
        <w:pStyle w:val="TextBody"/>
        <w:spacing w:lineRule="auto" w:line="304" w:before="0" w:after="240"/>
        <w:rPr/>
      </w:pPr>
      <w:r>
        <w:rPr>
          <w:rFonts w:ascii="Arial;sans-serif" w:hAnsi="Arial;sans-serif"/>
          <w:b w:val="false"/>
          <w:color w:val="221E1F"/>
          <w:sz w:val="22"/>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 Section 16 officer of the Company under Section 16 of the Securities Exchange Act of 1934, as amended, at the time that a taxable event occurs, then the Company’s withholding obligations with respect to such taxable event will be satisfied by the Company withholding shares of Common Stock converted from SARs under the SAR Award having a value on the date of exercise equal to the amount required to be withheld for tax purposes. The Company shall have the right to deduct directly from any payment or delivery of shares due to a Participant or from a Participant’s regular compensation to effect compliance with all Tax-Related Items, including withholding and reporting with respect to the exercise of any SAR. Acceptance of an Award constitutes affirmative consent by a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sans-serif" w:hAnsi="Arial;sans-serif"/>
          <w:b w:val="false"/>
          <w:color w:val="211F1F"/>
          <w:sz w:val="22"/>
        </w:rPr>
        <w:t xml:space="preserve">Further, if the Participant has become subject to tax in more than one jurisdiction between the date of grant and the date of any relevant taxable event, the Participant acknowledges that the Company may be required to withhold or account for Tax-R    elated Items in more than one jurisdiction. </w:t>
      </w:r>
      <w:r>
        <w:rPr>
          <w:rFonts w:ascii="Arial;sans-serif" w:hAnsi="Arial;sans-serif"/>
          <w:b w:val="false"/>
          <w:color w:val="221E1F"/>
          <w:sz w:val="22"/>
        </w:rPr>
        <w:t>In those countries where there is no 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pStyle w:val="TextBody"/>
        <w:spacing w:lineRule="auto" w:line="304" w:before="0" w:after="0"/>
        <w:rPr/>
      </w:pPr>
      <w:r>
        <w:rPr>
          <w:rFonts w:ascii="Arial;sans-serif" w:hAnsi="Arial;sans-serif"/>
          <w:b w:val="false"/>
          <w:color w:val="211F1F"/>
          <w:sz w:val="22"/>
        </w:rPr>
        <w:t>Important information about the U.S. Federal income tax consequences of LTIP Awards can be found in the LTIP Prospectus at</w:t>
      </w:r>
      <w:r>
        <w:rPr>
          <w:color w:val="000000"/>
        </w:rPr>
        <w:t xml:space="preserve"> </w:t>
      </w:r>
      <w:r>
        <w:rPr>
          <w:rFonts w:ascii="Arial;sans-serif" w:hAnsi="Arial;sans-serif"/>
          <w:b w:val="false"/>
          <w:color w:val="0000FF"/>
          <w:sz w:val="22"/>
          <w:u w:val="single"/>
        </w:rPr>
        <w:t>www.ubs.com/onesource/rtx.</w:t>
      </w:r>
    </w:p>
    <w:p>
      <w:pPr>
        <w:pStyle w:val="TextBody"/>
        <w:spacing w:before="0" w:after="0"/>
        <w:rPr/>
      </w:pPr>
      <w:r>
        <w:rPr/>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 xml:space="preserve">Nonassignability </w:t>
      </w:r>
    </w:p>
    <w:p>
      <w:pPr>
        <w:pStyle w:val="TextBody"/>
        <w:spacing w:lineRule="auto" w:line="304" w:before="0" w:after="240"/>
        <w:rPr/>
      </w:pPr>
      <w:r>
        <w:rPr>
          <w:rFonts w:ascii="Arial;sans-serif" w:hAnsi="Arial;sans-serif"/>
          <w:b w:val="false"/>
          <w:color w:val="221E1F"/>
          <w:sz w:val="22"/>
        </w:rPr>
        <w:t>Unless otherwise approved by the Committee or its delegate, no</w:t>
      </w:r>
      <w:r>
        <w:rPr>
          <w:color w:val="000000"/>
        </w:rPr>
        <w:t xml:space="preserve"> </w:t>
      </w:r>
      <w:r>
        <w:rPr>
          <w:rFonts w:ascii="Arial;sans-serif" w:hAnsi="Arial;sans-serif"/>
          <w:b w:val="false"/>
          <w:color w:val="000000"/>
          <w:sz w:val="22"/>
        </w:rPr>
        <w:t>assignment or transfer of any right or interest of a Participant in any SAR Award, whether voluntary or involuntary, by operation of law or otherwise, is permitted except by will or the laws of descent and distribution. Any other</w:t>
      </w:r>
      <w:r>
        <w:rPr>
          <w:color w:val="221E1F"/>
        </w:rPr>
        <w:t xml:space="preserve"> </w:t>
      </w:r>
      <w:r>
        <w:rPr>
          <w:rFonts w:ascii="Arial;sans-serif" w:hAnsi="Arial;sans-serif"/>
          <w:b w:val="false"/>
          <w:color w:val="221E1F"/>
          <w:sz w:val="22"/>
        </w:rPr>
        <w:t xml:space="preserve">attempt to assign such rights or interest shall be void and without force or effect. </w:t>
      </w:r>
    </w:p>
    <w:p>
      <w:pPr>
        <w:pStyle w:val="TextBody"/>
        <w:spacing w:before="0" w:after="24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67360"/>
                <wp:effectExtent l="0" t="0" r="0" b="0"/>
                <wp:wrapNone/>
                <wp:docPr id="78" name="Frame78"/>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2" w:after="240"/>
        <w:rPr/>
      </w:pPr>
      <w:r>
        <w:rPr>
          <w:rFonts w:ascii="Arial;sans-serif" w:hAnsi="Arial;sans-serif"/>
          <w:b/>
          <w:color w:val="000000"/>
          <w:sz w:val="22"/>
        </w:rPr>
        <w:t>Nature of Payments</w:t>
      </w:r>
      <w:r>
        <w:rPr>
          <w:color w:val="0000FF"/>
        </w:rPr>
        <w:t xml:space="preserve">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 </w:t>
      </w:r>
    </w:p>
    <w:p>
      <w:pPr>
        <w:pStyle w:val="TextBody"/>
        <w:spacing w:lineRule="auto" w:line="304" w:before="0" w:after="240"/>
        <w:rPr>
          <w:rFonts w:ascii="Arial;sans-serif" w:hAnsi="Arial;sans-serif"/>
          <w:b/>
          <w:color w:val="211E1F"/>
          <w:sz w:val="22"/>
        </w:rPr>
      </w:pPr>
      <w:r>
        <w:rPr>
          <w:rFonts w:ascii="Arial;sans-serif" w:hAnsi="Arial;sans-serif"/>
          <w:b/>
          <w:color w:val="211E1F"/>
          <w:sz w:val="22"/>
        </w:rPr>
        <w:t>Right of Discharge Reserved</w:t>
      </w:r>
    </w:p>
    <w:p>
      <w:pPr>
        <w:pStyle w:val="TextBody"/>
        <w:spacing w:lineRule="auto" w:line="304" w:before="0" w:after="240"/>
        <w:rPr>
          <w:rFonts w:ascii="Arial;sans-serif" w:hAnsi="Arial;sans-serif"/>
          <w:b w:val="false"/>
          <w:color w:val="211E1F"/>
          <w:sz w:val="22"/>
        </w:rPr>
      </w:pPr>
      <w:r>
        <w:rPr>
          <w:rFonts w:ascii="Arial;sans-serif" w:hAnsi="Arial;sans-serif"/>
          <w:b w:val="false"/>
          <w:color w:val="211E1F"/>
          <w:sz w:val="22"/>
        </w:rPr>
        <w:t>Nothing in the LTIP or in any SAR Award shall confer upon any Participant the right to continued employment or service for any period of time or affect any right that the Company may have to terminate the employment of any Participant at any time for any reason.</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Administration</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and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Data Privacy</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 xml:space="preserve">Company Compliance Policies </w:t>
      </w:r>
    </w:p>
    <w:p>
      <w:pPr>
        <w:pStyle w:val="TextBody"/>
        <w:spacing w:lineRule="auto" w:line="304" w:before="0" w:after="240"/>
        <w:rPr/>
      </w:pPr>
      <w:r>
        <w:rPr>
          <w:rFonts w:ascii="Arial;sans-serif" w:hAnsi="Arial;sans-serif"/>
          <w:b w:val="false"/>
          <w:color w:val="000000"/>
          <w:sz w:val="22"/>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sans-serif" w:hAnsi="Arial;sans-serif"/>
          <w:b w:val="false"/>
          <w:color w:val="0000FF"/>
          <w:sz w:val="22"/>
          <w:u w:val="single"/>
        </w:rPr>
        <w:t>http://epolicy.corp.ray.com/epolicy/</w:t>
      </w:r>
      <w:r>
        <w:rPr>
          <w:rFonts w:ascii="Arial;sans-serif" w:hAnsi="Arial;sans-serif"/>
          <w:b w:val="false"/>
          <w:color w:val="000000"/>
          <w:sz w:val="22"/>
        </w:rPr>
        <w:t>.</w:t>
      </w:r>
    </w:p>
    <w:p>
      <w:pPr>
        <w:pStyle w:val="TextBody"/>
        <w:spacing w:before="0" w:after="24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67360"/>
                <wp:effectExtent l="0" t="0" r="0" b="0"/>
                <wp:wrapNone/>
                <wp:docPr id="79" name="Frame79"/>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2" w:after="240"/>
        <w:rPr>
          <w:rFonts w:ascii="Arial;sans-serif" w:hAnsi="Arial;sans-serif"/>
          <w:b/>
          <w:color w:val="221E1F"/>
          <w:sz w:val="22"/>
        </w:rPr>
      </w:pPr>
      <w:r>
        <w:rPr>
          <w:rFonts w:ascii="Arial;sans-serif" w:hAnsi="Arial;sans-serif"/>
          <w:b/>
          <w:color w:val="221E1F"/>
          <w:sz w:val="22"/>
        </w:rPr>
        <w:t>Interpretations</w:t>
      </w:r>
    </w:p>
    <w:p>
      <w:pPr>
        <w:pStyle w:val="TextBody"/>
        <w:spacing w:lineRule="auto" w:line="304" w:before="0" w:after="240"/>
        <w:rPr/>
      </w:pPr>
      <w:r>
        <w:rPr>
          <w:rFonts w:ascii="Arial;sans-serif" w:hAnsi="Arial;sans-serif"/>
          <w:b w:val="false"/>
          <w:color w:val="221E1F"/>
          <w:sz w:val="22"/>
        </w:rPr>
        <w:t>This Schedule of Terms provides a summary of terms applicable to the SAR Award. This Schedule of Terms and each Award Agreement are subject in all respects to the terms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221E1F"/>
          <w:sz w:val="22"/>
        </w:rPr>
        <w:t>.</w:t>
      </w:r>
      <w:r>
        <w:rPr>
          <w:color w:val="0000FF"/>
        </w:rPr>
        <w:t xml:space="preserve"> </w:t>
      </w:r>
      <w:r>
        <w:rPr>
          <w:rFonts w:ascii="Arial;sans-serif" w:hAnsi="Arial;sans-serif"/>
          <w:b w:val="false"/>
          <w:color w:val="221E1F"/>
          <w:sz w:val="22"/>
        </w:rPr>
        <w:t>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Governing Law</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 xml:space="preserve">Additional Information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Questions concerning the LTIP or Awards and requests for LTIP documents can be directed to:</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Stock Plan Administrator</w:t>
      </w:r>
    </w:p>
    <w:p>
      <w:pPr>
        <w:pStyle w:val="TextBody"/>
        <w:spacing w:lineRule="auto" w:line="304" w:before="0" w:after="240"/>
        <w:rPr>
          <w:rFonts w:ascii="Arial;sans-serif" w:hAnsi="Arial;sans-serif"/>
          <w:b w:val="false"/>
          <w:color w:val="0000FF"/>
          <w:sz w:val="22"/>
          <w:u w:val="single"/>
        </w:rPr>
      </w:pPr>
      <w:r>
        <w:rPr>
          <w:rFonts w:ascii="Arial;sans-serif" w:hAnsi="Arial;sans-serif"/>
          <w:b w:val="false"/>
          <w:color w:val="0000FF"/>
          <w:sz w:val="22"/>
          <w:u w:val="single"/>
        </w:rPr>
        <w:t>rtxstockadmin@rtx.com</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OR    </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Raytheon Technologies Corporation</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Attn: Stock Plan Administrator</w:t>
      </w:r>
    </w:p>
    <w:p>
      <w:pPr>
        <w:pStyle w:val="TextBody"/>
        <w:spacing w:lineRule="auto" w:line="304" w:before="0" w:after="0"/>
        <w:ind w:left="0" w:right="0" w:firstLine="720"/>
        <w:rPr>
          <w:rFonts w:ascii="Arial;sans-serif" w:hAnsi="Arial;sans-serif"/>
          <w:b w:val="false"/>
          <w:color w:val="000000"/>
          <w:sz w:val="22"/>
        </w:rPr>
      </w:pPr>
      <w:r>
        <w:rPr>
          <w:rFonts w:ascii="Arial;sans-serif" w:hAnsi="Arial;sans-serif"/>
          <w:b w:val="false"/>
          <w:color w:val="000000"/>
          <w:sz w:val="22"/>
        </w:rPr>
        <w:t>4 Farm Springs Road</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Farmington, CT 06032</w:t>
      </w:r>
    </w:p>
    <w:p>
      <w:pPr>
        <w:pStyle w:val="TextBody"/>
        <w:spacing w:before="0" w:after="0"/>
        <w:rPr/>
      </w:pPr>
      <w:r>
        <w:rPr/>
      </w:r>
    </w:p>
    <w:p>
      <w:pPr>
        <w:pStyle w:val="TextBody"/>
        <w:spacing w:lineRule="auto" w:line="304" w:before="0" w:after="240"/>
        <w:rPr/>
      </w:pPr>
      <w:r>
        <w:rPr>
          <w:rFonts w:ascii="Arial;sans-serif" w:hAnsi="Arial;sans-serif"/>
          <w:b w:val="false"/>
          <w:color w:val="000000"/>
          <w:sz w:val="22"/>
        </w:rPr>
        <w:t xml:space="preserve">The Corporation and / or its approved Stock Plan Administrator will send any Award-related communications to the Participant’s email address or physical address on record. </w:t>
      </w:r>
      <w:r>
        <w:rPr>
          <w:rFonts w:ascii="Arial;sans-serif" w:hAnsi="Arial;sans-serif"/>
          <w:b w:val="false"/>
          <w:color w:val="221E1F"/>
          <w:sz w:val="22"/>
        </w:rPr>
        <w:t xml:space="preserve">It is the responsibility of the Participant to ensure that both the e-mail and physical address on record are up-to-date and accurate at all times to ensure delivery of Award-related communications. </w:t>
      </w:r>
    </w:p>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Arial;sans-serif" w:hAnsi="Arial;sans-serif"/>
          <w:b/>
          <w:color w:val="000000"/>
          <w:sz w:val="22"/>
        </w:rPr>
      </w:pPr>
      <w:r>
        <w:rPr>
          <w:rFonts w:ascii="Arial;sans-serif" w:hAnsi="Arial;sans-serif"/>
          <w:b/>
          <w:color w:val="000000"/>
          <w:sz w:val="22"/>
        </w:rPr>
        <w:t>E</w:t>
      </w:r>
      <w:r>
        <w:rPr>
          <w:rFonts w:ascii="Arial;sans-serif" w:hAnsi="Arial;sans-serif"/>
          <w:b/>
          <w:color w:val="000000"/>
          <w:sz w:val="22"/>
        </w:rPr>
        <w:t>xhibit 10.4</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67360"/>
                <wp:effectExtent l="0" t="0" r="0" b="0"/>
                <wp:wrapNone/>
                <wp:docPr id="80" name="Frame80"/>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spacing w:lineRule="auto" w:line="240" w:before="0" w:after="0"/>
                        <w:rPr/>
                      </w:pPr>
                      <w:r>
                        <w:rPr>
                          <w:rFonts w:ascii="Arial;sans-serif" w:hAnsi="Arial;sans-serif"/>
                          <w:b w:val="false"/>
                          <w:color w:val="000000"/>
                          <w:sz w:val="16"/>
                        </w:rPr>
                        <w:t>02/2023</w:t>
                      </w:r>
                      <w:r>
                        <w:rPr>
                          <w:color w:val="000000"/>
                        </w:rPr>
                        <w:t xml:space="preserve">         </w:t>
                      </w:r>
                    </w:p>
                    <w:p>
                      <w:pPr>
                        <w:pStyle w:val="TextBody"/>
                        <w:spacing w:before="0" w:after="0"/>
                        <w:rPr/>
                      </w:pPr>
                      <w:r>
                        <w:rPr/>
                      </w:r>
                    </w:p>
                  </w:txbxContent>
                </v:textbox>
              </v:rect>
            </w:pict>
          </mc:Fallback>
        </mc:AlternateContent>
      </w:r>
    </w:p>
    <w:p>
      <w:pPr>
        <w:pStyle w:val="TextBody"/>
        <w:spacing w:lineRule="auto" w:line="240" w:before="0" w:after="0"/>
        <w:jc w:val="center"/>
        <w:rPr>
          <w:rFonts w:ascii="Arial;sans-serif" w:hAnsi="Arial;sans-serif"/>
          <w:b/>
          <w:color w:val="221E1F"/>
          <w:sz w:val="24"/>
        </w:rPr>
      </w:pPr>
      <w:r>
        <w:rPr>
          <w:rFonts w:ascii="Arial;sans-serif" w:hAnsi="Arial;sans-serif"/>
          <w:b/>
          <w:color w:val="221E1F"/>
          <w:sz w:val="24"/>
        </w:rPr>
        <w:t>Raytheon Technologies Corporation</w:t>
      </w:r>
    </w:p>
    <w:p>
      <w:pPr>
        <w:pStyle w:val="TextBody"/>
        <w:spacing w:lineRule="auto" w:line="276" w:before="0" w:after="0"/>
        <w:jc w:val="center"/>
        <w:rPr>
          <w:rFonts w:ascii="Arial;sans-serif" w:hAnsi="Arial;sans-serif"/>
          <w:b/>
          <w:color w:val="221E1F"/>
          <w:sz w:val="24"/>
        </w:rPr>
      </w:pPr>
      <w:r>
        <w:rPr>
          <w:rFonts w:ascii="Arial;sans-serif" w:hAnsi="Arial;sans-serif"/>
          <w:b/>
          <w:color w:val="221E1F"/>
          <w:sz w:val="24"/>
        </w:rPr>
        <w:t>2018 Long-Term Incentive Plan</w:t>
      </w:r>
    </w:p>
    <w:p>
      <w:pPr>
        <w:pStyle w:val="TextBody"/>
        <w:spacing w:before="0" w:after="0"/>
        <w:jc w:val="center"/>
        <w:rPr/>
      </w:pPr>
      <w:r>
        <w:rPr/>
      </w:r>
    </w:p>
    <w:p>
      <w:pPr>
        <w:pStyle w:val="TextBody"/>
        <w:spacing w:lineRule="auto" w:line="276" w:before="3000" w:after="283"/>
        <w:jc w:val="center"/>
        <w:rPr>
          <w:rFonts w:ascii="Arial;sans-serif" w:hAnsi="Arial;sans-serif"/>
          <w:b/>
          <w:color w:val="221E1F"/>
          <w:sz w:val="48"/>
        </w:rPr>
      </w:pPr>
      <w:r>
        <w:rPr>
          <w:rFonts w:ascii="Arial;sans-serif" w:hAnsi="Arial;sans-serif"/>
          <w:b/>
          <w:color w:val="221E1F"/>
          <w:sz w:val="48"/>
        </w:rPr>
        <w:t>Non-Qualified Stock Option Award</w:t>
      </w:r>
    </w:p>
    <w:p>
      <w:pPr>
        <w:pStyle w:val="TextBody"/>
        <w:spacing w:lineRule="auto" w:line="276" w:before="280" w:after="283"/>
        <w:jc w:val="center"/>
        <w:rPr>
          <w:rFonts w:ascii="Arial;sans-serif" w:hAnsi="Arial;sans-serif"/>
          <w:b/>
          <w:i/>
          <w:color w:val="221E1F"/>
          <w:sz w:val="36"/>
        </w:rPr>
      </w:pPr>
      <w:r>
        <w:rPr>
          <w:rFonts w:ascii="Arial;sans-serif" w:hAnsi="Arial;sans-serif"/>
          <w:b/>
          <w:i/>
          <w:color w:val="221E1F"/>
          <w:sz w:val="36"/>
        </w:rPr>
        <w:t>Schedule of Terms</w:t>
      </w:r>
    </w:p>
    <w:p>
      <w:pPr>
        <w:pStyle w:val="TextBody"/>
        <w:spacing w:lineRule="auto" w:line="276" w:before="3120" w:after="283"/>
        <w:jc w:val="center"/>
        <w:rPr>
          <w:rFonts w:ascii="Arial;sans-serif" w:hAnsi="Arial;sans-serif"/>
          <w:b/>
          <w:i/>
          <w:color w:val="221E1F"/>
          <w:sz w:val="36"/>
        </w:rPr>
      </w:pPr>
      <w:r>
        <w:rPr>
          <w:rFonts w:ascii="Arial;sans-serif" w:hAnsi="Arial;sans-serif"/>
          <w:b/>
          <w:i/>
          <w:color w:val="221E1F"/>
          <w:sz w:val="36"/>
        </w:rPr>
        <w:t>(Rev. February 2023)</w:t>
      </w:r>
    </w:p>
    <w:p>
      <w:pPr>
        <w:pStyle w:val="TextBody"/>
        <w:spacing w:before="2000" w:after="283"/>
        <w:jc w:val="center"/>
        <w:rPr/>
      </w:pPr>
      <w:r>
        <w:rPr/>
      </w:r>
    </w:p>
    <w:p>
      <w:pPr>
        <w:pStyle w:val="TextBody"/>
        <w:spacing w:lineRule="auto" w:line="304" w:before="0" w:after="0"/>
        <w:rPr/>
      </w:pPr>
      <w:r>
        <w:rPr>
          <w:rFonts w:ascii="Arial;sans-serif" w:hAnsi="Arial;sans-serif"/>
          <w:b w:val="false"/>
          <w:color w:val="000000"/>
          <w:sz w:val="20"/>
        </w:rPr>
        <w:t xml:space="preserve">This Schedule of Terms describes the material features of the Participant’s Non-Qualified Stock Option Award (the “Option Award” or the “Award”) granted under the Raytheon Technologies Corporation 2018 Long-Term Incentive Plan, as amended and restated effective April 26, 2021 (the “LTIP”), subject to this Schedule of Terms, the Award Agreement, and the terms and conditions set forth in the LTIP. The LTIP Prospectus contains further information about the LTIP and this Award and is available at </w:t>
      </w:r>
      <w:r>
        <w:rPr>
          <w:rFonts w:ascii="Arial;sans-serif" w:hAnsi="Arial;sans-serif"/>
          <w:b w:val="false"/>
          <w:color w:val="0000FF"/>
          <w:sz w:val="20"/>
          <w:u w:val="single"/>
        </w:rPr>
        <w:t>www.ubs.com/onesource/rtx</w:t>
      </w:r>
      <w:r>
        <w:rPr>
          <w:rFonts w:ascii="Arial;sans-serif" w:hAnsi="Arial;sans-serif"/>
          <w:b w:val="false"/>
          <w:color w:val="00000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67360"/>
                <wp:effectExtent l="0" t="0" r="0" b="0"/>
                <wp:wrapNone/>
                <wp:docPr id="81" name="Frame81"/>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before="0" w:after="0"/>
                              <w:jc w:val="right"/>
                              <w:rPr/>
                            </w:pPr>
                            <w:r>
                              <w:rPr/>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right"/>
                        <w:rPr/>
                      </w:pPr>
                      <w:r>
                        <w:rPr/>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240"/>
        <w:rPr/>
      </w:pPr>
      <w:r>
        <w:rPr>
          <w:rFonts w:ascii="Arial;sans-serif" w:hAnsi="Arial;sans-serif"/>
          <w:b/>
          <w:color w:val="221E1F"/>
          <w:sz w:val="22"/>
        </w:rPr>
        <w:t>Ce</w:t>
      </w:r>
      <w:r>
        <w:rPr>
          <w:rFonts w:ascii="Arial;sans-serif" w:hAnsi="Arial;sans-serif"/>
          <w:b/>
          <w:color w:val="000000"/>
          <w:sz w:val="22"/>
        </w:rPr>
        <w:t>rtain Definitions</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 xml:space="preserve">A Non-qualified Stock Option (an “Option”) represents the right to purchase a specified number of shares of Common Stock of Raytheon Technologies Corporation (the “Common Stock”) for a specified price (the “Exercise Price” or “Grant Price”). Upon exercise, the Participant generally receives shares of Common Stock. Options are generally exercisable if the Participant remains employed by the Company through the applicable vesting date schedule set forth in the Award Agreement (see “Vesting and Expiration” below), or upon an earlier Termination of Service under limited circumstances that result in accelerated vesting (see “Termination of Service” below). “Company” means Raytheon Technologies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of Directors of the Corporation. Capitalized terms not otherwise defined in this Schedule of Terms have the same meaning as defined in the LTIP. </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 xml:space="preserve">Acknowledgement and Acceptance of Award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The number of Options granted under the Option Award and the Option grant price are set forth in the Award Agreement. An LTIP Award recipient (a “Participant”) must affirmatively acknowledge and accept the terms and conditions of the Option Award within 150 days following the Grant Date. A failure to acknowledge and accept the Option Award subject to the LTIP and this Schedule of Terms, within such 150-day period may result in forfeiture of the Option Award, effective as of the 150th day following the Grant Date.</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Participants must acknowledge and accept the terms and conditions of this Option Award electronically via the UBS One Source website at www.ubs.com/onesource/rtx. Participants based in certain countries may be required to acknowledge and accept the terms and conditions of this Option Award by signing and returning the designated hard copy portion of the Award Agreement to the Stock Plan Administrator. These countries currently include Russia, Turkey, Hungary, and Slovenia.</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Exercise Price (or “Grant Price”)</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 xml:space="preserve">The Grant Price represents the Fair Market Value of the Corporation’s Common Stock on the date of grant. “Fair Market Value” means, as of any given date, the closing price of the Common Stock on the New York Stock Exchange. </w:t>
      </w:r>
    </w:p>
    <w:p>
      <w:pPr>
        <w:pStyle w:val="TextBody"/>
        <w:spacing w:before="0" w:after="24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08940"/>
                <wp:effectExtent l="0" t="0" r="0" b="0"/>
                <wp:wrapNone/>
                <wp:docPr id="82" name="Frame82"/>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04" w:before="2" w:after="240"/>
        <w:rPr>
          <w:rFonts w:ascii="Arial;sans-serif" w:hAnsi="Arial;sans-serif"/>
          <w:b/>
          <w:color w:val="221E1F"/>
          <w:sz w:val="22"/>
        </w:rPr>
      </w:pPr>
      <w:r>
        <w:rPr>
          <w:rFonts w:ascii="Arial;sans-serif" w:hAnsi="Arial;sans-serif"/>
          <w:b/>
          <w:color w:val="221E1F"/>
          <w:sz w:val="22"/>
        </w:rPr>
        <w:t>Vesting and Expiration</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Options will vest and expire (if unexercised) in accordance with the schedule set forth in the Award Agreement, subject to the Participant’s continued employment with the Company through each applicable vesting date. Options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Options may be exercised on or after the vesting date until the earlier of the: </w:t>
      </w:r>
    </w:p>
    <w:p>
      <w:pPr>
        <w:pStyle w:val="TextBody"/>
        <w:spacing w:lineRule="auto" w:line="304" w:before="0" w:after="240"/>
        <w:ind w:left="0" w:right="0" w:hanging="300"/>
        <w:rPr>
          <w:rFonts w:ascii="Arial;sans-serif" w:hAnsi="Arial;sans-serif"/>
          <w:b w:val="false"/>
          <w:color w:val="221E1F"/>
          <w:sz w:val="22"/>
        </w:rPr>
      </w:pPr>
      <w:r>
        <w:rPr>
          <w:rFonts w:ascii="Arial;sans-serif" w:hAnsi="Arial;sans-serif"/>
          <w:b w:val="false"/>
          <w:color w:val="221E1F"/>
          <w:sz w:val="22"/>
        </w:rPr>
        <w:t xml:space="preserve">(i) Expiration date specified in the Award Agreement, at which time the Stock Options and all associated rights lapse; or </w:t>
      </w:r>
    </w:p>
    <w:p>
      <w:pPr>
        <w:pStyle w:val="TextBody"/>
        <w:spacing w:lineRule="auto" w:line="304" w:before="0" w:after="240"/>
        <w:ind w:left="0" w:right="0" w:hanging="300"/>
        <w:rPr>
          <w:rFonts w:ascii="Arial;sans-serif" w:hAnsi="Arial;sans-serif"/>
          <w:b w:val="false"/>
          <w:color w:val="221E1F"/>
          <w:sz w:val="22"/>
        </w:rPr>
      </w:pPr>
      <w:r>
        <w:rPr>
          <w:rFonts w:ascii="Arial;sans-serif" w:hAnsi="Arial;sans-serif"/>
          <w:b w:val="false"/>
          <w:color w:val="221E1F"/>
          <w:sz w:val="22"/>
        </w:rPr>
        <w:t>(ii) Last day permitted on or following Termination of Service as specified in “Termination of Service” below.</w:t>
      </w:r>
    </w:p>
    <w:p>
      <w:pPr>
        <w:pStyle w:val="TextBody"/>
        <w:spacing w:lineRule="auto" w:line="304" w:before="0" w:after="240"/>
        <w:rPr/>
      </w:pPr>
      <w:r>
        <w:rPr>
          <w:rFonts w:ascii="Arial;sans-serif" w:hAnsi="Arial;sans-serif"/>
          <w:b w:val="false"/>
          <w:color w:val="221E1F"/>
          <w:sz w:val="22"/>
        </w:rPr>
        <w:t xml:space="preserve">Options </w:t>
      </w:r>
      <w:r>
        <w:rPr>
          <w:rFonts w:ascii="Arial;sans-serif" w:hAnsi="Arial;sans-serif"/>
          <w:b w:val="false"/>
          <w:color w:val="000000"/>
          <w:sz w:val="22"/>
        </w:rPr>
        <w:t xml:space="preserve">may also be forfeited and value realized from exercised </w:t>
      </w:r>
      <w:r>
        <w:rPr>
          <w:rFonts w:ascii="Arial;sans-serif" w:hAnsi="Arial;sans-serif"/>
          <w:b w:val="false"/>
          <w:color w:val="221E1F"/>
          <w:sz w:val="22"/>
        </w:rPr>
        <w:t>Options</w:t>
      </w:r>
      <w:r>
        <w:rPr>
          <w:color w:val="000000"/>
        </w:rPr>
        <w:t xml:space="preserve"> </w:t>
      </w:r>
      <w:r>
        <w:rPr>
          <w:rFonts w:ascii="Arial;sans-serif" w:hAnsi="Arial;sans-serif"/>
          <w:b w:val="false"/>
          <w:color w:val="000000"/>
          <w:sz w:val="22"/>
        </w:rPr>
        <w:t>may be recouped by the Company under certain circumstances (see “Forfeiture of Award and Repayment of Realized Gains” below).</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No Shareowner Rights</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The holder of an Option has no voting, dividend, or other rights accorded to owners of Common Stock, unless and until Options are exercised and settled in Common Stock.</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 xml:space="preserve">Exercise and Payment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While a Participant is employed by the Company, the Participant may exercise Options on or after the vesting date until the expiration date. The value a Participant will realize upon the exercise of an Option is the difference between the price of the Common Stock at the time of exercise and the Grant Price. The Participant will generally receive shares of Common Stock as soon as administratively practicable following exercise. The value of the Options may instead be paid in cash if the Committee so determines, including where local law restricts the distribution of Common Stock.</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It is the responsibility of the Participant, or a designated representative, to track the expiration of the Award and exercise Options in a timely manner. The Company assumes no responsibility for, and will make no adjustments with respect to, Options that expire unexercised. Any communication from the Company to the Participant with respect to expiration is provided as a courtesy only. </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Termination of Service</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 xml:space="preserve">The treatment of Options upon Termination of Service depends upon the reason for termination, as detailed in the following sections. Options held for less than one year as of the Termination Date will be forfeited, except in the event of Death, Disability, or Change-in-Control Termination, as discussed below. </w:t>
      </w:r>
      <w:r>
        <w:br w:type="page"/>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08940"/>
                <wp:effectExtent l="0" t="0" r="0" b="0"/>
                <wp:wrapNone/>
                <wp:docPr id="83" name="Frame83"/>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04" w:before="0" w:after="240"/>
        <w:rPr/>
      </w:pPr>
      <w:r>
        <w:rPr>
          <w:rFonts w:ascii="Arial;sans-serif" w:hAnsi="Arial;sans-serif"/>
          <w:b w:val="false"/>
          <w:color w:val="000000"/>
          <w:sz w:val="22"/>
        </w:rPr>
        <w:t>Absences from employment because of notice periods, garden leaves, or similar paid leaves associated with a Termination of Service will not be recognized as service in determining the Termination Date.</w:t>
      </w:r>
      <w:r>
        <w:rPr>
          <w:color w:val="221E1F"/>
        </w:rPr>
        <w:t xml:space="preserve"> </w:t>
      </w:r>
    </w:p>
    <w:p>
      <w:pPr>
        <w:pStyle w:val="TextBody"/>
        <w:spacing w:lineRule="auto" w:line="304" w:before="0" w:after="240"/>
        <w:rPr/>
      </w:pPr>
      <w:r>
        <w:rPr>
          <w:rFonts w:ascii="Arial;sans-serif" w:hAnsi="Arial;sans-serif"/>
          <w:b/>
          <w:color w:val="221E1F"/>
          <w:sz w:val="22"/>
        </w:rPr>
        <w:t xml:space="preserve">Retirement. </w:t>
      </w:r>
      <w:r>
        <w:rPr>
          <w:rFonts w:ascii="Arial;sans-serif" w:hAnsi="Arial;sans-serif"/>
          <w:b w:val="false"/>
          <w:color w:val="221E1F"/>
          <w:sz w:val="22"/>
        </w:rPr>
        <w:t xml:space="preserve">If the Participant’s termination results from Retirement, unvested Options held for at least one year as of the Termination Date will vest and become exercisable. For this purpose, Retirement means either a Normal Retirement or Early Retirement as defined below: </w:t>
      </w:r>
    </w:p>
    <w:p>
      <w:pPr>
        <w:pStyle w:val="TextBody"/>
        <w:spacing w:lineRule="auto" w:line="304" w:before="0" w:after="240"/>
        <w:ind w:left="0" w:right="0" w:hanging="360"/>
        <w:rPr/>
      </w:pPr>
      <w:r>
        <w:rPr>
          <w:color w:val="221E1F"/>
        </w:rPr>
        <w:t>•“</w:t>
      </w:r>
      <w:r>
        <w:rPr>
          <w:rFonts w:ascii="Arial;sans-serif" w:hAnsi="Arial;sans-serif"/>
          <w:b w:val="false"/>
          <w:color w:val="221E1F"/>
          <w:sz w:val="22"/>
        </w:rPr>
        <w:t xml:space="preserve">Normal Retirement” means retirement on or after age 65; </w:t>
      </w:r>
    </w:p>
    <w:p>
      <w:pPr>
        <w:pStyle w:val="TextBody"/>
        <w:spacing w:lineRule="auto" w:line="304" w:before="0" w:after="240"/>
        <w:ind w:left="0" w:right="0" w:hanging="360"/>
        <w:rPr/>
      </w:pPr>
      <w:r>
        <w:rPr>
          <w:color w:val="221E1F"/>
        </w:rPr>
        <w:t>• “</w:t>
      </w:r>
      <w:r>
        <w:rPr>
          <w:rFonts w:ascii="Arial;sans-serif" w:hAnsi="Arial;sans-serif"/>
          <w:b w:val="false"/>
          <w:color w:val="221E1F"/>
          <w:sz w:val="22"/>
        </w:rPr>
        <w:t>Early Retirement” means retirement on or after:</w:t>
      </w:r>
    </w:p>
    <w:p>
      <w:pPr>
        <w:pStyle w:val="TextBody"/>
        <w:spacing w:lineRule="auto" w:line="304" w:before="0" w:after="240"/>
        <w:ind w:left="0" w:right="0" w:hanging="360"/>
        <w:rPr>
          <w:rFonts w:ascii="Arial;sans-serif" w:hAnsi="Arial;sans-serif"/>
          <w:b w:val="false"/>
          <w:color w:val="221E1F"/>
          <w:sz w:val="22"/>
        </w:rPr>
      </w:pPr>
      <w:r>
        <w:rPr>
          <w:rFonts w:ascii="Arial;sans-serif" w:hAnsi="Arial;sans-serif"/>
          <w:b w:val="false"/>
          <w:color w:val="221E1F"/>
          <w:sz w:val="22"/>
        </w:rPr>
        <w:t>oAge 55 with 10 or more years of continuous service as of the Termination Date; or</w:t>
      </w:r>
    </w:p>
    <w:p>
      <w:pPr>
        <w:pStyle w:val="TextBody"/>
        <w:spacing w:lineRule="auto" w:line="304" w:before="0" w:after="240"/>
        <w:ind w:left="0" w:right="0" w:hanging="360"/>
        <w:rPr>
          <w:rFonts w:ascii="Arial;sans-serif" w:hAnsi="Arial;sans-serif"/>
          <w:b w:val="false"/>
          <w:color w:val="221E1F"/>
          <w:sz w:val="22"/>
        </w:rPr>
      </w:pPr>
      <w:r>
        <w:rPr>
          <w:rFonts w:ascii="Arial;sans-serif" w:hAnsi="Arial;sans-serif"/>
          <w:b w:val="false"/>
          <w:color w:val="221E1F"/>
          <w:sz w:val="22"/>
        </w:rPr>
        <w:t>oAge 50, but before age 55, and the Participant’s age and continuous service as of the Termination Date adds up to 65 or more (“Rule of 65”).</w:t>
      </w:r>
    </w:p>
    <w:p>
      <w:pPr>
        <w:pStyle w:val="TextBody"/>
        <w:spacing w:lineRule="auto" w:line="333" w:before="0" w:after="240"/>
        <w:rPr>
          <w:rFonts w:ascii="Arial;sans-serif" w:hAnsi="Arial;sans-serif"/>
          <w:b w:val="false"/>
          <w:color w:val="221E1F"/>
          <w:sz w:val="22"/>
        </w:rPr>
      </w:pPr>
      <w:r>
        <w:rPr>
          <w:rFonts w:ascii="Arial;sans-serif" w:hAnsi="Arial;sans-serif"/>
          <w:b w:val="false"/>
          <w:color w:val="221E1F"/>
          <w:sz w:val="22"/>
        </w:rPr>
        <w:t>Upon Retirement, vested Options may be exercised as detailed in the chart below:</w:t>
      </w:r>
    </w:p>
    <w:tbl>
      <w:tblPr>
        <w:tblW w:w="10205" w:type="dxa"/>
        <w:jc w:val="left"/>
        <w:tblInd w:w="0" w:type="dxa"/>
        <w:tblCellMar>
          <w:top w:w="28" w:type="dxa"/>
          <w:left w:w="28" w:type="dxa"/>
          <w:bottom w:w="28" w:type="dxa"/>
          <w:right w:w="28" w:type="dxa"/>
        </w:tblCellMar>
      </w:tblPr>
      <w:tblGrid>
        <w:gridCol w:w="1326"/>
        <w:gridCol w:w="1165"/>
        <w:gridCol w:w="1171"/>
        <w:gridCol w:w="691"/>
        <w:gridCol w:w="691"/>
        <w:gridCol w:w="693"/>
        <w:gridCol w:w="1430"/>
        <w:gridCol w:w="1252"/>
        <w:gridCol w:w="1786"/>
      </w:tblGrid>
      <w:tr>
        <w:trPr/>
        <w:tc>
          <w:tcPr>
            <w:tcW w:w="1326"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r>
      <w:tr>
        <w:trPr/>
        <w:tc>
          <w:tcPr>
            <w:tcW w:w="366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33" w:before="0" w:after="283"/>
              <w:jc w:val="center"/>
              <w:rPr>
                <w:rFonts w:ascii="Arial;sans-serif" w:hAnsi="Arial;sans-serif"/>
                <w:b/>
                <w:color w:val="221E1F"/>
                <w:sz w:val="22"/>
              </w:rPr>
            </w:pPr>
            <w:r>
              <w:rPr>
                <w:rFonts w:ascii="Arial;sans-serif" w:hAnsi="Arial;sans-serif"/>
                <w:b/>
                <w:color w:val="221E1F"/>
                <w:sz w:val="22"/>
              </w:rPr>
              <w:t>Retirement Type</w:t>
            </w:r>
          </w:p>
        </w:tc>
        <w:tc>
          <w:tcPr>
            <w:tcW w:w="207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33" w:before="0" w:after="283"/>
              <w:jc w:val="center"/>
              <w:rPr>
                <w:rFonts w:ascii="Arial;sans-serif" w:hAnsi="Arial;sans-serif"/>
                <w:b/>
                <w:color w:val="221E1F"/>
                <w:sz w:val="22"/>
              </w:rPr>
            </w:pPr>
            <w:r>
              <w:rPr>
                <w:rFonts w:ascii="Arial;sans-serif" w:hAnsi="Arial;sans-serif"/>
                <w:b/>
                <w:color w:val="221E1F"/>
                <w:sz w:val="22"/>
              </w:rPr>
              <w:t>Company Consents to Early Retirement *</w:t>
            </w:r>
          </w:p>
        </w:tc>
        <w:tc>
          <w:tcPr>
            <w:tcW w:w="446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33" w:before="0" w:after="283"/>
              <w:jc w:val="center"/>
              <w:rPr>
                <w:rFonts w:ascii="Arial;sans-serif" w:hAnsi="Arial;sans-serif"/>
                <w:b/>
                <w:color w:val="221E1F"/>
                <w:sz w:val="22"/>
              </w:rPr>
            </w:pPr>
            <w:r>
              <w:rPr>
                <w:rFonts w:ascii="Arial;sans-serif" w:hAnsi="Arial;sans-serif"/>
                <w:b/>
                <w:color w:val="221E1F"/>
                <w:sz w:val="22"/>
              </w:rPr>
              <w:t>Exercise Period</w:t>
            </w:r>
          </w:p>
        </w:tc>
      </w:tr>
      <w:tr>
        <w:trPr/>
        <w:tc>
          <w:tcPr>
            <w:tcW w:w="366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Normal Retirement (age 65)</w:t>
            </w:r>
          </w:p>
        </w:tc>
        <w:tc>
          <w:tcPr>
            <w:tcW w:w="207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N/A</w:t>
            </w:r>
          </w:p>
        </w:tc>
        <w:tc>
          <w:tcPr>
            <w:tcW w:w="446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4" w:before="0" w:after="283"/>
              <w:jc w:val="left"/>
              <w:rPr>
                <w:rFonts w:ascii="Arial;sans-serif" w:hAnsi="Arial;sans-serif"/>
                <w:b w:val="false"/>
                <w:color w:val="221E1F"/>
                <w:sz w:val="22"/>
              </w:rPr>
            </w:pPr>
            <w:r>
              <w:rPr>
                <w:rFonts w:ascii="Arial;sans-serif" w:hAnsi="Arial;sans-serif"/>
                <w:b w:val="false"/>
                <w:color w:val="221E1F"/>
                <w:sz w:val="22"/>
              </w:rPr>
              <w:t>Options may be exercised until the expiration of their term</w:t>
            </w:r>
          </w:p>
        </w:tc>
      </w:tr>
      <w:tr>
        <w:trPr/>
        <w:tc>
          <w:tcPr>
            <w:tcW w:w="3662" w:type="dxa"/>
            <w:gridSpan w:val="3"/>
            <w:vMerge w:val="restart"/>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Early Retirement on or after age 55 + 10 years of continuous service as of the Termination Date</w:t>
            </w:r>
          </w:p>
        </w:tc>
        <w:tc>
          <w:tcPr>
            <w:tcW w:w="207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Yes</w:t>
            </w:r>
          </w:p>
        </w:tc>
        <w:tc>
          <w:tcPr>
            <w:tcW w:w="446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4" w:before="0" w:after="283"/>
              <w:jc w:val="left"/>
              <w:rPr>
                <w:rFonts w:ascii="Arial;sans-serif" w:hAnsi="Arial;sans-serif"/>
                <w:b w:val="false"/>
                <w:color w:val="221E1F"/>
                <w:sz w:val="22"/>
              </w:rPr>
            </w:pPr>
            <w:r>
              <w:rPr>
                <w:rFonts w:ascii="Arial;sans-serif" w:hAnsi="Arial;sans-serif"/>
                <w:b w:val="false"/>
                <w:color w:val="221E1F"/>
                <w:sz w:val="22"/>
              </w:rPr>
              <w:t>Options may be exercised until the expiration of their term</w:t>
            </w:r>
          </w:p>
        </w:tc>
      </w:tr>
      <w:tr>
        <w:trPr/>
        <w:tc>
          <w:tcPr>
            <w:tcW w:w="3662"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207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No</w:t>
            </w:r>
          </w:p>
        </w:tc>
        <w:tc>
          <w:tcPr>
            <w:tcW w:w="446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4" w:before="0" w:after="283"/>
              <w:jc w:val="left"/>
              <w:rPr>
                <w:rFonts w:ascii="Arial;sans-serif" w:hAnsi="Arial;sans-serif"/>
                <w:b w:val="false"/>
                <w:color w:val="221E1F"/>
                <w:sz w:val="22"/>
              </w:rPr>
            </w:pPr>
            <w:r>
              <w:rPr>
                <w:rFonts w:ascii="Arial;sans-serif" w:hAnsi="Arial;sans-serif"/>
                <w:b w:val="false"/>
                <w:color w:val="221E1F"/>
                <w:sz w:val="22"/>
              </w:rPr>
              <w:t>Options may be exercised for three (3) years following the Termination Date or until the expiration of the Stock Option, whichever is earlier</w:t>
            </w:r>
          </w:p>
        </w:tc>
      </w:tr>
      <w:tr>
        <w:trPr/>
        <w:tc>
          <w:tcPr>
            <w:tcW w:w="3662" w:type="dxa"/>
            <w:gridSpan w:val="3"/>
            <w:vMerge w:val="restart"/>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Early Retirement on or after age 50, but prior to age 55 + years of service = 65+ as of the Termination Date</w:t>
            </w:r>
          </w:p>
        </w:tc>
        <w:tc>
          <w:tcPr>
            <w:tcW w:w="207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Yes</w:t>
            </w:r>
          </w:p>
        </w:tc>
        <w:tc>
          <w:tcPr>
            <w:tcW w:w="4468"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4" w:before="0" w:after="283"/>
              <w:jc w:val="left"/>
              <w:rPr>
                <w:rFonts w:ascii="Arial;sans-serif" w:hAnsi="Arial;sans-serif"/>
                <w:b w:val="false"/>
                <w:color w:val="221E1F"/>
                <w:sz w:val="22"/>
              </w:rPr>
            </w:pPr>
            <w:r>
              <w:rPr>
                <w:rFonts w:ascii="Arial;sans-serif" w:hAnsi="Arial;sans-serif"/>
                <w:b w:val="false"/>
                <w:color w:val="221E1F"/>
                <w:sz w:val="22"/>
              </w:rPr>
              <w:t>Options may be exercised for five (5) years following the Termination Date or until the expiration of the Option, whichever is earlier</w:t>
            </w:r>
          </w:p>
        </w:tc>
      </w:tr>
      <w:tr>
        <w:trPr/>
        <w:tc>
          <w:tcPr>
            <w:tcW w:w="3662"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207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304" w:before="0" w:after="283"/>
              <w:jc w:val="center"/>
              <w:rPr>
                <w:rFonts w:ascii="Arial;sans-serif" w:hAnsi="Arial;sans-serif"/>
                <w:b w:val="false"/>
                <w:color w:val="221E1F"/>
                <w:sz w:val="22"/>
              </w:rPr>
            </w:pPr>
            <w:r>
              <w:rPr>
                <w:rFonts w:ascii="Arial;sans-serif" w:hAnsi="Arial;sans-serif"/>
                <w:b w:val="false"/>
                <w:color w:val="221E1F"/>
                <w:sz w:val="22"/>
              </w:rPr>
              <w:t>No</w:t>
            </w:r>
          </w:p>
        </w:tc>
        <w:tc>
          <w:tcPr>
            <w:tcW w:w="4468"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304" w:before="0" w:after="283"/>
              <w:jc w:val="left"/>
              <w:rPr>
                <w:rFonts w:ascii="Arial;sans-serif" w:hAnsi="Arial;sans-serif"/>
                <w:b w:val="false"/>
                <w:color w:val="221E1F"/>
                <w:sz w:val="22"/>
              </w:rPr>
            </w:pPr>
            <w:r>
              <w:rPr>
                <w:rFonts w:ascii="Arial;sans-serif" w:hAnsi="Arial;sans-serif"/>
                <w:b w:val="false"/>
                <w:color w:val="221E1F"/>
                <w:sz w:val="22"/>
              </w:rPr>
              <w:t>Options may be exercised for three (3) years following the Termination Date or until the expiration of the Option, whichever is earlier</w:t>
            </w:r>
          </w:p>
        </w:tc>
      </w:tr>
      <w:tr>
        <w:trPr/>
        <w:tc>
          <w:tcPr>
            <w:tcW w:w="10205" w:type="dxa"/>
            <w:gridSpan w:val="9"/>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304" w:before="0" w:after="240"/>
              <w:ind w:left="0" w:right="0" w:hanging="157"/>
              <w:jc w:val="left"/>
              <w:rPr>
                <w:rFonts w:ascii="Arial;sans-serif" w:hAnsi="Arial;sans-serif"/>
                <w:b w:val="false"/>
                <w:color w:val="221E1F"/>
                <w:sz w:val="20"/>
              </w:rPr>
            </w:pPr>
            <w:r>
              <w:rPr>
                <w:rFonts w:ascii="Arial;sans-serif" w:hAnsi="Arial;sans-serif"/>
                <w:b w:val="false"/>
                <w:color w:val="221E1F"/>
                <w:sz w:val="20"/>
              </w:rPr>
              <w:t>* The Company’s consent to the Participant’s Retirement will be at the sole discretion of the Company based on its ability to effectively transition the Participant’s responsibilities as of the Termination Date and such other factors as it may deem appropriate.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08940"/>
                <wp:effectExtent l="0" t="0" r="0" b="0"/>
                <wp:wrapNone/>
                <wp:docPr id="84" name="Frame84"/>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Service used to determine eligibility for Normal or Early Retirement means “Continuous Service” as determined under the Raytheon Technologies Savings Plan. The calculation to determine Early Retirement will include partial years, rounded down to the nearest full month.</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A Participant will not receive Retirement treatment with respect to any Award in the event of involuntary termination by the Company for Cause. </w:t>
      </w:r>
    </w:p>
    <w:p>
      <w:pPr>
        <w:pStyle w:val="TextBody"/>
        <w:spacing w:lineRule="auto" w:line="304" w:before="0" w:after="240"/>
        <w:rPr/>
      </w:pPr>
      <w:r>
        <w:rPr>
          <w:rFonts w:ascii="Arial;sans-serif" w:hAnsi="Arial;sans-serif"/>
          <w:b/>
          <w:color w:val="221E1F"/>
          <w:sz w:val="22"/>
        </w:rPr>
        <w:t>Involuntary Termination for Cause.</w:t>
      </w:r>
      <w:r>
        <w:rPr>
          <w:color w:val="221E1F"/>
        </w:rPr>
        <w:t xml:space="preserve"> </w:t>
      </w:r>
      <w:r>
        <w:rPr>
          <w:rFonts w:ascii="Arial;sans-serif" w:hAnsi="Arial;sans-serif"/>
          <w:b w:val="false"/>
          <w:color w:val="221E1F"/>
          <w:sz w:val="22"/>
        </w:rPr>
        <w:t>If the Participant’s termination results from an involuntary termination by the Company for Cause (as defined in the LTIP), both vested and unvested Options will be forfeited as of the Termination Date regardless of the Participant’s Retirement eligibility. In addition, value realized from previously exercised Option may be subject to repayment in the event of termination for Cause or certain other occurrences (see “Forfeiture of Award and Repayment of Realized Gains” below).</w:t>
      </w:r>
    </w:p>
    <w:p>
      <w:pPr>
        <w:pStyle w:val="TextBody"/>
        <w:spacing w:lineRule="auto" w:line="304" w:before="0" w:after="240"/>
        <w:rPr/>
      </w:pPr>
      <w:r>
        <w:rPr>
          <w:rFonts w:ascii="Arial;sans-serif" w:hAnsi="Arial;sans-serif"/>
          <w:b/>
          <w:color w:val="221E1F"/>
          <w:sz w:val="22"/>
        </w:rPr>
        <w:t>Involuntary Termination.</w:t>
      </w:r>
      <w:r>
        <w:rPr>
          <w:color w:val="221E1F"/>
        </w:rPr>
        <w:t xml:space="preserve"> </w:t>
      </w:r>
      <w:r>
        <w:rPr>
          <w:rFonts w:ascii="Arial;sans-serif" w:hAnsi="Arial;sans-serif"/>
          <w:b w:val="false"/>
          <w:color w:val="221E1F"/>
          <w:sz w:val="22"/>
        </w:rPr>
        <w:t xml:space="preserve">If the Participant’s termination results from an involuntary termination by the Company for reasons other than Cause, unvested Options held for at least one year as of the Termination Date will receive pro-rata vesting treatment, subject to the Participant providing the Company with a release of claims against the Company in a form and manner satisfactory to the Company. The pro-rata vesting of an </w:t>
      </w:r>
      <w:r>
        <w:rPr>
          <w:rFonts w:ascii="Arial;sans-serif" w:hAnsi="Arial;sans-serif"/>
          <w:b w:val="false"/>
          <w:color w:val="000000"/>
          <w:sz w:val="22"/>
        </w:rPr>
        <w:t>Option</w:t>
      </w:r>
      <w:r>
        <w:rPr>
          <w:color w:val="221E1F"/>
        </w:rPr>
        <w:t xml:space="preserve"> </w:t>
      </w:r>
      <w:r>
        <w:rPr>
          <w:rFonts w:ascii="Arial;sans-serif" w:hAnsi="Arial;sans-serif"/>
          <w:b w:val="false"/>
          <w:color w:val="221E1F"/>
          <w:sz w:val="22"/>
        </w:rPr>
        <w:t xml:space="preserve">Award held for at least one year will be based on the number of months worked during the vesting period, including partial months, relative to the full vesting period. Options not vested under this pro-rata vesting formula will be forfeited as of the Termination Date.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Upon involuntary termination for reasons other than Cause, vested Options may be exercised for one (1) year following the Termination Date or until the expiration of the Option, whichever is earlier. Unexercised Options will expire without value at the close of the NYSE on the first anniversary of the Termination Date, or the expiration date, whichever comes first. In the event that the date falls on a weekend or market holiday, the Options will be cancelled at the end of the last trading day prior to such date.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Absences from employment because of notice periods, garden leaves, or similar paid leaves associated with a Termination of Service will not be recognized as service in determining the pro-rata vesting percentage.</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Pro-rata vesting will occur for involuntary terminations resulting from workforce reductions, location closings, restructurings, layoffs, or similar events, as determined by the Committee or its delegate. </w:t>
      </w:r>
    </w:p>
    <w:p>
      <w:pPr>
        <w:pStyle w:val="TextBody"/>
        <w:spacing w:lineRule="auto" w:line="304" w:before="0" w:after="240"/>
        <w:rPr/>
      </w:pPr>
      <w:r>
        <w:rPr>
          <w:rFonts w:ascii="Arial;sans-serif" w:hAnsi="Arial;sans-serif"/>
          <w:b w:val="false"/>
          <w:color w:val="000000"/>
          <w:sz w:val="22"/>
        </w:rPr>
        <w:t xml:space="preserve">Retirement eligible Participants will vest in accordance with the Retirement provisions set forth above. Change-in-Control Terminations are subject to vesting treatment as set forth in the Change-in-Control provisions below. </w:t>
      </w:r>
      <w:r>
        <w:rPr>
          <w:rFonts w:ascii="Arial;sans-serif" w:hAnsi="Arial;sans-serif"/>
          <w:b w:val="false"/>
          <w:color w:val="221E1F"/>
          <w:sz w:val="22"/>
        </w:rPr>
        <w:t>A Participant who is involuntarily terminated for Cause is not eligible for pro-rata vesting of Awards.</w:t>
      </w:r>
      <w:r>
        <w:br w:type="page"/>
      </w: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08940"/>
                <wp:effectExtent l="0" t="0" r="0" b="0"/>
                <wp:wrapNone/>
                <wp:docPr id="85" name="Frame85"/>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04" w:before="0" w:after="240"/>
        <w:rPr/>
      </w:pPr>
      <w:r>
        <w:rPr>
          <w:rFonts w:ascii="Arial;sans-serif" w:hAnsi="Arial;sans-serif"/>
          <w:b/>
          <w:color w:val="221E1F"/>
          <w:sz w:val="22"/>
        </w:rPr>
        <w:t>Voluntary Termination.</w:t>
      </w:r>
      <w:r>
        <w:rPr>
          <w:color w:val="221E1F"/>
        </w:rPr>
        <w:t xml:space="preserve"> </w:t>
      </w:r>
      <w:r>
        <w:rPr>
          <w:rFonts w:ascii="Arial;sans-serif" w:hAnsi="Arial;sans-serif"/>
          <w:b w:val="false"/>
          <w:color w:val="221E1F"/>
          <w:sz w:val="22"/>
        </w:rPr>
        <w:t>A Participant who voluntarily terminates employment (other than for Retirement or a Change-in-Control Termination) prior to the vesting date is not entitled to pro-rata vesting and will forfeit all unvested Options. Vested Options may be exercised for up to ninety (90) days from the Termination Date or until the expiration of the Option (if earlier). Unexercised Options will expire without value at the close of the NYSE on the ninetieth (90</w:t>
      </w:r>
      <w:r>
        <w:rPr>
          <w:rFonts w:ascii="Arial;sans-serif" w:hAnsi="Arial;sans-serif"/>
          <w:b w:val="false"/>
          <w:color w:val="221E1F"/>
          <w:sz w:val="14"/>
        </w:rPr>
        <w:t>th</w:t>
      </w:r>
      <w:r>
        <w:rPr>
          <w:rFonts w:ascii="Arial;sans-serif" w:hAnsi="Arial;sans-serif"/>
          <w:b w:val="false"/>
          <w:color w:val="221E1F"/>
          <w:sz w:val="22"/>
        </w:rPr>
        <w:t>) day following the Termination Date, or the expiration date, whichever comes first. In the event that the date falls on a weekend or market holiday, the Options will be cancelled at the end of the last trading day prior to the 90</w:t>
      </w:r>
      <w:r>
        <w:rPr>
          <w:rFonts w:ascii="Arial;sans-serif" w:hAnsi="Arial;sans-serif"/>
          <w:b w:val="false"/>
          <w:color w:val="221E1F"/>
          <w:sz w:val="14"/>
        </w:rPr>
        <w:t>th</w:t>
      </w:r>
      <w:r>
        <w:rPr>
          <w:color w:val="221E1F"/>
        </w:rPr>
        <w:t xml:space="preserve"> </w:t>
      </w:r>
      <w:r>
        <w:rPr>
          <w:rFonts w:ascii="Arial;sans-serif" w:hAnsi="Arial;sans-serif"/>
          <w:b w:val="false"/>
          <w:color w:val="221E1F"/>
          <w:sz w:val="22"/>
        </w:rPr>
        <w:t>day.</w:t>
      </w:r>
    </w:p>
    <w:p>
      <w:pPr>
        <w:pStyle w:val="TextBody"/>
        <w:spacing w:lineRule="auto" w:line="304" w:before="0" w:after="240"/>
        <w:rPr/>
      </w:pPr>
      <w:r>
        <w:rPr>
          <w:rFonts w:ascii="Arial;sans-serif" w:hAnsi="Arial;sans-serif"/>
          <w:b/>
          <w:color w:val="221E1F"/>
          <w:sz w:val="22"/>
        </w:rPr>
        <w:t>Disability.</w:t>
      </w:r>
      <w:r>
        <w:rPr>
          <w:color w:val="221E1F"/>
        </w:rPr>
        <w:t xml:space="preserve"> </w:t>
      </w:r>
      <w:r>
        <w:rPr>
          <w:rFonts w:ascii="Arial;sans-serif" w:hAnsi="Arial;sans-serif"/>
          <w:b w:val="false"/>
          <w:color w:val="221E1F"/>
          <w:sz w:val="22"/>
        </w:rPr>
        <w:t xml:space="preserve">If a Participant incurs a Disability (as defined in the LTIP), vested Options may be exercised for up to three (3) years from the Termination Date (or until the expiration of the Option, if earlier). While a Participant remains disabled under a Company sponsored long-term disability plan, unvested Options will remain eligible to vest on the earlier of (i) the vesting date specified in the Award Agreement; or (ii) 29 months following the date a Participant incurs a Disability and may then be exercised for three (3) years following the vesting date. </w:t>
      </w:r>
    </w:p>
    <w:p>
      <w:pPr>
        <w:pStyle w:val="TextBody"/>
        <w:spacing w:lineRule="auto" w:line="304" w:before="0" w:after="240"/>
        <w:rPr/>
      </w:pPr>
      <w:r>
        <w:rPr>
          <w:rFonts w:ascii="Arial;sans-serif" w:hAnsi="Arial;sans-serif"/>
          <w:b/>
          <w:color w:val="000000"/>
          <w:sz w:val="22"/>
        </w:rPr>
        <w:t xml:space="preserve">Authorized Leave of Absence. </w:t>
      </w:r>
      <w:r>
        <w:rPr>
          <w:rFonts w:ascii="Arial;sans-serif" w:hAnsi="Arial;sans-serif"/>
          <w:b w:val="false"/>
          <w:color w:val="000000"/>
          <w:sz w:val="22"/>
        </w:rPr>
        <w:t xml:space="preserve">If a </w:t>
      </w:r>
      <w:r>
        <w:rPr>
          <w:rFonts w:ascii="Arial;sans-serif" w:hAnsi="Arial;sans-serif"/>
          <w:b w:val="false"/>
          <w:color w:val="221E1F"/>
          <w:sz w:val="22"/>
        </w:rPr>
        <w:t>Participant is on a Company authorized leave of absence (including Military leave) that is not associated with a Termination of Service, unvested Options will remain eligible to vest during the period of leave, subject to the Participant’s continued employment with the Company through the vesting date</w:t>
      </w:r>
      <w:r>
        <w:rPr>
          <w:rFonts w:ascii="Arial;sans-serif" w:hAnsi="Arial;sans-serif"/>
          <w:b w:val="false"/>
          <w:color w:val="000000"/>
          <w:sz w:val="22"/>
        </w:rPr>
        <w:t>.</w:t>
      </w:r>
      <w:r>
        <w:rPr>
          <w:color w:val="221E1F"/>
        </w:rPr>
        <w:t xml:space="preserve"> </w:t>
      </w:r>
    </w:p>
    <w:p>
      <w:pPr>
        <w:pStyle w:val="TextBody"/>
        <w:spacing w:lineRule="auto" w:line="304" w:before="0" w:after="240"/>
        <w:rPr/>
      </w:pPr>
      <w:r>
        <w:rPr>
          <w:rFonts w:ascii="Arial;sans-serif" w:hAnsi="Arial;sans-serif"/>
          <w:b/>
          <w:color w:val="221E1F"/>
          <w:sz w:val="22"/>
        </w:rPr>
        <w:t xml:space="preserve">Death. </w:t>
      </w:r>
      <w:r>
        <w:rPr>
          <w:rFonts w:ascii="Arial;sans-serif" w:hAnsi="Arial;sans-serif"/>
          <w:b w:val="false"/>
          <w:color w:val="221E1F"/>
          <w:sz w:val="22"/>
        </w:rPr>
        <w:t xml:space="preserve">If a Participant dies while actively employed by the Company, or on Disability, all unvested Options will vest as of the date of death and become exercisable. A Participant’s estate will have three (3) years from the date of death (or until the expiration of the Options, if earlier) to exercise all outstanding Options, provided however, that if an Option expires prior to the expiration of the three-year extension period, the Option will be deemed to be exercised by the Participant’s estate as of the Option expiration date with net proceeds (where applicable) held for distribution to the estate. </w:t>
      </w:r>
    </w:p>
    <w:p>
      <w:pPr>
        <w:pStyle w:val="TextBody"/>
        <w:spacing w:lineRule="auto" w:line="304" w:before="0" w:after="240"/>
        <w:jc w:val="both"/>
        <w:rPr>
          <w:rFonts w:ascii="Arial;sans-serif" w:hAnsi="Arial;sans-serif"/>
          <w:b w:val="false"/>
          <w:color w:val="221E1F"/>
          <w:sz w:val="22"/>
        </w:rPr>
      </w:pPr>
      <w:r>
        <w:rPr>
          <w:rFonts w:ascii="Arial;sans-serif" w:hAnsi="Arial;sans-serif"/>
          <w:b w:val="false"/>
          <w:color w:val="221E1F"/>
          <w:sz w:val="22"/>
        </w:rPr>
        <w:t>Different tax rules may apply when the estate or heir exercises the deceased Participant’s Options. A personal tax or financial advisor should be consulted under this scenario.</w:t>
      </w:r>
    </w:p>
    <w:p>
      <w:pPr>
        <w:pStyle w:val="TextBody"/>
        <w:spacing w:lineRule="auto" w:line="304" w:before="0" w:after="240"/>
        <w:rPr/>
      </w:pPr>
      <w:r>
        <w:rPr>
          <w:rFonts w:ascii="Arial;sans-serif" w:hAnsi="Arial;sans-serif"/>
          <w:b/>
          <w:color w:val="000000"/>
          <w:sz w:val="22"/>
        </w:rPr>
        <w:t>Change-in-Control Termination.</w:t>
      </w:r>
      <w:r>
        <w:rPr>
          <w:color w:val="000000"/>
        </w:rPr>
        <w:t xml:space="preserve"> </w:t>
      </w:r>
      <w:r>
        <w:rPr>
          <w:rFonts w:ascii="Arial;sans-serif" w:hAnsi="Arial;sans-serif"/>
          <w:b w:val="false"/>
          <w:color w:val="000000"/>
          <w:sz w:val="22"/>
        </w:rPr>
        <w:t xml:space="preserve">If a Participant’s termination results from an involuntary termination by the Company for reasons other than for Cause, or due to the Participant’s voluntary termination for “Good Reason,” in each case, within 24 months following a Change-in-Control in accordance with Section 10(d) of the LTIP (such Termination of Service, a “CIC Termination”), then all unvested </w:t>
      </w:r>
      <w:r>
        <w:rPr>
          <w:rFonts w:ascii="Arial;sans-serif" w:hAnsi="Arial;sans-serif"/>
          <w:b w:val="false"/>
          <w:color w:val="221E1F"/>
          <w:sz w:val="22"/>
        </w:rPr>
        <w:t>Options</w:t>
      </w:r>
      <w:r>
        <w:rPr>
          <w:color w:val="000000"/>
        </w:rPr>
        <w:t xml:space="preserve"> </w:t>
      </w:r>
      <w:r>
        <w:rPr>
          <w:rFonts w:ascii="Arial;sans-serif" w:hAnsi="Arial;sans-serif"/>
          <w:b w:val="false"/>
          <w:color w:val="000000"/>
          <w:sz w:val="22"/>
        </w:rPr>
        <w:t xml:space="preserve">will vest and become exercisable as of the Termination Date and all vested </w:t>
      </w:r>
      <w:r>
        <w:rPr>
          <w:rFonts w:ascii="Arial;sans-serif" w:hAnsi="Arial;sans-serif"/>
          <w:b w:val="false"/>
          <w:color w:val="221E1F"/>
          <w:sz w:val="22"/>
        </w:rPr>
        <w:t>Options</w:t>
      </w:r>
      <w:r>
        <w:rPr>
          <w:color w:val="000000"/>
        </w:rPr>
        <w:t xml:space="preserve"> </w:t>
      </w:r>
      <w:r>
        <w:rPr>
          <w:rFonts w:ascii="Arial;sans-serif" w:hAnsi="Arial;sans-serif"/>
          <w:b w:val="false"/>
          <w:color w:val="000000"/>
          <w:sz w:val="22"/>
        </w:rPr>
        <w:t xml:space="preserve">will be exercisable until the third anniversary of the Termination Date (or until the expiration of the </w:t>
      </w:r>
      <w:r>
        <w:rPr>
          <w:rFonts w:ascii="Arial;sans-serif" w:hAnsi="Arial;sans-serif"/>
          <w:b w:val="false"/>
          <w:color w:val="221E1F"/>
          <w:sz w:val="22"/>
        </w:rPr>
        <w:t>Option</w:t>
      </w:r>
      <w:r>
        <w:rPr>
          <w:rFonts w:ascii="Arial;sans-serif" w:hAnsi="Arial;sans-serif"/>
          <w:b w:val="false"/>
          <w:color w:val="000000"/>
          <w:sz w:val="22"/>
        </w:rPr>
        <w:t>, if earlier).</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Forfeiture of Award and Repayment of Realized Gains</w:t>
      </w:r>
    </w:p>
    <w:p>
      <w:pPr>
        <w:pStyle w:val="TextBody"/>
        <w:spacing w:lineRule="auto" w:line="304" w:before="0" w:after="240"/>
        <w:rPr/>
      </w:pPr>
      <w:r>
        <w:rPr>
          <w:rFonts w:ascii="Arial;sans-serif" w:hAnsi="Arial;sans-serif"/>
          <w:b w:val="false"/>
          <w:color w:val="221E1F"/>
          <w:sz w:val="22"/>
        </w:rPr>
        <w:t xml:space="preserve">Option Awards, including Common Stock delivered for exercised Options, are subject to the applicable Raytheon Technologies Corporation Clawback Policy, as amended from time to time, available at </w:t>
      </w:r>
      <w:r>
        <w:rPr>
          <w:rFonts w:ascii="Arial;sans-serif" w:hAnsi="Arial;sans-serif"/>
          <w:b w:val="false"/>
          <w:color w:val="0000FF"/>
          <w:sz w:val="22"/>
          <w:u w:val="single"/>
        </w:rPr>
        <w:t>www.rtx.com</w:t>
      </w:r>
      <w:r>
        <w:rPr>
          <w:rFonts w:ascii="Arial;sans-serif" w:hAnsi="Arial;sans-serif"/>
          <w:b w:val="false"/>
          <w:color w:val="221E1F"/>
          <w:sz w:val="22"/>
        </w:rPr>
        <w:t xml:space="preserve">. Options, whether or not vested, will be immediately forfeited and a Participant may be obligated to repay to the Company the value realized from the prior exercise of Options upon the occurrence of any of the following events: </w:t>
      </w:r>
    </w:p>
    <w:p>
      <w:pPr>
        <w:pStyle w:val="TextBody"/>
        <w:spacing w:lineRule="auto" w:line="304" w:before="0" w:after="240"/>
        <w:ind w:left="0" w:right="0" w:hanging="540"/>
        <w:rPr>
          <w:rFonts w:ascii="Arial;sans-serif" w:hAnsi="Arial;sans-serif"/>
          <w:b w:val="false"/>
          <w:color w:val="000000"/>
          <w:sz w:val="22"/>
        </w:rPr>
      </w:pPr>
      <w:r>
        <w:rPr>
          <w:rFonts w:ascii="Arial;sans-serif" w:hAnsi="Arial;sans-serif"/>
          <w:b w:val="false"/>
          <w:color w:val="000000"/>
          <w:sz w:val="22"/>
        </w:rPr>
        <w:t xml:space="preserve">(i)Termination for Cause (as defined in the LTIP); </w:t>
      </w:r>
      <w:r>
        <w:br w:type="page"/>
      </w: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08940"/>
                <wp:effectExtent l="0" t="0" r="0" b="0"/>
                <wp:wrapNone/>
                <wp:docPr id="86" name="Frame86"/>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04" w:before="0" w:after="240"/>
        <w:ind w:left="0" w:right="0" w:hanging="540"/>
        <w:rPr>
          <w:rFonts w:ascii="Arial;sans-serif" w:hAnsi="Arial;sans-serif"/>
          <w:b w:val="false"/>
          <w:color w:val="000000"/>
          <w:sz w:val="22"/>
        </w:rPr>
      </w:pPr>
      <w:r>
        <w:rPr>
          <w:rFonts w:ascii="Arial;sans-serif" w:hAnsi="Arial;sans-serif"/>
          <w:b w:val="false"/>
          <w:color w:val="000000"/>
          <w:sz w:val="22"/>
        </w:rPr>
        <w:t xml:space="preserve">(ii)Within three-years following a Participant’s Termination Date, the Committee determines that the Participant engaged in conduct that could have constituted the basis for a Termination for Cause; </w:t>
      </w:r>
    </w:p>
    <w:p>
      <w:pPr>
        <w:pStyle w:val="TextBody"/>
        <w:spacing w:lineRule="auto" w:line="304" w:before="0" w:after="240"/>
        <w:ind w:left="0" w:right="0" w:hanging="540"/>
        <w:rPr>
          <w:rFonts w:ascii="Arial;sans-serif" w:hAnsi="Arial;sans-serif"/>
          <w:b w:val="false"/>
          <w:color w:val="000000"/>
          <w:sz w:val="22"/>
        </w:rPr>
      </w:pPr>
      <w:r>
        <w:rPr>
          <w:rFonts w:ascii="Arial;sans-serif" w:hAnsi="Arial;sans-serif"/>
          <w:b w:val="false"/>
          <w:color w:val="000000"/>
          <w:sz w:val="22"/>
        </w:rPr>
        <w:t xml:space="preserve">(iii)Within twenty-four months following the Termination Date, the Participant: </w:t>
      </w:r>
    </w:p>
    <w:p>
      <w:pPr>
        <w:pStyle w:val="TextBody"/>
        <w:spacing w:lineRule="auto" w:line="304" w:before="0" w:after="240"/>
        <w:ind w:left="0" w:right="0" w:hanging="540"/>
        <w:rPr>
          <w:rFonts w:ascii="Arial;sans-serif" w:hAnsi="Arial;sans-serif"/>
          <w:b w:val="false"/>
          <w:color w:val="000000"/>
          <w:sz w:val="22"/>
        </w:rPr>
      </w:pPr>
      <w:r>
        <w:rPr>
          <w:rFonts w:ascii="Arial;sans-serif" w:hAnsi="Arial;sans-serif"/>
          <w:b w:val="false"/>
          <w:color w:val="000000"/>
          <w:sz w:val="22"/>
        </w:rPr>
        <w:t xml:space="preserve">(A)Solicits a Company employee, or individual who had been a Company employee within the previous three months, for an opportunity outside of the Company; or </w:t>
      </w:r>
    </w:p>
    <w:p>
      <w:pPr>
        <w:pStyle w:val="TextBody"/>
        <w:spacing w:lineRule="auto" w:line="304" w:before="0" w:after="240"/>
        <w:ind w:left="0" w:right="0" w:hanging="540"/>
        <w:rPr>
          <w:rFonts w:ascii="Arial;sans-serif" w:hAnsi="Arial;sans-serif"/>
          <w:b w:val="false"/>
          <w:color w:val="000000"/>
          <w:sz w:val="22"/>
        </w:rPr>
      </w:pPr>
      <w:r>
        <w:rPr>
          <w:rFonts w:ascii="Arial;sans-serif" w:hAnsi="Arial;sans-serif"/>
          <w:b w:val="false"/>
          <w:color w:val="000000"/>
          <w:sz w:val="22"/>
        </w:rPr>
        <w:t xml:space="preserve">(B)Publicly disparages the Company, its employees, directors, products, or otherwise makes a public statement that is materially detrimental to the interests of the Company or such individuals; </w:t>
      </w:r>
    </w:p>
    <w:p>
      <w:pPr>
        <w:pStyle w:val="TextBody"/>
        <w:spacing w:lineRule="auto" w:line="304" w:before="0" w:after="240"/>
        <w:ind w:left="0" w:right="0" w:hanging="540"/>
        <w:rPr>
          <w:rFonts w:ascii="Arial;sans-serif" w:hAnsi="Arial;sans-serif"/>
          <w:b w:val="false"/>
          <w:color w:val="000000"/>
          <w:sz w:val="22"/>
        </w:rPr>
      </w:pPr>
      <w:r>
        <w:rPr>
          <w:rFonts w:ascii="Arial;sans-serif" w:hAnsi="Arial;sans-serif"/>
          <w:b w:val="false"/>
          <w:color w:val="000000"/>
          <w:sz w:val="22"/>
        </w:rPr>
        <w:t xml:space="preserve">(iv)A restatement of financial results attributable to a Participant’s actions, whether intentional or negligent. </w:t>
      </w:r>
    </w:p>
    <w:p>
      <w:pPr>
        <w:pStyle w:val="TextBody"/>
        <w:spacing w:lineRule="auto" w:line="304" w:before="0" w:after="240"/>
        <w:ind w:left="0" w:right="0" w:hanging="540"/>
        <w:rPr>
          <w:rFonts w:ascii="Arial;sans-serif" w:hAnsi="Arial;sans-serif"/>
          <w:b w:val="false"/>
          <w:color w:val="000000"/>
          <w:sz w:val="22"/>
        </w:rPr>
      </w:pPr>
      <w:r>
        <w:rPr>
          <w:rFonts w:ascii="Arial;sans-serif" w:hAnsi="Arial;sans-serif"/>
          <w:b w:val="false"/>
          <w:color w:val="000000"/>
          <w:sz w:val="22"/>
        </w:rPr>
        <w:t>(v)Except where prohibited by law, at any time during the twelve-month period following the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pStyle w:val="TextBody"/>
        <w:spacing w:lineRule="auto" w:line="304" w:before="240" w:after="240"/>
        <w:ind w:left="0" w:right="0" w:hanging="540"/>
        <w:rPr>
          <w:rFonts w:ascii="Arial;sans-serif" w:hAnsi="Arial;sans-serif"/>
          <w:b w:val="false"/>
          <w:color w:val="221E1F"/>
          <w:sz w:val="22"/>
        </w:rPr>
      </w:pPr>
      <w:r>
        <w:rPr>
          <w:rFonts w:ascii="Arial;sans-serif" w:hAnsi="Arial;sans-serif"/>
          <w:b w:val="false"/>
          <w:color w:val="221E1F"/>
          <w:sz w:val="22"/>
        </w:rPr>
        <w:t>(vi)    Negligent conduct injurious to the Company, including negligent supervision of a subordinate whose action requires a restatement of financial results, or other significant harm to the Company as determined by the Committee; or</w:t>
      </w:r>
    </w:p>
    <w:p>
      <w:pPr>
        <w:pStyle w:val="TextBody"/>
        <w:spacing w:lineRule="auto" w:line="304" w:before="0" w:after="240"/>
        <w:ind w:left="0" w:right="0" w:hanging="540"/>
        <w:rPr>
          <w:rFonts w:ascii="Arial;sans-serif" w:hAnsi="Arial;sans-serif"/>
          <w:b w:val="false"/>
          <w:color w:val="221E1F"/>
          <w:sz w:val="22"/>
        </w:rPr>
      </w:pPr>
      <w:r>
        <w:rPr>
          <w:rFonts w:ascii="Arial;sans-serif" w:hAnsi="Arial;sans-serif"/>
          <w:b w:val="false"/>
          <w:color w:val="221E1F"/>
          <w:sz w:val="22"/>
        </w:rPr>
        <w:t xml:space="preserve">(vii)    A Participant’s misappropriation of RTX Intellectual Property or violation of his/her Intellectual Property (IP) Agreement. </w:t>
      </w:r>
    </w:p>
    <w:p>
      <w:pPr>
        <w:pStyle w:val="TextBody"/>
        <w:spacing w:lineRule="auto" w:line="304" w:before="0" w:after="0"/>
        <w:rPr>
          <w:rFonts w:ascii="Arial;sans-serif" w:hAnsi="Arial;sans-serif"/>
          <w:b w:val="false"/>
          <w:color w:val="221E1F"/>
          <w:sz w:val="22"/>
        </w:rPr>
      </w:pPr>
      <w:r>
        <w:rPr>
          <w:rFonts w:ascii="Arial;sans-serif" w:hAnsi="Arial;sans-serif"/>
          <w:b w:val="false"/>
          <w:color w:val="221E1F"/>
          <w:sz w:val="22"/>
        </w:rPr>
        <w:t>In addition, the Committee reserves the right to require repayment of all or any portion of an Option Award under item (iv) above, without regard to whether a restatement is attributable to the Participant’s actions, as appropriate and determined at the Committee’s sole discretion.</w:t>
      </w:r>
    </w:p>
    <w:p>
      <w:pPr>
        <w:pStyle w:val="TextBody"/>
        <w:spacing w:before="2" w:after="2"/>
        <w:rPr/>
      </w:pPr>
      <w:r>
        <w:rPr/>
      </w:r>
    </w:p>
    <w:p>
      <w:pPr>
        <w:pStyle w:val="TextBody"/>
        <w:spacing w:lineRule="auto" w:line="304" w:before="0" w:after="240"/>
        <w:rPr/>
      </w:pPr>
      <w:r>
        <w:rPr>
          <w:rFonts w:ascii="Arial;sans-serif" w:hAnsi="Arial;sans-serif"/>
          <w:b w:val="false"/>
          <w:color w:val="221E1F"/>
          <w:sz w:val="22"/>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sans-serif" w:hAnsi="Arial;sans-serif"/>
          <w:b w:val="false"/>
          <w:color w:val="0000FF"/>
          <w:sz w:val="22"/>
          <w:u w:val="single"/>
        </w:rPr>
        <w:t>www.ubs.com/onesource/rtx</w:t>
      </w:r>
      <w:r>
        <w:rPr>
          <w:color w:val="000000"/>
        </w:rPr>
        <w:t xml:space="preserve"> </w:t>
      </w:r>
      <w:r>
        <w:rPr>
          <w:rFonts w:ascii="Arial;sans-serif" w:hAnsi="Arial;sans-serif"/>
          <w:b w:val="false"/>
          <w:color w:val="000000"/>
          <w:sz w:val="22"/>
        </w:rPr>
        <w:t xml:space="preserve">and the applicable RTX Clawback Policy, available at </w:t>
      </w:r>
      <w:r>
        <w:rPr>
          <w:rFonts w:ascii="Arial;sans-serif" w:hAnsi="Arial;sans-serif"/>
          <w:b w:val="false"/>
          <w:color w:val="0000FF"/>
          <w:sz w:val="22"/>
          <w:u w:val="single"/>
        </w:rPr>
        <w:t>www.rtx.com</w:t>
      </w:r>
      <w:r>
        <w:rPr>
          <w:rFonts w:ascii="Arial;sans-serif" w:hAnsi="Arial;sans-serif"/>
          <w:b w:val="false"/>
          <w:color w:val="000000"/>
          <w:sz w:val="22"/>
        </w:rPr>
        <w:t>.</w:t>
      </w:r>
    </w:p>
    <w:p>
      <w:pPr>
        <w:pStyle w:val="TextBody"/>
        <w:spacing w:before="0" w:after="24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08940"/>
                <wp:effectExtent l="0" t="0" r="0" b="0"/>
                <wp:wrapNone/>
                <wp:docPr id="87" name="Frame87"/>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04" w:before="2" w:after="240"/>
        <w:rPr>
          <w:rFonts w:ascii="Arial;sans-serif" w:hAnsi="Arial;sans-serif"/>
          <w:b/>
          <w:color w:val="000000"/>
          <w:sz w:val="22"/>
        </w:rPr>
      </w:pPr>
      <w:r>
        <w:rPr>
          <w:rFonts w:ascii="Arial;sans-serif" w:hAnsi="Arial;sans-serif"/>
          <w:b/>
          <w:color w:val="000000"/>
          <w:sz w:val="22"/>
        </w:rPr>
        <w:t xml:space="preserve">Adjustments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Option Awards may be adjusted as determined by the Committee, in its sole discretion.</w:t>
      </w:r>
    </w:p>
    <w:p>
      <w:pPr>
        <w:pStyle w:val="TextBody"/>
        <w:spacing w:lineRule="auto" w:line="304" w:before="0" w:after="240"/>
        <w:rPr/>
      </w:pPr>
      <w:r>
        <w:rPr>
          <w:rFonts w:ascii="Arial;sans-serif" w:hAnsi="Arial;sans-serif"/>
          <w:b w:val="false"/>
          <w:color w:val="221E1F"/>
          <w:sz w:val="22"/>
        </w:rPr>
        <w:t>Further information concerning capital adjustments is set forth in Section 3(e)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0000FF"/>
          <w:sz w:val="22"/>
        </w:rPr>
        <w:t>.</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Change-in-Control</w:t>
      </w:r>
    </w:p>
    <w:p>
      <w:pPr>
        <w:pStyle w:val="TextBody"/>
        <w:spacing w:lineRule="auto" w:line="304" w:before="0" w:after="240"/>
        <w:rPr/>
      </w:pPr>
      <w:r>
        <w:rPr>
          <w:rFonts w:ascii="Arial;sans-serif" w:hAnsi="Arial;sans-serif"/>
          <w:b w:val="false"/>
          <w:color w:val="221E1F"/>
          <w:sz w:val="22"/>
        </w:rPr>
        <w:t>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available at</w:t>
      </w:r>
      <w:r>
        <w:rPr>
          <w:color w:val="0000FF"/>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spacing w:lineRule="auto" w:line="304" w:before="0" w:after="240"/>
        <w:rPr/>
      </w:pPr>
      <w:r>
        <w:rPr>
          <w:rFonts w:ascii="Arial;sans-serif" w:hAnsi="Arial;sans-serif"/>
          <w:b/>
          <w:color w:val="000000"/>
          <w:sz w:val="22"/>
        </w:rPr>
        <w:t>Awards Not to Affect Certain Transactions</w:t>
      </w:r>
      <w:r>
        <w:rPr>
          <w:color w:val="FF0000"/>
        </w:rPr>
        <w:t xml:space="preserve">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Option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 </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 xml:space="preserve">Taxes / Withholding </w:t>
      </w:r>
    </w:p>
    <w:p>
      <w:pPr>
        <w:pStyle w:val="TextBody"/>
        <w:spacing w:lineRule="auto" w:line="304" w:before="0" w:after="240"/>
        <w:rPr/>
      </w:pPr>
      <w:r>
        <w:rPr>
          <w:rFonts w:ascii="Arial;sans-serif" w:hAnsi="Arial;sans-serif"/>
          <w:b w:val="false"/>
          <w:color w:val="221E1F"/>
          <w:sz w:val="22"/>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 Section 16 officer of the Company under Section 16 of the Securities Exchange Act of 1934, as amended, at the time that a taxable event occurs, then the Company’s withholding obligations with respect to such taxable event will be satisfied by the Company withholding shares of Common Stock converted from Options under the Option Award having a value on the date of exercise equal to the amount required to be withheld for tax purposes. The Company shall have the right to deduct directly from any payment or delivery of shares due to a Participant or from a Participant’s regular compensation to effect compliance with all Tax-Related Items, including withholding and reporting with respect to the exercise of any Option. Acceptance of an Award constitutes affirmative consent by a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sans-serif" w:hAnsi="Arial;sans-serif"/>
          <w:b w:val="false"/>
          <w:color w:val="211F1F"/>
          <w:sz w:val="22"/>
        </w:rPr>
        <w:t xml:space="preserve">Further, if the Participant has become subject to tax in more than one jurisdiction between the date of grant and the date of any relevant taxable event, the Participant acknowledges that the Company may be required to withhold or account for Tax-Related Items in more than one jurisdiction. </w:t>
      </w:r>
      <w:r>
        <w:rPr>
          <w:rFonts w:ascii="Arial;sans-serif" w:hAnsi="Arial;sans-serif"/>
          <w:b w:val="false"/>
          <w:color w:val="221E1F"/>
          <w:sz w:val="22"/>
        </w:rPr>
        <w:t xml:space="preserve">In those </w:t>
      </w:r>
      <w:r>
        <w:br w:type="page"/>
      </w: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08940"/>
                <wp:effectExtent l="0" t="0" r="0" b="0"/>
                <wp:wrapNone/>
                <wp:docPr id="88" name="Frame88"/>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7</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countries where there is no 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pStyle w:val="TextBody"/>
        <w:spacing w:lineRule="auto" w:line="304" w:before="0" w:after="240"/>
        <w:rPr/>
      </w:pPr>
      <w:r>
        <w:rPr>
          <w:rFonts w:ascii="Arial;sans-serif" w:hAnsi="Arial;sans-serif"/>
          <w:b w:val="false"/>
          <w:color w:val="211F1F"/>
          <w:sz w:val="22"/>
        </w:rPr>
        <w:t>Important information about the U.S. Federal income tax consequences of LTIP Awards can be found in the LTIP Prospectus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000000"/>
          <w:sz w:val="22"/>
        </w:rPr>
        <w:t>.</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 xml:space="preserve">Nonassignability </w:t>
      </w:r>
    </w:p>
    <w:p>
      <w:pPr>
        <w:pStyle w:val="TextBody"/>
        <w:spacing w:lineRule="auto" w:line="304" w:before="0" w:after="240"/>
        <w:rPr/>
      </w:pPr>
      <w:r>
        <w:rPr>
          <w:rFonts w:ascii="Arial;sans-serif" w:hAnsi="Arial;sans-serif"/>
          <w:b w:val="false"/>
          <w:color w:val="221E1F"/>
          <w:sz w:val="22"/>
        </w:rPr>
        <w:t>Unless otherwise approved by the Committee or its delegate, no</w:t>
      </w:r>
      <w:r>
        <w:rPr>
          <w:color w:val="000000"/>
        </w:rPr>
        <w:t xml:space="preserve"> </w:t>
      </w:r>
      <w:r>
        <w:rPr>
          <w:rFonts w:ascii="Arial;sans-serif" w:hAnsi="Arial;sans-serif"/>
          <w:b w:val="false"/>
          <w:color w:val="000000"/>
          <w:sz w:val="22"/>
        </w:rPr>
        <w:t xml:space="preserve">assignment or transfer of any right or interest of a Participant in any </w:t>
      </w:r>
      <w:r>
        <w:rPr>
          <w:rFonts w:ascii="Arial;sans-serif" w:hAnsi="Arial;sans-serif"/>
          <w:b w:val="false"/>
          <w:color w:val="221E1F"/>
          <w:sz w:val="22"/>
        </w:rPr>
        <w:t>Option</w:t>
      </w:r>
      <w:r>
        <w:rPr>
          <w:color w:val="000000"/>
        </w:rPr>
        <w:t xml:space="preserve"> </w:t>
      </w:r>
      <w:r>
        <w:rPr>
          <w:rFonts w:ascii="Arial;sans-serif" w:hAnsi="Arial;sans-serif"/>
          <w:b w:val="false"/>
          <w:color w:val="000000"/>
          <w:sz w:val="22"/>
        </w:rPr>
        <w:t>Award, whether voluntary or involuntary, by operation of law or otherwise, is permitted except by will or the laws of descent and distribution. Any other</w:t>
      </w:r>
      <w:r>
        <w:rPr>
          <w:color w:val="221E1F"/>
        </w:rPr>
        <w:t xml:space="preserve"> </w:t>
      </w:r>
      <w:r>
        <w:rPr>
          <w:rFonts w:ascii="Arial;sans-serif" w:hAnsi="Arial;sans-serif"/>
          <w:b w:val="false"/>
          <w:color w:val="221E1F"/>
          <w:sz w:val="22"/>
        </w:rPr>
        <w:t xml:space="preserve">attempt to assign such rights or interest shall be void and without force or effect. </w:t>
      </w:r>
    </w:p>
    <w:p>
      <w:pPr>
        <w:pStyle w:val="TextBody"/>
        <w:spacing w:lineRule="auto" w:line="304" w:before="0" w:after="240"/>
        <w:rPr/>
      </w:pPr>
      <w:r>
        <w:rPr>
          <w:rFonts w:ascii="Arial;sans-serif" w:hAnsi="Arial;sans-serif"/>
          <w:b/>
          <w:color w:val="000000"/>
          <w:sz w:val="22"/>
        </w:rPr>
        <w:t>Nature of Payments</w:t>
      </w:r>
      <w:r>
        <w:rPr>
          <w:color w:val="0000FF"/>
        </w:rPr>
        <w:t xml:space="preserve"> </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 xml:space="preserve">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 </w:t>
      </w:r>
    </w:p>
    <w:p>
      <w:pPr>
        <w:pStyle w:val="TextBody"/>
        <w:spacing w:lineRule="auto" w:line="304" w:before="0" w:after="240"/>
        <w:rPr>
          <w:rFonts w:ascii="Arial;sans-serif" w:hAnsi="Arial;sans-serif"/>
          <w:b/>
          <w:color w:val="211E1F"/>
          <w:sz w:val="22"/>
        </w:rPr>
      </w:pPr>
      <w:r>
        <w:rPr>
          <w:rFonts w:ascii="Arial;sans-serif" w:hAnsi="Arial;sans-serif"/>
          <w:b/>
          <w:color w:val="211E1F"/>
          <w:sz w:val="22"/>
        </w:rPr>
        <w:t>Right of Discharge Reserved</w:t>
      </w:r>
    </w:p>
    <w:p>
      <w:pPr>
        <w:pStyle w:val="TextBody"/>
        <w:spacing w:lineRule="auto" w:line="304" w:before="0" w:after="240"/>
        <w:rPr/>
      </w:pPr>
      <w:r>
        <w:rPr>
          <w:rFonts w:ascii="Arial;sans-serif" w:hAnsi="Arial;sans-serif"/>
          <w:b w:val="false"/>
          <w:color w:val="211E1F"/>
          <w:sz w:val="22"/>
        </w:rPr>
        <w:t xml:space="preserve">Nothing in the LTIP or in any </w:t>
      </w:r>
      <w:r>
        <w:rPr>
          <w:rFonts w:ascii="Arial;sans-serif" w:hAnsi="Arial;sans-serif"/>
          <w:b w:val="false"/>
          <w:color w:val="221E1F"/>
          <w:sz w:val="22"/>
        </w:rPr>
        <w:t>Option</w:t>
      </w:r>
      <w:r>
        <w:rPr>
          <w:color w:val="211E1F"/>
        </w:rPr>
        <w:t xml:space="preserve"> </w:t>
      </w:r>
      <w:r>
        <w:rPr>
          <w:rFonts w:ascii="Arial;sans-serif" w:hAnsi="Arial;sans-serif"/>
          <w:b w:val="false"/>
          <w:color w:val="211E1F"/>
          <w:sz w:val="22"/>
        </w:rPr>
        <w:t>Award shall confer upon any Participant the right to continued employment or service for any period of time or affect any right that the Company may have to terminate the employment of any Participant at any time for any reason.</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Administration</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and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pStyle w:val="TextBody"/>
        <w:spacing w:before="0" w:after="24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08940"/>
                <wp:effectExtent l="0" t="0" r="0" b="0"/>
                <wp:wrapNone/>
                <wp:docPr id="89" name="Frame89"/>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8</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Data Privacy</w:t>
      </w:r>
    </w:p>
    <w:p>
      <w:pPr>
        <w:pStyle w:val="TextBody"/>
        <w:spacing w:lineRule="auto" w:line="304" w:before="0" w:after="240"/>
        <w:rPr>
          <w:rFonts w:ascii="Arial;sans-serif" w:hAnsi="Arial;sans-serif"/>
          <w:b w:val="false"/>
          <w:color w:val="221E1F"/>
          <w:sz w:val="22"/>
        </w:rPr>
      </w:pPr>
      <w:r>
        <w:rPr>
          <w:rFonts w:ascii="Arial;sans-serif" w:hAnsi="Arial;sans-serif"/>
          <w:b w:val="false"/>
          <w:color w:val="221E1F"/>
          <w:sz w:val="22"/>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 xml:space="preserve">Company Compliance Policies </w:t>
      </w:r>
    </w:p>
    <w:p>
      <w:pPr>
        <w:pStyle w:val="TextBody"/>
        <w:spacing w:lineRule="auto" w:line="304" w:before="0" w:after="240"/>
        <w:rPr/>
      </w:pPr>
      <w:r>
        <w:rPr>
          <w:rFonts w:ascii="Arial;sans-serif" w:hAnsi="Arial;sans-serif"/>
          <w:b w:val="false"/>
          <w:color w:val="000000"/>
          <w:sz w:val="22"/>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sans-serif" w:hAnsi="Arial;sans-serif"/>
          <w:b w:val="false"/>
          <w:color w:val="0000FF"/>
          <w:sz w:val="22"/>
          <w:u w:val="single"/>
        </w:rPr>
        <w:t>http://epolicy.corp.ray.com/epolicy/</w:t>
      </w:r>
      <w:r>
        <w:rPr>
          <w:rFonts w:ascii="Arial;sans-serif" w:hAnsi="Arial;sans-serif"/>
          <w:b w:val="false"/>
          <w:color w:val="221E1F"/>
          <w:sz w:val="22"/>
        </w:rPr>
        <w:t>.</w:t>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Interpretations</w:t>
      </w:r>
    </w:p>
    <w:p>
      <w:pPr>
        <w:pStyle w:val="TextBody"/>
        <w:spacing w:lineRule="auto" w:line="304" w:before="0" w:after="240"/>
        <w:rPr/>
      </w:pPr>
      <w:r>
        <w:rPr>
          <w:rFonts w:ascii="Arial;sans-serif" w:hAnsi="Arial;sans-serif"/>
          <w:b w:val="false"/>
          <w:color w:val="221E1F"/>
          <w:sz w:val="22"/>
        </w:rPr>
        <w:t>This Schedule of Terms provides a summary of terms applicable to the Option Award. This Schedule of Terms and each Award Agreement are subject in all respects to the terms of the LTIP, available at</w:t>
      </w:r>
      <w:r>
        <w:rPr>
          <w:color w:val="000000"/>
        </w:rPr>
        <w:t xml:space="preserve"> </w:t>
      </w:r>
      <w:r>
        <w:rPr>
          <w:rFonts w:ascii="Arial;sans-serif" w:hAnsi="Arial;sans-serif"/>
          <w:b w:val="false"/>
          <w:color w:val="0000FF"/>
          <w:sz w:val="22"/>
          <w:u w:val="single"/>
        </w:rPr>
        <w:t>www.ubs.com/onesource/rtx</w:t>
      </w:r>
      <w:r>
        <w:rPr>
          <w:rFonts w:ascii="Arial;sans-serif" w:hAnsi="Arial;sans-serif"/>
          <w:b w:val="false"/>
          <w:color w:val="221E1F"/>
          <w:sz w:val="22"/>
        </w:rPr>
        <w:t>.</w:t>
      </w:r>
      <w:r>
        <w:rPr>
          <w:color w:val="0000FF"/>
        </w:rPr>
        <w:t xml:space="preserve"> </w:t>
      </w:r>
      <w:r>
        <w:rPr>
          <w:rFonts w:ascii="Arial;sans-serif" w:hAnsi="Arial;sans-serif"/>
          <w:b w:val="false"/>
          <w:color w:val="221E1F"/>
          <w:sz w:val="22"/>
        </w:rPr>
        <w:t>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pStyle w:val="TextBody"/>
        <w:spacing w:lineRule="auto" w:line="304" w:before="0" w:after="240"/>
        <w:rPr>
          <w:rFonts w:ascii="Arial;sans-serif" w:hAnsi="Arial;sans-serif"/>
          <w:b/>
          <w:color w:val="000000"/>
          <w:sz w:val="22"/>
        </w:rPr>
      </w:pPr>
      <w:r>
        <w:rPr>
          <w:rFonts w:ascii="Arial;sans-serif" w:hAnsi="Arial;sans-serif"/>
          <w:b/>
          <w:color w:val="000000"/>
          <w:sz w:val="22"/>
        </w:rPr>
        <w:t>Governing Law</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The LTIP, this Schedule of Terms, and the Award Agreement shall be governed by and construed in accordance with the laws of the State of Delaware.</w:t>
      </w:r>
    </w:p>
    <w:p>
      <w:pPr>
        <w:pStyle w:val="TextBody"/>
        <w:spacing w:before="0" w:after="24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08940"/>
                <wp:effectExtent l="0" t="0" r="0" b="0"/>
                <wp:wrapNone/>
                <wp:docPr id="90" name="Frame90"/>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9</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04" w:before="0" w:after="240"/>
        <w:rPr>
          <w:rFonts w:ascii="Arial;sans-serif" w:hAnsi="Arial;sans-serif"/>
          <w:b/>
          <w:color w:val="221E1F"/>
          <w:sz w:val="22"/>
        </w:rPr>
      </w:pPr>
      <w:r>
        <w:rPr>
          <w:rFonts w:ascii="Arial;sans-serif" w:hAnsi="Arial;sans-serif"/>
          <w:b/>
          <w:color w:val="221E1F"/>
          <w:sz w:val="22"/>
        </w:rPr>
        <w:t xml:space="preserve">Additional Information </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Questions concerning the LTIP or Awards and requests for LTIP documents can be directed to:</w:t>
      </w:r>
    </w:p>
    <w:p>
      <w:pPr>
        <w:pStyle w:val="TextBody"/>
        <w:spacing w:lineRule="auto" w:line="304" w:before="0" w:after="240"/>
        <w:rPr>
          <w:rFonts w:ascii="Arial;sans-serif" w:hAnsi="Arial;sans-serif"/>
          <w:b w:val="false"/>
          <w:color w:val="000000"/>
          <w:sz w:val="22"/>
        </w:rPr>
      </w:pPr>
      <w:r>
        <w:rPr>
          <w:rFonts w:ascii="Arial;sans-serif" w:hAnsi="Arial;sans-serif"/>
          <w:b w:val="false"/>
          <w:color w:val="000000"/>
          <w:sz w:val="22"/>
        </w:rPr>
        <w:t>Stock Plan Administrator</w:t>
      </w:r>
    </w:p>
    <w:p>
      <w:pPr>
        <w:pStyle w:val="TextBody"/>
        <w:spacing w:lineRule="auto" w:line="304" w:before="0" w:after="240"/>
        <w:rPr>
          <w:rFonts w:ascii="Arial;sans-serif" w:hAnsi="Arial;sans-serif"/>
          <w:b w:val="false"/>
          <w:color w:val="0000FF"/>
          <w:sz w:val="22"/>
          <w:u w:val="single"/>
        </w:rPr>
      </w:pPr>
      <w:r>
        <w:rPr>
          <w:rFonts w:ascii="Arial;sans-serif" w:hAnsi="Arial;sans-serif"/>
          <w:b w:val="false"/>
          <w:color w:val="0000FF"/>
          <w:sz w:val="22"/>
          <w:u w:val="single"/>
        </w:rPr>
        <w:t>rtxstockadmin@rtx.com</w:t>
      </w:r>
    </w:p>
    <w:p>
      <w:pPr>
        <w:pStyle w:val="TextBody"/>
        <w:spacing w:lineRule="auto" w:line="304" w:before="0" w:after="240"/>
        <w:ind w:left="0" w:right="0" w:firstLine="720"/>
        <w:rPr>
          <w:rFonts w:ascii="Arial;sans-serif" w:hAnsi="Arial;sans-serif"/>
          <w:b w:val="false"/>
          <w:color w:val="000000"/>
          <w:sz w:val="22"/>
        </w:rPr>
      </w:pPr>
      <w:r>
        <w:rPr>
          <w:rFonts w:ascii="Arial;sans-serif" w:hAnsi="Arial;sans-serif"/>
          <w:b w:val="false"/>
          <w:color w:val="000000"/>
          <w:sz w:val="22"/>
        </w:rPr>
        <w:t>OR</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Raytheon Technologies Corporation</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Attn: Stock Plan Administrator</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4 Farm Springs Road</w:t>
      </w:r>
    </w:p>
    <w:p>
      <w:pPr>
        <w:pStyle w:val="TextBody"/>
        <w:spacing w:lineRule="auto" w:line="304" w:before="0" w:after="0"/>
        <w:rPr>
          <w:rFonts w:ascii="Arial;sans-serif" w:hAnsi="Arial;sans-serif"/>
          <w:b w:val="false"/>
          <w:color w:val="000000"/>
          <w:sz w:val="22"/>
        </w:rPr>
      </w:pPr>
      <w:r>
        <w:rPr>
          <w:rFonts w:ascii="Arial;sans-serif" w:hAnsi="Arial;sans-serif"/>
          <w:b w:val="false"/>
          <w:color w:val="000000"/>
          <w:sz w:val="22"/>
        </w:rPr>
        <w:t>Farmington, CT 06032</w:t>
      </w:r>
    </w:p>
    <w:p>
      <w:pPr>
        <w:pStyle w:val="TextBody"/>
        <w:spacing w:before="0" w:after="0"/>
        <w:rPr/>
      </w:pPr>
      <w:r>
        <w:rPr/>
      </w:r>
    </w:p>
    <w:p>
      <w:pPr>
        <w:pStyle w:val="TextBody"/>
        <w:spacing w:lineRule="auto" w:line="304" w:before="0" w:after="240"/>
        <w:rPr/>
      </w:pPr>
      <w:r>
        <w:rPr>
          <w:rFonts w:ascii="Arial;sans-serif" w:hAnsi="Arial;sans-serif"/>
          <w:b w:val="false"/>
          <w:color w:val="000000"/>
          <w:sz w:val="22"/>
        </w:rPr>
        <w:t xml:space="preserve">The Corporation and / or its approved Stock Plan Administrator will send any Award-related communications to the Participant’s email address or physical address on record. </w:t>
      </w:r>
      <w:r>
        <w:rPr>
          <w:rFonts w:ascii="Arial;sans-serif" w:hAnsi="Arial;sans-serif"/>
          <w:b w:val="false"/>
          <w:color w:val="221E1F"/>
          <w:sz w:val="22"/>
        </w:rPr>
        <w:t xml:space="preserve">It is the responsibility of the Participant to ensure that both the e-mail and physical address on record are up-to-date and accurate at all times to ensure delivery of Award-related communications. </w:t>
      </w:r>
    </w:p>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08940"/>
                <wp:effectExtent l="0" t="0" r="0" b="0"/>
                <wp:wrapNone/>
                <wp:docPr id="91" name="Frame91"/>
                <a:graphic xmlns:a="http://schemas.openxmlformats.org/drawingml/2006/main">
                  <a:graphicData uri="http://schemas.microsoft.com/office/word/2010/wordprocessingShape">
                    <wps:wsp>
                      <wps:cNvSpPr txBox="1"/>
                      <wps:spPr>
                        <a:xfrm>
                          <a:off x="0" y="0"/>
                          <a:ext cx="6480175" cy="408940"/>
                        </a:xfrm>
                        <a:prstGeom prst="rect"/>
                      </wps:spPr>
                      <wps:txb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10</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Arial;sans-serif" w:hAnsi="Arial;sans-serif"/>
                          <w:b w:val="false"/>
                          <w:color w:val="000000"/>
                          <w:sz w:val="16"/>
                        </w:rPr>
                      </w:pPr>
                      <w:r>
                        <w:rPr>
                          <w:rFonts w:ascii="Arial;sans-serif" w:hAnsi="Arial;sans-serif"/>
                          <w:b w:val="false"/>
                          <w:color w:val="000000"/>
                          <w:sz w:val="16"/>
                        </w:rPr>
                        <w:t>10</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02/2023</w:t>
                      </w:r>
                    </w:p>
                    <w:p>
                      <w:pPr>
                        <w:pStyle w:val="TextBody"/>
                        <w:spacing w:lineRule="auto" w:line="240" w:before="0" w:after="0"/>
                        <w:rPr>
                          <w:color w:val="000000"/>
                        </w:rPr>
                      </w:pPr>
                      <w:r>
                        <w:rPr>
                          <w:color w:val="000000"/>
                        </w:rPr>
                        <w:t xml:space="preserve">         </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15</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April 25, 2023</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100 F Street, N.E.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Commissioners:</w:t>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We are aware that our report</w:t>
      </w:r>
      <w:r>
        <w:rPr>
          <w:color w:val="FF0000"/>
        </w:rPr>
        <w:t xml:space="preserve"> </w:t>
      </w:r>
      <w:r>
        <w:rPr>
          <w:rFonts w:ascii="Times New Roman;sans-serif" w:hAnsi="Times New Roman;sans-serif"/>
          <w:b w:val="false"/>
          <w:color w:val="000000"/>
          <w:sz w:val="20"/>
        </w:rPr>
        <w:t>dated April 25, 2023 on our review</w:t>
      </w:r>
      <w:r>
        <w:rPr>
          <w:color w:val="FF0000"/>
        </w:rPr>
        <w:t xml:space="preserve"> </w:t>
      </w:r>
      <w:r>
        <w:rPr>
          <w:rFonts w:ascii="Times New Roman;sans-serif" w:hAnsi="Times New Roman;sans-serif"/>
          <w:b w:val="false"/>
          <w:color w:val="000000"/>
          <w:sz w:val="20"/>
        </w:rPr>
        <w:t>of interim financial information of Raytheon Technologies Corporation, which appears in this Quarterly Report on Form 10-Q, is</w:t>
      </w:r>
      <w:r>
        <w:rPr>
          <w:color w:val="FF0000"/>
        </w:rPr>
        <w:t xml:space="preserve"> </w:t>
      </w:r>
      <w:r>
        <w:rPr>
          <w:rFonts w:ascii="Times New Roman;sans-serif" w:hAnsi="Times New Roman;sans-serif"/>
          <w:b w:val="false"/>
          <w:color w:val="000000"/>
          <w:sz w:val="20"/>
        </w:rPr>
        <w:t>incorporated by reference in the Registration Statements</w:t>
      </w:r>
      <w:r>
        <w:rPr>
          <w:color w:val="FF0000"/>
        </w:rPr>
        <w:t xml:space="preserve"> </w:t>
      </w:r>
      <w:r>
        <w:rPr>
          <w:rFonts w:ascii="Times New Roman;sans-serif" w:hAnsi="Times New Roman;sans-serif"/>
          <w:b w:val="false"/>
          <w:color w:val="000000"/>
          <w:sz w:val="20"/>
        </w:rPr>
        <w:t xml:space="preserve">on Form S-3 (No. 333-267564) and S-8 (Nos. 333-237576, 333-234086, 333-234085, 333-234084, 333-228649, 333-225839, 333-197704, 333-175781, 333-150643, 333-125293, 333-110020, and 333-100724) of Raytheon Technologies Corporation.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Very truly yours,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spacing w:lineRule="auto" w:line="288" w:before="18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 Gregory J. Hayes, certify that:</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Raytheon Technologies Corporation;</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180" w:after="283"/>
        <w:ind w:left="0" w:right="0" w:hanging="360"/>
        <w:jc w:val="both"/>
        <w:rPr/>
      </w:pPr>
      <w:r>
        <w:rPr/>
      </w:r>
    </w:p>
    <w:tbl>
      <w:tblPr>
        <w:tblW w:w="4330" w:type="dxa"/>
        <w:jc w:val="left"/>
        <w:tblInd w:w="0" w:type="dxa"/>
        <w:tblCellMar>
          <w:top w:w="28" w:type="dxa"/>
          <w:left w:w="28" w:type="dxa"/>
          <w:bottom w:w="28" w:type="dxa"/>
          <w:right w:w="28" w:type="dxa"/>
        </w:tblCellMar>
      </w:tblPr>
      <w:tblGrid>
        <w:gridCol w:w="200"/>
        <w:gridCol w:w="177"/>
        <w:gridCol w:w="178"/>
        <w:gridCol w:w="429"/>
        <w:gridCol w:w="429"/>
        <w:gridCol w:w="431"/>
        <w:gridCol w:w="109"/>
        <w:gridCol w:w="109"/>
        <w:gridCol w:w="109"/>
        <w:gridCol w:w="630"/>
        <w:gridCol w:w="630"/>
        <w:gridCol w:w="89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J. HAYES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J. Hayes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Neil G. Mitchill, Jr., certify that:</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Raytheon Technologies Corporation;</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180" w:after="283"/>
        <w:ind w:left="0" w:right="0" w:hanging="360"/>
        <w:jc w:val="both"/>
        <w:rPr/>
      </w:pPr>
      <w:r>
        <w:rPr/>
      </w:r>
    </w:p>
    <w:tbl>
      <w:tblPr>
        <w:tblW w:w="6611" w:type="dxa"/>
        <w:jc w:val="left"/>
        <w:tblInd w:w="0" w:type="dxa"/>
        <w:tblCellMar>
          <w:top w:w="28" w:type="dxa"/>
          <w:left w:w="28" w:type="dxa"/>
          <w:bottom w:w="28" w:type="dxa"/>
          <w:right w:w="28" w:type="dxa"/>
        </w:tblCellMar>
      </w:tblPr>
      <w:tblGrid>
        <w:gridCol w:w="200"/>
        <w:gridCol w:w="177"/>
        <w:gridCol w:w="178"/>
        <w:gridCol w:w="429"/>
        <w:gridCol w:w="429"/>
        <w:gridCol w:w="431"/>
        <w:gridCol w:w="109"/>
        <w:gridCol w:w="109"/>
        <w:gridCol w:w="109"/>
        <w:gridCol w:w="1297"/>
        <w:gridCol w:w="1297"/>
        <w:gridCol w:w="184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NEIL G. MITCHILL, JR.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Neil G. Mitchill, Jr.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Amy L. Johnson, certify that:</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Raytheon Technologies Corporation;</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180" w:after="283"/>
        <w:ind w:left="0" w:right="0" w:hanging="360"/>
        <w:jc w:val="both"/>
        <w:rPr/>
      </w:pPr>
      <w:r>
        <w:rPr/>
      </w:r>
    </w:p>
    <w:tbl>
      <w:tblPr>
        <w:tblW w:w="5575" w:type="dxa"/>
        <w:jc w:val="left"/>
        <w:tblInd w:w="0" w:type="dxa"/>
        <w:tblCellMar>
          <w:top w:w="28" w:type="dxa"/>
          <w:left w:w="28" w:type="dxa"/>
          <w:bottom w:w="28" w:type="dxa"/>
          <w:right w:w="28" w:type="dxa"/>
        </w:tblCellMar>
      </w:tblPr>
      <w:tblGrid>
        <w:gridCol w:w="200"/>
        <w:gridCol w:w="177"/>
        <w:gridCol w:w="178"/>
        <w:gridCol w:w="429"/>
        <w:gridCol w:w="429"/>
        <w:gridCol w:w="431"/>
        <w:gridCol w:w="109"/>
        <w:gridCol w:w="109"/>
        <w:gridCol w:w="109"/>
        <w:gridCol w:w="995"/>
        <w:gridCol w:w="995"/>
        <w:gridCol w:w="141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AMY L. JOHNSON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Amy L. Johnson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and Controller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(Subsections (a) and (b) of Section 1350, Chapter 63 of Title 18, United States Code)</w:t>
      </w:r>
    </w:p>
    <w:p>
      <w:pPr>
        <w:pStyle w:val="TextBody"/>
        <w:spacing w:lineRule="auto" w:line="288" w:before="180" w:after="120"/>
        <w:ind w:left="0" w:right="0" w:firstLine="495"/>
        <w:rPr/>
      </w:pPr>
      <w:r>
        <w:rPr>
          <w:rFonts w:ascii="Times New Roman;sans-serif" w:hAnsi="Times New Roman;sans-serif"/>
          <w:b w:val="false"/>
          <w:color w:val="000000"/>
          <w:sz w:val="20"/>
        </w:rPr>
        <w:t>Pursuant to section 906 of the Sarbanes-Oxley Act of 2002 (subsections (a) and (b) of section 1350, chapter 63 of title 18, United States Code), each of the undersigned officers of Raytheon Technologies Corporation, a Delaware corporation (the “</w:t>
      </w:r>
      <w:r>
        <w:rPr>
          <w:rFonts w:ascii="Times New Roman;sans-serif" w:hAnsi="Times New Roman;sans-serif"/>
          <w:b w:val="false"/>
          <w:color w:val="000000"/>
          <w:sz w:val="20"/>
          <w:u w:val="single"/>
        </w:rPr>
        <w:t>Corporation</w:t>
      </w:r>
      <w:r>
        <w:rPr>
          <w:color w:val="000000"/>
        </w:rPr>
        <w:t>”</w:t>
      </w:r>
      <w:r>
        <w:rPr>
          <w:rFonts w:ascii="Times New Roman;sans-serif" w:hAnsi="Times New Roman;sans-serif"/>
          <w:b w:val="false"/>
          <w:color w:val="000000"/>
          <w:sz w:val="20"/>
        </w:rPr>
        <w:t>), does hereby certify that:</w:t>
      </w:r>
    </w:p>
    <w:p>
      <w:pPr>
        <w:pStyle w:val="TextBody"/>
        <w:spacing w:lineRule="auto" w:line="288" w:before="120" w:after="283"/>
        <w:ind w:left="0" w:right="0" w:firstLine="495"/>
        <w:rPr/>
      </w:pPr>
      <w:r>
        <w:rPr>
          <w:rFonts w:ascii="Times New Roman;sans-serif" w:hAnsi="Times New Roman;sans-serif"/>
          <w:b w:val="false"/>
          <w:color w:val="000000"/>
          <w:sz w:val="20"/>
        </w:rPr>
        <w:t>The Quarterly Report on Form 10-Q for the quarter ended March 31, 2023 (the “</w:t>
      </w:r>
      <w:r>
        <w:rPr>
          <w:rFonts w:ascii="Times New Roman;sans-serif" w:hAnsi="Times New Roman;sans-serif"/>
          <w:b w:val="false"/>
          <w:color w:val="000000"/>
          <w:sz w:val="20"/>
          <w:u w:val="single"/>
        </w:rPr>
        <w:t>Form 10-Q</w:t>
      </w:r>
      <w:r>
        <w:rPr>
          <w:color w:val="000000"/>
        </w:rPr>
        <w:t>”</w:t>
      </w:r>
      <w:r>
        <w:rPr>
          <w:rFonts w:ascii="Times New Roman;sans-serif" w:hAnsi="Times New Roman;sans-serif"/>
          <w:b w:val="false"/>
          <w:color w:val="000000"/>
          <w:sz w:val="20"/>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pStyle w:val="TextBody"/>
        <w:spacing w:before="120" w:after="283"/>
        <w:ind w:left="0" w:right="0" w:firstLine="495"/>
        <w:rPr/>
      </w:pPr>
      <w:r>
        <w:rPr/>
      </w:r>
    </w:p>
    <w:tbl>
      <w:tblPr>
        <w:tblW w:w="6284" w:type="dxa"/>
        <w:jc w:val="left"/>
        <w:tblInd w:w="0" w:type="dxa"/>
        <w:tblCellMar>
          <w:top w:w="28" w:type="dxa"/>
          <w:left w:w="28" w:type="dxa"/>
          <w:bottom w:w="28" w:type="dxa"/>
          <w:right w:w="28" w:type="dxa"/>
        </w:tblCellMar>
      </w:tblPr>
      <w:tblGrid>
        <w:gridCol w:w="200"/>
        <w:gridCol w:w="177"/>
        <w:gridCol w:w="178"/>
        <w:gridCol w:w="429"/>
        <w:gridCol w:w="429"/>
        <w:gridCol w:w="431"/>
        <w:gridCol w:w="1295"/>
        <w:gridCol w:w="1295"/>
        <w:gridCol w:w="185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J. HAYES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J. Hayes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NEIL G. MITCHILL, JR.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Neil G. Mitchill, Jr.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AMY L. JOHNSON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Amy L. Johnson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and Controller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Courier New">
    <w:altName w:val="monospace"/>
    <w:charset w:val="00"/>
    <w:family w:val="auto"/>
    <w:pitch w:val="default"/>
  </w:font>
  <w:font w:name="Helvetica">
    <w:altName w:val="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53</Pages>
  <Words>45185</Words>
  <CharactersWithSpaces>292831</CharactersWithSpaces>
  <Paragraphs>3944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