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3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38" w:lineRule="exact"/>
        <w:rPr>
          <w:sz w:val="24"/>
          <w:szCs w:val="24"/>
          <w:color w:val="auto"/>
        </w:rPr>
      </w:pPr>
    </w:p>
    <w:p>
      <w:pPr>
        <w:ind w:left="720" w:right="2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17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2" w:lineRule="exact"/>
        <w:rPr>
          <w:sz w:val="24"/>
          <w:szCs w:val="24"/>
          <w:color w:val="auto"/>
        </w:rPr>
      </w:pPr>
    </w:p>
    <w:p>
      <w:pPr>
        <w:ind w:left="368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-5080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Commission file number 1-812</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7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UNITED TECHNOLOGIES CORPORATION</w:t>
      </w:r>
    </w:p>
    <w:p>
      <w:pPr>
        <w:spacing w:after="0" w:line="5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55" w:lineRule="exact"/>
        <w:rPr>
          <w:sz w:val="24"/>
          <w:szCs w:val="24"/>
          <w:color w:val="auto"/>
        </w:rPr>
      </w:pPr>
    </w:p>
    <w:tbl>
      <w:tblPr>
        <w:tblLayout w:type="fixed"/>
        <w:tblInd w:w="68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140" w:type="dxa"/>
            <w:vAlign w:val="bottom"/>
            <w:gridSpan w:val="2"/>
          </w:tcPr>
          <w:p>
            <w:pPr>
              <w:jc w:val="center"/>
              <w:ind w:left="10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98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06-0570975</w:t>
            </w:r>
          </w:p>
        </w:tc>
      </w:tr>
      <w:tr>
        <w:trPr>
          <w:trHeight w:val="287"/>
        </w:trPr>
        <w:tc>
          <w:tcPr>
            <w:tcW w:w="480" w:type="dxa"/>
            <w:vAlign w:val="bottom"/>
          </w:tcPr>
          <w:p>
            <w:pPr>
              <w:spacing w:after="0"/>
              <w:rPr>
                <w:sz w:val="24"/>
                <w:szCs w:val="24"/>
                <w:color w:val="auto"/>
              </w:rPr>
            </w:pPr>
          </w:p>
        </w:tc>
        <w:tc>
          <w:tcPr>
            <w:tcW w:w="5220" w:type="dxa"/>
            <w:vAlign w:val="bottom"/>
            <w:gridSpan w:val="5"/>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6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8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10 Farm Springs Road, Farmington,</w:t>
            </w:r>
          </w:p>
        </w:tc>
        <w:tc>
          <w:tcPr>
            <w:tcW w:w="3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Connecticut 06032</w:t>
            </w:r>
          </w:p>
        </w:tc>
      </w:tr>
      <w:tr>
        <w:trPr>
          <w:trHeight w:val="193"/>
        </w:trPr>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60" w:type="dxa"/>
            <w:vAlign w:val="bottom"/>
            <w:gridSpan w:val="5"/>
          </w:tcPr>
          <w:p>
            <w:pPr>
              <w:jc w:val="center"/>
              <w:ind w:right="213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75"/>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80" w:type="dxa"/>
            <w:vAlign w:val="bottom"/>
            <w:gridSpan w:val="3"/>
          </w:tcPr>
          <w:p>
            <w:pPr>
              <w:jc w:val="center"/>
              <w:ind w:left="1654"/>
              <w:spacing w:after="0"/>
              <w:rPr>
                <w:sz w:val="20"/>
                <w:szCs w:val="20"/>
                <w:color w:val="auto"/>
              </w:rPr>
            </w:pPr>
            <w:r>
              <w:rPr>
                <w:rFonts w:ascii="Times New Roman" w:cs="Times New Roman" w:eastAsia="Times New Roman" w:hAnsi="Times New Roman"/>
                <w:sz w:val="18"/>
                <w:szCs w:val="18"/>
                <w:b w:val="1"/>
                <w:bCs w:val="1"/>
                <w:color w:val="auto"/>
              </w:rPr>
              <w:t>(860) 728-7000</w:t>
            </w:r>
          </w:p>
        </w:tc>
        <w:tc>
          <w:tcPr>
            <w:tcW w:w="6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93"/>
        </w:trPr>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320" w:type="dxa"/>
            <w:vAlign w:val="bottom"/>
            <w:gridSpan w:val="4"/>
          </w:tcPr>
          <w:p>
            <w:pPr>
              <w:jc w:val="center"/>
              <w:ind w:right="287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321"/>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60" w:type="dxa"/>
            <w:vAlign w:val="bottom"/>
            <w:gridSpan w:val="5"/>
          </w:tcPr>
          <w:p>
            <w:pPr>
              <w:jc w:val="center"/>
              <w:ind w:right="2132"/>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59"/>
        </w:trPr>
        <w:tc>
          <w:tcPr>
            <w:tcW w:w="4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900" w:type="dxa"/>
            <w:vAlign w:val="bottom"/>
          </w:tcPr>
          <w:p>
            <w:pPr>
              <w:spacing w:after="0"/>
              <w:rPr>
                <w:sz w:val="24"/>
                <w:szCs w:val="24"/>
                <w:color w:val="auto"/>
              </w:rPr>
            </w:pPr>
          </w:p>
        </w:tc>
        <w:tc>
          <w:tcPr>
            <w:tcW w:w="39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26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740" w:type="dxa"/>
            <w:vAlign w:val="bottom"/>
          </w:tcPr>
          <w:p>
            <w:pPr>
              <w:spacing w:after="0"/>
              <w:rPr>
                <w:sz w:val="24"/>
                <w:szCs w:val="24"/>
                <w:color w:val="auto"/>
              </w:rPr>
            </w:pPr>
          </w:p>
        </w:tc>
        <w:tc>
          <w:tcPr>
            <w:tcW w:w="23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UTX</w:t>
            </w:r>
          </w:p>
        </w:tc>
        <w:tc>
          <w:tcPr>
            <w:tcW w:w="6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80" w:type="dxa"/>
            <w:vAlign w:val="bottom"/>
          </w:tcPr>
          <w:p>
            <w:pPr>
              <w:spacing w:after="0"/>
              <w:rPr>
                <w:sz w:val="24"/>
                <w:szCs w:val="24"/>
                <w:color w:val="auto"/>
              </w:rPr>
            </w:pPr>
          </w:p>
        </w:tc>
        <w:tc>
          <w:tcPr>
            <w:tcW w:w="21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(CUSIP 913017 10 9)</w:t>
            </w: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53"/>
        </w:trPr>
        <w:tc>
          <w:tcPr>
            <w:tcW w:w="26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1.125% Notes due 2021</w:t>
            </w:r>
          </w:p>
        </w:tc>
        <w:tc>
          <w:tcPr>
            <w:tcW w:w="740" w:type="dxa"/>
            <w:vAlign w:val="bottom"/>
          </w:tcPr>
          <w:p>
            <w:pPr>
              <w:spacing w:after="0"/>
              <w:rPr>
                <w:sz w:val="22"/>
                <w:szCs w:val="22"/>
                <w:color w:val="auto"/>
              </w:rPr>
            </w:pPr>
          </w:p>
        </w:tc>
        <w:tc>
          <w:tcPr>
            <w:tcW w:w="23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UTX 21D</w:t>
            </w:r>
          </w:p>
        </w:tc>
        <w:tc>
          <w:tcPr>
            <w:tcW w:w="6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80" w:type="dxa"/>
            <w:vAlign w:val="bottom"/>
          </w:tcPr>
          <w:p>
            <w:pPr>
              <w:spacing w:after="0"/>
              <w:rPr>
                <w:sz w:val="24"/>
                <w:szCs w:val="24"/>
                <w:color w:val="auto"/>
              </w:rPr>
            </w:pPr>
          </w:p>
        </w:tc>
        <w:tc>
          <w:tcPr>
            <w:tcW w:w="21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(CUSIP 913017 CD9)</w:t>
            </w: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53"/>
        </w:trPr>
        <w:tc>
          <w:tcPr>
            <w:tcW w:w="26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1.250% Notes due 2023</w:t>
            </w:r>
          </w:p>
        </w:tc>
        <w:tc>
          <w:tcPr>
            <w:tcW w:w="740" w:type="dxa"/>
            <w:vAlign w:val="bottom"/>
          </w:tcPr>
          <w:p>
            <w:pPr>
              <w:spacing w:after="0"/>
              <w:rPr>
                <w:sz w:val="22"/>
                <w:szCs w:val="22"/>
                <w:color w:val="auto"/>
              </w:rPr>
            </w:pPr>
          </w:p>
        </w:tc>
        <w:tc>
          <w:tcPr>
            <w:tcW w:w="23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UTX 23</w:t>
            </w:r>
          </w:p>
        </w:tc>
        <w:tc>
          <w:tcPr>
            <w:tcW w:w="6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80" w:type="dxa"/>
            <w:vAlign w:val="bottom"/>
          </w:tcPr>
          <w:p>
            <w:pPr>
              <w:spacing w:after="0"/>
              <w:rPr>
                <w:sz w:val="24"/>
                <w:szCs w:val="24"/>
                <w:color w:val="auto"/>
              </w:rPr>
            </w:pP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(CUSIP U91301 AD0)</w:t>
            </w: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53"/>
        </w:trPr>
        <w:tc>
          <w:tcPr>
            <w:tcW w:w="26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1.150% Notes due 2024</w:t>
            </w:r>
          </w:p>
        </w:tc>
        <w:tc>
          <w:tcPr>
            <w:tcW w:w="740" w:type="dxa"/>
            <w:vAlign w:val="bottom"/>
          </w:tcPr>
          <w:p>
            <w:pPr>
              <w:spacing w:after="0"/>
              <w:rPr>
                <w:sz w:val="22"/>
                <w:szCs w:val="22"/>
                <w:color w:val="auto"/>
              </w:rPr>
            </w:pPr>
          </w:p>
        </w:tc>
        <w:tc>
          <w:tcPr>
            <w:tcW w:w="23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UTX 24A</w:t>
            </w:r>
          </w:p>
        </w:tc>
        <w:tc>
          <w:tcPr>
            <w:tcW w:w="6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80" w:type="dxa"/>
            <w:vAlign w:val="bottom"/>
          </w:tcPr>
          <w:p>
            <w:pPr>
              <w:spacing w:after="0"/>
              <w:rPr>
                <w:sz w:val="24"/>
                <w:szCs w:val="24"/>
                <w:color w:val="auto"/>
              </w:rPr>
            </w:pPr>
          </w:p>
        </w:tc>
        <w:tc>
          <w:tcPr>
            <w:tcW w:w="21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(CUSIP 913017 CU1)</w:t>
            </w: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53"/>
        </w:trPr>
        <w:tc>
          <w:tcPr>
            <w:tcW w:w="26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1.875% Notes due 2026</w:t>
            </w:r>
          </w:p>
        </w:tc>
        <w:tc>
          <w:tcPr>
            <w:tcW w:w="740" w:type="dxa"/>
            <w:vAlign w:val="bottom"/>
          </w:tcPr>
          <w:p>
            <w:pPr>
              <w:spacing w:after="0"/>
              <w:rPr>
                <w:sz w:val="22"/>
                <w:szCs w:val="22"/>
                <w:color w:val="auto"/>
              </w:rPr>
            </w:pPr>
          </w:p>
        </w:tc>
        <w:tc>
          <w:tcPr>
            <w:tcW w:w="23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UTX 26</w:t>
            </w:r>
          </w:p>
        </w:tc>
        <w:tc>
          <w:tcPr>
            <w:tcW w:w="6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80" w:type="dxa"/>
            <w:vAlign w:val="bottom"/>
          </w:tcPr>
          <w:p>
            <w:pPr>
              <w:spacing w:after="0"/>
              <w:rPr>
                <w:sz w:val="24"/>
                <w:szCs w:val="24"/>
                <w:color w:val="auto"/>
              </w:rPr>
            </w:pP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(CUSIP 913017 CE7)</w:t>
            </w: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53"/>
        </w:trPr>
        <w:tc>
          <w:tcPr>
            <w:tcW w:w="26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2.150% Notes due 2030</w:t>
            </w:r>
          </w:p>
        </w:tc>
        <w:tc>
          <w:tcPr>
            <w:tcW w:w="740" w:type="dxa"/>
            <w:vAlign w:val="bottom"/>
          </w:tcPr>
          <w:p>
            <w:pPr>
              <w:spacing w:after="0"/>
              <w:rPr>
                <w:sz w:val="22"/>
                <w:szCs w:val="22"/>
                <w:color w:val="auto"/>
              </w:rPr>
            </w:pPr>
          </w:p>
        </w:tc>
        <w:tc>
          <w:tcPr>
            <w:tcW w:w="23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UTX 30</w:t>
            </w:r>
          </w:p>
        </w:tc>
        <w:tc>
          <w:tcPr>
            <w:tcW w:w="6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80" w:type="dxa"/>
            <w:vAlign w:val="bottom"/>
          </w:tcPr>
          <w:p>
            <w:pPr>
              <w:spacing w:after="0"/>
              <w:rPr>
                <w:sz w:val="24"/>
                <w:szCs w:val="24"/>
                <w:color w:val="auto"/>
              </w:rPr>
            </w:pPr>
          </w:p>
        </w:tc>
        <w:tc>
          <w:tcPr>
            <w:tcW w:w="21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(CUSIP 913017 CV9)</w:t>
            </w: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53"/>
        </w:trPr>
        <w:tc>
          <w:tcPr>
            <w:tcW w:w="26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Floating Rate Notes due 2019</w:t>
            </w:r>
          </w:p>
        </w:tc>
        <w:tc>
          <w:tcPr>
            <w:tcW w:w="740" w:type="dxa"/>
            <w:vAlign w:val="bottom"/>
          </w:tcPr>
          <w:p>
            <w:pPr>
              <w:spacing w:after="0"/>
              <w:rPr>
                <w:sz w:val="22"/>
                <w:szCs w:val="22"/>
                <w:color w:val="auto"/>
              </w:rPr>
            </w:pPr>
          </w:p>
        </w:tc>
        <w:tc>
          <w:tcPr>
            <w:tcW w:w="23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UTX 19C</w:t>
            </w:r>
          </w:p>
        </w:tc>
        <w:tc>
          <w:tcPr>
            <w:tcW w:w="6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87"/>
        </w:trPr>
        <w:tc>
          <w:tcPr>
            <w:tcW w:w="480" w:type="dxa"/>
            <w:vAlign w:val="bottom"/>
          </w:tcPr>
          <w:p>
            <w:pPr>
              <w:spacing w:after="0"/>
              <w:rPr>
                <w:sz w:val="24"/>
                <w:szCs w:val="24"/>
                <w:color w:val="auto"/>
              </w:rPr>
            </w:pPr>
          </w:p>
        </w:tc>
        <w:tc>
          <w:tcPr>
            <w:tcW w:w="21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(CUSIP 913017 CS6)</w:t>
            </w: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53"/>
        </w:trPr>
        <w:tc>
          <w:tcPr>
            <w:tcW w:w="26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Floating Rate Notes due 2020</w:t>
            </w:r>
          </w:p>
        </w:tc>
        <w:tc>
          <w:tcPr>
            <w:tcW w:w="740" w:type="dxa"/>
            <w:vAlign w:val="bottom"/>
          </w:tcPr>
          <w:p>
            <w:pPr>
              <w:spacing w:after="0"/>
              <w:rPr>
                <w:sz w:val="22"/>
                <w:szCs w:val="22"/>
                <w:color w:val="auto"/>
              </w:rPr>
            </w:pPr>
          </w:p>
        </w:tc>
        <w:tc>
          <w:tcPr>
            <w:tcW w:w="23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UTX 20B</w:t>
            </w:r>
          </w:p>
        </w:tc>
        <w:tc>
          <w:tcPr>
            <w:tcW w:w="6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97" w:lineRule="exact"/>
        <w:rPr>
          <w:sz w:val="24"/>
          <w:szCs w:val="24"/>
          <w:color w:val="auto"/>
        </w:rPr>
      </w:pPr>
    </w:p>
    <w:p>
      <w:pPr>
        <w:sectPr>
          <w:pgSz w:w="11900" w:h="16838" w:orient="portrait"/>
          <w:cols w:equalWidth="0" w:num="1">
            <w:col w:w="11240"/>
          </w:cols>
          <w:pgMar w:left="240" w:top="225" w:right="419" w:bottom="1440" w:gutter="0" w:footer="0" w:header="0"/>
        </w:sectPr>
      </w:pPr>
    </w:p>
    <w:p>
      <w:pPr>
        <w:ind w:left="1180"/>
        <w:spacing w:after="0"/>
        <w:rPr>
          <w:sz w:val="20"/>
          <w:szCs w:val="20"/>
          <w:color w:val="auto"/>
        </w:rPr>
      </w:pPr>
      <w:r>
        <w:rPr>
          <w:rFonts w:ascii="Times New Roman" w:cs="Times New Roman" w:eastAsia="Times New Roman" w:hAnsi="Times New Roman"/>
          <w:sz w:val="14"/>
          <w:szCs w:val="14"/>
          <w:b w:val="1"/>
          <w:bCs w:val="1"/>
          <w:color w:val="auto"/>
        </w:rPr>
        <w:t>(CUSIP 913017 CT4)</w:t>
      </w:r>
    </w:p>
    <w:p>
      <w:pPr>
        <w:sectPr>
          <w:pgSz w:w="11900" w:h="16838" w:orient="portrait"/>
          <w:cols w:equalWidth="0" w:num="1">
            <w:col w:w="11240"/>
          </w:cols>
          <w:pgMar w:left="240" w:top="225" w:right="41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both"/>
        <w:ind w:right="60" w:firstLine="432"/>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during the preceding 12 months (or for such shorter period that the registrant was required to submit and post such</w:t>
      </w:r>
    </w:p>
    <w:p>
      <w:pPr>
        <w:spacing w:after="0" w:line="207" w:lineRule="exact"/>
        <w:tabs>
          <w:tab w:leader="none" w:pos="580" w:val="left"/>
          <w:tab w:leader="none" w:pos="132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118" w:right="279" w:bottom="1440" w:gutter="0" w:footer="0" w:header="0"/>
        </w:sectPr>
      </w:pPr>
    </w:p>
    <w:p>
      <w:pPr>
        <w:spacing w:after="0" w:line="12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4">
            <w:col w:w="4480" w:space="720"/>
            <w:col w:w="160" w:space="160"/>
            <w:col w:w="3080" w:space="720"/>
            <w:col w:w="2060"/>
          </w:cols>
          <w:pgMar w:left="240" w:top="118" w:right="279" w:bottom="1440" w:gutter="0" w:footer="0" w:header="0"/>
          <w:type w:val="continuous"/>
        </w:sectPr>
      </w:pPr>
    </w:p>
    <w:p>
      <w:pPr>
        <w:spacing w:after="0" w:line="28"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jc w:val="center"/>
        <w:ind w:right="1900"/>
        <w:spacing w:after="0" w:line="141" w:lineRule="exact"/>
        <w:rPr>
          <w:sz w:val="20"/>
          <w:szCs w:val="20"/>
          <w:color w:val="auto"/>
        </w:rPr>
      </w:pP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4">
            <w:col w:w="4480" w:space="720"/>
            <w:col w:w="160" w:space="160"/>
            <w:col w:w="3080" w:space="720"/>
            <w:col w:w="2060"/>
          </w:cols>
          <w:pgMar w:left="240" w:top="118" w:right="279" w:bottom="1440" w:gutter="0" w:footer="0" w:header="0"/>
          <w:type w:val="continuous"/>
        </w:sectPr>
      </w:pPr>
    </w:p>
    <w:p>
      <w:pPr>
        <w:spacing w:after="0" w:line="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jc w:val="center"/>
        <w:ind w:right="1900"/>
        <w:spacing w:after="0" w:line="141" w:lineRule="exact"/>
        <w:rPr>
          <w:sz w:val="20"/>
          <w:szCs w:val="20"/>
          <w:color w:val="auto"/>
        </w:rPr>
      </w:pP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600" w:space="720"/>
            <w:col w:w="2060"/>
          </w:cols>
          <w:pgMar w:left="240" w:top="118" w:right="279" w:bottom="1440" w:gutter="0" w:footer="0" w:header="0"/>
          <w:type w:val="continuous"/>
        </w:sectPr>
      </w:pPr>
    </w:p>
    <w:p>
      <w:pPr>
        <w:ind w:right="240"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780" w:val="left"/>
          <w:tab w:leader="none" w:pos="95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September 30, 2019 there were 863,268,940 shares of Common Stock outstanding.</w:t>
      </w:r>
    </w:p>
    <w:p>
      <w:pPr>
        <w:sectPr>
          <w:pgSz w:w="11900" w:h="16838" w:orient="portrait"/>
          <w:cols w:equalWidth="0" w:num="1">
            <w:col w:w="11380"/>
          </w:cols>
          <w:pgMar w:left="240" w:top="118" w:right="279" w:bottom="1440" w:gutter="0" w:footer="0" w:header="0"/>
          <w:type w:val="continuous"/>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2019</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23"/>
        </w:trPr>
        <w:tc>
          <w:tcPr>
            <w:tcW w:w="10700" w:type="dxa"/>
            <w:vAlign w:val="bottom"/>
            <w:gridSpan w:val="21"/>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PART I – FINANCIAL INFORMATION</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Item 1. Unaudited Financial Statements:</w:t>
              </w:r>
            </w:hyperlink>
          </w:p>
        </w:tc>
        <w:tc>
          <w:tcPr>
            <w:tcW w:w="7660" w:type="dxa"/>
            <w:vAlign w:val="bottom"/>
            <w:gridSpan w:val="11"/>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 of Operations for the quarters ended September 30, 2019 and 2018</w:t>
              </w:r>
            </w:hyperlink>
          </w:p>
        </w:tc>
        <w:tc>
          <w:tcPr>
            <w:tcW w:w="2940" w:type="dxa"/>
            <w:vAlign w:val="bottom"/>
            <w:gridSpan w:val="5"/>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 of Operations for the nine months ended September 30, 2019 and 2018</w:t>
              </w:r>
            </w:hyperlink>
          </w:p>
        </w:tc>
        <w:tc>
          <w:tcPr>
            <w:tcW w:w="264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 of Comprehensive Income for the quarters and nine months ended September 30, 2019 and 2018</w:t>
              </w:r>
            </w:hyperlink>
          </w:p>
        </w:tc>
        <w:tc>
          <w:tcPr>
            <w:tcW w:w="7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Balance Sheet at September 30, 2019 and December 31, 2018</w:t>
              </w:r>
            </w:hyperlink>
          </w:p>
        </w:tc>
        <w:tc>
          <w:tcPr>
            <w:tcW w:w="4060" w:type="dxa"/>
            <w:vAlign w:val="bottom"/>
            <w:gridSpan w:val="7"/>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7</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 of Cash Flows for the nine months ended September 30, 2019 and 2018</w:t>
              </w:r>
            </w:hyperlink>
          </w:p>
        </w:tc>
        <w:tc>
          <w:tcPr>
            <w:tcW w:w="258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8">
              <w:r>
                <w:rPr>
                  <w:rFonts w:ascii="Times New Roman" w:cs="Times New Roman" w:eastAsia="Times New Roman" w:hAnsi="Times New Roman"/>
                  <w:sz w:val="18"/>
                  <w:szCs w:val="18"/>
                  <w:color w:val="0000FF"/>
                  <w:w w:val="88"/>
                </w:rPr>
                <w:t>8</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9"/>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Condensed Consolidated Statement of Changes in Equity for the quarters and nine months ended September 30, 2019 and 2018</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180" w:type="dxa"/>
            <w:vAlign w:val="bottom"/>
            <w:gridSpan w:val="17"/>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Condensed Consolidated Financial Statements</w:t>
              </w:r>
            </w:hyperlink>
          </w:p>
        </w:tc>
        <w:tc>
          <w:tcPr>
            <w:tcW w:w="1180" w:type="dxa"/>
            <w:vAlign w:val="bottom"/>
            <w:gridSpan w:val="2"/>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10">
              <w:r>
                <w:rPr>
                  <w:rFonts w:ascii="Times New Roman" w:cs="Times New Roman" w:eastAsia="Times New Roman" w:hAnsi="Times New Roman"/>
                  <w:sz w:val="18"/>
                  <w:szCs w:val="18"/>
                  <w:color w:val="0000FF"/>
                </w:rPr>
                <w:t>10</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9"/>
          </w:tcPr>
          <w:p>
            <w:pPr>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Report of Independent Registered Public Accounting Firm</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36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20"/>
          </w:tcPr>
          <w:p>
            <w:pPr>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37</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4"/>
          </w:tcPr>
          <w:p>
            <w:pPr>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Item 3. Quantitative and Qualitative Disclosures About Market Risk</w:t>
              </w:r>
            </w:hyperlink>
          </w:p>
        </w:tc>
        <w:tc>
          <w:tcPr>
            <w:tcW w:w="358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51</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320" w:type="dxa"/>
            <w:vAlign w:val="bottom"/>
            <w:gridSpan w:val="6"/>
          </w:tcPr>
          <w:p>
            <w:pPr>
              <w:spacing w:after="0"/>
              <w:rPr>
                <w:rFonts w:ascii="Times New Roman" w:cs="Times New Roman" w:eastAsia="Times New Roman" w:hAnsi="Times New Roman"/>
                <w:sz w:val="18"/>
                <w:szCs w:val="18"/>
                <w:color w:val="0000FF"/>
                <w:w w:val="98"/>
              </w:rPr>
            </w:pPr>
            <w:hyperlink w:anchor="page53">
              <w:r>
                <w:rPr>
                  <w:rFonts w:ascii="Times New Roman" w:cs="Times New Roman" w:eastAsia="Times New Roman" w:hAnsi="Times New Roman"/>
                  <w:sz w:val="18"/>
                  <w:szCs w:val="18"/>
                  <w:color w:val="0000FF"/>
                  <w:w w:val="98"/>
                </w:rPr>
                <w:t>Item 4. Controls and Procedures</w:t>
              </w:r>
            </w:hyperlink>
          </w:p>
        </w:tc>
        <w:tc>
          <w:tcPr>
            <w:tcW w:w="2580" w:type="dxa"/>
            <w:vAlign w:val="bottom"/>
            <w:gridSpan w:val="6"/>
          </w:tcPr>
          <w:p>
            <w:pPr>
              <w:spacing w:after="0"/>
              <w:rPr>
                <w:sz w:val="24"/>
                <w:szCs w:val="24"/>
                <w:color w:val="auto"/>
              </w:rPr>
            </w:pPr>
          </w:p>
        </w:tc>
        <w:tc>
          <w:tcPr>
            <w:tcW w:w="566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52</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8"/>
          </w:tcPr>
          <w:p>
            <w:pPr>
              <w:spacing w:after="0"/>
              <w:rPr>
                <w:rFonts w:ascii="Times New Roman" w:cs="Times New Roman" w:eastAsia="Times New Roman" w:hAnsi="Times New Roman"/>
                <w:sz w:val="18"/>
                <w:szCs w:val="18"/>
                <w:color w:val="0000FF"/>
                <w:w w:val="97"/>
              </w:rPr>
            </w:pPr>
            <w:hyperlink w:anchor="page56">
              <w:r>
                <w:rPr>
                  <w:rFonts w:ascii="Times New Roman" w:cs="Times New Roman" w:eastAsia="Times New Roman" w:hAnsi="Times New Roman"/>
                  <w:sz w:val="18"/>
                  <w:szCs w:val="18"/>
                  <w:color w:val="0000FF"/>
                  <w:w w:val="97"/>
                </w:rPr>
                <w:t>PART II – OTHER INFORMATION</w:t>
              </w:r>
            </w:hyperlink>
          </w:p>
        </w:tc>
        <w:tc>
          <w:tcPr>
            <w:tcW w:w="804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55</w:t>
              </w:r>
            </w:hyperlink>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80" w:type="dxa"/>
            <w:vAlign w:val="bottom"/>
            <w:gridSpan w:val="5"/>
          </w:tcPr>
          <w:p>
            <w:pPr>
              <w:spacing w:after="0"/>
              <w:rPr>
                <w:rFonts w:ascii="Times New Roman" w:cs="Times New Roman" w:eastAsia="Times New Roman" w:hAnsi="Times New Roman"/>
                <w:sz w:val="18"/>
                <w:szCs w:val="18"/>
                <w:color w:val="0000FF"/>
                <w:w w:val="98"/>
              </w:rPr>
            </w:pPr>
            <w:hyperlink w:anchor="page56">
              <w:r>
                <w:rPr>
                  <w:rFonts w:ascii="Times New Roman" w:cs="Times New Roman" w:eastAsia="Times New Roman" w:hAnsi="Times New Roman"/>
                  <w:sz w:val="18"/>
                  <w:szCs w:val="18"/>
                  <w:color w:val="0000FF"/>
                  <w:w w:val="98"/>
                </w:rPr>
                <w:t>Item 1. Legal Proceedings</w:t>
              </w:r>
            </w:hyperlink>
          </w:p>
        </w:tc>
        <w:tc>
          <w:tcPr>
            <w:tcW w:w="640" w:type="dxa"/>
            <w:vAlign w:val="bottom"/>
            <w:gridSpan w:val="2"/>
          </w:tcPr>
          <w:p>
            <w:pPr>
              <w:spacing w:after="0"/>
              <w:rPr>
                <w:sz w:val="24"/>
                <w:szCs w:val="24"/>
                <w:color w:val="auto"/>
              </w:rPr>
            </w:pPr>
          </w:p>
        </w:tc>
        <w:tc>
          <w:tcPr>
            <w:tcW w:w="804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55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4"/>
          </w:tcPr>
          <w:p>
            <w:pPr>
              <w:spacing w:after="0"/>
              <w:rPr>
                <w:rFonts w:ascii="Times New Roman" w:cs="Times New Roman" w:eastAsia="Times New Roman" w:hAnsi="Times New Roman"/>
                <w:sz w:val="18"/>
                <w:szCs w:val="18"/>
                <w:color w:val="0000FF"/>
                <w:w w:val="98"/>
              </w:rPr>
            </w:pPr>
            <w:hyperlink w:anchor="page56">
              <w:r>
                <w:rPr>
                  <w:rFonts w:ascii="Times New Roman" w:cs="Times New Roman" w:eastAsia="Times New Roman" w:hAnsi="Times New Roman"/>
                  <w:sz w:val="18"/>
                  <w:szCs w:val="18"/>
                  <w:color w:val="0000FF"/>
                  <w:w w:val="98"/>
                </w:rPr>
                <w:t>Item 1A. Risk Factors</w:t>
              </w:r>
            </w:hyperlink>
          </w:p>
        </w:tc>
        <w:tc>
          <w:tcPr>
            <w:tcW w:w="300" w:type="dxa"/>
            <w:vAlign w:val="bottom"/>
          </w:tcPr>
          <w:p>
            <w:pPr>
              <w:spacing w:after="0"/>
              <w:rPr>
                <w:sz w:val="24"/>
                <w:szCs w:val="24"/>
                <w:color w:val="auto"/>
              </w:rPr>
            </w:pPr>
          </w:p>
        </w:tc>
        <w:tc>
          <w:tcPr>
            <w:tcW w:w="8680" w:type="dxa"/>
            <w:vAlign w:val="bottom"/>
            <w:gridSpan w:val="15"/>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55</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Times New Roman" w:cs="Times New Roman" w:eastAsia="Times New Roman" w:hAnsi="Times New Roman"/>
                <w:sz w:val="18"/>
                <w:szCs w:val="18"/>
                <w:color w:val="0000FF"/>
                <w:w w:val="99"/>
              </w:rPr>
            </w:pPr>
            <w:hyperlink w:anchor="page56">
              <w:r>
                <w:rPr>
                  <w:rFonts w:ascii="Times New Roman" w:cs="Times New Roman" w:eastAsia="Times New Roman" w:hAnsi="Times New Roman"/>
                  <w:sz w:val="18"/>
                  <w:szCs w:val="18"/>
                  <w:color w:val="0000FF"/>
                  <w:w w:val="99"/>
                </w:rPr>
                <w:t>Item 2. Unregistered Sales of Equity Securities and Use of Proceeds</w:t>
              </w:r>
            </w:hyperlink>
          </w:p>
        </w:tc>
        <w:tc>
          <w:tcPr>
            <w:tcW w:w="566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55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Item 6. Exhibits</w:t>
              </w:r>
            </w:hyperlink>
          </w:p>
        </w:tc>
        <w:tc>
          <w:tcPr>
            <w:tcW w:w="566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56</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3"/>
          </w:tcPr>
          <w:p>
            <w:pPr>
              <w:spacing w:after="0"/>
              <w:rPr>
                <w:rFonts w:ascii="Times New Roman" w:cs="Times New Roman" w:eastAsia="Times New Roman" w:hAnsi="Times New Roman"/>
                <w:sz w:val="18"/>
                <w:szCs w:val="18"/>
                <w:color w:val="0000FF"/>
                <w:w w:val="96"/>
              </w:rPr>
            </w:pPr>
            <w:hyperlink w:anchor="page58">
              <w:r>
                <w:rPr>
                  <w:rFonts w:ascii="Times New Roman" w:cs="Times New Roman" w:eastAsia="Times New Roman" w:hAnsi="Times New Roman"/>
                  <w:sz w:val="18"/>
                  <w:szCs w:val="18"/>
                  <w:color w:val="0000FF"/>
                  <w:w w:val="96"/>
                </w:rPr>
                <w:t>SIGNATURES</w:t>
              </w:r>
            </w:hyperlink>
          </w:p>
        </w:tc>
        <w:tc>
          <w:tcPr>
            <w:tcW w:w="9600" w:type="dxa"/>
            <w:vAlign w:val="bottom"/>
            <w:gridSpan w:val="18"/>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57</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5,256</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19,496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16,510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17,047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Non-service pension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Noncontrolling interest in subsidiaries' earnings from operations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shareowners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1,238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 -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40,559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Service sales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15,425</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57,495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48,457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26,512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services sold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9,726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50,741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43,118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Non-service pension (benefit)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6,492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4,856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Noncontrolling interest in subsidiaries' earnings from operations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shareowners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4,394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4,583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 - Basic:</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 - Diluted:</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206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20" w:type="dxa"/>
            <w:vAlign w:val="bottom"/>
          </w:tcPr>
          <w:p>
            <w:pPr>
              <w:spacing w:after="0"/>
              <w:rPr>
                <w:sz w:val="13"/>
                <w:szCs w:val="13"/>
                <w:color w:val="auto"/>
              </w:rPr>
            </w:pPr>
          </w:p>
        </w:tc>
        <w:tc>
          <w:tcPr>
            <w:tcW w:w="170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7440" w:type="dxa"/>
            <w:vAlign w:val="bottom"/>
          </w:tcPr>
          <w:p>
            <w:pPr>
              <w:spacing w:after="0"/>
              <w:rPr>
                <w:sz w:val="16"/>
                <w:szCs w:val="16"/>
                <w:color w:val="auto"/>
              </w:rPr>
            </w:pPr>
          </w:p>
        </w:tc>
        <w:tc>
          <w:tcPr>
            <w:tcW w:w="2060" w:type="dxa"/>
            <w:vAlign w:val="bottom"/>
            <w:gridSpan w:val="6"/>
            <w:vMerge w:val="continue"/>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4,856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Pension and postretirement benefit plans adjustments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ASU 2016-01 adoption impact (Note 12)</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unrealized cash flow hedging</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3,926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common shareowners</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4,385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17"/>
                <w:szCs w:val="17"/>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01"/>
        </w:trPr>
        <w:tc>
          <w:tcPr>
            <w:tcW w:w="8120" w:type="dxa"/>
            <w:vAlign w:val="bottom"/>
            <w:tcBorders>
              <w:top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6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7,341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6,152</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13,607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14,271</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Contract assets, current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4,316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3,486</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Inventory,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10,083</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Other assets, current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35,503</w:t>
            </w:r>
          </w:p>
        </w:tc>
        <w:tc>
          <w:tcPr>
            <w:tcW w:w="0" w:type="dxa"/>
            <w:vAlign w:val="bottom"/>
          </w:tcPr>
          <w:p>
            <w:pPr>
              <w:spacing w:after="0"/>
              <w:rPr>
                <w:sz w:val="1"/>
                <w:szCs w:val="1"/>
                <w:color w:val="auto"/>
              </w:rPr>
            </w:pPr>
          </w:p>
        </w:tc>
      </w:tr>
      <w:tr>
        <w:trPr>
          <w:trHeight w:val="22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Customer financing assets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3,372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3,023</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Future income tax benefits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1,646</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Fixed assets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24,649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24,084</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(11,787)</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Fixed assets, net</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12,200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12,297</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1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4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6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Goodwill</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48,041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48,112</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26,424</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7,639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7,206</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139,009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134,211</w:t>
            </w:r>
          </w:p>
        </w:tc>
        <w:tc>
          <w:tcPr>
            <w:tcW w:w="0" w:type="dxa"/>
            <w:vAlign w:val="bottom"/>
          </w:tcPr>
          <w:p>
            <w:pPr>
              <w:spacing w:after="0"/>
              <w:rPr>
                <w:sz w:val="1"/>
                <w:szCs w:val="1"/>
                <w:color w:val="auto"/>
              </w:rPr>
            </w:pPr>
          </w:p>
        </w:tc>
      </w:tr>
      <w:tr>
        <w:trPr>
          <w:trHeight w:val="20"/>
        </w:trPr>
        <w:tc>
          <w:tcPr>
            <w:tcW w:w="8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2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6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Short-term borrowings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1,469</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10,840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11,080</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10,223</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Contract liabilities, current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6,233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5,720</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5,495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2,876</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35,567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31,368</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Long-term debt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37,782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41,192</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4,018</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1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40" w:type="dxa"/>
            <w:vAlign w:val="bottom"/>
            <w:shd w:val="clear" w:color="auto" w:fill="CCEEFF"/>
          </w:tcPr>
          <w:p>
            <w:pPr>
              <w:spacing w:after="0"/>
              <w:rPr>
                <w:sz w:val="19"/>
                <w:szCs w:val="19"/>
                <w:color w:val="auto"/>
              </w:rPr>
            </w:pPr>
          </w:p>
        </w:tc>
        <w:tc>
          <w:tcPr>
            <w:tcW w:w="14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6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16,774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16,914</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96,083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93,492</w:t>
            </w:r>
          </w:p>
        </w:tc>
        <w:tc>
          <w:tcPr>
            <w:tcW w:w="0" w:type="dxa"/>
            <w:vAlign w:val="bottom"/>
          </w:tcPr>
          <w:p>
            <w:pPr>
              <w:spacing w:after="0"/>
              <w:rPr>
                <w:sz w:val="1"/>
                <w:szCs w:val="1"/>
                <w:color w:val="auto"/>
              </w:rPr>
            </w:pPr>
          </w:p>
        </w:tc>
      </w:tr>
      <w:tr>
        <w:trPr>
          <w:trHeight w:val="22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Commitments and contingent liabilities (Note 15)</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41"/>
        </w:trPr>
        <w:tc>
          <w:tcPr>
            <w:tcW w:w="81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Shareowners' Equity:</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22,514</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Treasury Stock</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(32,482)</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61,069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57,823</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Unearned ESOP shares</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(9,333)</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Total Shareowners' Equity</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40,468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38,446</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2,164</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Equity</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42,819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40,610</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139,009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134,211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from operations to net cash flows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Stock compensation cost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Portfolio separation tax cost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Gain on sale of Taylor Company</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Contract assets, current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43"/>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r>
      <w:tr>
        <w:trPr>
          <w:trHeight w:val="243"/>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Global pension contributions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Canadian government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4,317</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in businesses (Note 1)</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Dispositions of businesses (Note 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customer financing assets,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in collaboration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Receipts from settlements of derivative contracts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of long-term debt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13,409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increase in short-term borrowings,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Common Stock issued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flows (used in)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10,839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14,026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9,018</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23,044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Restricted cash</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9,245</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13,799</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180" w:type="dxa"/>
            <w:vAlign w:val="bottom"/>
          </w:tcPr>
          <w:p>
            <w:pPr>
              <w:spacing w:after="0"/>
              <w:rPr>
                <w:sz w:val="13"/>
                <w:szCs w:val="13"/>
                <w:color w:val="auto"/>
              </w:rPr>
            </w:pPr>
          </w:p>
        </w:tc>
        <w:tc>
          <w:tcPr>
            <w:tcW w:w="174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09"/>
        </w:trPr>
        <w:tc>
          <w:tcPr>
            <w:tcW w:w="7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gridSpan w:val="6"/>
            <w:vMerge w:val="continue"/>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gridSpan w:val="4"/>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85"/>
        </w:trPr>
        <w:tc>
          <w:tcPr>
            <w:tcW w:w="7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thousands)</w:t>
            </w:r>
          </w:p>
        </w:tc>
        <w:tc>
          <w:tcPr>
            <w:tcW w:w="200" w:type="dxa"/>
            <w:vAlign w:val="bottom"/>
          </w:tcPr>
          <w:p>
            <w:pPr>
              <w:spacing w:after="0"/>
              <w:rPr>
                <w:sz w:val="19"/>
                <w:szCs w:val="19"/>
                <w:color w:val="auto"/>
              </w:rPr>
            </w:pPr>
          </w:p>
        </w:tc>
        <w:tc>
          <w:tcPr>
            <w:tcW w:w="7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51"/>
        </w:trPr>
        <w:tc>
          <w:tcPr>
            <w:tcW w:w="73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Equity beginning balance</w:t>
            </w: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42,977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33,346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40,610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7"/>
                <w:szCs w:val="17"/>
                <w:color w:val="auto"/>
              </w:rPr>
              <w:t>31,421</w:t>
            </w:r>
          </w:p>
        </w:tc>
        <w:tc>
          <w:tcPr>
            <w:tcW w:w="0" w:type="dxa"/>
            <w:vAlign w:val="bottom"/>
          </w:tcPr>
          <w:p>
            <w:pPr>
              <w:spacing w:after="0"/>
              <w:rPr>
                <w:sz w:val="1"/>
                <w:szCs w:val="1"/>
                <w:color w:val="auto"/>
              </w:rPr>
            </w:pPr>
          </w:p>
        </w:tc>
      </w:tr>
      <w:tr>
        <w:trPr>
          <w:trHeight w:val="228"/>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7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Beginning balance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17,574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Common Stock issued under employee plans</w:t>
            </w:r>
          </w:p>
        </w:tc>
        <w:tc>
          <w:tcPr>
            <w:tcW w:w="20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Purchase of subsidiary shares from noncontrolling interest, net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Redeemable noncontrolling interest fair value adjustment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Ending balance</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22,873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17,869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17,869</w:t>
            </w:r>
          </w:p>
        </w:tc>
        <w:tc>
          <w:tcPr>
            <w:tcW w:w="0" w:type="dxa"/>
            <w:vAlign w:val="bottom"/>
          </w:tcPr>
          <w:p>
            <w:pPr>
              <w:spacing w:after="0"/>
              <w:rPr>
                <w:sz w:val="1"/>
                <w:szCs w:val="1"/>
                <w:color w:val="auto"/>
              </w:rPr>
            </w:pPr>
          </w:p>
        </w:tc>
      </w:tr>
      <w:tr>
        <w:trPr>
          <w:trHeight w:val="221"/>
        </w:trPr>
        <w:tc>
          <w:tcPr>
            <w:tcW w:w="7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7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Beginning balance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Common Stock issued under employee plans</w:t>
            </w:r>
          </w:p>
        </w:tc>
        <w:tc>
          <w:tcPr>
            <w:tcW w:w="20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Common Stock repurchased</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7"/>
        </w:trPr>
        <w:tc>
          <w:tcPr>
            <w:tcW w:w="7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Ending balance</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Beginning balance</w:t>
            </w:r>
          </w:p>
        </w:tc>
        <w:tc>
          <w:tcPr>
            <w:tcW w:w="20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60,548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57,027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57,823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55,242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Dividends on ESOP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Redeemable noncontrolling interest fair value adjustment</w:t>
            </w:r>
          </w:p>
        </w:tc>
        <w:tc>
          <w:tcPr>
            <w:tcW w:w="20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New Revenue Standard adoption impact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ASU 2018-02 adoption impact (Note 12)</w:t>
            </w:r>
          </w:p>
        </w:tc>
        <w:tc>
          <w:tcPr>
            <w:tcW w:w="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7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Ending balance</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61,069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57,706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61,069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57,706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Unearned ESOP Shares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Beginning balance</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Common Stock issued under employee plans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7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Ending balance</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Accumulated Other Comprehensive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Beginning balance</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ASU 2018-02 adoption impact (Note 12)</w:t>
            </w:r>
          </w:p>
        </w:tc>
        <w:tc>
          <w:tcPr>
            <w:tcW w:w="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Ending balance</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21"/>
        </w:trPr>
        <w:tc>
          <w:tcPr>
            <w:tcW w:w="7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Noncontrolling Interest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7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Beginning balance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Redeemable noncontrolling interest in subsidiaries' earnings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Dividends attributable to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Purchase of subsidiary shares from noncontrolling interest, net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Acquisition of noncontrolling interest, net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Capital contributions</w:t>
            </w:r>
          </w:p>
        </w:tc>
        <w:tc>
          <w:tcPr>
            <w:tcW w:w="20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7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Ending balance</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2,351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2,144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Equity at September 30</w:t>
            </w: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42,819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34,250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42,819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34,250</w:t>
            </w:r>
          </w:p>
        </w:tc>
        <w:tc>
          <w:tcPr>
            <w:tcW w:w="0" w:type="dxa"/>
            <w:vAlign w:val="bottom"/>
          </w:tcPr>
          <w:p>
            <w:pPr>
              <w:spacing w:after="0"/>
              <w:rPr>
                <w:sz w:val="1"/>
                <w:szCs w:val="1"/>
                <w:color w:val="auto"/>
              </w:rPr>
            </w:pPr>
          </w:p>
        </w:tc>
      </w:tr>
      <w:tr>
        <w:trPr>
          <w:trHeight w:val="20"/>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Supplemental share information</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Shares of Common Stock issued under employee plans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Shares of Common Stock repurchased</w:t>
            </w:r>
          </w:p>
        </w:tc>
        <w:tc>
          <w:tcPr>
            <w:tcW w:w="20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Dividends per share of Common Stock</w:t>
            </w: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0.74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118" w:right="239" w:bottom="198"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98" w:gutter="0" w:footer="0" w:header="0"/>
          <w:type w:val="continuous"/>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ind w:right="60" w:firstLine="567"/>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Condensed Consolidated Financial Statements at September 30, 2019 and for the quarters and nine months ended September 30, 2019 and 2018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(2018 Annual Report) incorporated by reference in our Annual Report on </w:t>
      </w:r>
      <w:hyperlink r:id="rId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calendar year 2018 (2018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Acquisitions, Dispositions, Goodwill and Other Intangible Assets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Acquisitions. </w:t>
      </w:r>
      <w:r>
        <w:rPr>
          <w:rFonts w:ascii="Times New Roman" w:cs="Times New Roman" w:eastAsia="Times New Roman" w:hAnsi="Times New Roman"/>
          <w:sz w:val="18"/>
          <w:szCs w:val="18"/>
          <w:color w:val="auto"/>
        </w:rPr>
        <w:t>During the nine months ended September 30, 2019, our investment in business acquisitions was $39 million, which consisted of small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at Otis.</w:t>
      </w:r>
    </w:p>
    <w:p>
      <w:pPr>
        <w:spacing w:after="0" w:line="5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June 9, 2019, UTC entered into a merger agreement with Raytheon Company (“Raytheon”) providing for an all-stock merger of equals transaction. The Raytheon merger agreement provides, among other things, that each share of Raytheon common stock issued and outstanding immediately prior to the closing of the Raytheon merger (except for shares held by Raytheon as treasury stock) will be converted into the right to receive 2.3348 shares of UTC common stock. Upon the closing of the Raytheon merger, Raytheon will become a wholly-owned subsidiary of UTC, and UTC will change its name to Raytheon Technologies Corporation. On October 11, 2019, the shareowners of UTC and Raytheon approved the proposals necessary to complete the Raytheon merger. The Raytheon merger is expected to close in the first half of 2020 and is subject to customary closing conditions, including receipt of required regulatory approvals, as well as the completion of UTC's previously announced separation of its Otis and Carrier businesses.</w:t>
      </w:r>
    </w:p>
    <w:p>
      <w:pPr>
        <w:spacing w:after="0" w:line="81"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On November 26, 2018, we completed the acquisition of Rockwell Collins (the "Rockwell Acquisition"), a leader in aviation and high-integrity solutions for commercial and military customers as well as leading-edge avionics, flight controls, aircraft interior and data connectivity solutions. Under the terms of the Rockwell acquisition agreement, each share of common stock, par value $0.01 per share, of Rockwell Collins issued and outstanding immediately prior to the effective time of the Rockwell Acquisition (other than shares held by Rockwell Collins, the Company, Riveter Merger Sub Corp or any of their respective wholly owned subsidiaries) was converted into the right to receive (1) $93.33 in cash, without interest, and (2) 0.37525 shares of Company common stock (together, the “Acquisition Consideration”), less any applicable withholding taxes, with cash paid in lieu of fractional shares. The total aggregate consideration payable in the Rockwell Acquisition was $15.5 billion in cash ($14.9 billion net of cash acquired) and 62.2 million shares of Company common stock. In addition, $7.8 billion of Rockwell Collins debt was outstanding at the time of the Rockwell Acquisition. This equated to a total enterprise value of $30.6 billion, including the $7.8 billion of Rockwell Collins' outstanding debt.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consideration paid for Rockwell Collins outstanding common stock &amp; equity awards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15,533</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UTC common stock issued for Rockwell Collins outstanding common stock &amp; equity awards</w:t>
            </w: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7,960</w:t>
            </w:r>
          </w:p>
        </w:tc>
      </w:tr>
      <w:tr>
        <w:trPr>
          <w:trHeight w:val="27"/>
        </w:trPr>
        <w:tc>
          <w:tcPr>
            <w:tcW w:w="9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23,493</w:t>
            </w:r>
          </w:p>
        </w:tc>
      </w:tr>
      <w:tr>
        <w:trPr>
          <w:trHeight w:val="27"/>
        </w:trPr>
        <w:tc>
          <w:tcPr>
            <w:tcW w:w="9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cash consideration utilized for the Rockwell Acquisition was partially financed through the previously disclosed issuance of $11.0 billion aggregate principal notes on August 16, 2018 for net proceeds of $10.9 billion. For the remainder of the cash consideration, we utilized repatriated cash and cash equivalents and cash flow generated from operating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Allocation of Consideration Transferred to Net Assets Acquired:</w:t>
      </w:r>
    </w:p>
    <w:p>
      <w:pPr>
        <w:spacing w:after="0" w:line="121"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 xml:space="preserve">The following amounts represent the preliminary determination of the fair value of identifiable assets acquired and liabilities assumed from the Rockwell Collins acquisition. The final determination of the fair value of certain assets and liabilities will be completed up to a one year measurement period from the date of acquisition as required by the Financial Accounting Standards Board (FASB) Accounting Standards Codification (ASC) Topic 805, </w:t>
      </w: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As of September 30, 2019, the valuation studies necessary to determine the fair market value of the assets acquired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have not yet been finalized, including the validation of the underlying cash flows used to determine the fair value of the identified intangible assets. The size and breadth of the Rockwell Collins acquisition necessitates use of the one year measurement period to adequately analyze all the factors used in establishing the asset and liability fair values as of the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acquisition date, including, but not limited to, intangible assets, inventory, real property, leases, deferred tax liabilities related to the unremitted earnings of foreign subsidiaries, certain reserves and the related tax impacts of any adjustments. The table below reflects adjustments recorded as of September 30, 2019. Any additional potential adjustments could be material in relation to the preliminary values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5"/>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1,665</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assets, current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current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Future income tax benefits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assets,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1,558</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8,220</w:t>
            </w:r>
          </w:p>
        </w:tc>
      </w:tr>
      <w:tr>
        <w:trPr>
          <w:trHeight w:val="243"/>
        </w:trPr>
        <w:tc>
          <w:tcPr>
            <w:tcW w:w="9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Tradenames/trademarks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1,870</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Developed technology</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16,863</w:t>
            </w:r>
          </w:p>
        </w:tc>
      </w:tr>
      <w:tr>
        <w:trPr>
          <w:trHeight w:val="324"/>
        </w:trPr>
        <w:tc>
          <w:tcPr>
            <w:tcW w:w="9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borrowings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2,254</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1,657</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5,530</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Future pension and postretirement benefit obligation</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3,464</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9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14,232</w:t>
            </w:r>
          </w:p>
        </w:tc>
      </w:tr>
      <w:tr>
        <w:trPr>
          <w:trHeight w:val="237"/>
        </w:trPr>
        <w:tc>
          <w:tcPr>
            <w:tcW w:w="9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2,631</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20,862</w:t>
            </w:r>
          </w:p>
        </w:tc>
      </w:tr>
      <w:tr>
        <w:trPr>
          <w:trHeight w:val="257"/>
        </w:trPr>
        <w:tc>
          <w:tcPr>
            <w:tcW w:w="9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23,493</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order to allocate the consideration transferred for Rockwell Collins, the fair values of all identifiable assets and liabilities were established. For accounting and financial reporting purposes, fair value is defined under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 the price that would be received upon sale of an asset or the amount paid to transfer a liability in an orderly transaction between market 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 Fair value adjustments to Rockwell Collins' identified assets and liabilities resulted in an increase in inventory and fixed assets of $282 million and $256 million, respectively. In determining the fair value of identifiable assets acquired and liabilities assumed, a review was conducted for any significant contingent assets or liabilities existing as of the acquisition date. The preliminary assessment did not note any significant contingencies related to existing legal or government action.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The fair values of the customer relationship and related program intangible assets, which include the related aerospace program original equipment ("OEM") and aftermarket cash flows, were determined by using an “income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Our estimates of market participant net cash flows considered historical and projected pricing, remaining developmental effort, operational performance, including company specific synergies, aftermarket retention, product life cycles, material and labor pricing, and other relevant customer, contractual and market factors. Where appropriate, the net cash flows are probability-adjusted to reflect the uncertainties associated with the underlying assumptions as well as the risk profile of the net cash flows utilized in the valuation. The probability-adjusted future cash flows are then discounted to present value using an appropriate discount rate. The customer relationship and related program intangible assets are being amortized on a straight-line basis (which approximates the economic pattern of benefits) over the estimated economic life of the underlying programs of 10 to 20 years. The developed technology intangible asset is being amortized over the economic pattern of benefit. The fair value of the tradename intangible assets were determined utilizing the relief from royalty method which is a form of the income approach. Under this method, a royalty rate based on observed market royalties is applied to projected revenue supporting the valuation of the tradename and discounted to present value using an appropriate discount rate. The tradename intangible assets have been determined to have an indefinite life. The intangible assets included above consist of the following:</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Pr>
          <w:p>
            <w:pPr>
              <w:spacing w:after="0"/>
              <w:rPr>
                <w:sz w:val="13"/>
                <w:szCs w:val="13"/>
                <w:color w:val="auto"/>
              </w:rPr>
            </w:pPr>
          </w:p>
        </w:tc>
        <w:tc>
          <w:tcPr>
            <w:tcW w:w="13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80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49"/>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customer relationships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8,220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w w:val="99"/>
              </w:rPr>
              <w:t>10-20 years</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tradenames/trademarks</w:t>
            </w:r>
          </w:p>
        </w:tc>
        <w:tc>
          <w:tcPr>
            <w:tcW w:w="2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Pr>
          <w:p>
            <w:pPr>
              <w:spacing w:after="0"/>
              <w:rPr>
                <w:sz w:val="21"/>
                <w:szCs w:val="21"/>
                <w:color w:val="auto"/>
              </w:rPr>
            </w:pPr>
          </w:p>
        </w:tc>
        <w:tc>
          <w:tcPr>
            <w:tcW w:w="158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w w:val="99"/>
              </w:rPr>
              <w:t>15 years</w:t>
            </w:r>
          </w:p>
        </w:tc>
        <w:tc>
          <w:tcPr>
            <w:tcW w:w="0" w:type="dxa"/>
            <w:vAlign w:val="bottom"/>
          </w:tcPr>
          <w:p>
            <w:pPr>
              <w:spacing w:after="0"/>
              <w:rPr>
                <w:sz w:val="1"/>
                <w:szCs w:val="1"/>
                <w:color w:val="auto"/>
              </w:rPr>
            </w:pPr>
          </w:p>
        </w:tc>
      </w:tr>
      <w:tr>
        <w:trPr>
          <w:trHeight w:val="237"/>
        </w:trPr>
        <w:tc>
          <w:tcPr>
            <w:tcW w:w="80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10,690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We also identified customer contractual obligations on certain contracts with economic returns that are lower than could be realized in market transactions as of the acquisition date. We measured these liabilities under the measurement provisions of FASB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Disclosures,” </w:t>
      </w:r>
      <w:r>
        <w:rPr>
          <w:rFonts w:ascii="Times New Roman" w:cs="Times New Roman" w:eastAsia="Times New Roman" w:hAnsi="Times New Roman"/>
          <w:sz w:val="18"/>
          <w:szCs w:val="18"/>
          <w:color w:val="auto"/>
        </w:rPr>
        <w:t>which is based on the price to transfer the obligation to a market participant at the measurement date, assuming that the liability will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in the marketplace. Based on the estimated net cash outflows of the programs plus a reasonable contracting profit margin required to transfer the contracts to market participants, we recorded assumed liabilities of approximately $1,020 million. These liabilities will be liquidated in accordance with the underlying pattern of obligations, as reflected by the expenses incurred on the contracts. Total consumption of the contractual obligation for the next five years is expected to be as follows: $36 million remaining in 2019, $114 million in 2020, $101 million in 2021, $106 million in 2022, and $91 million in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Acquisition-Related Costs:</w:t>
      </w:r>
    </w:p>
    <w:p>
      <w:pPr>
        <w:spacing w:after="0" w:line="121"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Acquisition-related costs have been expensed as incurred. In the nine months ended September 30, 2019 and 2018, approximately $30 million and $71 million, respectively, of transaction and integration costs have been incurred. These costs were recorded in Selling, general and administrative expenses within the Condensed Consolidated Statement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Pro-Forma Data:</w:t>
      </w:r>
    </w:p>
    <w:p>
      <w:pPr>
        <w:spacing w:after="0" w:line="121"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Rockwell Collins' results of operations have been included in UTC’s financial statements for the period subsequent to the completion of the acquisition on November 26, 2018. Rockwell Collins contributed sales of approximately $6.9 billion and operating profit of approximately $1.1 billion for the nine months ended September 30, 2019. The following unaudited supplemental pro-forma data presents consolidated information as if the acquisition had been completed on January 1, 2017. The pro-forma results were calculated by combining the results of UTC with the stand-alone results of Rockwell Collins for the pre-acquisition periods, which were adjusted to account for certain costs that would have been incurred during this pre-acquisition period: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649"/>
        </w:trPr>
        <w:tc>
          <w:tcPr>
            <w:tcW w:w="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4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80" w:type="dxa"/>
            <w:vAlign w:val="bottom"/>
          </w:tcPr>
          <w:p>
            <w:pPr>
              <w:spacing w:after="0"/>
              <w:rPr>
                <w:sz w:val="23"/>
                <w:szCs w:val="23"/>
                <w:color w:val="auto"/>
              </w:rPr>
            </w:pPr>
          </w:p>
        </w:tc>
        <w:tc>
          <w:tcPr>
            <w:tcW w:w="5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0" w:type="dxa"/>
            <w:vAlign w:val="bottom"/>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19,496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18,664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57,490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54,795</w:t>
            </w:r>
          </w:p>
        </w:tc>
      </w:tr>
      <w:tr>
        <w:trPr>
          <w:trHeight w:val="243"/>
        </w:trPr>
        <w:tc>
          <w:tcPr>
            <w:tcW w:w="80" w:type="dxa"/>
            <w:vAlign w:val="bottom"/>
          </w:tcPr>
          <w:p>
            <w:pPr>
              <w:spacing w:after="0"/>
              <w:rPr>
                <w:sz w:val="21"/>
                <w:szCs w:val="21"/>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4,534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5,196</w:t>
            </w:r>
          </w:p>
        </w:tc>
      </w:tr>
      <w:tr>
        <w:trPr>
          <w:trHeight w:val="27"/>
        </w:trPr>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of common stock</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6.09</w:t>
            </w:r>
          </w:p>
        </w:tc>
      </w:tr>
      <w:tr>
        <w:trPr>
          <w:trHeight w:val="243"/>
        </w:trPr>
        <w:tc>
          <w:tcPr>
            <w:tcW w:w="80" w:type="dxa"/>
            <w:vAlign w:val="bottom"/>
          </w:tcPr>
          <w:p>
            <w:pPr>
              <w:spacing w:after="0"/>
              <w:rPr>
                <w:sz w:val="21"/>
                <w:szCs w:val="21"/>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 of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6.02</w:t>
            </w:r>
          </w:p>
        </w:tc>
      </w:tr>
    </w:tbl>
    <w:p>
      <w:pPr>
        <w:spacing w:after="0" w:line="117"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unaudited supplemental pro-forma data above includes the following significant adjustments made to account for certain costs which would have been incurred if the acquisition had been completed on January 1, 2017, as adjusted for the applicable tax impact.</w:t>
      </w: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194"/>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54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 xml:space="preserve">Amortization of inventory and fixed asset fair value adjustment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55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Amortization of acquired Rockwell Collins intangible assets, net </w:t>
            </w:r>
            <w:r>
              <w:rPr>
                <w:rFonts w:ascii="Times New Roman" w:cs="Times New Roman" w:eastAsia="Times New Roman" w:hAnsi="Times New Roman"/>
                <w:sz w:val="25"/>
                <w:szCs w:val="25"/>
                <w:color w:val="auto"/>
                <w:vertAlign w:val="superscript"/>
              </w:rPr>
              <w:t>2</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96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Utilization of contractual customer obligation </w:t>
            </w:r>
            <w:r>
              <w:rPr>
                <w:rFonts w:ascii="Times New Roman" w:cs="Times New Roman" w:eastAsia="Times New Roman" w:hAnsi="Times New Roman"/>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55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UTC/Rockwell Collins fees for advisory, legal, accounting services </w:t>
            </w:r>
            <w:r>
              <w:rPr>
                <w:rFonts w:ascii="Times New Roman" w:cs="Times New Roman" w:eastAsia="Times New Roman" w:hAnsi="Times New Roman"/>
                <w:sz w:val="25"/>
                <w:szCs w:val="25"/>
                <w:color w:val="auto"/>
                <w:vertAlign w:val="superscript"/>
              </w:rPr>
              <w:t>4</w:t>
            </w:r>
          </w:p>
        </w:tc>
        <w:tc>
          <w:tcPr>
            <w:tcW w:w="30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Interest expense incurred on acquisition financing, net </w:t>
            </w:r>
            <w:r>
              <w:rPr>
                <w:rFonts w:ascii="Times New Roman" w:cs="Times New Roman" w:eastAsia="Times New Roman" w:hAnsi="Times New Roman"/>
                <w:sz w:val="25"/>
                <w:szCs w:val="25"/>
                <w:color w:val="auto"/>
                <w:vertAlign w:val="superscript"/>
              </w:rPr>
              <w:t>5</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70"/>
        </w:trPr>
        <w:tc>
          <w:tcPr>
            <w:tcW w:w="55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Elimination of capitalized pre-production engineering amortization </w:t>
            </w:r>
            <w:r>
              <w:rPr>
                <w:rFonts w:ascii="Times New Roman" w:cs="Times New Roman" w:eastAsia="Times New Roman" w:hAnsi="Times New Roman"/>
                <w:sz w:val="25"/>
                <w:szCs w:val="25"/>
                <w:color w:val="auto"/>
                <w:vertAlign w:val="superscript"/>
              </w:rPr>
              <w:t>6</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3"/>
                <w:szCs w:val="23"/>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Adjustment to net periodic pension cost </w:t>
            </w:r>
            <w:r>
              <w:rPr>
                <w:rFonts w:ascii="Times New Roman" w:cs="Times New Roman" w:eastAsia="Times New Roman" w:hAnsi="Times New Roman"/>
                <w:sz w:val="25"/>
                <w:szCs w:val="25"/>
                <w:color w:val="auto"/>
                <w:vertAlign w:val="superscript"/>
              </w:rPr>
              <w:t>7</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55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Adjustment to reflect the adoption of ASC 606 </w:t>
            </w:r>
            <w:r>
              <w:rPr>
                <w:rFonts w:ascii="Times New Roman" w:cs="Times New Roman" w:eastAsia="Times New Roman" w:hAnsi="Times New Roman"/>
                <w:sz w:val="25"/>
                <w:szCs w:val="25"/>
                <w:color w:val="auto"/>
                <w:vertAlign w:val="superscript"/>
              </w:rPr>
              <w:t>8</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3"/>
                <w:szCs w:val="23"/>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Elimination of entities held for sale </w:t>
            </w:r>
            <w:r>
              <w:rPr>
                <w:rFonts w:ascii="Times New Roman" w:cs="Times New Roman" w:eastAsia="Times New Roman" w:hAnsi="Times New Roman"/>
                <w:sz w:val="25"/>
                <w:szCs w:val="25"/>
                <w:color w:val="auto"/>
                <w:vertAlign w:val="superscript"/>
              </w:rPr>
              <w:t>9</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554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112" w:lineRule="exact"/>
        <w:rPr>
          <w:sz w:val="20"/>
          <w:szCs w:val="20"/>
          <w:color w:val="auto"/>
        </w:rPr>
      </w:pPr>
    </w:p>
    <w:p>
      <w:pPr>
        <w:ind w:left="340" w:right="100" w:hanging="332"/>
        <w:spacing w:after="0" w:line="281"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the inventory step-up amortization recorded by UTC in 2019 as this would have been completed within the first two quarters of 2017. Additionally, this adjustment reflects the amortization of the fixed asset fair value adjustment as of the acquisition date.</w:t>
      </w:r>
    </w:p>
    <w:p>
      <w:pPr>
        <w:spacing w:after="0" w:line="1" w:lineRule="exact"/>
        <w:rPr>
          <w:sz w:val="20"/>
          <w:szCs w:val="20"/>
          <w:color w:val="auto"/>
        </w:rPr>
      </w:pPr>
    </w:p>
    <w:p>
      <w:pPr>
        <w:ind w:left="340" w:hanging="332"/>
        <w:spacing w:after="0" w:line="281" w:lineRule="auto"/>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additional amortization of the acquired Rockwell Collins' intangible assets recognized at fair value in purchase accounting and eliminates the historical Rockwell Collins intangible asset amortization expense.</w:t>
      </w:r>
    </w:p>
    <w:p>
      <w:pPr>
        <w:spacing w:after="0" w:line="1" w:lineRule="exact"/>
        <w:rPr>
          <w:sz w:val="20"/>
          <w:szCs w:val="20"/>
          <w:color w:val="auto"/>
        </w:rPr>
      </w:pPr>
    </w:p>
    <w:p>
      <w:pPr>
        <w:ind w:left="340" w:right="520" w:hanging="332"/>
        <w:spacing w:after="0" w:line="281" w:lineRule="auto"/>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additional amortization of liabilities recognized for acquired contracts with terms less favorable than could be realized in market transactions as of the acquisition date and eliminates Rockwell Collins historical amortization of these liabilities.</w:t>
      </w:r>
    </w:p>
    <w:p>
      <w:pPr>
        <w:spacing w:after="0" w:line="1" w:lineRule="exact"/>
        <w:rPr>
          <w:sz w:val="20"/>
          <w:szCs w:val="20"/>
          <w:color w:val="auto"/>
        </w:rPr>
      </w:pPr>
    </w:p>
    <w:p>
      <w:pPr>
        <w:ind w:left="340" w:right="140" w:hanging="332"/>
        <w:spacing w:after="0" w:line="281"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transaction-related fees incurred by UTC and Rockwell Collins in connection with the acquisition and assumes all of the fees were incurred during the first quarter of 2017.</w:t>
      </w:r>
    </w:p>
    <w:p>
      <w:pPr>
        <w:spacing w:after="0" w:line="1" w:lineRule="exact"/>
        <w:rPr>
          <w:sz w:val="20"/>
          <w:szCs w:val="20"/>
          <w:color w:val="auto"/>
        </w:rPr>
      </w:pPr>
    </w:p>
    <w:p>
      <w:pPr>
        <w:ind w:left="340" w:right="100" w:hanging="332"/>
        <w:spacing w:after="0" w:line="28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additional interest expense incurred on debt to finance our acquisition of Rockwell Collins and reduces interest expense for the debt fair value adjustment which would have been amortized.</w:t>
      </w:r>
    </w:p>
    <w:p>
      <w:pPr>
        <w:spacing w:after="0" w:line="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Rockwell Collins capitalized pre-production engineering amortization to conform to UTC policy.</w:t>
      </w:r>
    </w:p>
    <w:p>
      <w:pPr>
        <w:spacing w:after="0" w:line="55" w:lineRule="exact"/>
        <w:rPr>
          <w:sz w:val="20"/>
          <w:szCs w:val="20"/>
          <w:color w:val="auto"/>
        </w:rPr>
      </w:pPr>
    </w:p>
    <w:p>
      <w:pPr>
        <w:ind w:left="340" w:right="480" w:hanging="332"/>
        <w:spacing w:after="0" w:line="28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adjustments for the elimination of amortization of prior service cost and actuarial loss amortization, which was recorded by Rockwell Collins, as a result of fair value purchase accounting, net of the impact of the revised pension and post-retirement benefit (expense) as determined under UTC’s plan assumptions.</w:t>
      </w:r>
    </w:p>
    <w:p>
      <w:pPr>
        <w:spacing w:after="0" w:line="1" w:lineRule="exact"/>
        <w:rPr>
          <w:sz w:val="20"/>
          <w:szCs w:val="20"/>
          <w:color w:val="auto"/>
        </w:rPr>
      </w:pPr>
    </w:p>
    <w:p>
      <w:pPr>
        <w:jc w:val="both"/>
        <w:ind w:left="340" w:right="140" w:hanging="332"/>
        <w:spacing w:after="0" w:line="261"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adjustments to Rockwell Collins revenue recognition as if they adopted the New Revenue Standard as of January 1, 2018 and primarily relates to capitalization of contract costs and changes in timing of sales recognition for contracts requiring an over time method of revenue recognition, partially offset by deferral of revenue recognized on OEM product engineering and development.</w:t>
      </w:r>
    </w:p>
    <w:p>
      <w:pPr>
        <w:spacing w:after="0" w:line="1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entities required to be sold for regulatory approvals.</w:t>
      </w:r>
    </w:p>
    <w:p>
      <w:pPr>
        <w:spacing w:after="0" w:line="1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unaudited supplemental pro-forma financial information does not reflect the potential realization of cost savings related to the integration of the two companies. Further, the pro-forma data should not be considered indicative of the results that would have occurred if the acquisition and related financing had been consummated on January 1, 2017, nor are they indicative of future results.</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14" w:right="25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Dispositions. </w:t>
      </w:r>
      <w:r>
        <w:rPr>
          <w:rFonts w:ascii="Times New Roman" w:cs="Times New Roman" w:eastAsia="Times New Roman" w:hAnsi="Times New Roman"/>
          <w:sz w:val="18"/>
          <w:szCs w:val="18"/>
          <w:color w:val="auto"/>
        </w:rPr>
        <w:t>Cash inflows related to dispositions during the nine months ended September 30, 2019 were $134 million and primarily consisted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dispositions of businesses held for sale associated with the Rockwell Collins acquisition. In accordance with conditions imposed for regulatory approval of the acquisition, Rockwell Collins was required to dispose of certain businesses. These businesses were held separate from UTC’s and Rockwell Collins' ongoing businesses pursuant to regulatory requirements. Definitive agreements to sell each of the businesses were entered into prior to the completion of UTC's acquisition of Rockwell Collins. The related assets and liabilities of these businesses had been accounted for as held for sale at fair value less cost to sell. As of December 31, 2018, assets held for sale of $175 million were included within Other assets, current and liabilities held for sale of $40 million were included within Accrued liabilities on the Consolidated Balance Sheet. The major classes of assets and liabilities primarily include net Inventory of $51 million and net Fixed assets of $37 million. In the first quarter of 2019, Rockwell Collins completed the sale of all businesses which were held for sale as of December 31, 2018.</w:t>
      </w:r>
    </w:p>
    <w:p>
      <w:pPr>
        <w:spacing w:after="0" w:line="186"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On November 26, 2018, the Company announced its intention to separate into three independent companies. Following the separations, the Company will operate as an aerospace company comprised of Collins Aerospace Systems and the Pratt &amp; Whitney businesses, and Otis and Carrier will become independent companies. The proposed separations are expected to be effected through spin-offs of Otis and Carrier that are intended to be tax-free for the Company’s shareowners for U.S. federal income tax purposes, and are expected to be completed in the first half of 2020. Separation of Otis and Carrier from UTC via spin-off transactions will be subject to the satisfaction of customary conditions, including, among others, final approval by the Company’s Board of Directors, receipt of tax rulings in certain jurisdictions and/or a tax opinion from external counsel (as applicable), the filing with the Securities and Exchange Commission (SEC) and effectiveness of Form 10 registration statements, and satisfactory completion of financing (subject to UTC’s agreement to consummate the distributions pursuant to, and subject to the terms and conditions of, the Raytheon merger agreement). In the nine months ended September 30, 2019, $342 million of Selling, general and administrative costs and $618 million of tax charges have been incurred related to the portfolio separation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Changes in our goodwill balances for the nine months ended September 30, 2019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September</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January 1, 2019</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Combinations</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Translation and Other</w:t>
            </w:r>
          </w:p>
        </w:tc>
        <w:tc>
          <w:tcPr>
            <w:tcW w:w="340" w:type="dxa"/>
            <w:vAlign w:val="bottom"/>
          </w:tcPr>
          <w:p>
            <w:pPr>
              <w:spacing w:after="0"/>
              <w:rPr>
                <w:sz w:val="16"/>
                <w:szCs w:val="16"/>
                <w:color w:val="auto"/>
              </w:rPr>
            </w:pP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Carrier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35,001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35,134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48,091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48,020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48,112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48,041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Goodwill increased $394 million at Collins Aerospace Systems resulting from several insignificant purchase accounting adjustments made during the nine months ended September 30, 2019, including a reduction in acquired customer relationship intangible assets of $100 million and a reduction in fixed assets of approximately $130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Identifiable intangible assets are comprised of the following:</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0"/>
        </w:trPr>
        <w:tc>
          <w:tcPr>
            <w:tcW w:w="102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60" w:type="dxa"/>
            <w:vAlign w:val="bottom"/>
          </w:tcPr>
          <w:p>
            <w:pPr>
              <w:spacing w:after="0"/>
              <w:rPr>
                <w:sz w:val="12"/>
                <w:szCs w:val="12"/>
                <w:color w:val="auto"/>
              </w:rPr>
            </w:pPr>
          </w:p>
        </w:tc>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60" w:type="dxa"/>
            <w:vAlign w:val="bottom"/>
          </w:tcPr>
          <w:p>
            <w:pPr>
              <w:spacing w:after="0"/>
              <w:rPr>
                <w:sz w:val="12"/>
                <w:szCs w:val="12"/>
                <w:color w:val="auto"/>
              </w:rPr>
            </w:pPr>
          </w:p>
        </w:tc>
        <w:tc>
          <w:tcPr>
            <w:tcW w:w="1340" w:type="dxa"/>
            <w:vAlign w:val="bottom"/>
          </w:tcPr>
          <w:p>
            <w:pPr>
              <w:jc w:val="right"/>
              <w:ind w:right="294"/>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5"/>
        </w:trPr>
        <w:tc>
          <w:tcPr>
            <w:tcW w:w="4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Service portfolios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Collaboration intangible assets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22,594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22,525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29,822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29,559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33,712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33,477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addition to customer relationship intangible assets obtained through business combinations, customer relationship intangible assets include payments made to our customers to secure certain contractual rights. Such payments are capitalized when distinct rights are obtained and sufficient incremental cash flows to support the recoverability of the assets have been established. Otherwise, the applicable portion of the payments is expensed. We amortize these intangible assets based on the underlying pattern of economic benefit, which may result in an amortization method other than straight-line. In the aerospace industry, amortization based on the pattern of economic benefit generally results in lower amortization expense during the development period with amortization expense increasing as programs enter full production and aftermarket cycles. If a pattern of economic benefit cannot be reliably determined, a straight-line amortization method is used. We classify amortization of such payments as a reduction of sales. The collaboration intangible assets are amortized based upon the pattern of economic benefits as represented by the underlying cash flows.</w:t>
      </w:r>
    </w:p>
    <w:p>
      <w:pPr>
        <w:spacing w:after="0" w:line="7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for the quarter and nine months ended September 30, 2019 was $369 million and $1,091 million, respectively, compared with $225 million and $680 million for the same periods of 2018. The following is the expected amortization of intangible assets for the years 2019 through 2024, which reflects the pattern of expected economic benefit on certain aerospace intangible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Remaining 2019</w:t>
            </w:r>
          </w:p>
        </w:tc>
        <w:tc>
          <w:tcPr>
            <w:tcW w:w="280" w:type="dxa"/>
            <w:vAlign w:val="bottom"/>
          </w:tcPr>
          <w:p>
            <w:pPr>
              <w:spacing w:after="0"/>
              <w:rPr>
                <w:sz w:val="17"/>
                <w:szCs w:val="17"/>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2"/>
        </w:trPr>
        <w:tc>
          <w:tcPr>
            <w:tcW w:w="4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1,370</w:t>
            </w:r>
          </w:p>
        </w:tc>
      </w:tr>
      <w:tr>
        <w:trPr>
          <w:trHeight w:val="27"/>
        </w:trPr>
        <w:tc>
          <w:tcPr>
            <w:tcW w:w="40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account for revenue in accordance with ASC Topic 606: </w:t>
      </w:r>
      <w:r>
        <w:rPr>
          <w:rFonts w:ascii="Times New Roman" w:cs="Times New Roman" w:eastAsia="Times New Roman" w:hAnsi="Times New Roman"/>
          <w:sz w:val="18"/>
          <w:szCs w:val="18"/>
          <w:i w:val="1"/>
          <w:iCs w:val="1"/>
          <w:color w:val="auto"/>
        </w:rPr>
        <w:t>Revenue from Contracts with Customers.</w:t>
      </w:r>
    </w:p>
    <w:p>
      <w:pPr>
        <w:spacing w:after="0" w:line="2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Performance Obligations. </w:t>
      </w:r>
      <w:r>
        <w:rPr>
          <w:rFonts w:ascii="Times New Roman" w:cs="Times New Roman" w:eastAsia="Times New Roman" w:hAnsi="Times New Roman"/>
          <w:sz w:val="18"/>
          <w:szCs w:val="18"/>
          <w:color w:val="auto"/>
        </w:rPr>
        <w:t>A performance obligation is a promise in a contract with a customer to transfer a distinct good or service to the customer. Some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contracts with customers contain a single performance obligation, while others contain multiple performance obligations most commonly when a contract spans multiple phases of the product life-cycle such as development, production, maintenance and support.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184" w:lineRule="exact"/>
        <w:rPr>
          <w:sz w:val="20"/>
          <w:szCs w:val="20"/>
          <w:color w:val="auto"/>
        </w:rPr>
      </w:pPr>
    </w:p>
    <w:p>
      <w:pPr>
        <w:ind w:firstLine="405"/>
        <w:spacing w:after="0" w:line="277" w:lineRule="auto"/>
        <w:rPr>
          <w:sz w:val="20"/>
          <w:szCs w:val="20"/>
          <w:color w:val="auto"/>
        </w:rPr>
      </w:pPr>
      <w:r>
        <w:rPr>
          <w:rFonts w:ascii="Times New Roman" w:cs="Times New Roman" w:eastAsia="Times New Roman" w:hAnsi="Times New Roman"/>
          <w:sz w:val="17"/>
          <w:szCs w:val="17"/>
          <w:color w:val="auto"/>
        </w:rPr>
        <w:t>We consider the contractual consideration payable by the customer and assess variable consideration that may affect the total transaction price, including contractual discounts, contract incentive payments, estimates of award fees, unfunded contract value under U.S. Government contracts, and other sources of variable consideration, when determining the transaction price of each contract. We include variable consideration in the estimated transaction price when there is a basis to reasonably estimate the amount. These estimates are based on historical experience, anticipated performance and our best judgment at the time. We also consider whether our contracts provide customers with significant financing. Generally, our contracts do not contain significant financing.</w:t>
      </w:r>
    </w:p>
    <w:p>
      <w:pPr>
        <w:spacing w:after="0" w:line="16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Timing of the satisfaction of performance obligations varies across our businesses due to our diverse product and service mix, customer base, and contractual terms.</w:t>
      </w:r>
    </w:p>
    <w:p>
      <w:pPr>
        <w:spacing w:after="0" w:line="15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Remaining Performance Obligations (RPO). </w:t>
      </w:r>
      <w:r>
        <w:rPr>
          <w:rFonts w:ascii="Times New Roman" w:cs="Times New Roman" w:eastAsia="Times New Roman" w:hAnsi="Times New Roman"/>
          <w:sz w:val="18"/>
          <w:szCs w:val="18"/>
          <w:color w:val="auto"/>
        </w:rPr>
        <w:t>RPO represents the aggregate amount of total contract transaction price that is unsatisfied or partially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unsatisfied. As of September 30, 2019 our total RPO was approximately $127.7 billion compared to</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$115.5 billion as of December 31, 2018. Of the total RPO as of September 30, 2019, we expect approximately 43% will be recognized as sales over the following 24 months.</w:t>
      </w:r>
    </w:p>
    <w:p>
      <w:pPr>
        <w:spacing w:after="0" w:line="1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Capitalized Contract Costs. </w:t>
      </w:r>
      <w:r>
        <w:rPr>
          <w:rFonts w:ascii="Times New Roman" w:cs="Times New Roman" w:eastAsia="Times New Roman" w:hAnsi="Times New Roman"/>
          <w:sz w:val="18"/>
          <w:szCs w:val="18"/>
          <w:color w:val="auto"/>
        </w:rPr>
        <w:t>We incur costs for engineering and development of aerospace products directly related to existing or anticipated contracts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Such costs generate or enhance our ability to satisfy our performance obligations under these contracts. We capitalize these costs as contract fulfillment costs to the extent the costs are recoverable from the associated contract margin and subsequently amortize the costs as the OEM products performance obligations are satisfied. In instances where intellectual property does not transfer to the customer, we defer the customer funding of OEM product engineering and development and recognize revenue when the performance obligations related to the OEM products are satisfied. Capitalized net contract fulfillment costs were $1,383 million and $914 million as of September 30, 2019 and December 31, 2018, respectively and are recognized in Other assets in our Condensed Consolidated Balance Sheet. The increase in capitalized net contract fulfillment costs is primarily driven by current year activity in the recently acquired Rockwell Collins businesses.</w:t>
      </w:r>
    </w:p>
    <w:p>
      <w:pPr>
        <w:spacing w:after="0" w:line="18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Assets and Liabilities. </w:t>
      </w:r>
      <w:r>
        <w:rPr>
          <w:rFonts w:ascii="Times New Roman" w:cs="Times New Roman" w:eastAsia="Times New Roman" w:hAnsi="Times New Roman"/>
          <w:sz w:val="18"/>
          <w:szCs w:val="18"/>
          <w:color w:val="auto"/>
        </w:rPr>
        <w:t>Contract assets reflect revenue recognized and performance obligations satisfied in advance of customer billing.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relate to payments received in advance of the satisfaction of performance under the contract. We receive payments from customers based on the terms established in our contracts. Total contract assets and contract liabilities as of September 30, 2019 and December 31, 2018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assets, current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3,486</w:t>
            </w:r>
          </w:p>
        </w:tc>
      </w:tr>
      <w:tr>
        <w:trPr>
          <w:trHeight w:val="243"/>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assets, noncurrent (included within Other assets)</w:t>
            </w:r>
          </w:p>
        </w:tc>
        <w:tc>
          <w:tcPr>
            <w:tcW w:w="1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1,142</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contract assets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4,628</w:t>
            </w: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 noncurrent (included within 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r>
      <w:tr>
        <w:trPr>
          <w:trHeight w:val="237"/>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(10,789)</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contract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Contract assets increased $1,052 million during the nine months ended September 30, 2019 due to revenue recognition in excess of customer billings, primarily on Pratt &amp; Whitney military and commercial aftermarket service agreements and various programs at Collins Aerospace Systems. Contract liabilities increased $861 million during the nine months ended September 30, 2019 primarily due to customer billings in excess of revenue recognized on Pratt &amp; Whitney commercial aftermarket service agreements, at Collins Aerospace Systems across various programs, and on Otis maintenance contracts. We recognized revenue of $4.1 billion during the nine months ended September 30, 2019 related to contract liabilities as of December 31, 2018.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millions)</w:t>
            </w:r>
          </w:p>
        </w:tc>
        <w:tc>
          <w:tcPr>
            <w:tcW w:w="3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4,583</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855.1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790.6</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awards and equity units (share equivalent)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w:t>
            </w:r>
          </w:p>
        </w:tc>
      </w:tr>
      <w:tr>
        <w:trPr>
          <w:trHeight w:val="297"/>
        </w:trPr>
        <w:tc>
          <w:tcPr>
            <w:tcW w:w="5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864.1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862.9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800.7</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5.80</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5.72</w:t>
            </w:r>
          </w:p>
        </w:tc>
      </w:tr>
      <w:tr>
        <w:trPr>
          <w:trHeight w:val="675"/>
        </w:trPr>
        <w:tc>
          <w:tcPr>
            <w:tcW w:w="56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earnings per share excludes the effect of the potential exercise of stock awards when the awards’ assumed proceeds exceed the average market price of the common shares during the period. For the quarter and nine months ended September 30, 2019, the number of stock awards excluded from the computation was approximately 8.0 million and 11.0 million, respectively. For the quarter and nine months ended September 30, 2018, the number of stock awards excluded from the computation was approximately 5.0 million and 5.2 million,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Inventory,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17"/>
                <w:szCs w:val="17"/>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3,052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2,673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4,358</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11,242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10,083</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Raw materials, work-in-process and finished goods are net of valuation reserves of $1,370 million and $1,270 million as of September 30, 2019 and December 31, 2018,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 and Lines of Credit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17"/>
                <w:szCs w:val="17"/>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1,469</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At September 30, 2019, we had credit agreements with various banks permitting aggregate borrowings of up to $10.35 billion, including: a $2.20 billion revolving credit agreement and a $2.15 billion multicurrency revolving credit agreement, both of which expire in August 2021; and a $2.0 billion revolving credit agreement and a $4.0 billion term credit agreement, both of which we entered into on March 15, 2019 and which will expire on March 15, 2021 or, if earlier, the date that is 180 days after the date on which each of the separations of Otis and Carrier have been consummated. As of September 30, 2019, there were no borrowings under any of these agreements. The undrawn portions of these revolving credit agreements are also available to serve as backup facilities for the issuance of commercial paper. As of September 30, 2019, our maximum commercial paper borrowing limit was $6.35 billion. Commercial paper borrowings at September 30, 2019 include approximately €750 million ($824 million) of euro-denominated commercial paper. We use our commercial paper borrowings for general corporate purposes, including the funding of potential acquisitions, pension contributions, debt refinancing, dividend payments and repurchases of our common stock. The need for commercial paper borrowings arises when the use of domestic cash for general corporate purposes exceeds the sum of domestic cash generation and foreign cash repatriated to the U.S.</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17"/>
                <w:szCs w:val="17"/>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69"/>
        </w:trPr>
        <w:tc>
          <w:tcPr>
            <w:tcW w:w="812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LIBOR plus 0.350% floating rate notes due 2019 </w:t>
            </w:r>
            <w:r>
              <w:rPr>
                <w:rFonts w:ascii="Times New Roman" w:cs="Times New Roman" w:eastAsia="Times New Roman" w:hAnsi="Times New Roman"/>
                <w:sz w:val="25"/>
                <w:szCs w:val="25"/>
                <w:color w:val="auto"/>
                <w:vertAlign w:val="superscript"/>
              </w:rPr>
              <w:t>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1.500% notes due 2019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1.950% notes due 2019 </w:t>
            </w:r>
            <w:r>
              <w:rPr>
                <w:rFonts w:ascii="Times New Roman" w:cs="Times New Roman" w:eastAsia="Times New Roman" w:hAnsi="Times New Roman"/>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EURIBOR plus 0.15% floating rate notes due 2019 (€750 million principal value)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858</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5.250% notes due 2019 </w:t>
            </w:r>
            <w:r>
              <w:rPr>
                <w:rFonts w:ascii="Times New Roman" w:cs="Times New Roman" w:eastAsia="Times New Roman" w:hAnsi="Times New Roman"/>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8.875% notes due 2019</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4.875% notes due 2020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4.500% notes due 2020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1.900% notes due 2020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EURIBOR plus 0.20% floating rate notes due 2020 (€750 million principal value)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8.750% notes due 2021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3.100% notes due 2021 </w:t>
            </w:r>
            <w:r>
              <w:rPr>
                <w:rFonts w:ascii="Times New Roman" w:cs="Times New Roman" w:eastAsia="Times New Roman" w:hAnsi="Times New Roman"/>
                <w:sz w:val="25"/>
                <w:szCs w:val="25"/>
                <w:color w:val="auto"/>
                <w:vertAlign w:val="superscript"/>
              </w:rPr>
              <w:t>4</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3.350% notes due 2021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81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LIBOR plus 0.650% floating rate notes due 2021 </w:t>
            </w:r>
            <w:r>
              <w:rPr>
                <w:rFonts w:ascii="Times New Roman" w:cs="Times New Roman" w:eastAsia="Times New Roman" w:hAnsi="Times New Roman"/>
                <w:sz w:val="25"/>
                <w:szCs w:val="25"/>
                <w:color w:val="auto"/>
                <w:vertAlign w:val="superscript"/>
              </w:rPr>
              <w:t>1,3</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1.950% notes due 2021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r>
      <w:tr>
        <w:trPr>
          <w:trHeight w:val="341"/>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1.125% notes due 2021 (€950 million principal value)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1,088</w:t>
            </w:r>
          </w:p>
        </w:tc>
      </w:tr>
    </w:tbl>
    <w:p>
      <w:pPr>
        <w:spacing w:after="0" w:line="200" w:lineRule="exact"/>
        <w:rPr>
          <w:sz w:val="20"/>
          <w:szCs w:val="20"/>
          <w:color w:val="auto"/>
        </w:rPr>
      </w:pPr>
    </w:p>
    <w:p>
      <w:pPr>
        <w:sectPr>
          <w:pgSz w:w="11900" w:h="16838" w:orient="portrait"/>
          <w:cols w:equalWidth="0" w:num="1">
            <w:col w:w="11420"/>
          </w:cols>
          <w:pgMar w:left="240" w:top="118" w:right="239" w:bottom="968" w:gutter="0" w:footer="0" w:header="0"/>
        </w:sect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968" w:gutter="0" w:footer="0" w:header="0"/>
          <w:type w:val="continuous"/>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1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2.300% notes due 2022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2.800% notes due 2022 </w:t>
            </w:r>
            <w:r>
              <w:rPr>
                <w:rFonts w:ascii="Times New Roman" w:cs="Times New Roman" w:eastAsia="Times New Roman" w:hAnsi="Times New Roman"/>
                <w:sz w:val="25"/>
                <w:szCs w:val="25"/>
                <w:color w:val="auto"/>
                <w:vertAlign w:val="superscript"/>
              </w:rPr>
              <w:t>4</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3.100% notes due 2022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1.250% notes due 2023 (€750 million principal value)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3.650% notes due 2023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3.700% notes due 2023 </w:t>
            </w:r>
            <w:r>
              <w:rPr>
                <w:rFonts w:ascii="Times New Roman" w:cs="Times New Roman" w:eastAsia="Times New Roman" w:hAnsi="Times New Roman"/>
                <w:sz w:val="25"/>
                <w:szCs w:val="25"/>
                <w:color w:val="auto"/>
                <w:vertAlign w:val="superscript"/>
              </w:rPr>
              <w:t>4</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2.800% notes due 2024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3.200% notes due 2024 </w:t>
            </w:r>
            <w:r>
              <w:rPr>
                <w:rFonts w:ascii="Times New Roman" w:cs="Times New Roman" w:eastAsia="Times New Roman" w:hAnsi="Times New Roman"/>
                <w:sz w:val="25"/>
                <w:szCs w:val="25"/>
                <w:color w:val="auto"/>
                <w:vertAlign w:val="superscript"/>
              </w:rPr>
              <w:t>4</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1.150% notes due 2024 (€750 million principal value)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3.950% notes due 2025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1.875% notes due 2026 (€500 million principal value)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3.125% notes due 2027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3.500% notes due 2027 </w:t>
            </w:r>
            <w:r>
              <w:rPr>
                <w:rFonts w:ascii="Times New Roman" w:cs="Times New Roman" w:eastAsia="Times New Roman" w:hAnsi="Times New Roman"/>
                <w:sz w:val="25"/>
                <w:szCs w:val="25"/>
                <w:color w:val="auto"/>
                <w:vertAlign w:val="superscript"/>
              </w:rPr>
              <w:t>4</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7.100% notes due 2027</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6.700% notes due 2028</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4.125% notes due 2028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7.500% notes due 2029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3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2.150% notes due 2030 (€500 million principal value)</w:t>
            </w:r>
          </w:p>
        </w:tc>
        <w:tc>
          <w:tcPr>
            <w:tcW w:w="4140" w:type="dxa"/>
            <w:vAlign w:val="bottom"/>
            <w:shd w:val="clear" w:color="auto" w:fill="CCEEFF"/>
          </w:tcPr>
          <w:p>
            <w:pPr>
              <w:jc w:val="right"/>
              <w:ind w:right="4027"/>
              <w:spacing w:after="0"/>
              <w:rPr>
                <w:sz w:val="20"/>
                <w:szCs w:val="20"/>
                <w:color w:val="auto"/>
              </w:rPr>
            </w:pPr>
            <w:r>
              <w:rPr>
                <w:rFonts w:ascii="Times New Roman" w:cs="Times New Roman" w:eastAsia="Times New Roman" w:hAnsi="Times New Roman"/>
                <w:sz w:val="11"/>
                <w:szCs w:val="11"/>
                <w:color w:val="auto"/>
                <w:w w:val="71"/>
                <w:shd w:val="clear" w:color="auto" w:fill="CCEEFF"/>
              </w:rPr>
              <w:t>1</w:t>
            </w:r>
          </w:p>
        </w:tc>
        <w:tc>
          <w:tcPr>
            <w:tcW w:w="5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3940" w:type="dxa"/>
            <w:vAlign w:val="bottom"/>
            <w:tcBorders>
              <w:bottom w:val="single" w:sz="8" w:color="CCEEFF"/>
            </w:tcBorders>
            <w:vMerge w:val="continue"/>
            <w:shd w:val="clear" w:color="auto" w:fill="CCEEFF"/>
          </w:tcPr>
          <w:p>
            <w:pPr>
              <w:spacing w:after="0"/>
              <w:rPr>
                <w:sz w:val="6"/>
                <w:szCs w:val="6"/>
                <w:color w:val="auto"/>
              </w:rPr>
            </w:pPr>
          </w:p>
        </w:tc>
        <w:tc>
          <w:tcPr>
            <w:tcW w:w="414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5.400% notes due 2035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6.050% notes due 2036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6.800% notes due 2036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7.000% notes due 2038</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6.125% notes due 2038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4.450% notes due 2038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5.700% notes due 2040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4.500% notes due 2042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4.800% notes due 2043 </w:t>
            </w:r>
            <w:r>
              <w:rPr>
                <w:rFonts w:ascii="Times New Roman" w:cs="Times New Roman" w:eastAsia="Times New Roman" w:hAnsi="Times New Roman"/>
                <w:sz w:val="25"/>
                <w:szCs w:val="25"/>
                <w:color w:val="auto"/>
                <w:vertAlign w:val="superscript"/>
              </w:rPr>
              <w:t>4</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4.150% notes due 2045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3.750% notes due 2046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4.050% notes due 2047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4.350% notes due 2047 </w:t>
            </w:r>
            <w:r>
              <w:rPr>
                <w:rFonts w:ascii="Times New Roman" w:cs="Times New Roman" w:eastAsia="Times New Roman" w:hAnsi="Times New Roman"/>
                <w:sz w:val="25"/>
                <w:szCs w:val="25"/>
                <w:color w:val="auto"/>
                <w:vertAlign w:val="superscript"/>
              </w:rPr>
              <w:t>4</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4.625% notes due 2048 </w:t>
            </w:r>
            <w:r>
              <w:rPr>
                <w:rFonts w:ascii="Times New Roman" w:cs="Times New Roman" w:eastAsia="Times New Roman" w:hAnsi="Times New Roman"/>
                <w:sz w:val="25"/>
                <w:szCs w:val="25"/>
                <w:color w:val="auto"/>
                <w:vertAlign w:val="superscript"/>
              </w:rPr>
              <w:t>1</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Project financing obligations </w:t>
            </w:r>
            <w:r>
              <w:rPr>
                <w:rFonts w:ascii="Times New Roman" w:cs="Times New Roman" w:eastAsia="Times New Roman" w:hAnsi="Times New Roman"/>
                <w:sz w:val="25"/>
                <w:szCs w:val="25"/>
                <w:color w:val="auto"/>
                <w:vertAlign w:val="superscript"/>
              </w:rPr>
              <w:t>5</w:t>
            </w: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(including finance leases)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principal long-term debt</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43,600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44,416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(fair market value adjustments, discounts and debt issuance costs)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43,277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44,068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57"/>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37,782</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41,192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these notes at our option pursuant to their terms.</w:t>
      </w:r>
    </w:p>
    <w:p>
      <w:pPr>
        <w:spacing w:after="0" w:line="55" w:lineRule="exact"/>
        <w:rPr>
          <w:sz w:val="20"/>
          <w:szCs w:val="20"/>
          <w:color w:val="auto"/>
        </w:rPr>
      </w:pPr>
    </w:p>
    <w:p>
      <w:pPr>
        <w:ind w:left="340" w:right="160" w:hanging="332"/>
        <w:spacing w:after="0" w:line="281" w:lineRule="auto"/>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three-month EURIBOR rate as of September 30, 2019 was approximately -0.418%. The notes may be redeemed at our option in whole, but not in part, at any time in the event of certain developments affecting U.S. taxation.</w:t>
      </w:r>
    </w:p>
    <w:p>
      <w:pPr>
        <w:spacing w:after="0" w:line="1"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three-month LIBOR rate as of September 30, 2019 was approximately 2.0851%.</w:t>
      </w:r>
    </w:p>
    <w:p>
      <w:pPr>
        <w:spacing w:after="0" w:line="5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Rockwell Collins debt which remained outstanding following the Rockwell Acquisition.</w:t>
      </w:r>
    </w:p>
    <w:p>
      <w:pPr>
        <w:spacing w:after="0" w:line="5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 financing obligations are associated with the sale of rights to unbilled revenues related to the ongoing activity of an entity owned by Carrier.</w:t>
      </w:r>
    </w:p>
    <w:p>
      <w:pPr>
        <w:sectPr>
          <w:pgSz w:w="11900" w:h="16838" w:orient="portrait"/>
          <w:cols w:equalWidth="0" w:num="1">
            <w:col w:w="11420"/>
          </w:cols>
          <w:pgMar w:left="240" w:top="118"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had no debt issuances during the nine months ended September 30, 2019 and had the following issuances of debt in 2018:</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and Euro in millions)</w:t>
            </w:r>
          </w:p>
        </w:tc>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691"/>
        </w:trPr>
        <w:tc>
          <w:tcPr>
            <w:tcW w:w="40" w:type="dxa"/>
            <w:vAlign w:val="bottom"/>
            <w:tcBorders>
              <w:bottom w:val="single" w:sz="8" w:color="auto"/>
            </w:tcBorders>
          </w:tcPr>
          <w:p>
            <w:pPr>
              <w:spacing w:after="0"/>
              <w:rPr>
                <w:sz w:val="24"/>
                <w:szCs w:val="24"/>
                <w:color w:val="auto"/>
              </w:rPr>
            </w:pPr>
          </w:p>
        </w:tc>
        <w:tc>
          <w:tcPr>
            <w:tcW w:w="17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3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Aggregate Principal Balance</w:t>
            </w:r>
          </w:p>
        </w:tc>
      </w:tr>
      <w:tr>
        <w:trPr>
          <w:trHeight w:val="269"/>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16, 2018:</w:t>
            </w:r>
          </w:p>
        </w:tc>
        <w:tc>
          <w:tcPr>
            <w:tcW w:w="5460" w:type="dxa"/>
            <w:vAlign w:val="bottom"/>
            <w:shd w:val="clear" w:color="auto" w:fill="CCEEFF"/>
          </w:tcPr>
          <w:p>
            <w:pPr>
              <w:ind w:left="360"/>
              <w:spacing w:after="0" w:line="269" w:lineRule="exact"/>
              <w:rPr>
                <w:sz w:val="20"/>
                <w:szCs w:val="20"/>
                <w:color w:val="auto"/>
              </w:rPr>
            </w:pPr>
            <w:r>
              <w:rPr>
                <w:rFonts w:ascii="Times New Roman" w:cs="Times New Roman" w:eastAsia="Times New Roman" w:hAnsi="Times New Roman"/>
                <w:sz w:val="18"/>
                <w:szCs w:val="18"/>
                <w:color w:val="auto"/>
              </w:rPr>
              <w:t>3.350% notes due 2021</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3.650% notes due 2023</w:t>
            </w:r>
            <w:r>
              <w:rPr>
                <w:rFonts w:ascii="Times New Roman" w:cs="Times New Roman" w:eastAsia="Times New Roman" w:hAnsi="Times New Roman"/>
                <w:sz w:val="25"/>
                <w:szCs w:val="25"/>
                <w:color w:val="auto"/>
                <w:vertAlign w:val="superscript"/>
              </w:rPr>
              <w:t>1</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3.950% notes due 2025</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4.125% notes due 2028</w:t>
            </w:r>
            <w:r>
              <w:rPr>
                <w:rFonts w:ascii="Times New Roman" w:cs="Times New Roman" w:eastAsia="Times New Roman" w:hAnsi="Times New Roman"/>
                <w:sz w:val="25"/>
                <w:szCs w:val="25"/>
                <w:color w:val="auto"/>
                <w:vertAlign w:val="superscript"/>
              </w:rPr>
              <w:t>1</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4.450% notes due 2038</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4.625% notes due 2048</w:t>
            </w:r>
            <w:r>
              <w:rPr>
                <w:rFonts w:ascii="Times New Roman" w:cs="Times New Roman" w:eastAsia="Times New Roman" w:hAnsi="Times New Roman"/>
                <w:sz w:val="25"/>
                <w:szCs w:val="25"/>
                <w:color w:val="auto"/>
                <w:vertAlign w:val="superscript"/>
              </w:rPr>
              <w:t>2</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LIBOR plus 0.65% floating rate notes due 2021</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r>
        <w:trPr>
          <w:trHeight w:val="162"/>
        </w:trPr>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18, 2018:</w:t>
            </w: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1.150% notes due 2024</w:t>
            </w:r>
            <w:r>
              <w:rPr>
                <w:rFonts w:ascii="Times New Roman" w:cs="Times New Roman" w:eastAsia="Times New Roman" w:hAnsi="Times New Roman"/>
                <w:sz w:val="25"/>
                <w:szCs w:val="25"/>
                <w:color w:val="auto"/>
                <w:vertAlign w:val="superscript"/>
              </w:rPr>
              <w:t>3</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2.150% notes due 2030</w:t>
            </w:r>
            <w:r>
              <w:rPr>
                <w:rFonts w:ascii="Times New Roman" w:cs="Times New Roman" w:eastAsia="Times New Roman" w:hAnsi="Times New Roman"/>
                <w:sz w:val="25"/>
                <w:szCs w:val="25"/>
                <w:color w:val="auto"/>
                <w:vertAlign w:val="superscript"/>
              </w:rPr>
              <w:t>3</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EURIBOR plus 0.20% floating rate notes due 2020</w:t>
            </w:r>
            <w:r>
              <w:rPr>
                <w:rFonts w:ascii="Times New Roman" w:cs="Times New Roman" w:eastAsia="Times New Roman" w:hAnsi="Times New Roman"/>
                <w:sz w:val="25"/>
                <w:szCs w:val="25"/>
                <w:color w:val="auto"/>
                <w:vertAlign w:val="superscript"/>
              </w:rPr>
              <w:t>3</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bl>
    <w:p>
      <w:pPr>
        <w:spacing w:after="0" w:line="85" w:lineRule="exact"/>
        <w:rPr>
          <w:sz w:val="20"/>
          <w:szCs w:val="20"/>
          <w:color w:val="auto"/>
        </w:rPr>
      </w:pPr>
    </w:p>
    <w:p>
      <w:pPr>
        <w:ind w:left="340" w:right="400" w:hanging="332"/>
        <w:spacing w:after="0" w:line="281"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received from these debt issuances were used to partially finance the cash consideration portion of the purchase price for Rockwell Collins and fees, expenses and other amounts related to the acquisition of Rockwell Collins.</w:t>
      </w:r>
    </w:p>
    <w:p>
      <w:pPr>
        <w:spacing w:after="0" w:line="1"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from these debt issuances were used to fund the repayment of commercial paper and for other general corporate purposes.</w:t>
      </w:r>
    </w:p>
    <w:p>
      <w:pPr>
        <w:spacing w:after="0" w:line="5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The net proceeds received from these debt issuances were used for general corporate purposes.</w:t>
      </w:r>
    </w:p>
    <w:p>
      <w:pPr>
        <w:spacing w:after="0" w:line="3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had the following repayments of debt during the nine months ended September 30, 2019 and the year-ended December 31, 2018:</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and Euro in millions)</w:t>
            </w:r>
          </w:p>
        </w:tc>
        <w:tc>
          <w:tcPr>
            <w:tcW w:w="5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475"/>
        </w:trPr>
        <w:tc>
          <w:tcPr>
            <w:tcW w:w="40" w:type="dxa"/>
            <w:vAlign w:val="bottom"/>
            <w:tcBorders>
              <w:bottom w:val="single" w:sz="8" w:color="auto"/>
            </w:tcBorders>
          </w:tcPr>
          <w:p>
            <w:pPr>
              <w:spacing w:after="0"/>
              <w:rPr>
                <w:sz w:val="24"/>
                <w:szCs w:val="24"/>
                <w:color w:val="auto"/>
              </w:rPr>
            </w:pPr>
          </w:p>
        </w:tc>
        <w:tc>
          <w:tcPr>
            <w:tcW w:w="17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3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Aggregate Principal Balance</w:t>
            </w:r>
          </w:p>
        </w:tc>
      </w:tr>
      <w:tr>
        <w:trPr>
          <w:trHeight w:val="340"/>
        </w:trPr>
        <w:tc>
          <w:tcPr>
            <w:tcW w:w="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1.950% notes</w:t>
            </w:r>
            <w:r>
              <w:rPr>
                <w:rFonts w:ascii="Times New Roman" w:cs="Times New Roman" w:eastAsia="Times New Roman" w:hAnsi="Times New Roman"/>
                <w:sz w:val="25"/>
                <w:szCs w:val="25"/>
                <w:color w:val="auto"/>
                <w:vertAlign w:val="superscript"/>
              </w:rPr>
              <w:t>1</w:t>
            </w:r>
          </w:p>
        </w:tc>
        <w:tc>
          <w:tcPr>
            <w:tcW w:w="11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r>
      <w:tr>
        <w:trPr>
          <w:trHeight w:val="273"/>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15, 2019</w:t>
            </w:r>
          </w:p>
        </w:tc>
        <w:tc>
          <w:tcPr>
            <w:tcW w:w="58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w:t>
            </w:r>
          </w:p>
        </w:tc>
      </w:tr>
      <w:tr>
        <w:trPr>
          <w:trHeight w:val="270"/>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July 15, 2019</w:t>
            </w:r>
          </w:p>
        </w:tc>
        <w:tc>
          <w:tcPr>
            <w:tcW w:w="588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5.250% notes</w:t>
            </w:r>
            <w:r>
              <w:rPr>
                <w:rFonts w:ascii="Times New Roman" w:cs="Times New Roman" w:eastAsia="Times New Roman" w:hAnsi="Times New Roman"/>
                <w:sz w:val="25"/>
                <w:szCs w:val="25"/>
                <w:color w:val="auto"/>
                <w:vertAlign w:val="superscript"/>
              </w:rPr>
              <w:t>1</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300</w:t>
            </w:r>
          </w:p>
        </w:tc>
      </w:tr>
      <w:tr>
        <w:trPr>
          <w:trHeight w:val="270"/>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14, 2018</w:t>
            </w:r>
          </w:p>
        </w:tc>
        <w:tc>
          <w:tcPr>
            <w:tcW w:w="588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Variable-rate term loan due 2020 (1 month LIBOR plus 1.25%)</w:t>
            </w:r>
            <w:r>
              <w:rPr>
                <w:rFonts w:ascii="Times New Roman" w:cs="Times New Roman" w:eastAsia="Times New Roman" w:hAnsi="Times New Roman"/>
                <w:sz w:val="25"/>
                <w:szCs w:val="25"/>
                <w:color w:val="auto"/>
                <w:vertAlign w:val="superscript"/>
              </w:rPr>
              <w:t>1</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482</w:t>
            </w: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May 4, 2018</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1.778% junior subordinated notes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1,100</w:t>
            </w: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22, 2018</w:t>
            </w:r>
          </w:p>
        </w:tc>
        <w:tc>
          <w:tcPr>
            <w:tcW w:w="5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EURIBOR plus 0.80% floating rate notes</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February 1, 2018</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6.80% notes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w:t>
            </w:r>
          </w:p>
        </w:tc>
      </w:tr>
    </w:tbl>
    <w:p>
      <w:pPr>
        <w:spacing w:after="0" w:line="112"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notes and term loan were acquired in connection with the Rockwell Collins acquisition and have been subsequently repaid.</w:t>
      </w:r>
    </w:p>
    <w:p>
      <w:pPr>
        <w:spacing w:after="0" w:line="384"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average maturity of our long-term debt at September 30, 2019 is approximately 10 years. The average interest expense rate on our total borrowings for the quarters and nine months ended September 30, 2019 and 2018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24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4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2"/>
        </w:trPr>
        <w:tc>
          <w:tcPr>
            <w:tcW w:w="6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interest expense rate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5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ind w:right="180" w:firstLine="648"/>
        <w:spacing w:after="0" w:line="298" w:lineRule="auto"/>
        <w:rPr>
          <w:sz w:val="20"/>
          <w:szCs w:val="20"/>
          <w:color w:val="auto"/>
        </w:rPr>
      </w:pPr>
      <w:r>
        <w:rPr>
          <w:rFonts w:ascii="Times New Roman" w:cs="Times New Roman" w:eastAsia="Times New Roman" w:hAnsi="Times New Roman"/>
          <w:sz w:val="18"/>
          <w:szCs w:val="18"/>
          <w:color w:val="auto"/>
        </w:rPr>
        <w:t>On September 27, 2019 we filed a universal shelf registration statement with the SEC for an indeterminate amount of debt and equity securities for future issuance, subject to our internal limitations on the amount of debt to be issued under the shelf registration statement.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29"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The increase in the effective tax rate for the quarter ended September 30, 2019 is primarily the result of tax charges connected to the Company’s portfolio separation transactions and the non-deductible impact related to the impairment of an investment at Carrier.</w:t>
      </w:r>
    </w:p>
    <w:p>
      <w:pPr>
        <w:sectPr>
          <w:pgSz w:w="11900" w:h="16838" w:orient="portrait"/>
          <w:cols w:equalWidth="0" w:num="1">
            <w:col w:w="11420"/>
          </w:cols>
          <w:pgMar w:left="240" w:top="11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increase in the effective tax rate for the nine months ended September 30, 2019 is principally related to the items described above offset in part by gains associated with the conclusion of the audit by the Examination Division of the Internal Revenue Service for the UTC 2014, 2015, and 2016 tax years and the filing by a subsidiary of the Company to participate in an amnesty program offered by the Italian Tax Authority in the second quarter of 2019.</w:t>
      </w:r>
    </w:p>
    <w:p>
      <w:pPr>
        <w:spacing w:after="0" w:line="176"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Brazil, Canada, China, France, Germany, Hong Kong, India, Italy, Japan, Mexico, Netherlands, Poland, Singapore, South Korea, Spain, Switzerland, the United Kingdom, and the United States. With few exceptions, we are no longer subject to U.S. federal, state and local, or non-U.S. income tax examinations for years before 2008.</w:t>
      </w:r>
    </w:p>
    <w:p>
      <w:pPr>
        <w:spacing w:after="0" w:line="184"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Subject to the impact of the Company’s portfolio separation transactions, it is reasonably possible that a net reduction within the range of $100 million to $600 million of unrecognized tax benefits may occur within the next 12 months as a result of additional worldwide uncertain tax positions, the closure of tax statutes, or the revaluation of current uncertain tax positions arising from the issuance of legislation, regulatory or other guidance or developments in examinations, in appeals, or in the courts. See Note 15, Contingent Liabilities, for discussion regarding uncertain tax positions, included in the above range, related to pending litigation with respect to certain deductions claimed in Germany.</w:t>
      </w:r>
    </w:p>
    <w:p>
      <w:pPr>
        <w:spacing w:after="0" w:line="18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During the quarter, the Company recognized net non-cash gains of approximately $18 million, including pre-tax interest of approximately $5 million, as a result of various federal, state and non-US statute of limitations expirations and settlements with tax authorities. The Examination Division of the Internal Revenue Service is currently auditing Rockwell Collins fiscal tax years 2016 and 2017, prior to its acquisition by UTC, which will continue into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Employee Benefit Plans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In the quarter ended September 30, 2019, we amended our domestic pension plans to cease accrual of additional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future service and compensation for non-union participants effective December 31, 2019. Beginning January 1, 2020, these participants will earn additional contributions under our domestic savings plan. We utilized the practical expedient and remeasured plan assets and pension benefit obligations for the affected pension plans as of the nearest month-end, August 31, 2019, resulting in a net actuarial loss of $425 million. This reflects a benefit obligation gain of $180 million resulting from the benefit plan change that was offset by remeasurement losses of $605 million. The remeasurement losses are driven by a reduction of 124 basis points in the PBO discount rate as of the remeasurement date compared to December 31, 2018, partially offset by actual asset returns of approximately 17% as of the remeasurement date.</w:t>
      </w:r>
    </w:p>
    <w:p>
      <w:pPr>
        <w:spacing w:after="0" w:line="18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the quarter ended September 30, 2019, we recorded a curtailment gain of $98 million in the Condensed Consolidated Statement of Operations, due to the recognition of previously unrecognized prior service credits for the affected pension plans. Additionally, as a result of the remeasurement, pension income (excluding curtailment) decreased by approximately $10 million in the quarter ended September 30, 2019.</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sponsor both funded and unfunded domestic and foreign defined pension and other postretirement benefit plans, and defined contribution plans.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our plans were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benefit plans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296</w:t>
            </w:r>
          </w:p>
        </w:tc>
      </w:tr>
    </w:tbl>
    <w:p>
      <w:pPr>
        <w:spacing w:after="0" w:line="33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made no contributions to our domestic defined benefit pension plans for quarter ended September 30, 2019 and $25 million of contributions in the nine months ended September 30, 2019. There were no contributions to our domestic defined benefit pension plans in the quarter and nine months ended September 30, 2018. Included in the current year contributions to employer sponsored defined contribution plans for the nine months ended September 30, 2019 is $98 million of contributions to the Rockwell Collins participants. The following table illustrates the components of net periodic benefit (income) cost for our defined pension and other postretirement benefit plans: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644"/>
        </w:trPr>
        <w:tc>
          <w:tcPr>
            <w:tcW w:w="1020" w:type="dxa"/>
            <w:vAlign w:val="bottom"/>
            <w:tcBorders>
              <w:top w:val="single" w:sz="8" w:color="0000EE"/>
            </w:tcBorders>
          </w:tcPr>
          <w:p>
            <w:pPr>
              <w:spacing w:after="0"/>
              <w:rPr>
                <w:sz w:val="24"/>
                <w:szCs w:val="24"/>
                <w:color w:val="auto"/>
              </w:rPr>
            </w:pPr>
          </w:p>
        </w:tc>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94"/>
        </w:trPr>
        <w:tc>
          <w:tcPr>
            <w:tcW w:w="10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r>
      <w:tr>
        <w:trPr>
          <w:trHeight w:val="265"/>
        </w:trPr>
        <w:tc>
          <w:tcPr>
            <w:tcW w:w="56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actuarial net loss (gain)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settlement and curtailment (gain) loss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periodic benefit (income)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489"/>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94"/>
        </w:trPr>
        <w:tc>
          <w:tcPr>
            <w:tcW w:w="10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2600" w:type="dxa"/>
            <w:vAlign w:val="bottom"/>
            <w:gridSpan w:val="4"/>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56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actuarial net loss (gain)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settlement and curtailment (gain)</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periodic benefit (income)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1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Restructuring Costs</w:t>
      </w:r>
    </w:p>
    <w:p>
      <w:pPr>
        <w:spacing w:after="0" w:line="22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we recorded net pre-tax restructuring costs totaling $244 million for new and ongoing restructuring actions. We recorded charges in the segments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5"/>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Carrier</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10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10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0"/>
        </w:trPr>
        <w:tc>
          <w:tcPr>
            <w:tcW w:w="10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Restructuring charges incurred during the nine months ended September 30, 2019 primarily relate to actions initiated during 2019 and 2018, and were recorded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5"/>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100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0"/>
        </w:trPr>
        <w:tc>
          <w:tcPr>
            <w:tcW w:w="10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2019 Actions. </w:t>
      </w:r>
      <w:r>
        <w:rPr>
          <w:rFonts w:ascii="Times New Roman" w:cs="Times New Roman" w:eastAsia="Times New Roman" w:hAnsi="Times New Roman"/>
          <w:sz w:val="18"/>
          <w:szCs w:val="18"/>
          <w:color w:val="auto"/>
        </w:rPr>
        <w:t>During the nine months ended September 30, 2019, we recorded net pre-tax restructuring costs of $158 million, comprised of $62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of sales and $96 million in selling, general and administrative expenses. The 2019 actions relate to ongoing cost reduction efforts, including workforce reductions and the consolidation of field and manufacturing operations.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4" w:right="239" w:bottom="1440" w:gutter="0" w:footer="0" w:header="0"/>
          <w:type w:val="continuous"/>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accrual balance and utilization for the 2019 restructuring actions for the quarter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Facility Exit and</w:t>
            </w:r>
          </w:p>
        </w:tc>
        <w:tc>
          <w:tcPr>
            <w:tcW w:w="320" w:type="dxa"/>
            <w:vAlign w:val="bottom"/>
          </w:tcPr>
          <w:p>
            <w:pPr>
              <w:spacing w:after="0"/>
              <w:rPr>
                <w:sz w:val="13"/>
                <w:szCs w:val="13"/>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September 30, 2019</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accruals at June 30, 2019</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Utilization, foreign exchange and other costs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Utilization, foreign exchange and other costs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expected, incurred and remaining costs for the 2019 restructuring actions by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Costs at</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1000" w:type="dxa"/>
            <w:vAlign w:val="bottom"/>
            <w:tcBorders>
              <w:top w:val="single" w:sz="8" w:color="auto"/>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Carrier</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are targeting to complete the majority of the remaining workforce and facility related cost reduction actions during 2019 and 2020. No specific plans for other significant actions have been finalized at this time.</w:t>
      </w:r>
    </w:p>
    <w:p>
      <w:pPr>
        <w:spacing w:after="0" w:line="15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2018 Actions. </w:t>
      </w:r>
      <w:r>
        <w:rPr>
          <w:rFonts w:ascii="Times New Roman" w:cs="Times New Roman" w:eastAsia="Times New Roman" w:hAnsi="Times New Roman"/>
          <w:sz w:val="18"/>
          <w:szCs w:val="18"/>
          <w:color w:val="auto"/>
        </w:rPr>
        <w:t>During the nine months ended September 30, 2019, we recorded net pre-tax restructuring costs totaling $44 million for restructuring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in 2018, including $21 million in cost of sales and $23 million in selling, general and administrative expenses. The 2018 actions relate to ongoing cost reduction efforts, including workforce reductions, consolidation of field and manufacturing operations, and costs to exit legacy programs. The following table summarizes the accrual balances and utilization for the 2018 restructuring actions for the quarter and nine months ended September 30,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Facility Exit,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460" w:type="dxa"/>
            <w:vAlign w:val="bottom"/>
            <w:vMerge w:val="continue"/>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September 30, 2019</w:t>
            </w:r>
          </w:p>
        </w:tc>
        <w:tc>
          <w:tcPr>
            <w:tcW w:w="26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accruals at June 30, 2019</w:t>
            </w:r>
          </w:p>
        </w:tc>
        <w:tc>
          <w:tcPr>
            <w:tcW w:w="2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Utilization, foreign exchange and other costs</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accruals at December 31, 2018</w:t>
            </w:r>
          </w:p>
        </w:tc>
        <w:tc>
          <w:tcPr>
            <w:tcW w:w="2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Utilization, foreign exchange and other costs</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expected, incurred and remaining costs for the 2018 restructuring actions by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Costs Incurred in</w:t>
            </w:r>
          </w:p>
        </w:tc>
        <w:tc>
          <w:tcPr>
            <w:tcW w:w="16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Costs at</w:t>
            </w: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4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49"/>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Carrier</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1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259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2017 and Prior Actions. </w:t>
      </w:r>
      <w:r>
        <w:rPr>
          <w:rFonts w:ascii="Times New Roman" w:cs="Times New Roman" w:eastAsia="Times New Roman" w:hAnsi="Times New Roman"/>
          <w:sz w:val="18"/>
          <w:szCs w:val="18"/>
          <w:color w:val="auto"/>
        </w:rPr>
        <w:t>During the nine months ended September 30, 2019, we recorded net pre-tax restructuring costs totaling $42 million for restructuring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actions initiated in 2017 and prior. As of September 30, 2019, we have approximately $73 million of accrual balances remaining related to 2017 and prior actions.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Financial Instruments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enter into derivative instruments primarily for risk management purposes,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4"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The four quarter rolling average of the notional amount of foreign exchange contracts hedging foreign currency transactions was $18.5 billion and $20.1 billion at September 30, 2019 and December 31, 2018, respectively.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Condensed Consolidated Balance Sheets for derivative instruments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December 31, 2018: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0" w:type="dxa"/>
            <w:vAlign w:val="bottom"/>
          </w:tcPr>
          <w:p>
            <w:pPr>
              <w:spacing w:after="0"/>
              <w:rPr>
                <w:sz w:val="17"/>
                <w:szCs w:val="17"/>
                <w:color w:val="auto"/>
              </w:rPr>
            </w:pPr>
          </w:p>
        </w:tc>
        <w:tc>
          <w:tcPr>
            <w:tcW w:w="15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8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0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504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 derivatives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50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50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7"/>
        </w:trPr>
        <w:tc>
          <w:tcPr>
            <w:tcW w:w="504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7"/>
        </w:trPr>
        <w:tc>
          <w:tcPr>
            <w:tcW w:w="50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Derivatives: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504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0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 derivatives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504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Derivatives: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504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0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675"/>
        </w:trPr>
        <w:tc>
          <w:tcPr>
            <w:tcW w:w="5040" w:type="dxa"/>
            <w:vAlign w:val="bottom"/>
          </w:tcPr>
          <w:p>
            <w:pPr>
              <w:spacing w:after="0"/>
              <w:rPr>
                <w:sz w:val="24"/>
                <w:szCs w:val="24"/>
                <w:color w:val="auto"/>
              </w:rPr>
            </w:pPr>
          </w:p>
        </w:tc>
        <w:tc>
          <w:tcPr>
            <w:tcW w:w="2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effect of cash flow hedging relationships on Accumulated other comprehensive income and on the Condensed Consolidated Statement of Operations for the quarters and nine months ended September 30, 2019 and 2018 are presented in the table below. The amounts of gain or (loss) are attributable to foreign exchange contract activity and are recorded as a component of Product sales when reclassified from accumulated other comprehensive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recorded in Accumulated other comprehensive loss</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(gain) reclassified from Accumulated other comprehensive loss into</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8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333"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54"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We have €4.95 billion of euro-denominated long-term debt and €750 million of euro-denominated commercial paper borrowings outstanding, which qualify as a net investment hedge against our investments in European businesses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September 30, 2019, the net investment hedge is deemed to be effective.</w:t>
      </w:r>
    </w:p>
    <w:p>
      <w:pPr>
        <w:spacing w:after="0" w:line="68"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Assuming current market conditions continue, a $57 million pre-tax loss is expected to be reclassified from Accumulated other comprehensive loss into Product sales to reflect the fixed prices obtained from foreign exchange hedging within the next 12 months. At September 30, 2019, all derivative contracts accounted for as cash flow hedges will mature by October 2023.</w:t>
      </w:r>
    </w:p>
    <w:p>
      <w:pPr>
        <w:spacing w:after="0" w:line="68"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effect of derivatives not designated as hedging instruments within Other income, net, on the Condensed Consolidated Statement of Operations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Borders>
              <w:bottom w:val="single" w:sz="8" w:color="auto"/>
            </w:tcBorders>
          </w:tcPr>
          <w:p>
            <w:pPr>
              <w:spacing w:after="0"/>
              <w:rPr>
                <w:sz w:val="16"/>
                <w:szCs w:val="16"/>
                <w:color w:val="auto"/>
              </w:rPr>
            </w:pP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23"/>
                <w:szCs w:val="23"/>
                <w:color w:val="auto"/>
              </w:rPr>
            </w:pPr>
          </w:p>
        </w:tc>
      </w:tr>
      <w:tr>
        <w:trPr>
          <w:trHeight w:val="242"/>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5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ind w:right="440" w:firstLine="567"/>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ASC 820, the following tables provide the valuation hierarchy classification of assets and liabilities that are carried at fair value and measured on a recurring and non-recurring basis in our Condensed Consolidated Balance Sheet as of September 30, 2019 and December 31,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Pr>
          <w:p>
            <w:pPr>
              <w:spacing w:after="0"/>
              <w:rPr>
                <w:sz w:val="23"/>
                <w:szCs w:val="23"/>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23"/>
                <w:szCs w:val="23"/>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23"/>
                <w:szCs w:val="2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642"/>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5"/>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Pr>
          <w:p>
            <w:pPr>
              <w:spacing w:after="0"/>
              <w:rPr>
                <w:sz w:val="23"/>
                <w:szCs w:val="23"/>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23"/>
                <w:szCs w:val="23"/>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23"/>
                <w:szCs w:val="2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32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Our available-for-sale securities include equity investments that are traded in active markets, either domestically or internationally,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measured at fair value using closing stock prices from active markets. Our derivative assets and liabilities include foreign exchange contracts that are measured at fair value using internal models based on observable market inputs such as forward rates, interest rates, our own credit risk and our counterparties' credit risks.</w:t>
      </w:r>
    </w:p>
    <w:p>
      <w:pPr>
        <w:spacing w:after="0" w:line="181" w:lineRule="exact"/>
        <w:rPr>
          <w:sz w:val="20"/>
          <w:szCs w:val="20"/>
          <w:color w:val="auto"/>
        </w:rPr>
      </w:pPr>
    </w:p>
    <w:p>
      <w:pPr>
        <w:ind w:right="80" w:firstLine="567"/>
        <w:spacing w:after="0" w:line="282" w:lineRule="auto"/>
        <w:rPr>
          <w:sz w:val="20"/>
          <w:szCs w:val="20"/>
          <w:color w:val="auto"/>
        </w:rPr>
      </w:pPr>
      <w:r>
        <w:rPr>
          <w:rFonts w:ascii="Times New Roman" w:cs="Times New Roman" w:eastAsia="Times New Roman" w:hAnsi="Times New Roman"/>
          <w:sz w:val="18"/>
          <w:szCs w:val="18"/>
          <w:color w:val="auto"/>
        </w:rPr>
        <w:t>As of September 30, 2019,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ectPr>
          <w:pgSz w:w="11900" w:h="16838" w:orient="portrait"/>
          <w:cols w:equalWidth="0" w:num="1">
            <w:col w:w="11420"/>
          </w:cols>
          <w:pgMar w:left="240" w:top="11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type w:val="continuous"/>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980"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provides carrying amounts and fair values of financial instruments that are not carried at fair value in our Condensed Consolidated Balance Sheet at September 30, 2019 and December 31,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2"/>
                <w:szCs w:val="12"/>
                <w:color w:val="auto"/>
              </w:rPr>
            </w:pPr>
          </w:p>
        </w:tc>
        <w:tc>
          <w:tcPr>
            <w:tcW w:w="1060" w:type="dxa"/>
            <w:vAlign w:val="bottom"/>
          </w:tcPr>
          <w:p>
            <w:pPr>
              <w:jc w:val="right"/>
              <w:ind w:right="475"/>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receivables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90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valuation hierarchy classification of assets and liabilities that are not carried at fair value in our Condensed Consolidated Balance Sheet at September 30, 2019 and December 31,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723"/>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had commercial aerospace financing and other contractual commitments totaling approximately $15.7 billion and $15.5 billion as of September 30, 2019 and December 31, 2018, respectively, related to commercial aircraft and certain contractual rights to provide product on new aircraft platforms. Associated risks on these commitments from changes in interest rates are mitigated because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Long-Term Financing Receivables</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long-term financing receivables primarily represent balances related to the aerospace businesses such as long-term trade accounts receivable, leases, and notes receivable. We also have other long-term receivables in our commercial businesses; however, both the individual and aggregate amounts of those other receivables are not significant. The following table summarizes the balance by class of aerospace business related long-term receivables as of September 30, 2019 and December 31,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0" w:type="dxa"/>
            <w:vAlign w:val="bottom"/>
          </w:tcPr>
          <w:p>
            <w:pPr>
              <w:spacing w:after="0"/>
              <w:rPr>
                <w:sz w:val="17"/>
                <w:szCs w:val="17"/>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trade accounts receivable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and leases receivable</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receivables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527</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Customer credit ratings range from customers with an extremely strong capacity to meet financial obligations to customers whose uncollateralized receivable is in default. There can be no assurance that actual results will not differ from</w:t>
      </w:r>
    </w:p>
    <w:p>
      <w:pPr>
        <w:sectPr>
          <w:pgSz w:w="11900" w:h="16838" w:orient="portrait"/>
          <w:cols w:equalWidth="0" w:num="1">
            <w:col w:w="11420"/>
          </w:cols>
          <w:pgMar w:left="240" w:top="118"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estimates or that consideration of these factors in the future will not result in an increase or decrease to the allowance for credit losses on long-term receivables. Based upon the customer credit ratings, approximately $150 million of our total long-term receivables were considered to bear high credit risk as of September 30, 2019 and December 31, 2018.</w:t>
      </w:r>
    </w:p>
    <w:p>
      <w:pPr>
        <w:spacing w:after="0" w:line="17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For long-term trade accounts receivable, we evaluate credit risk and collectability individually to determine if an allowance is necessary. Our long-term receivables reflected in the table above, which include reserves of $22 million and $16 million as of September 30, 2019 and December 31, 2018, respectively, are individually evaluated for impairment. At September 30, 2019 and December 31, 2018, we did not have any significant balances that are considered to be delinquent, on non-accrual status, past due 90 days or more, or considered to be impaired.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Loss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the changes in each component of Accumulated other comprehensive loss, net of tax for the quarters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2018 is provided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300" w:type="dxa"/>
            <w:vAlign w:val="bottom"/>
          </w:tcPr>
          <w:p>
            <w:pPr>
              <w:spacing w:after="0"/>
              <w:rPr>
                <w:sz w:val="12"/>
                <w:szCs w:val="12"/>
                <w:color w:val="auto"/>
              </w:rPr>
            </w:pPr>
          </w:p>
        </w:tc>
        <w:tc>
          <w:tcPr>
            <w:tcW w:w="14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3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Post-</w:t>
            </w: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220" w:type="dxa"/>
            <w:vAlign w:val="bottom"/>
          </w:tcPr>
          <w:p>
            <w:pPr>
              <w:spacing w:after="0"/>
              <w:rPr>
                <w:sz w:val="12"/>
                <w:szCs w:val="12"/>
                <w:color w:val="auto"/>
              </w:rPr>
            </w:pPr>
          </w:p>
        </w:tc>
        <w:tc>
          <w:tcPr>
            <w:tcW w:w="13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(Losses)</w:t>
            </w:r>
          </w:p>
        </w:tc>
        <w:tc>
          <w:tcPr>
            <w:tcW w:w="220" w:type="dxa"/>
            <w:vAlign w:val="bottom"/>
          </w:tcPr>
          <w:p>
            <w:pPr>
              <w:spacing w:after="0"/>
              <w:rPr>
                <w:sz w:val="12"/>
                <w:szCs w:val="12"/>
                <w:color w:val="auto"/>
              </w:rPr>
            </w:pPr>
          </w:p>
        </w:tc>
        <w:tc>
          <w:tcPr>
            <w:tcW w:w="13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30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3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September 30, 2019</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June 30, 2019</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reclassifications, net</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expense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0" w:type="dxa"/>
            <w:vAlign w:val="bottom"/>
          </w:tcPr>
          <w:p>
            <w:pPr>
              <w:spacing w:after="0"/>
              <w:rPr>
                <w:sz w:val="1"/>
                <w:szCs w:val="1"/>
                <w:color w:val="auto"/>
              </w:rPr>
            </w:pP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reclassifications, net</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(benefit) expense</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ASU 2018-02 adoption impact</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6"/>
        </w:trPr>
        <w:tc>
          <w:tcPr>
            <w:tcW w:w="102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4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September 30, 2018</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June 30, 2018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311"/>
        </w:trPr>
        <w:tc>
          <w:tcPr>
            <w:tcW w:w="102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2018</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0" w:type="dxa"/>
            <w:vAlign w:val="bottom"/>
          </w:tcPr>
          <w:p>
            <w:pPr>
              <w:spacing w:after="0"/>
              <w:rPr>
                <w:sz w:val="1"/>
                <w:szCs w:val="1"/>
                <w:color w:val="auto"/>
              </w:rPr>
            </w:pPr>
          </w:p>
        </w:tc>
      </w:tr>
      <w:tr>
        <w:trPr>
          <w:trHeight w:val="225"/>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reclassifications, net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 expense (benefit)</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ASU 2016-01 adoption impact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80" w:firstLine="405"/>
        <w:spacing w:after="0" w:line="267"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Reclassification of Certain Tax Effects from Accumulated Other Comprehensive Income (Topic 220)</w:t>
      </w:r>
      <w:r>
        <w:rPr>
          <w:rFonts w:ascii="Times New Roman" w:cs="Times New Roman" w:eastAsia="Times New Roman" w:hAnsi="Times New Roman"/>
          <w:sz w:val="18"/>
          <w:szCs w:val="18"/>
          <w:color w:val="auto"/>
        </w:rPr>
        <w:t>. The new standard allows companies to reclassify to retained earnings the stranded tax effects in Accumulated other comprehensive income (AOCI) from the TCJA. We elected to reclassify the income tax effects of TCJA from AOCI of $745 million to retained earnings, effective January 1, 2019.</w:t>
      </w:r>
    </w:p>
    <w:p>
      <w:pPr>
        <w:spacing w:after="0" w:line="174" w:lineRule="exact"/>
        <w:rPr>
          <w:sz w:val="20"/>
          <w:szCs w:val="20"/>
          <w:color w:val="auto"/>
        </w:rPr>
      </w:pPr>
    </w:p>
    <w:p>
      <w:pPr>
        <w:ind w:right="14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 - Overall: Recognition and Measurement of Financial Assets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This ASU modifies how entities measure equity investments and present changes in the fair value of financial liabilities. Upon adoption,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that do not result in consolidation and are not accounted for under the equity method generally must be carried at fair value, with changes in fair value recognized in net income. We had approximately $5 million of unrealized gains on these securities recorded in Accumulated other comprehensive loss in our Consolidated Balance Sheet as of December 31, 2017. We adopted this standard effective January 1, 2018, with these amounts recorded directly to retained earnings as of that date.</w:t>
      </w:r>
    </w:p>
    <w:p>
      <w:pPr>
        <w:spacing w:after="0" w:line="18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Amounts reclassified that relate to our defined benefit pension and postretirement plans include the amortization of prior service costs and actuarial net losses recognized during each period presented. These costs are recorded as components of net periodic pension cost for each period presented. Additionally, in quarter ended September 30, 2019, we recorded a curtailment gain of $98 million in the Condensed Consolidated Statement of Operations which is included within amounts reclassified related to our defined pension and postretirement plans. (See Note 7 for additional details).</w:t>
      </w:r>
    </w:p>
    <w:p>
      <w:pPr>
        <w:spacing w:after="0" w:line="180"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Variable Interest Entities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Pratt &amp; Whitney holds a 61% net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net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17"/>
                <w:szCs w:val="17"/>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4,732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1,600</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6,332</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00"/>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4,946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1,898</w:t>
            </w:r>
          </w:p>
        </w:tc>
      </w:tr>
      <w:tr>
        <w:trPr>
          <w:trHeight w:val="25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6,844</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Guarantees</w:t>
      </w:r>
    </w:p>
    <w:p>
      <w:pPr>
        <w:spacing w:after="0" w:line="229"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extend a variety of financial, market value and product performance guarantees to third parties. There have been no material changes to financial guarantees outstanding since December 31, 2018. The changes in the carrying amount of service and product warranties and product performance guarantees for the nine months ended September 30, 2019 and 2018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1,146</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September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1,230</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Contingent Liabilities</w:t>
      </w:r>
    </w:p>
    <w:p>
      <w:pPr>
        <w:spacing w:after="0" w:line="229" w:lineRule="exact"/>
        <w:rPr>
          <w:sz w:val="20"/>
          <w:szCs w:val="20"/>
          <w:color w:val="auto"/>
        </w:rPr>
      </w:pPr>
    </w:p>
    <w:p>
      <w:pPr>
        <w:ind w:right="220" w:firstLine="405"/>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Summarized below are the matters previously described in Note 18 of the Notes to the Consolidated Financial Statements in our 2018 Annual Report, incorporated by reference in our 2018 </w:t>
      </w:r>
      <w:hyperlink r:id="rId9">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updated as applicable.</w:t>
      </w:r>
    </w:p>
    <w:p>
      <w:pPr>
        <w:spacing w:after="0" w:line="162" w:lineRule="exact"/>
        <w:rPr>
          <w:sz w:val="20"/>
          <w:szCs w:val="20"/>
          <w:color w:val="auto"/>
        </w:rPr>
      </w:pPr>
    </w:p>
    <w:p>
      <w:pPr>
        <w:ind w:right="80" w:firstLine="432"/>
        <w:spacing w:after="0" w:line="313" w:lineRule="auto"/>
        <w:rPr>
          <w:sz w:val="20"/>
          <w:szCs w:val="20"/>
          <w:color w:val="auto"/>
        </w:rPr>
      </w:pPr>
      <w:r>
        <w:rPr>
          <w:rFonts w:ascii="Times New Roman" w:cs="Times New Roman" w:eastAsia="Times New Roman" w:hAnsi="Times New Roman"/>
          <w:sz w:val="17"/>
          <w:szCs w:val="17"/>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3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Our operations are subject to environmental regulation by federal, state and local authorities in the United States and authorities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over our foreign operations. As described in Note 1 to the Consolidated Financial Statements in our 2018 Annual Report,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Additional information pertaining to environmental matters is included in Note 1 to the Consolidated Financial Statements in our 2018 Annual Report.</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Government. </w:t>
      </w:r>
      <w:r>
        <w:rPr>
          <w:rFonts w:ascii="Times New Roman" w:cs="Times New Roman" w:eastAsia="Times New Roman" w:hAnsi="Times New Roman"/>
          <w:sz w:val="18"/>
          <w:szCs w:val="18"/>
          <w:color w:val="auto"/>
        </w:rPr>
        <w:t>In the ordinary course of business, the Company and its subsidiaries and our properties are subject to regulatory and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privileges. For instance,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also reserves the right to debar a contractor from receiving new government contracts for fraudulent, criminal or other seriously improper conduct. The U.S. Government could void any contracts found to be tainted by fraud.</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contracts with the U.S. Government are also subject to audits.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w:t>
      </w:r>
    </w:p>
    <w:p>
      <w:pPr>
        <w:sectPr>
          <w:pgSz w:w="11900" w:h="16838" w:orient="portrait"/>
          <w:cols w:equalWidth="0" w:num="1">
            <w:col w:w="11420"/>
          </w:cols>
          <w:pgMar w:left="240" w:top="118" w:right="239" w:bottom="684"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684" w:gutter="0" w:footer="0" w:header="0"/>
          <w:type w:val="continuous"/>
        </w:sectPr>
      </w:pPr>
    </w:p>
    <w:bookmarkStart w:id="28" w:name="page29"/>
    <w:bookmarkEnd w:id="28"/>
    <w:p>
      <w:pPr>
        <w:ind w:right="140"/>
        <w:spacing w:after="0" w:line="256" w:lineRule="auto"/>
        <w:rPr>
          <w:sz w:val="20"/>
          <w:szCs w:val="20"/>
          <w:color w:val="auto"/>
        </w:rPr>
      </w:pPr>
      <w:r>
        <w:rPr>
          <w:rFonts w:ascii="Times New Roman" w:cs="Times New Roman" w:eastAsia="Times New Roman" w:hAnsi="Times New Roman"/>
          <w:sz w:val="18"/>
          <w:szCs w:val="18"/>
          <w:color w:val="auto"/>
        </w:rPr>
        <w:t>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has been, required to make payments into escrow of disputed liabilities while the related litigation is pending. If the litigation is resolved in the Company’s favor, any such payments will be returned to the Company with interest.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Accounting Standards Claims</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In April 2019, a Divisional Administrative Contracting Officer (DACO) of the United States Defense Contract Management Agency (DCMA) asserted a claim against Pratt &amp; Whitney to recover overpayments of approximately $1.73 billion plus interest (approximately $540 million through September 30, 2019). The claim is based on Pratt &amp; Whitney's alleged noncompliance with cost accounting standards from January 1, 2007 to March 31, 2019, due to its method of allocating independent research and development costs to government contracts. Pratt &amp; Whitney believes that the claim is without merit and filed an appeal to the Armed Services Board of Contract Appeals (ASBCA) on June 7, 2019.</w:t>
      </w:r>
    </w:p>
    <w:p>
      <w:pPr>
        <w:spacing w:after="0" w:line="76"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As previously disclosed, in December 2013, a DCMA DACO asserted a claim against Pratt &amp; Whitney to recover overpayments of approximately $177 million plus interest (approximately $96 million through September 30, 2019). The claim is based on Pratt &amp; Whitney's alleged noncompliance with cost accounting standards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The parties are now engaged in post-hearing briefing, and a decision from the ASBCA will follow. We continue to believe that the claim is without merit. In December 2018, a DCMA DACO issued a second claim against Pratt &amp; Whitney that similarly alleges that its method of determining the cost of collaborator parts does not comply with the cost accounting standards for calendar years 2013 through 2017. This second claim demands payment of $269 million plus interest (approximately $53 million through September 30, 2019), which we also believe is without merit and which Pratt &amp; Whitney appealed to the ASBCA in January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 Tax Litigation</w:t>
      </w:r>
    </w:p>
    <w:p>
      <w:pPr>
        <w:spacing w:after="0" w:line="22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previously disclosed, UTC has been involved in administrative review proceedings with the German Tax Office, which concern approximately €215 million (approximately $237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$130 million). On August 3, 2012, we filed suit in the local German Tax Court (Berlin-Brandenburg). In March 2016, the local German Tax Court dismissed our suit, and we appealed this decision to the German Federal Tax Court (FTC). Following a hearing in July 2018, the FTC remanded the matter to the local German Tax Court for further proceedings. In 2015, UTC made tax and interest payments to German tax authorities of €275 million (approximately $300 million) in order to avoid additional interest accruals pending final resolution of this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Matters</w:t>
      </w:r>
    </w:p>
    <w:p>
      <w:pPr>
        <w:spacing w:after="0" w:line="2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previously disclosed,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 or other forms of indemnity. Additional cases were litigated and settled without any insurance reimbursement. The amounts involved in asbestos related claims were not material individually or in the aggregate in any year.</w:t>
      </w:r>
    </w:p>
    <w:p>
      <w:pPr>
        <w:spacing w:after="0" w:line="18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amounts recorded by UTC for asbestos-related liabilities are based on currently available information and assumptions that we believe are reasonable and are made with input from outside actuarial experts. The estimated range of total liabilities to resolve all pending and unasserted potential future asbestos claims through 2059 is approximately $330 million to $395 million. Where no amount within a range of estimates is more likely, the minimum is accrued. We have recorded the minimum amount of $330 million, which is principally recorded in Other long-term liabilities on our Consolidated Balance Sheet as of September 30, 2019. This amount is on a pre-tax basis, not discounted, and excludes the Company’s legal fees to defend the asbestos claims, which will continue to be expensed by the Company as they are incurred. In addition, the Company has an insurance recovery receivable for probable asbestos related recoveries of approximately $142 million, which is included primarily in Other assets on our Condensed Consolidated Balance Sheet as of September 30, 2019.</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364" w:right="259" w:bottom="1440" w:gutter="0" w:footer="0" w:header="0"/>
        </w:sectPr>
      </w:pPr>
    </w:p>
    <w:bookmarkStart w:id="29" w:name="page30"/>
    <w:bookmarkEnd w:id="29"/>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amounts recorded by UTC for asbestos-related liabilities and insurance recoveries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outcomes or resolution of such claims, the average cost of resolution of each new claim, the amount of insurance available, the allocation methodologies, the contractual terms with each insurer with whom we have reached settlements, the resolution of coverage issues with other excess insurance carriers with whom we have not yet achieved settlements, and the solvency risk with respect to our insurance carriers. Other factors that may affect our future liability include uncertainties surrounding the litigation process from jurisdiction to jurisdiction and from case to case, legal rulings that may be made by state and federal courts, and the passage of state or federal legislation. At the end of each year, the Company will evaluate all of these factors and, with input from an outside actuarial expert, make any necessary adjustments to both our estimated asbestos liabilities and insurance recoveries.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As described in Note 14 of this Form 10-Q and Note 17 to the Consolidated Financial Statements in our 2018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7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68" w:lineRule="exact"/>
        <w:rPr>
          <w:sz w:val="20"/>
          <w:szCs w:val="20"/>
          <w:color w:val="auto"/>
        </w:rPr>
      </w:pPr>
    </w:p>
    <w:p>
      <w:pPr>
        <w:ind w:right="40" w:firstLine="405"/>
        <w:spacing w:after="0" w:line="277" w:lineRule="auto"/>
        <w:rPr>
          <w:sz w:val="20"/>
          <w:szCs w:val="20"/>
          <w:color w:val="auto"/>
        </w:rPr>
      </w:pPr>
      <w:r>
        <w:rPr>
          <w:rFonts w:ascii="Times New Roman" w:cs="Times New Roman" w:eastAsia="Times New Roman" w:hAnsi="Times New Roman"/>
          <w:sz w:val="17"/>
          <w:szCs w:val="17"/>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Leases</w:t>
      </w:r>
    </w:p>
    <w:p>
      <w:pPr>
        <w:spacing w:after="0" w:line="200"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and its related amendments (collectively, the New Lease Accounting Standard) are effective for reporting periods beginning after December 15, 2018. We adopted the New Lease Accounting Standard effective January 1, 2019 and elected the modified retrospective approach in which results for periods before 2019 were not adjusted for the new standard and the cumulative effect of the change in accounting was recognized through retained earnings at the date of adoption.</w:t>
      </w:r>
    </w:p>
    <w:p>
      <w:pPr>
        <w:spacing w:after="0" w:line="15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New Lease Accounting Standard establishes a right-of-use model that requires a lessee to record a right-of-use asset and a lease liability on the Condensed Consolidated Balance Sheet for all leases with terms longer than 12 months. Leases are classified as either finance or operating, with classification affecting the pattern of expense recognition in the Condensed Consolidated Statement of Operations. In addition, this standard requires a lessor to classify leases as either sales-type, finance or operating. A lease will be treated as a sale if it transfers all of the risks and rewards, as well as control of the underlying asset, to the lessee. If risks and rewards are conveyed without the transfer of control, the lease is treated as financing. If the lessor doesn’t convey risks and rewards or control, the lease is treated as operating.</w:t>
      </w:r>
    </w:p>
    <w:p>
      <w:pPr>
        <w:spacing w:after="0" w:line="18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have elected certain of the practical expedients available under the New Lease Accounting Standard upon adoption. We have applied the practical expedient which allows prospective transition to the New Lease Accounting Standard on January 1, 2019. Under the transition practical expedient, we did not reassess lease classification, embedded leases or initial direct costs. We have applied the practical expedient for short-term leases. We have lease agreements with lease and non-lease components. We have elected the practical expedients to combine these components for certain equipment leases. Additionally, for certain equipment leases, we apply a portfolio approach to effectively account for the operating lease right-of-use assets and liabilities. The adoption of the New Lease Accounting Standard did not have a material effect on our Condensed Consolidated Statement of Operations or Condensed Consolidated Statement of Cash Flows. Upon adoption, we recorded a $2.6 billion right-of-use asset and a $2.7 billion lease liability. The adoption of the New Lease Accounting Standard had an immaterial impact on retained earnings.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enter into lease agreements for the use of real estate space, vehicles, information technology equipment, and certain other equipment under operating and finance leases. We determine if an arrangement contains a lease at inception. Operating leases are included in Operating lease right-of-use assets, Accrued liabilities, and Operating lease liabilities in our Condensed Consolidated Balance Sheet. Finance leases are not considered significant to our Condensed Consolidated Balance Sheet or Condensed Consolidated Statement of Operations. Finance lease right-of-use assets at September 30, 2019 of $54 million are included in Other assets in our Condensed Consolidated Balance Sheet. Finance lease liabilities at September 30, 2019 of $68 million are included in Long term debt currently due, and Long term debt in our Condensed Consolidated Balance Sheet.</w:t>
      </w:r>
    </w:p>
    <w:p>
      <w:pPr>
        <w:spacing w:after="0" w:line="188"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Right-of-use assets represent our right to use an underlying asset for the lease term and lease liabilities represent our obligation to make lease payments arising from the lease. Lease right-of-use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and use the implicit rate when readily determinable. We determine our incremental borrowing rate through market sources including relevant industry rates. Our lease right-of-use assets also include any lease pre-payments and exclude lease incentives. Certain of our leases include variable payments, which may vary based upon changes in facts or circumstances after the start of the lease. We exclude variable payments from lease right-of-use assets and lease liabilities, to the extent not considered fixed, and instead, expense variable payments as incurred. Variable lease expense and lease expense for short duration contracts is not a material component of lease expense. Our leases generally have remaining lease terms of 1 to 20 years, some of which include options to extend leases. The majority of our leases with options to extend are up to 5 years with the ability to terminate the lease within 1 year. The exercise of lease renewal options is at our sole discretion and our lease right-of-use assets and liabilities reflect only the options we are reasonably certain that we will exercise. Lease expense is recognized on a straight-line basis over the lease term.</w:t>
      </w:r>
    </w:p>
    <w:p>
      <w:pPr>
        <w:spacing w:after="0" w:line="193"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limited instances we act as a lessor, primarily for commercial aerospace engines and certain heating, ventilation and air conditioning (HVAC) systems and commercial equipment, all of which are classified as operating leases. These leases are not significant to our Condensed Consolidated Balance Sheet or Condensed Consolidated Statement of Operations.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lease expense for the quarter and nine months ended September 30, 2019 was $194 million and $573 million, respectively.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Pr>
          <w:p>
            <w:pPr>
              <w:spacing w:after="0"/>
              <w:rPr>
                <w:sz w:val="13"/>
                <w:szCs w:val="13"/>
                <w:color w:val="auto"/>
              </w:rPr>
            </w:pPr>
          </w:p>
        </w:tc>
        <w:tc>
          <w:tcPr>
            <w:tcW w:w="14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40" w:type="dxa"/>
            <w:vAlign w:val="bottom"/>
          </w:tcPr>
          <w:p>
            <w:pPr>
              <w:spacing w:after="0"/>
              <w:rPr>
                <w:sz w:val="13"/>
                <w:szCs w:val="13"/>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for the measurement of operating lease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obligations</w:t>
            </w:r>
          </w:p>
        </w:tc>
        <w:tc>
          <w:tcPr>
            <w:tcW w:w="16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675"/>
        </w:trPr>
        <w:tc>
          <w:tcPr>
            <w:tcW w:w="97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Operating lease right-of-use assets and liabilities are reflected on our Condensed Consolidated Balance Sheet as follows: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lease term and discount rate)</w:t>
            </w:r>
          </w:p>
        </w:tc>
        <w:tc>
          <w:tcPr>
            <w:tcW w:w="1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62"/>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Borders>
              <w:bottom w:val="single" w:sz="8" w:color="CCEEFF"/>
            </w:tcBorders>
          </w:tcPr>
          <w:p>
            <w:pPr>
              <w:spacing w:after="0"/>
              <w:rPr>
                <w:sz w:val="16"/>
                <w:szCs w:val="16"/>
                <w:color w:val="auto"/>
              </w:rPr>
            </w:pPr>
          </w:p>
        </w:tc>
        <w:tc>
          <w:tcPr>
            <w:tcW w:w="49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49"/>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6700" w:type="dxa"/>
            <w:vAlign w:val="bottom"/>
            <w:tcBorders>
              <w:bottom w:val="single" w:sz="8" w:color="CCEEFF"/>
            </w:tcBorders>
            <w:gridSpan w:val="2"/>
            <w:shd w:val="clear" w:color="auto" w:fill="CCEEFF"/>
          </w:tcPr>
          <w:p>
            <w:pPr>
              <w:ind w:left="6280"/>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700" w:type="dxa"/>
            <w:vAlign w:val="bottom"/>
            <w:gridSpan w:val="2"/>
          </w:tcPr>
          <w:p>
            <w:pPr>
              <w:ind w:left="6280"/>
              <w:spacing w:after="0"/>
              <w:rPr>
                <w:sz w:val="20"/>
                <w:szCs w:val="20"/>
                <w:color w:val="auto"/>
              </w:rPr>
            </w:pPr>
            <w:r>
              <w:rPr>
                <w:rFonts w:ascii="Times New Roman" w:cs="Times New Roman" w:eastAsia="Times New Roman" w:hAnsi="Times New Roman"/>
                <w:sz w:val="18"/>
                <w:szCs w:val="18"/>
                <w:color w:val="auto"/>
              </w:rPr>
              <w:t>3.6%</w:t>
            </w:r>
          </w:p>
        </w:tc>
      </w:tr>
      <w:tr>
        <w:trPr>
          <w:trHeight w:val="702"/>
        </w:trPr>
        <w:tc>
          <w:tcPr>
            <w:tcW w:w="4720" w:type="dxa"/>
            <w:vAlign w:val="bottom"/>
          </w:tcPr>
          <w:p>
            <w:pPr>
              <w:spacing w:after="0"/>
              <w:rPr>
                <w:sz w:val="24"/>
                <w:szCs w:val="24"/>
                <w:color w:val="auto"/>
              </w:rPr>
            </w:pPr>
          </w:p>
        </w:tc>
        <w:tc>
          <w:tcPr>
            <w:tcW w:w="4920" w:type="dxa"/>
            <w:vAlign w:val="bottom"/>
          </w:tcPr>
          <w:p>
            <w:pPr>
              <w:jc w:val="right"/>
              <w:ind w:right="3750"/>
              <w:spacing w:after="0"/>
              <w:rPr>
                <w:sz w:val="20"/>
                <w:szCs w:val="20"/>
                <w:color w:val="auto"/>
              </w:rPr>
            </w:pPr>
            <w:r>
              <w:rPr>
                <w:rFonts w:ascii="Times New Roman" w:cs="Times New Roman" w:eastAsia="Times New Roman" w:hAnsi="Times New Roman"/>
                <w:sz w:val="18"/>
                <w:szCs w:val="18"/>
                <w:color w:val="auto"/>
              </w:rPr>
              <w:t>31</w:t>
            </w:r>
          </w:p>
        </w:tc>
        <w:tc>
          <w:tcPr>
            <w:tcW w:w="17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Undiscounted maturities of operating lease liabilities as of September 30, 2019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xml:space="preserve">Operating </w:t>
            </w:r>
            <w:r>
              <w:rPr>
                <w:rFonts w:ascii="Times New Roman" w:cs="Times New Roman" w:eastAsia="Times New Roman" w:hAnsi="Times New Roman"/>
                <w:sz w:val="8"/>
                <w:szCs w:val="8"/>
                <w:b w:val="1"/>
                <w:bCs w:val="1"/>
                <w:color w:val="auto"/>
              </w:rPr>
              <w:t>1</w:t>
            </w:r>
          </w:p>
        </w:tc>
      </w:tr>
      <w:tr>
        <w:trPr>
          <w:trHeight w:val="249"/>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695</w:t>
            </w:r>
          </w:p>
        </w:tc>
      </w:tr>
      <w:tr>
        <w:trPr>
          <w:trHeight w:val="27"/>
        </w:trPr>
        <w:tc>
          <w:tcPr>
            <w:tcW w:w="9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473</w:t>
            </w:r>
          </w:p>
        </w:tc>
      </w:tr>
      <w:tr>
        <w:trPr>
          <w:trHeight w:val="27"/>
        </w:trPr>
        <w:tc>
          <w:tcPr>
            <w:tcW w:w="9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1,005</w:t>
            </w:r>
          </w:p>
        </w:tc>
      </w:tr>
      <w:tr>
        <w:trPr>
          <w:trHeight w:val="27"/>
        </w:trPr>
        <w:tc>
          <w:tcPr>
            <w:tcW w:w="9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3,279</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9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discounted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2,651</w:t>
            </w:r>
          </w:p>
        </w:tc>
      </w:tr>
      <w:tr>
        <w:trPr>
          <w:trHeight w:val="20"/>
        </w:trPr>
        <w:tc>
          <w:tcPr>
            <w:tcW w:w="9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Operating lease payments include $302 million related to options to extend lease terms that are reasonably certain of being exercised.</w:t>
      </w:r>
    </w:p>
    <w:p>
      <w:pPr>
        <w:spacing w:after="0" w:line="22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Prior to the adoption of the New Lease Accounting Standard, rental commitments on an undiscounted basis were approximately $2.9 billion at December 31, 2018 under long-term non-cancelable operating leases and were payable as follows: $683 million in 2019, $544 million in 2020, $407 million in 2021, $301 million in 2022, $235 million in 2023 and $746 million thereafter.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Financial Data</w:t>
      </w:r>
    </w:p>
    <w:p>
      <w:pPr>
        <w:spacing w:after="0" w:line="229"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Our operations are classified into four principal segments: Otis, Carrier, Pratt &amp; Whitney, and Collins Aerospace Systems. The segments are generally based on the management structure of the businesses and the grouping of similar operating companies, where each management organization has general operating autonomy over diversified products and services.</w:t>
      </w:r>
    </w:p>
    <w:p>
      <w:pPr>
        <w:spacing w:after="0" w:line="17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Total sales by segment include inter-segment sales, which are generally made at prices approximating those that the selling entity is able to obtain on external sales. Results for the quarters ended September 30, 2019 and 2018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r>
      <w:tr>
        <w:trPr>
          <w:trHeight w:val="265"/>
        </w:trPr>
        <w:tc>
          <w:tcPr>
            <w:tcW w:w="3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Carrier</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19,496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16,510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62"/>
        </w:trPr>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Results for the nine months ended September 30, 2019 and 2018 are as follows: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2520" w:type="dxa"/>
            <w:vAlign w:val="bottom"/>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r>
      <w:tr>
        <w:trPr>
          <w:trHeight w:val="265"/>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Carrier</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Collins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58,692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49,483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7,191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57"/>
        </w:trPr>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57,495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48,457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6,642</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Geographic sales are attributed to the geographic regions based on their location of origin. Segment information for the quarters ended September 30, 2019 and 2018 is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Collins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8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Collins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6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Otis</w:t>
            </w:r>
          </w:p>
        </w:tc>
        <w:tc>
          <w:tcPr>
            <w:tcW w:w="220" w:type="dxa"/>
            <w:vAlign w:val="bottom"/>
          </w:tcPr>
          <w:p>
            <w:pPr>
              <w:spacing w:after="0"/>
              <w:rPr>
                <w:sz w:val="12"/>
                <w:szCs w:val="12"/>
                <w:color w:val="auto"/>
              </w:rPr>
            </w:pPr>
          </w:p>
        </w:tc>
        <w:tc>
          <w:tcPr>
            <w:tcW w:w="7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Aerospace</w:t>
            </w:r>
          </w:p>
        </w:tc>
        <w:tc>
          <w:tcPr>
            <w:tcW w:w="24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Aerospace</w:t>
            </w:r>
          </w:p>
        </w:tc>
        <w:tc>
          <w:tcPr>
            <w:tcW w:w="240" w:type="dxa"/>
            <w:vAlign w:val="bottom"/>
          </w:tcPr>
          <w:p>
            <w:pPr>
              <w:spacing w:after="0"/>
              <w:rPr>
                <w:sz w:val="12"/>
                <w:szCs w:val="12"/>
                <w:color w:val="auto"/>
              </w:rPr>
            </w:pPr>
          </w:p>
        </w:tc>
        <w:tc>
          <w:tcPr>
            <w:tcW w:w="7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United States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12,377</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9,902</w:t>
            </w:r>
          </w:p>
        </w:tc>
        <w:tc>
          <w:tcPr>
            <w:tcW w:w="0" w:type="dxa"/>
            <w:vAlign w:val="bottom"/>
          </w:tcPr>
          <w:p>
            <w:pPr>
              <w:spacing w:after="0"/>
              <w:rPr>
                <w:sz w:val="1"/>
                <w:szCs w:val="1"/>
                <w:color w:val="auto"/>
              </w:rPr>
            </w:pPr>
          </w:p>
        </w:tc>
      </w:tr>
      <w:tr>
        <w:trPr>
          <w:trHeight w:val="266"/>
        </w:trPr>
        <w:tc>
          <w:tcPr>
            <w:tcW w:w="2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Europe</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4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3,046</w:t>
            </w:r>
          </w:p>
        </w:tc>
        <w:tc>
          <w:tcPr>
            <w:tcW w:w="0" w:type="dxa"/>
            <w:vAlign w:val="bottom"/>
          </w:tcPr>
          <w:p>
            <w:pPr>
              <w:spacing w:after="0"/>
              <w:rPr>
                <w:sz w:val="1"/>
                <w:szCs w:val="1"/>
                <w:color w:val="auto"/>
              </w:rPr>
            </w:pPr>
          </w:p>
        </w:tc>
      </w:tr>
      <w:tr>
        <w:trPr>
          <w:trHeight w:val="274"/>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Asia Pacific</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66"/>
        </w:trPr>
        <w:tc>
          <w:tcPr>
            <w:tcW w:w="2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68"/>
        </w:trPr>
        <w:tc>
          <w:tcPr>
            <w:tcW w:w="2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segment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16,847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geographic information for the nine months ended September 30, 2019 and 2018 is as follows: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Collins</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Collins</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6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Aerospace</w:t>
            </w:r>
          </w:p>
        </w:tc>
        <w:tc>
          <w:tcPr>
            <w:tcW w:w="26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Otis</w:t>
            </w:r>
          </w:p>
        </w:tc>
        <w:tc>
          <w:tcPr>
            <w:tcW w:w="220" w:type="dxa"/>
            <w:vAlign w:val="bottom"/>
          </w:tcPr>
          <w:p>
            <w:pPr>
              <w:spacing w:after="0"/>
              <w:rPr>
                <w:sz w:val="12"/>
                <w:szCs w:val="12"/>
                <w:color w:val="auto"/>
              </w:rPr>
            </w:pPr>
          </w:p>
        </w:tc>
        <w:tc>
          <w:tcPr>
            <w:tcW w:w="7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Aerospace</w:t>
            </w:r>
          </w:p>
        </w:tc>
        <w:tc>
          <w:tcPr>
            <w:tcW w:w="24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36,340</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28,522</w:t>
            </w:r>
          </w:p>
        </w:tc>
        <w:tc>
          <w:tcPr>
            <w:tcW w:w="0" w:type="dxa"/>
            <w:vAlign w:val="bottom"/>
          </w:tcPr>
          <w:p>
            <w:pPr>
              <w:spacing w:after="0"/>
              <w:rPr>
                <w:sz w:val="1"/>
                <w:szCs w:val="1"/>
                <w:color w:val="auto"/>
              </w:rPr>
            </w:pPr>
          </w:p>
        </w:tc>
      </w:tr>
      <w:tr>
        <w:trPr>
          <w:trHeight w:val="266"/>
        </w:trPr>
        <w:tc>
          <w:tcPr>
            <w:tcW w:w="2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Europe</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26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24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9,436</w:t>
            </w:r>
          </w:p>
        </w:tc>
        <w:tc>
          <w:tcPr>
            <w:tcW w:w="0" w:type="dxa"/>
            <w:vAlign w:val="bottom"/>
          </w:tcPr>
          <w:p>
            <w:pPr>
              <w:spacing w:after="0"/>
              <w:rPr>
                <w:sz w:val="1"/>
                <w:szCs w:val="1"/>
                <w:color w:val="auto"/>
              </w:rPr>
            </w:pPr>
          </w:p>
        </w:tc>
      </w:tr>
      <w:tr>
        <w:trPr>
          <w:trHeight w:val="27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Asia Pacific</w:t>
            </w: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6,602</w:t>
            </w:r>
          </w:p>
        </w:tc>
        <w:tc>
          <w:tcPr>
            <w:tcW w:w="0" w:type="dxa"/>
            <w:vAlign w:val="bottom"/>
          </w:tcPr>
          <w:p>
            <w:pPr>
              <w:spacing w:after="0"/>
              <w:rPr>
                <w:sz w:val="1"/>
                <w:szCs w:val="1"/>
                <w:color w:val="auto"/>
              </w:rPr>
            </w:pPr>
          </w:p>
        </w:tc>
      </w:tr>
      <w:tr>
        <w:trPr>
          <w:trHeight w:val="266"/>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4,923</w:t>
            </w:r>
          </w:p>
        </w:tc>
        <w:tc>
          <w:tcPr>
            <w:tcW w:w="0" w:type="dxa"/>
            <w:vAlign w:val="bottom"/>
          </w:tcPr>
          <w:p>
            <w:pPr>
              <w:spacing w:after="0"/>
              <w:rPr>
                <w:sz w:val="1"/>
                <w:szCs w:val="1"/>
                <w:color w:val="auto"/>
              </w:rPr>
            </w:pPr>
          </w:p>
        </w:tc>
      </w:tr>
      <w:tr>
        <w:trPr>
          <w:trHeight w:val="268"/>
        </w:trPr>
        <w:tc>
          <w:tcPr>
            <w:tcW w:w="2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segment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58,692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49,483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sales disaggregated by product type for the quarters ended September 30, 2019 and 2018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Collins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8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Collins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6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20" w:type="dxa"/>
            <w:vAlign w:val="bottom"/>
          </w:tcPr>
          <w:p>
            <w:pPr>
              <w:spacing w:after="0"/>
              <w:rPr>
                <w:sz w:val="12"/>
                <w:szCs w:val="12"/>
                <w:color w:val="auto"/>
              </w:rPr>
            </w:pPr>
          </w:p>
        </w:tc>
        <w:tc>
          <w:tcPr>
            <w:tcW w:w="7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Aerospace</w:t>
            </w:r>
          </w:p>
        </w:tc>
        <w:tc>
          <w:tcPr>
            <w:tcW w:w="24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Aerospace</w:t>
            </w:r>
          </w:p>
        </w:tc>
        <w:tc>
          <w:tcPr>
            <w:tcW w:w="24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80" w:type="dxa"/>
            <w:vAlign w:val="bottom"/>
            <w:tcBorders>
              <w:top w:val="single" w:sz="8" w:color="CCEEFF"/>
            </w:tcBorders>
            <w:shd w:val="clear" w:color="auto" w:fill="CCEEFF"/>
          </w:tcPr>
          <w:p>
            <w:pPr>
              <w:ind w:left="40"/>
              <w:spacing w:after="0" w:line="157" w:lineRule="exact"/>
              <w:rPr>
                <w:sz w:val="20"/>
                <w:szCs w:val="20"/>
                <w:color w:val="auto"/>
              </w:rPr>
            </w:pPr>
            <w:r>
              <w:rPr>
                <w:rFonts w:ascii="Times New Roman" w:cs="Times New Roman" w:eastAsia="Times New Roman" w:hAnsi="Times New Roman"/>
                <w:sz w:val="15"/>
                <w:szCs w:val="15"/>
                <w:color w:val="auto"/>
              </w:rPr>
              <w:t>Commercial and industrial, non</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8,185</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8,122</w:t>
            </w:r>
          </w:p>
        </w:tc>
        <w:tc>
          <w:tcPr>
            <w:tcW w:w="0" w:type="dxa"/>
            <w:vAlign w:val="bottom"/>
          </w:tcPr>
          <w:p>
            <w:pPr>
              <w:spacing w:after="0"/>
              <w:rPr>
                <w:sz w:val="1"/>
                <w:szCs w:val="1"/>
                <w:color w:val="auto"/>
              </w:rPr>
            </w:pPr>
          </w:p>
        </w:tc>
      </w:tr>
      <w:tr>
        <w:trPr>
          <w:trHeight w:val="206"/>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aerospace</w:t>
            </w:r>
          </w:p>
        </w:tc>
        <w:tc>
          <w:tcPr>
            <w:tcW w:w="2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1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Commercial aerospace</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40" w:type="dxa"/>
            <w:vAlign w:val="bottom"/>
          </w:tcPr>
          <w:p>
            <w:pPr>
              <w:spacing w:after="0"/>
              <w:rPr>
                <w:sz w:val="23"/>
                <w:szCs w:val="23"/>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40" w:type="dxa"/>
            <w:vAlign w:val="bottom"/>
          </w:tcPr>
          <w:p>
            <w:pPr>
              <w:spacing w:after="0"/>
              <w:rPr>
                <w:sz w:val="23"/>
                <w:szCs w:val="23"/>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6,452</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Military aerospace</w:t>
            </w:r>
          </w:p>
        </w:tc>
        <w:tc>
          <w:tcPr>
            <w:tcW w:w="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68"/>
        </w:trPr>
        <w:tc>
          <w:tcPr>
            <w:tcW w:w="2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segment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19,907</w:t>
            </w:r>
          </w:p>
        </w:tc>
        <w:tc>
          <w:tcPr>
            <w:tcW w:w="12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16,847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type w:val="continuous"/>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sales disaggregated by product type for the nine months ended September 30, 2019 and 2018 are as follows: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Collins</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Collins</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6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Aerospace</w:t>
            </w:r>
          </w:p>
        </w:tc>
        <w:tc>
          <w:tcPr>
            <w:tcW w:w="26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2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Aerospace</w:t>
            </w:r>
          </w:p>
        </w:tc>
        <w:tc>
          <w:tcPr>
            <w:tcW w:w="240" w:type="dxa"/>
            <w:vAlign w:val="bottom"/>
          </w:tcPr>
          <w:p>
            <w:pPr>
              <w:spacing w:after="0"/>
              <w:rPr>
                <w:sz w:val="12"/>
                <w:szCs w:val="12"/>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1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Commercial and industrial, non</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23,968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23,970</w:t>
            </w:r>
          </w:p>
        </w:tc>
        <w:tc>
          <w:tcPr>
            <w:tcW w:w="0" w:type="dxa"/>
            <w:vAlign w:val="bottom"/>
          </w:tcPr>
          <w:p>
            <w:pPr>
              <w:spacing w:after="0"/>
              <w:rPr>
                <w:sz w:val="1"/>
                <w:szCs w:val="1"/>
                <w:color w:val="auto"/>
              </w:rPr>
            </w:pPr>
          </w:p>
        </w:tc>
      </w:tr>
      <w:tr>
        <w:trPr>
          <w:trHeight w:val="20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aerospace</w:t>
            </w:r>
          </w:p>
        </w:tc>
        <w:tc>
          <w:tcPr>
            <w:tcW w:w="2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Commercial aerospace</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14,406</w:t>
            </w:r>
          </w:p>
        </w:tc>
        <w:tc>
          <w:tcPr>
            <w:tcW w:w="260" w:type="dxa"/>
            <w:vAlign w:val="bottom"/>
          </w:tcPr>
          <w:p>
            <w:pPr>
              <w:spacing w:after="0"/>
              <w:rPr>
                <w:sz w:val="23"/>
                <w:szCs w:val="2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24,990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240" w:type="dxa"/>
            <w:vAlign w:val="bottom"/>
          </w:tcPr>
          <w:p>
            <w:pPr>
              <w:spacing w:after="0"/>
              <w:rPr>
                <w:sz w:val="23"/>
                <w:szCs w:val="23"/>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18,955</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Military aerospace</w:t>
            </w:r>
          </w:p>
        </w:tc>
        <w:tc>
          <w:tcPr>
            <w:tcW w:w="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68"/>
        </w:trPr>
        <w:tc>
          <w:tcPr>
            <w:tcW w:w="21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segment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58,692</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49,483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sales disaggregated by sales type for the quarters ended September 30, 2019 and 2018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Collins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8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Collins</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6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20" w:type="dxa"/>
            <w:vAlign w:val="bottom"/>
          </w:tcPr>
          <w:p>
            <w:pPr>
              <w:spacing w:after="0"/>
              <w:rPr>
                <w:sz w:val="12"/>
                <w:szCs w:val="12"/>
                <w:color w:val="auto"/>
              </w:rPr>
            </w:pPr>
          </w:p>
        </w:tc>
        <w:tc>
          <w:tcPr>
            <w:tcW w:w="7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Aerospace</w:t>
            </w:r>
          </w:p>
        </w:tc>
        <w:tc>
          <w:tcPr>
            <w:tcW w:w="24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Aerospace</w:t>
            </w:r>
          </w:p>
        </w:tc>
        <w:tc>
          <w:tcPr>
            <w:tcW w:w="240" w:type="dxa"/>
            <w:vAlign w:val="bottom"/>
          </w:tcPr>
          <w:p>
            <w:pPr>
              <w:spacing w:after="0"/>
              <w:rPr>
                <w:sz w:val="12"/>
                <w:szCs w:val="12"/>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Product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14,023</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11,554</w:t>
            </w:r>
          </w:p>
        </w:tc>
        <w:tc>
          <w:tcPr>
            <w:tcW w:w="0" w:type="dxa"/>
            <w:vAlign w:val="bottom"/>
          </w:tcPr>
          <w:p>
            <w:pPr>
              <w:spacing w:after="0"/>
              <w:rPr>
                <w:sz w:val="1"/>
                <w:szCs w:val="1"/>
                <w:color w:val="auto"/>
              </w:rPr>
            </w:pPr>
          </w:p>
        </w:tc>
      </w:tr>
      <w:tr>
        <w:trPr>
          <w:trHeight w:val="265"/>
        </w:trPr>
        <w:tc>
          <w:tcPr>
            <w:tcW w:w="2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Service</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5,884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5,293</w:t>
            </w:r>
          </w:p>
        </w:tc>
        <w:tc>
          <w:tcPr>
            <w:tcW w:w="0" w:type="dxa"/>
            <w:vAlign w:val="bottom"/>
          </w:tcPr>
          <w:p>
            <w:pPr>
              <w:spacing w:after="0"/>
              <w:rPr>
                <w:sz w:val="1"/>
                <w:szCs w:val="1"/>
                <w:color w:val="auto"/>
              </w:rPr>
            </w:pPr>
          </w:p>
        </w:tc>
      </w:tr>
      <w:tr>
        <w:trPr>
          <w:trHeight w:val="269"/>
        </w:trPr>
        <w:tc>
          <w:tcPr>
            <w:tcW w:w="2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segment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16,847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sales disaggregated by sales type for the nine months ended September 30, 2019 and 2018 are as follows: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Collins</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Pratt &amp;</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Collins</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2"/>
                <w:szCs w:val="12"/>
                <w:color w:val="auto"/>
              </w:rPr>
            </w:pPr>
          </w:p>
        </w:tc>
        <w:tc>
          <w:tcPr>
            <w:tcW w:w="6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0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Aerospace</w:t>
            </w:r>
          </w:p>
        </w:tc>
        <w:tc>
          <w:tcPr>
            <w:tcW w:w="26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Otis</w:t>
            </w:r>
          </w:p>
        </w:tc>
        <w:tc>
          <w:tcPr>
            <w:tcW w:w="220" w:type="dxa"/>
            <w:vAlign w:val="bottom"/>
          </w:tcPr>
          <w:p>
            <w:pPr>
              <w:spacing w:after="0"/>
              <w:rPr>
                <w:sz w:val="12"/>
                <w:szCs w:val="12"/>
                <w:color w:val="auto"/>
              </w:rPr>
            </w:pP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Aerospace</w:t>
            </w:r>
          </w:p>
        </w:tc>
        <w:tc>
          <w:tcPr>
            <w:tcW w:w="24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Whitney</w:t>
            </w:r>
          </w:p>
        </w:tc>
        <w:tc>
          <w:tcPr>
            <w:tcW w:w="1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41,642</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33,950</w:t>
            </w:r>
          </w:p>
        </w:tc>
        <w:tc>
          <w:tcPr>
            <w:tcW w:w="0" w:type="dxa"/>
            <w:vAlign w:val="bottom"/>
          </w:tcPr>
          <w:p>
            <w:pPr>
              <w:spacing w:after="0"/>
              <w:rPr>
                <w:sz w:val="1"/>
                <w:szCs w:val="1"/>
                <w:color w:val="auto"/>
              </w:rPr>
            </w:pPr>
          </w:p>
        </w:tc>
      </w:tr>
      <w:tr>
        <w:trPr>
          <w:trHeight w:val="265"/>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Service</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17,050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15,533</w:t>
            </w:r>
          </w:p>
        </w:tc>
        <w:tc>
          <w:tcPr>
            <w:tcW w:w="0" w:type="dxa"/>
            <w:vAlign w:val="bottom"/>
          </w:tcPr>
          <w:p>
            <w:pPr>
              <w:spacing w:after="0"/>
              <w:rPr>
                <w:sz w:val="1"/>
                <w:szCs w:val="1"/>
                <w:color w:val="auto"/>
              </w:rPr>
            </w:pPr>
          </w:p>
        </w:tc>
      </w:tr>
      <w:tr>
        <w:trPr>
          <w:trHeight w:val="269"/>
        </w:trPr>
        <w:tc>
          <w:tcPr>
            <w:tcW w:w="2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segment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58,692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49,483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Accounting Pronouncements</w:t>
      </w:r>
    </w:p>
    <w:p>
      <w:pPr>
        <w:spacing w:after="0" w:line="227" w:lineRule="exact"/>
        <w:rPr>
          <w:sz w:val="20"/>
          <w:szCs w:val="20"/>
          <w:color w:val="auto"/>
        </w:rPr>
      </w:pPr>
    </w:p>
    <w:p>
      <w:pPr>
        <w:ind w:right="36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w:t>
      </w:r>
      <w:r>
        <w:rPr>
          <w:rFonts w:ascii="Times New Roman" w:cs="Times New Roman" w:eastAsia="Times New Roman" w:hAnsi="Times New Roman"/>
          <w:sz w:val="18"/>
          <w:szCs w:val="18"/>
          <w:i w:val="1"/>
          <w:iCs w:val="1"/>
          <w:color w:val="auto"/>
        </w:rPr>
        <w:t>Financial Instruments - 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on Financial Instruments</w:t>
      </w:r>
      <w:r>
        <w:rPr>
          <w:rFonts w:ascii="Times New Roman" w:cs="Times New Roman" w:eastAsia="Times New Roman" w:hAnsi="Times New Roman"/>
          <w:sz w:val="18"/>
          <w:szCs w:val="18"/>
          <w:color w:val="auto"/>
        </w:rPr>
        <w:t>. This ASU and its related amendments modifies the impairment model to utilize an expected loss methodology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 of the incurred loss methodology for financial instruments, including trade receivables, contract assets, long term receivables and off-balance sheet credit exposures. The amendment requires entities to consider a broader range of information to estimate expected credit losses, including historical information, current conditions and a reasonable forecast period, which may result in earlier recognition of certain losses. The provisions of this ASU are effective for years beginning after December 15, 2019, with early adoption permitted. We are currently evaluating the impact of this ASU and its related amendments.</w:t>
      </w:r>
    </w:p>
    <w:p>
      <w:pPr>
        <w:spacing w:after="0" w:line="7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The new standard removes the disclosure requirements for the amount of and reasons for transfers between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and Level 2 of the fair value hierarchy. This standard did not have a material impact on our financial statement disclosures. We early adopted this standard effective January 1, 2019.</w:t>
      </w:r>
    </w:p>
    <w:p>
      <w:pPr>
        <w:spacing w:after="0" w:line="180"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2018-14, </w:t>
      </w:r>
      <w:r>
        <w:rPr>
          <w:rFonts w:ascii="Times New Roman" w:cs="Times New Roman" w:eastAsia="Times New Roman" w:hAnsi="Times New Roman"/>
          <w:sz w:val="18"/>
          <w:szCs w:val="18"/>
          <w:i w:val="1"/>
          <w:iCs w:val="1"/>
          <w:color w:val="auto"/>
        </w:rPr>
        <w:t>Compensation—Retirement Benefits—Defined Benefit Plans—General (Subtopic 715-20):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Framework—Changes to the Disclosure Requirements for Defined Benefit Plans</w:t>
      </w:r>
      <w:r>
        <w:rPr>
          <w:rFonts w:ascii="Times New Roman" w:cs="Times New Roman" w:eastAsia="Times New Roman" w:hAnsi="Times New Roman"/>
          <w:sz w:val="18"/>
          <w:szCs w:val="18"/>
          <w:color w:val="auto"/>
        </w:rPr>
        <w:t>. The new standard includes updates to the disclosure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benefit plans including several additions, deletions and modifications to the disclosure requirements. The provisions of this ASU are effective for years beginning after December 15, 2020, with early adoption permitted. We are currently evaluating the impact of this ASU.</w:t>
      </w:r>
    </w:p>
    <w:p>
      <w:pPr>
        <w:spacing w:after="0" w:line="180" w:lineRule="exact"/>
        <w:rPr>
          <w:sz w:val="20"/>
          <w:szCs w:val="20"/>
          <w:color w:val="auto"/>
        </w:rPr>
      </w:pPr>
    </w:p>
    <w:p>
      <w:pPr>
        <w:jc w:val="both"/>
        <w:ind w:right="60" w:firstLine="405"/>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Intangibles—Goodwill and Other—Internal-Use Software (Subtopic 350-40): Customer’s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Implementation Costs Incurred in a Cloud Computing Arrangement That Is a Service Contract</w:t>
      </w:r>
      <w:r>
        <w:rPr>
          <w:rFonts w:ascii="Times New Roman" w:cs="Times New Roman" w:eastAsia="Times New Roman" w:hAnsi="Times New Roman"/>
          <w:sz w:val="18"/>
          <w:szCs w:val="18"/>
          <w:color w:val="auto"/>
        </w:rPr>
        <w:t>. The new standard provides updated guidance surrounding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costs associated with cloud computing</w:t>
      </w:r>
    </w:p>
    <w:p>
      <w:pPr>
        <w:sectPr>
          <w:pgSz w:w="11900" w:h="16838" w:orient="portrait"/>
          <w:cols w:equalWidth="0" w:num="1">
            <w:col w:w="11420"/>
          </w:cols>
          <w:pgMar w:left="240" w:top="118"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type w:val="continuous"/>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that are service contracts. The provisions of this ASU are effective for years beginning after December 15, 2020, with early adoption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expect this ASU to have a material impact on the consolidated financial statements.</w:t>
      </w:r>
    </w:p>
    <w:p>
      <w:pPr>
        <w:spacing w:after="0" w:line="20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October 2018, the FASB issued ASU 2018-17, </w:t>
      </w:r>
      <w:r>
        <w:rPr>
          <w:rFonts w:ascii="Times New Roman" w:cs="Times New Roman" w:eastAsia="Times New Roman" w:hAnsi="Times New Roman"/>
          <w:sz w:val="18"/>
          <w:szCs w:val="18"/>
          <w:i w:val="1"/>
          <w:iCs w:val="1"/>
          <w:color w:val="auto"/>
        </w:rPr>
        <w:t>Consolidation (Topic 810): Targeted Improvements to Related Party Guidance for Variable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The amendments in this update for determining whether a decision-making fee is a variable interest require reporting entities to consider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held through related parties under common control on a proportional basis rather than as the equivalent of a direct interest in its entirety (as currently required in generally accepted accounting principles (GAAP)). These amendments also will create alignment between determining whether a decision making fee is a variable interest and determining whether a reporting entity within a related party group is the primary beneficiary of a VIE. This will significantly reduce the risk that decision makers with insignificant direct and indirect interests could be deemed the primary beneficiary of a VIE. The provisions of this ASU are effective for years beginning after December 15, 2019, with early adoption permitted. We do not expect this ASU to have a material impact on the consolidated financial statements.</w:t>
      </w:r>
    </w:p>
    <w:p>
      <w:pPr>
        <w:spacing w:after="0" w:line="185"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November 2018, the FASB issued ASU 2018-18, </w:t>
      </w:r>
      <w:r>
        <w:rPr>
          <w:rFonts w:ascii="Times New Roman" w:cs="Times New Roman" w:eastAsia="Times New Roman" w:hAnsi="Times New Roman"/>
          <w:sz w:val="18"/>
          <w:szCs w:val="18"/>
          <w:i w:val="1"/>
          <w:iCs w:val="1"/>
          <w:color w:val="auto"/>
        </w:rPr>
        <w:t>Collaborative Arrangements (Topic 808): Clarifying the Interaction between Topic 808 and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w:t>
      </w:r>
      <w:r>
        <w:rPr>
          <w:rFonts w:ascii="Times New Roman" w:cs="Times New Roman" w:eastAsia="Times New Roman" w:hAnsi="Times New Roman"/>
          <w:sz w:val="18"/>
          <w:szCs w:val="18"/>
          <w:color w:val="auto"/>
        </w:rPr>
        <w:t>. The amendments in this update make targeted improvements to GAAP for collaborative arrangements as follows: clarify that certain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add unit-of-account guidance in Topic 808 to align with the guidance in Topic 606 (that is, a distinct good or service) when an entity is assessing whether the collaborative arrangement or a part of the arrangement is within the scope of Topic 606; and require that in a transaction with a collaborative arrangement participant that is not directly related to sales to third parties, presenting the transaction together with revenue recognized under Topic 606 is precluded if the collaborative arrangement participant is not a customer. The provisions of this ASU are effective for years beginning after December 15, 2019, with early adoption permitted. We do not expect this ASU to have a material impact on the consolidated financial statements.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With respect to the unaudited condensed consolidated financial information of UTC for the quarters and nine months ended September 30, 2019 and 2018, PricewaterhouseCoopers LLP (PricewaterhouseCoopers) reported that it has applied limited procedures in accordance with professional standards for a review of such information. However, its report dated October 25, 2019,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Shareowners and Board of Directors of United Technologies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Review of Interim Financial Information</w:t>
      </w:r>
    </w:p>
    <w:p>
      <w:pPr>
        <w:spacing w:after="0" w:line="200" w:lineRule="exact"/>
        <w:rPr>
          <w:sz w:val="20"/>
          <w:szCs w:val="20"/>
          <w:color w:val="auto"/>
        </w:rPr>
      </w:pPr>
    </w:p>
    <w:p>
      <w:pPr>
        <w:spacing w:after="0" w:line="2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United Technologies Corporation and its subsidiaries (the “Company”) as of September 30, 2019, and the related condensed consolidated statements of operations, of comprehensive income and of changes in equity for the three-month and nine-month periods ended September 30, 2019 and 2018 and the condensed consolidated statement of cash flows for the nine-month periods ended September 30, 2019 and 2018,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the consolidated balance sheet of the Company as of December 31, 2018, and the related consolidated statements of operations, of comprehensive income, of changes in equity and of cash flows for the year then ended (not presented herein), and in our report dated February 7, 2019, which included a paragraph describing a change in the manner of accounting for revenue from contracts with customers and net periodic benefit cost in the 2018 financial statements, we expressed an unqualified opinion on those consolidated financial statements. In our opinion, the information set forth in the accompanying condensed consolidated balance sheet information as of December 31, 2018 is fairly stated, in all material respects, in relation to the consolidated balance sheet from which it has been derived.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Review Results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2019</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18" w:right="25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We are a global provider of high technology products and services to the building systems and aerospace industries. Our operations for the periods presented herein are classified into four principal business segments: Otis, Carrier, Pratt &amp; Whitney, and Collins Aerospace Systems. Otis and Carrier are referred to as the "commercial businesses," while Pratt &amp; Whitney and Collins Aerospace Systems are referred to as the "aerospace businesses."</w:t>
      </w:r>
    </w:p>
    <w:p>
      <w:pPr>
        <w:spacing w:after="0" w:line="68" w:lineRule="exact"/>
        <w:rPr>
          <w:sz w:val="20"/>
          <w:szCs w:val="20"/>
          <w:color w:val="auto"/>
        </w:rPr>
      </w:pPr>
    </w:p>
    <w:p>
      <w:pPr>
        <w:ind w:right="80" w:firstLine="4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current status of significant factors affecting our business environment in 2019 is discussed below. For additional discussion, refer to the "Business Overview" section in Management's Discussion and Analysis of Financial Condition and Results of Operations in our 2018 Annual Report, which is incorporated by reference in our 2018 </w:t>
      </w:r>
      <w:hyperlink r:id="rId9">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worldwide operations can be affected by industrial, economic and political factors on both a regional and global level. Our operations include original equipment manufacturing (OEM) and extensive related aftermarket parts and services in both our commercial and aerospace businesses. Our business mix also reflects the combination of shorter cycles at Carrier and in our commercial aerospace spares businesses, and longer cycles at Otis and in our aerospace OEM and aftermarket maintenance businesses. Our customers are in the public and private sectors, and our businesses reflect an extensive geographic diversification that has evolved with continued globalization.</w:t>
      </w:r>
    </w:p>
    <w:p>
      <w:pPr>
        <w:spacing w:after="0" w:line="184"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Our military businesses' sales are affected by U.S. Department of Defense budget and spending levels, changes in market demand and the global political environment. Total sales to the U.S. Government were $2.7 billion and $1.9 billion for the quarters ended September 30, 2019 and 2018, 14% and 11% of total UTC sales for those periods, respectively. Our participation in long-term production, development and sustainment programs for the U.S. Government has and is expected to contribute positively to our results in 2019.</w:t>
      </w:r>
    </w:p>
    <w:p>
      <w:pPr>
        <w:spacing w:after="0" w:line="180"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As has been previously disclosed, on November 26, 2018, the Company announced its intention to separate into three independent companies. Following the separations, the Company will operate as an aerospace company comprised of the Collins Aerospace Systems and Pratt &amp; Whitney businesses, and Otis and Carrier will become independent companies. The proposed separations are expected to be effected through spin-offs of Otis and Carrier that are intended to be tax-free for the Company’s shareowners for U.S. federal income tax purposes, and are expected to be completed in the first half of 2020. Separation of Otis and Carrier from UTC via spin-off transactions will be subject to the satisfaction of customary conditions, including, among others, final approval by the Company’s Board of Directors, receipt of tax rulings in certain jurisdictions and/or a tax opinion from external counsel (as applicable), the filing with the Securities and Exchange Commission (SEC) and effectiveness of Form 10 registration statements, and satisfactory completion of financing (subject to UTC’s agreement to consummate the distributions pursuant to, and subject to the terms and conditions of, the Raytheon merger agreement). See Notes To Condensed Consolidated Financial Statements, Note 1 for additional information regarding the Raytheon transaction.</w:t>
      </w:r>
    </w:p>
    <w:p>
      <w:pPr>
        <w:spacing w:after="0" w:line="8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June 9, 2019, UTC entered into a merger agreement with Raytheon Company (“Raytheon”) providing for an all-stock merger of equals transaction. The Raytheon merger agreement provides, among other things, that each share of Raytheon common stock issued and outstanding immediately prior to the closing of the Raytheon merger (except for shares held by Raytheon as treasury stock) will be converted into the right to receive 2.3348 shares of UTC common stock. Upon the closing of the Raytheon merger, Raytheon will become a wholly-owned subsidiary of UTC, and UTC will change its name to Raytheon Technologies Corporation. On October 11, 2019, the shareowners of UTC and Raytheon approved the proposals necessary to complete the Raytheon merger. The Raytheon merger is expected to close in the first half of 2020 and is subject to customary closing conditions, including receipt of required regulatory approvals, as well as the completion of UTC's previously announced separation of its Otis and Carrier businesses.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Acquisition Activity</w:t>
      </w:r>
    </w:p>
    <w:p>
      <w:pPr>
        <w:spacing w:after="0" w:line="229" w:lineRule="exact"/>
        <w:rPr>
          <w:sz w:val="20"/>
          <w:szCs w:val="20"/>
          <w:color w:val="auto"/>
        </w:rPr>
      </w:pPr>
    </w:p>
    <w:p>
      <w:pPr>
        <w:ind w:right="380" w:firstLine="432"/>
        <w:spacing w:after="0" w:line="266" w:lineRule="auto"/>
        <w:rPr>
          <w:sz w:val="20"/>
          <w:szCs w:val="20"/>
          <w:color w:val="auto"/>
        </w:rPr>
      </w:pPr>
      <w:r>
        <w:rPr>
          <w:rFonts w:ascii="Times New Roman" w:cs="Times New Roman" w:eastAsia="Times New Roman" w:hAnsi="Times New Roman"/>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nine months ended September 30, 2019, our investment in business acquisitions was $39 million, which consisted of small acquisitions at Otis.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229"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commercial businesses. Government and market-driven safety and performance regulations, restrictions on aircraft engine noise and emissions, and government procurement practices can impact our aerospace and defense businesses.</w:t>
      </w:r>
    </w:p>
    <w:p>
      <w:pPr>
        <w:spacing w:after="0" w:line="162"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2019. With regard to political conditions, the U.S. Government suspended Turkey’s participation in the F-35 Joint Strike Fighter program because Turkey accepted delivery of the Russian-built S-400 air and missile defense system. The U.S. has imposed, and may impose additional, sanctions on Turkey as a result of this or other political disputes. Turkish companies supply components, some of which are sole-sourced, to our aerospace businesses for commercial and military engines and aerospace products. Depending upon the scope and timing of U.S. sanctions on Turkey and potential reciprocal actions, if any, such sanctions or actions could impact our aerospace businesses’ sources of supply and could have a material adverse effect on our results of operations, cash flows or financial condition. See Part I, Item 1A, "Risk Factors" in our 2018 Form 10-K for further discussion.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60" w:firstLine="432"/>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2018 Annual Report, incorporated by reference in our 2018 </w:t>
      </w:r>
      <w:hyperlink r:id="rId9">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describe the significant accounting estimates and policies used in preparation of the Consolidated Financial Statements. Actual results in these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areas could differ from management's estimates. There have been no significant changes in our critical accounting estimates during the nine months ended September 30, 2019.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2"/>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19,496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16,510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57,495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48,457</w:t>
            </w: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factors contributing to the total percentage change year-over-year in total net sales for the quarter and nine months ended September 30, 2019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Quarter Ended September 30, 2019</w:t>
            </w:r>
          </w:p>
        </w:tc>
        <w:tc>
          <w:tcPr>
            <w:tcW w:w="23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6560" w:type="dxa"/>
            <w:vAlign w:val="bottom"/>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2380" w:type="dxa"/>
            <w:vAlign w:val="bottom"/>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6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Organic change</w:t>
            </w:r>
          </w:p>
        </w:tc>
        <w:tc>
          <w:tcPr>
            <w:tcW w:w="2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57"/>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 change</w:t>
            </w: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2"/>
                <w:szCs w:val="22"/>
                <w:color w:val="auto"/>
              </w:rPr>
            </w:pP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Net sales grew 5% organically during the quarter ended September 30, 2019. This increase reflects organic sales growth of 11% at Pratt &amp; Whitney driven by higher sales across all channels; 7% organic sales growth at Collins Aerospace Systems, primarily driven by higher commercial aftermarket and military sales; and organic sales growth of 4% at Otis reflecting higher service sales across all regions and higher new equipment sales driven by growth in Asia. Carrier organic sales were consistent with the prior year as growth in commercial HVAC and Fire &amp; Security products was offset by declines in both transport and commercial refrigeration. The 14% increase in Acquisitions and divestitures, net for the quarter ended September 30, 2019 primarily reflects the impact of the November 26, 2018 acquisition of Rockwell Collins.</w:t>
      </w:r>
    </w:p>
    <w:p>
      <w:pPr>
        <w:spacing w:after="0" w:line="188"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All four segments experienced organic sales growth for the nine months ended September 30, 2019. Pratt &amp; Whitney sales grew 11% organically, reflecting higher sales across all channels. Collins Aerospace Systems sales grew 9% organically, reflecting higher commercial and military sales. Organic sales growth of 5% at Otis reflects higher service sales across all regions and higher new equipment sales driven by growth in Asia. Organic sales growth of 2% at Carrier was driven by growth in global HVAC, Fire &amp; Security, and transport refrigeration. The 14% increase in Acquisitions and divestitures, net for the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2019 primarily reflects the impact of the November 26, 2018 acquisition of Rockwell Collins.</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Products and Services Sold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5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 of products and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14,211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12,536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42,331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36,238</w:t>
            </w: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bl>
    <w:p>
      <w:pPr>
        <w:spacing w:after="0" w:line="117"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The factors contributing to the percentage change year-over-year for the quarter and nine months ended September 30, 2019 in total cost of products and services sold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Quarter Ended September 30, 2019</w:t>
            </w:r>
          </w:p>
        </w:tc>
        <w:tc>
          <w:tcPr>
            <w:tcW w:w="2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5"/>
        </w:trPr>
        <w:tc>
          <w:tcPr>
            <w:tcW w:w="6560" w:type="dxa"/>
            <w:vAlign w:val="bottom"/>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2380" w:type="dxa"/>
            <w:vAlign w:val="bottom"/>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6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Organic change</w:t>
            </w:r>
          </w:p>
        </w:tc>
        <w:tc>
          <w:tcPr>
            <w:tcW w:w="2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 change</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organic increase in total cost of products and services sold for the quarter and nine months ended September 30, 2019 was primarily driven by the organic sales increases noted above. The increase in Acquisitions and divestitures, net of 12% and 13% for the quarter and nine months ended September 30, 2019 respectively, primarily reflects the impact of the acquisition of Rockwell Collins. The decline in Other of 3% and 1% for the quarter and nine months ended September 30, 2019 respectively, reflects the absence of a prior year customer contract settlement at Pratt &amp; Whitney.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Gross Margin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5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15,164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12,219</w:t>
            </w:r>
          </w:p>
        </w:tc>
      </w:tr>
      <w:tr>
        <w:trPr>
          <w:trHeight w:val="24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bl>
    <w:p>
      <w:pPr>
        <w:spacing w:after="0" w:line="117"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 increase in gross margin as a percentage of sales for the quarter ended September 30, 2019 reflects a 640 basis point improvement at Pratt &amp; Whitney driven by the absence of a prior year customer contract settlement and favorable mix on large commercial engine shipments. Collins Aerospace Systems gross margin increased 340 basis points primarily driven by higher commercial aftermarket sales, the impact of the Rockwell Acquisition including the resulting synergies achieved, and cost reduction initiatives. Otis gross margin increased 60 basis points primarily driven by favorable pricing and mix in the Americas and China. Gross margin at Carrier was consistent with the prior year.</w:t>
      </w:r>
    </w:p>
    <w:p>
      <w:pPr>
        <w:spacing w:after="0" w:line="184"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The increase in gross margin as a percentage of sales for the nine months ended September 30, 2019 was primarily driven by a 210 basis point increase at Pratt &amp; Whitney driven by the absence of a prior year customer contract settlement and favorable mix on large commercial engine shipments. Collins Aerospace Systems gross margin increased 170 basis points primarily driven by the impact of the Rockwell Acquisition including the resulting synergies achieved, and an increase in commercial aftermarket sales and cost reduction initiatives. Otis gross margin increased 10 basis points primarily driven by favorable pricing and mix in the Americas and China. Gross margin at Carrier was down 20 basis points primarily driven by unfavorable mix and higher commodities, tariffs, and logistics costs.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24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5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1,729</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1,044</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1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(25%) in company-funded research and development for the quarter ended September 30, 2019 was primarily driven by the impact of the Rockwell Acquisition (22%). The remaining increase primarily reflects higher expenses across various programs at Pratt &amp; Whitney (3%) and Collins Aerospace Systems (2%), partially offset by lower expenses at Otis (2%). For the nine months ended September 30, 2019 company-funded research and development increased 27%, driven by the impact of the Rockwell Collins acquisition (22%). The remaining increase primarily reflects higher expenses across various programs at Pratt &amp; Whitney (5%) and Collins Aerospace Systems (2%) partially offset by lower expenses at Otis (2%).</w:t>
      </w:r>
    </w:p>
    <w:p>
      <w:pPr>
        <w:spacing w:after="0" w:line="81"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The increase (63%) in customer-funded research and development for the quarter ended September 30, 2019 was primarily driven by the impact of the Rockwell Acquisition (62%). The remaining increase was driven by higher military development program expenses at Collins Aerospace Systems (3%), partially offset by lower research and development expenses on military development programs at Pratt &amp; Whitney (2%). The increase (63%) in customer-funded research and development for the nine months ended September 30, 2019 was also driven by the impact of the Rockwell Collins acquisition (63%). Lower research and development expenses on military development programs at Pratt &amp; Whitney (3%), were offset by higher expenses at Collins Aerospace Systems (3%).</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5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6,207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5,151</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17"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25% in the quarter ended September 30, 2019. The increase in expenses includes the impact of the Rockwell Collins acquisition (11%), costs associated with the Company's intention to separate its commercial businesses (6%), costs associated with the Raytheon merger (1%), and higher restructuring costs (1%). The growth in Selling, general and administrative expenses also includes higher expenses at Carrier (2%) primarily driven by the unfavorable impact of a contract termination, and increases at Collins Aerospace Systems (2%), Otis (2%) and Pratt &amp; Whitney (1%) driven primarily by increased employee compensation related expenses and headcount.</w:t>
      </w:r>
    </w:p>
    <w:p>
      <w:pPr>
        <w:spacing w:after="0" w:line="184" w:lineRule="exact"/>
        <w:rPr>
          <w:sz w:val="20"/>
          <w:szCs w:val="20"/>
          <w:color w:val="auto"/>
        </w:rPr>
      </w:pPr>
    </w:p>
    <w:p>
      <w:pPr>
        <w:ind w:right="420" w:firstLine="43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21% in the nine months ended September 30, 2019, primarily driven by the impact of the Rockwell Collins acquisition (10%), costs associated with the Company's intention to separate its commercial businesses (6%), costs associated with the Raytheon merger (1%) and higher restructuring costs (1%). The growth in Selling, general and administrative expenses also includes higher expenses at Collins Aerospace Systems (1%), Pratt &amp; Whitney (1%) and Otis (1%) driven primarily by increased employee compensation related expenses and headcount.</w:t>
      </w:r>
    </w:p>
    <w:p>
      <w:pPr>
        <w:spacing w:after="0" w:line="18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are continuously evaluating our cost structure and have implemented restructuring actions as a method of keeping our cost structure competitive. As appropriate, the amounts reflected above include the beneficial impact of restructuring actions on Selling, general and administrative expenses. See Note 8: Restructuring Costs and the Restructuring Costs section of this Management's Discussion and Analysis of Financial Condition and Results of Operations for further discussion.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1,303</w:t>
            </w:r>
          </w:p>
        </w:tc>
      </w:tr>
      <w:tr>
        <w:trPr>
          <w:trHeight w:val="459"/>
        </w:trPr>
        <w:tc>
          <w:tcPr>
            <w:tcW w:w="56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Other income, net includes equity earnings in unconsolidated entities, royalty income, foreign exchange gains and losses, as well as other ongoing and nonrecurring items. The year-over-year decrease in Other income (72%) for the quarter ended September 30, 2019 primarily reflects the impairment of an investment at Carrier (82%), partially offset by the net favorable year-over-year impact of foreign exchange gains and losses (11%).</w:t>
      </w:r>
    </w:p>
    <w:p>
      <w:pPr>
        <w:spacing w:after="0" w:line="17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year-over-year decrease in Other income, net (72%) for the nine months ended September 30, 2019 primarily reflects the absence of the prior year gain on the sale of Taylor Company (61%), the impairment of an investment at Carrier (8%) and the net unfavorable year-over-year impact of foreign exchange gains and losses (3%).</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24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54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837</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5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721</w:t>
            </w:r>
          </w:p>
        </w:tc>
      </w:tr>
      <w:tr>
        <w:trPr>
          <w:trHeight w:val="20"/>
        </w:trPr>
        <w:tc>
          <w:tcPr>
            <w:tcW w:w="5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interest expense rate</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117"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Interest expense, net increased 55% and 65% for the quarter and nine months ended September 30, 2019, respectively. The increase in interest expense primarily reflects interest on debt acquired from the Rockwell Collins acquisition and the impact of the August 16, 2018 issuance of notes representing $11 billion in aggregate principal. The average maturity of our long-term debt at September 30, 2019 is approximately 10 years. The decrease in interest income for the quarter ended September 30, 2019 primarily reflects prior year interest earned on higher cash balances accumulated in anticipation of the Rockwell Collins acquisition. The increase in interest income for the nine months ended September 30, 2019 was primarily driven by interest income related to tax settlements.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24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4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2"/>
        </w:trPr>
        <w:tc>
          <w:tcPr>
            <w:tcW w:w="6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23.7%</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7"/>
        </w:trPr>
        <w:tc>
          <w:tcPr>
            <w:tcW w:w="5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The increase in the effective tax rate for the quarter ended September 30, 2019 is primarily the result of tax charges connected to the Company’s portfolio separation transactions and the non-deductible impact related to the impairment of an investment at Carrier.</w:t>
      </w:r>
    </w:p>
    <w:p>
      <w:pPr>
        <w:spacing w:after="0" w:line="162"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increase in the effective tax rate for the nine months ended September 30, 2019 is principally related to the items described above offset in part by gains associated with the conclusion of the audit by the Examination Division of the Internal Revenue Service for the UTC 2014, 2015, and 2016 tax years and the filing by a subsidiary of the Company to participate in an amnesty program offered by the Italian Tax Authority in the second quarter of 2019.</w:t>
      </w:r>
    </w:p>
    <w:p>
      <w:pPr>
        <w:spacing w:after="0" w:line="17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Company will continue to review and incorporate as necessary TCJA changes related to forthcoming U.S. Treasury Regulations, other updates, and the finalization of the deemed inclusions to be reported on the Company’s 2018 U.S. federal income tax return.</w:t>
      </w:r>
    </w:p>
    <w:p>
      <w:pPr>
        <w:spacing w:after="0" w:line="162"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As shown in the table above, the effective tax rate for the nine months ended September 30, 2019 is 29.6%; the effective income tax rate for the same period, excluding restructuring, non-operational nonrecurring items is 23.5%. The full year rate is still subject to change as guidance and interpretations related to the TCJA continue to be finalized. The Company expects to continue to incur tax costs associated with the ongoing separation of its commercial businesses which is expected to be complete in the first half of 2020.</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Attributable to Common Shareowners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3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4,583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 from operations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5.72</w:t>
            </w:r>
          </w:p>
        </w:tc>
      </w:tr>
      <w:tr>
        <w:trPr>
          <w:trHeight w:val="486"/>
        </w:trPr>
        <w:tc>
          <w:tcPr>
            <w:tcW w:w="56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income attributable to common shareowners for the quarter ended September 30, 2019 includes restructuring charges, net of tax benefit, of $48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as well as a net charge for significant non-operational and/or nonrecurring items, including the impact of taxes, of $712 million. The effect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charges and significant non-operational and/or nonrecurring items was a charge of $0.88 per diluted share for the quarter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The effect of foreign currency translation and Pratt &amp;Whitney Canada hedging generated an unfavorable impact of $0.02 on diluted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207"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Net income attributable to common shareowners for the quarter ended September 30, 2018 includes restructuring charges, net of tax benefit, of $28 million as well as a net charge for significant non-operational and/or nonrecurring items, net of tax, of $281 million. The effect of restructuring charges and significant non-operational and/or nonrecurring items on diluted earnings per share for the quarter ended September 30, 2018 was a charge of $0.39 per diluted share while the effect of foreign currency translation and Pratt &amp;Whitney Canada hedging had no impact on diluted earnings per share.</w:t>
      </w:r>
    </w:p>
    <w:p>
      <w:pPr>
        <w:spacing w:after="0" w:line="180"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Net income attributable to common shareowners for the nine months ended September 30, 2019 includes restructuring charges, net of tax benefit, of $179 million as well as a net charge for significant non-operational and/or nonrecurring items, including the impact of taxes, of $880 million. The effect of restructuring charges and nonrecurring items on diluted earnings per diluted share for the nine months ended September 30, 2019 was a charge of $1.23 per diluted share while the effect of foreign currency translation and Pratt &amp;Whitney Canada hedging generated an unfavorable impact of $0.06 on diluted earnings per share.</w:t>
      </w:r>
    </w:p>
    <w:p>
      <w:pPr>
        <w:spacing w:after="0" w:line="184" w:lineRule="exact"/>
        <w:rPr>
          <w:sz w:val="20"/>
          <w:szCs w:val="20"/>
          <w:color w:val="auto"/>
        </w:rPr>
      </w:pPr>
    </w:p>
    <w:p>
      <w:pPr>
        <w:ind w:right="300" w:firstLine="432"/>
        <w:spacing w:after="0" w:line="258" w:lineRule="auto"/>
        <w:rPr>
          <w:sz w:val="20"/>
          <w:szCs w:val="20"/>
          <w:color w:val="auto"/>
        </w:rPr>
      </w:pPr>
      <w:r>
        <w:rPr>
          <w:rFonts w:ascii="Times New Roman" w:cs="Times New Roman" w:eastAsia="Times New Roman" w:hAnsi="Times New Roman"/>
          <w:sz w:val="18"/>
          <w:szCs w:val="18"/>
          <w:color w:val="auto"/>
        </w:rPr>
        <w:t>Net income attributable to common shareowners for the nine months ended September 30, 2018 includes restructuring charges, net of tax benefit, of $139 million as well as a net gain for significant non-operational and/or nonrecurring items, including the impact of taxes, of $179 million. The effect of restructuring charges and nonrecurring items on diluted earnings per share for the nine months ended September 30, 2018 was a gain of $0.05 per diluted share while the effect of foreign currency translation and Pratt &amp;Whitney Canada hedging generated a favorable impact of $0.05 on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2"/>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costs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Restructuring actions are an essential component of our operating margin improvement efforts and relate to existing and recently acquired operations. Charges generally arise from severance related to workforce reductions, facility exit and lease termination costs associated with the consolidation of field and manufacturing operations and costs to exit legacy programs. We continue to closely monitor the economic environment and may undertake further restructuring actions to keep our cost structure aligned with the demands of the prevailing market conditions.</w:t>
      </w:r>
    </w:p>
    <w:p>
      <w:pPr>
        <w:spacing w:after="0" w:line="17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2019 Actions. </w:t>
      </w:r>
      <w:r>
        <w:rPr>
          <w:rFonts w:ascii="Times New Roman" w:cs="Times New Roman" w:eastAsia="Times New Roman" w:hAnsi="Times New Roman"/>
          <w:sz w:val="17"/>
          <w:szCs w:val="17"/>
          <w:color w:val="auto"/>
        </w:rPr>
        <w:t>During the nine months ended September 30, 2019, we recorded net pre-tax restructuring charges of $158 million relating to ongoing cost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reduction actions initiated in 2019. We expect to incur additional restructuring charges of $266 million to complete these actions. We are targeting to complete in 2019 and 2020 the majority of the remaining workforce and facility related cost reduction actions initiated in 2019. We expect recurring pre-tax savings in continuing operations to increase to approximately $358 million annually over the two-year period subsequent to initiating the actions. Approximately 93% of the total expected pre-tax charges will require cash payments, which we have funded and expect to continue to fund with cash generated from operations. During the nine months ended September 30, 2019, we had cash outflows of approximately $89 million related to the 2019 actions.</w:t>
      </w:r>
    </w:p>
    <w:p>
      <w:pPr>
        <w:spacing w:after="0" w:line="16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2018 Actions. </w:t>
      </w:r>
      <w:r>
        <w:rPr>
          <w:rFonts w:ascii="Times New Roman" w:cs="Times New Roman" w:eastAsia="Times New Roman" w:hAnsi="Times New Roman"/>
          <w:sz w:val="18"/>
          <w:szCs w:val="18"/>
          <w:color w:val="auto"/>
        </w:rPr>
        <w:t>During the nine months ended September 30, 2019 and 2018, we recorded net pre-tax restructuring charges of $44 million and $97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for actions initiated in 2018. We expect to incur additional restructuring charges of $8 million to complete these actions. We are targeting to complete in 2019 the majority of the remaining workforce and facility related cost reduction actions initiated in 2018. We expect recurring pre-tax savings in continuing operations to increase over the two-year period subsequent to initiating the actions to approximately $260 million annually, of which, approximately $140 million was realized during the nine months ended September 30, 2019. Approximately 93% of the total expected pre-tax charges will require cash payments, which we have funded and expect to continue to fund with cash generated from operations. During the nine months ended September 30, 2019, we had cash outflows of approximately $126 million related to the 2018 actions.</w:t>
      </w:r>
    </w:p>
    <w:p>
      <w:pPr>
        <w:spacing w:after="0" w:line="187"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In addition, during the nine months ended September 30, 2019, we recorded net pre-tax restructuring costs totaling $42 million for restructuring actions initiated in 2017 and prior. For additional discussion of restructuring, see Note 8 to the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22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and nine months ended September 30, 2019 and 2018 are included in "Eliminations and other", which also includes certain smaller subsidiaries. We attempt to quantify material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Commercial Businesses</w:t>
      </w:r>
    </w:p>
    <w:p>
      <w:pPr>
        <w:spacing w:after="0" w:line="229"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Our commercial businesses generally serve customers in the worldwide commercial and residential property industries, and Carrier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Carrier's financial performance can also be influenced by production and utilization of transport equipment and, in the case of its residential business, weather conditions. To ensure adequate supply of products in the distribution channel, Carrier customarily offers its customers incentives to purchase products. The principal incentive program provides reimbursements to distributors for offering promotional pricing on Carrier products. We account for incentive payments made as a reduction to sales.</w:t>
      </w:r>
    </w:p>
    <w:p>
      <w:pPr>
        <w:sectPr>
          <w:pgSz w:w="11900" w:h="16838" w:orient="portrait"/>
          <w:cols w:equalWidth="0" w:num="1">
            <w:col w:w="11420"/>
          </w:cols>
          <w:pgMar w:left="240" w:top="118" w:right="239" w:bottom="0" w:gutter="0" w:footer="0" w:header="0"/>
        </w:sectPr>
      </w:pPr>
    </w:p>
    <w:bookmarkStart w:id="42" w:name="page43"/>
    <w:bookmarkEnd w:id="42"/>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At constant currency and excluding the effect of acquisitions and divestitures, Carrier equipment orders in the quarter ended September 30, 2019 decreased 11% in comparison to the same period of the prior year, driven by decreases in transport refrigeration (68%), commercial refrigeration (5%), and Fire and Security products (2%), partially offset by increased commercial HVAC (6%) and North America residential HVAC equipment (4%) orders. At constant currency, Otis new equipment orders in the quarter increased 6% in comparison to the prior year led by increases in the Americas (10%), Asia excluding China (6%) and China (5%).</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Summary performance for each of the commercial businesses for the quarters ended September 30, 2019 and 2018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Otis</w:t>
            </w: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1060" w:type="dxa"/>
            <w:vAlign w:val="bottom"/>
            <w:tcBorders>
              <w:bottom w:val="single" w:sz="8" w:color="auto"/>
            </w:tcBorders>
          </w:tcPr>
          <w:p>
            <w:pPr>
              <w:spacing w:after="0"/>
              <w:rPr>
                <w:sz w:val="16"/>
                <w:szCs w:val="16"/>
                <w:color w:val="auto"/>
              </w:rPr>
            </w:pPr>
          </w:p>
        </w:tc>
      </w:tr>
      <w:tr>
        <w:trPr>
          <w:trHeight w:val="265"/>
        </w:trPr>
        <w:tc>
          <w:tcPr>
            <w:tcW w:w="3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3,223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2,291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 Margins</w:t>
            </w:r>
          </w:p>
        </w:tc>
        <w:tc>
          <w:tcPr>
            <w:tcW w:w="2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1060" w:type="dxa"/>
            <w:vAlign w:val="bottom"/>
          </w:tcPr>
          <w:p>
            <w:pPr>
              <w:spacing w:after="0"/>
              <w:rPr>
                <w:sz w:val="24"/>
                <w:szCs w:val="24"/>
                <w:color w:val="auto"/>
              </w:rPr>
            </w:pPr>
          </w:p>
        </w:tc>
      </w:tr>
    </w:tbl>
    <w:p>
      <w:pPr>
        <w:spacing w:after="0" w:line="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Summary performance for each of the commercial businesses for the nine months ended September 30, 2019 and 2018 was as follows: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1" w:right="2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3900" w:type="dxa"/>
            <w:vAlign w:val="bottom"/>
            <w:gridSpan w:val="4"/>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650"/>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Otis</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Carrier</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8"/>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9"/>
                <w:szCs w:val="19"/>
                <w:color w:val="auto"/>
              </w:rPr>
            </w:pP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9,604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14,291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6,814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10,046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2,790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4,245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1,366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1,424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3,081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Profit Margins</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14.9%</w:t>
            </w: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402"/>
              <w:spacing w:after="0"/>
              <w:rPr>
                <w:sz w:val="20"/>
                <w:szCs w:val="20"/>
                <w:color w:val="auto"/>
              </w:rPr>
            </w:pPr>
            <w:r>
              <w:rPr>
                <w:rFonts w:ascii="Times New Roman" w:cs="Times New Roman" w:eastAsia="Times New Roman" w:hAnsi="Times New Roman"/>
                <w:sz w:val="18"/>
                <w:szCs w:val="18"/>
                <w:color w:val="auto"/>
              </w:rPr>
              <w:t>14.5%</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Otis –</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2019 Compared with Quarter Ended September 30, 2018</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3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8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4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The organic sales increase of 4% primarily reflects higher service sales (3%), driven by broad-based growth across geographies; and higher new equipment sales (1%) driven by growth in Asia (2%), partially offset by declines in other regions (combined, 1%).</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operational profit increase of 6% was driven by:</w:t>
      </w:r>
    </w:p>
    <w:p>
      <w:pPr>
        <w:spacing w:after="0" w:line="27" w:lineRule="exact"/>
        <w:rPr>
          <w:sz w:val="20"/>
          <w:szCs w:val="20"/>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price and mix (8%)</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contribution from the higher sales volumes noted above (5%)</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ind w:left="660"/>
        <w:spacing w:after="0"/>
        <w:tabs>
          <w:tab w:leader="none" w:pos="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higher selling, general and administrative expenses (5%)</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2019 Compared with Nine Months Ended September 30,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1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4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3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tcPr>
          <w:p>
            <w:pPr>
              <w:spacing w:after="0"/>
              <w:rPr>
                <w:sz w:val="21"/>
                <w:szCs w:val="21"/>
                <w:color w:val="auto"/>
              </w:rPr>
            </w:pPr>
          </w:p>
        </w:tc>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0" w:firstLine="432"/>
        <w:spacing w:after="0" w:line="282" w:lineRule="auto"/>
        <w:rPr>
          <w:sz w:val="20"/>
          <w:szCs w:val="20"/>
          <w:color w:val="auto"/>
        </w:rPr>
      </w:pPr>
      <w:r>
        <w:rPr>
          <w:rFonts w:ascii="Times New Roman" w:cs="Times New Roman" w:eastAsia="Times New Roman" w:hAnsi="Times New Roman"/>
          <w:sz w:val="18"/>
          <w:szCs w:val="18"/>
          <w:color w:val="auto"/>
        </w:rPr>
        <w:t>The organic sales increase of 5% primarily reflects higher service sales (3%), driven by broad-based growth across geographies, and higher new equipment sales (2%) driven by growth in Asia.</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operational profit increase of 4% was driven by:</w:t>
      </w:r>
    </w:p>
    <w:p>
      <w:pPr>
        <w:spacing w:after="0" w:line="27" w:lineRule="exact"/>
        <w:rPr>
          <w:sz w:val="20"/>
          <w:szCs w:val="20"/>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contribution from the higher sales volumes noted above (7%)</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price and mix (3%)</w:t>
      </w:r>
    </w:p>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ind w:left="900" w:hanging="244"/>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selling, general and administrative expenses (4%)</w:t>
      </w:r>
    </w:p>
    <w:p>
      <w:pPr>
        <w:spacing w:after="0" w:line="9" w:lineRule="exact"/>
        <w:rPr>
          <w:rFonts w:ascii="Times New Roman" w:cs="Times New Roman" w:eastAsia="Times New Roman" w:hAnsi="Times New Roman"/>
          <w:sz w:val="18"/>
          <w:szCs w:val="18"/>
          <w:color w:val="auto"/>
        </w:rPr>
      </w:pPr>
    </w:p>
    <w:p>
      <w:pPr>
        <w:ind w:left="900" w:right="60" w:hanging="244"/>
        <w:spacing w:after="0" w:line="261"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transactional foreign exchange gains and losses from mark-to-market adjustments and embedded foreign currency derivatives within certain new equipment contracts (2%)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4"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Carrier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2019 Compared with Quarter Ended September 30,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FX</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40" w:type="dxa"/>
            <w:vAlign w:val="bottom"/>
            <w:tcBorders>
              <w:bottom w:val="single" w:sz="8" w:color="CCEEFF"/>
            </w:tcBorders>
            <w:gridSpan w:val="3"/>
            <w:shd w:val="clear" w:color="auto" w:fill="CCEEFF"/>
          </w:tcPr>
          <w:p>
            <w:pPr>
              <w:jc w:val="right"/>
              <w:ind w:right="1228"/>
              <w:spacing w:after="0"/>
              <w:rPr>
                <w:sz w:val="20"/>
                <w:szCs w:val="20"/>
                <w:color w:val="auto"/>
              </w:rPr>
            </w:pPr>
            <w:r>
              <w:rPr>
                <w:rFonts w:ascii="Times New Roman" w:cs="Times New Roman" w:eastAsia="Times New Roman" w:hAnsi="Times New Roman"/>
                <w:sz w:val="18"/>
                <w:szCs w:val="18"/>
                <w:color w:val="auto"/>
                <w:w w:val="96"/>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gridSpan w:val="3"/>
          </w:tcPr>
          <w:p>
            <w:pPr>
              <w:jc w:val="right"/>
              <w:ind w:right="1228"/>
              <w:spacing w:after="0"/>
              <w:rPr>
                <w:sz w:val="20"/>
                <w:szCs w:val="20"/>
                <w:color w:val="auto"/>
              </w:rPr>
            </w:pPr>
            <w:r>
              <w:rPr>
                <w:rFonts w:ascii="Times New Roman" w:cs="Times New Roman" w:eastAsia="Times New Roman" w:hAnsi="Times New Roman"/>
                <w:sz w:val="18"/>
                <w:szCs w:val="18"/>
                <w:color w:val="auto"/>
                <w:w w:val="96"/>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Organic sales were consistent with the prior year as growth in commercial HVAC and Fire &amp; Security products (1%, combined) was offset by declines in both transport and commercial refrigeration (1%, combined).</w:t>
      </w:r>
    </w:p>
    <w:p>
      <w:pPr>
        <w:spacing w:after="0" w:line="5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Operational profit increased 1% as the impact of favorable pricing (5%), lower selling, general and administrative expenses and research and development costs (2%, combined), favorable material productivity, net of the impact of tariffs (1%) and higher joint venture income (1%) were largely offset by lower volume and unfavorable mix (6%) and the absence of a favorable prior year contract adjustment related to a large commercial project (3%).</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17% decrease in "Other" primarily reflects the impairment of an investment (13%) and the unfavorable impact of a contract termination (4%).</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2019 Compared with Nine Months Ended September 30,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6"/>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1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FX</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6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3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organic sales increase of 2% was primarily driven by growth in commercial and residential HVAC (1%, combined), and increases in global Fire &amp; Security and transport refrigeration (1%, combined).</w:t>
      </w:r>
    </w:p>
    <w:p>
      <w:pPr>
        <w:spacing w:after="0" w:line="5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Operational profit decreased 1% in comparison to the prior year as favorable pricing (5%) was more than offset by unfavorable commodities, tariffs and labor productivity (3%, combined), unfavorable mix, net of higher volume (2%), and the absence of a favorable prior year contract adjustment related to a large commercial project (1%).</w:t>
      </w:r>
    </w:p>
    <w:p>
      <w:pPr>
        <w:spacing w:after="0" w:line="6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29% decrease in "Other" primarily reflects the absence of the prior year gain on the sale of Taylor Company (26%) and a current-year impairment of an investment (4%).</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Aerospace Businesses</w:t>
      </w:r>
    </w:p>
    <w:p>
      <w:pPr>
        <w:spacing w:after="0" w:line="229"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76"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We continue to see growth in a strong commercial airline industry which is benefiting from traffic growth and lower fuel costs. Airline traffic, as measured by RPMs, grew approximately 5% in the first eight months of 2019.</w:t>
      </w:r>
    </w:p>
    <w:p>
      <w:pPr>
        <w:spacing w:after="0" w:line="162"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Our commercial aftermarket businesses continue to evolve as a significant portion of our aerospace businesses' customers are covered under long-term aftermarket service agreements at Pratt &amp; Whitney and Collins Aerospace Systems. These agreements are comprehensive long-term spare part and service agreements with our customers. We expect a continued shift to long-term aftermarket service agreements in lieu of transactional spare part sales as new aerospace products enter our customers' fleets under long-term service agreements and legacy fleets are retired. For the first nine months of 2019, as compared with 2018, total commercial aerospace aftermarket sales increased 72% at Collins Aerospace Systems (up 15% excluding the impact of the Rockwell Collins acquisition) and 3% at Pratt &amp; Whitney.</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Operating profit in the quarter and nine months ended September 30, 2019 included net unfavorable changes in aerospace contract estimates totaling $2 million and $82 million, respectively, primarily reflecting net unfavorable contract adjustments at Pratt &amp; Whitney. Operating profit in the quarter ended September 30, 2018 included significant net favorable changes in aerospace contract estimates totaling $55 million, primarily reflecting favorable net contract adjustments at Pratt &amp; Whitney. Operating profit for the nine months ended September 30, 2018 included significant net unfavorable changes in aerospace contract estimates totaling $28 million, reflecting unfavorable net contract adjustments recorded at both Collins Aerospace Systems and Pratt &amp; Whitney.</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Summary performance for each of the aerospace businesses for the quarters ended September 30, 2019 and 2018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Collins Aerospace Systems</w:t>
            </w:r>
          </w:p>
        </w:tc>
        <w:tc>
          <w:tcPr>
            <w:tcW w:w="900" w:type="dxa"/>
            <w:vAlign w:val="bottom"/>
            <w:tcBorders>
              <w:bottom w:val="single" w:sz="8" w:color="auto"/>
            </w:tcBorders>
          </w:tcPr>
          <w:p>
            <w:pPr>
              <w:spacing w:after="0"/>
              <w:rPr>
                <w:sz w:val="16"/>
                <w:szCs w:val="16"/>
                <w:color w:val="auto"/>
              </w:rPr>
            </w:pPr>
          </w:p>
        </w:tc>
      </w:tr>
      <w:tr>
        <w:trPr>
          <w:trHeight w:val="265"/>
        </w:trPr>
        <w:tc>
          <w:tcPr>
            <w:tcW w:w="4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4,789</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4,215</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574</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 and Other</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465</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ind w:right="153"/>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65"/>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 Margins</w:t>
            </w:r>
          </w:p>
        </w:tc>
        <w:tc>
          <w:tcPr>
            <w:tcW w:w="28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Summary performance for each of the aerospace businesses for the nine months ended September 30, 2019 and 2018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Collins Aerospace Systems</w:t>
            </w:r>
          </w:p>
        </w:tc>
        <w:tc>
          <w:tcPr>
            <w:tcW w:w="940" w:type="dxa"/>
            <w:vAlign w:val="bottom"/>
            <w:tcBorders>
              <w:bottom w:val="single" w:sz="8" w:color="auto"/>
            </w:tcBorders>
          </w:tcPr>
          <w:p>
            <w:pPr>
              <w:spacing w:after="0"/>
              <w:rPr>
                <w:sz w:val="16"/>
                <w:szCs w:val="16"/>
                <w:color w:val="auto"/>
              </w:rPr>
            </w:pPr>
          </w:p>
        </w:tc>
      </w:tr>
      <w:tr>
        <w:trPr>
          <w:trHeight w:val="228"/>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9"/>
                <w:szCs w:val="19"/>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13,854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11,629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2,225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57"/>
        </w:trPr>
        <w:tc>
          <w:tcPr>
            <w:tcW w:w="3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Profit Margins</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13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2"/>
              <w:spacing w:after="0"/>
              <w:rPr>
                <w:sz w:val="20"/>
                <w:szCs w:val="20"/>
                <w:color w:val="auto"/>
              </w:rPr>
            </w:pPr>
            <w:r>
              <w:rPr>
                <w:rFonts w:ascii="Times New Roman" w:cs="Times New Roman" w:eastAsia="Times New Roman" w:hAnsi="Times New Roman"/>
                <w:sz w:val="18"/>
                <w:szCs w:val="18"/>
                <w:color w:val="auto"/>
              </w:rPr>
              <w:t>16.3%</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Pratt &amp; Whitney –</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2019 Compared with Quarter Ended September 30, 2018</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2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5"/>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04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spacing w:after="0"/>
              <w:rPr>
                <w:sz w:val="21"/>
                <w:szCs w:val="21"/>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right="140" w:firstLine="8"/>
        <w:spacing w:after="0" w:line="254" w:lineRule="auto"/>
        <w:tabs>
          <w:tab w:leader="none" w:pos="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Pratt &amp; Whitney only, the transactional impact of foreign exchange hedging at Pratt &amp; Whitney Canada has been netted against the translational foreign exchange impact for presentation purposes in the table above. For all other segments these foreign exchange transactional impacts are included within the organic/operational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8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organic sales growth of 11% primarily reflects higher military sales (4%), higher commercial OEM sales (3%), and higher commercial aftermarket sales (3%).</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operational profit increase of 60% was primarily driven by:</w:t>
      </w:r>
    </w:p>
    <w:p>
      <w:pPr>
        <w:spacing w:after="0" w:line="27" w:lineRule="exact"/>
        <w:rPr>
          <w:sz w:val="20"/>
          <w:szCs w:val="20"/>
          <w:color w:val="auto"/>
        </w:rPr>
      </w:pPr>
    </w:p>
    <w:p>
      <w:pPr>
        <w:ind w:left="900" w:right="300" w:hanging="244"/>
        <w:spacing w:after="0" w:line="261"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commercial OEM margin contribution (118%) primarily driven by favorable mix on large commercial engine shipments and continued year-over-year cost reduction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spacing w:after="0"/>
        <w:tabs>
          <w:tab w:leader="none" w:pos="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higher military margin contribution (17%) driven by the sales increase noted above</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ind w:left="900" w:right="160" w:hanging="244"/>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commercial aftermarket margin contribution (31%) as unfavorable mix and net unfavorable contract adjustments more than offset margin contribution from the higher volumes noted above</w:t>
      </w: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selling, general and administrative expenses and other ramp-related costs (25%)</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research and development costs (18%)</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283% increase in "Other" primarily reflects the absence of a prior year customer contract settlement.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2019 Compared with Nine Months Ended September 30,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w:t>
            </w:r>
          </w:p>
        </w:tc>
        <w:tc>
          <w:tcPr>
            <w:tcW w:w="1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organic sales growth of 11% primarily reflects higher commercial OEM sales (4%), higher military sales (4%), and higher commercial aftermarket sales of (2%).</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operational profit increase of 13% was primarily driven by:</w:t>
      </w:r>
    </w:p>
    <w:p>
      <w:pPr>
        <w:spacing w:after="0" w:line="27" w:lineRule="exact"/>
        <w:rPr>
          <w:sz w:val="20"/>
          <w:szCs w:val="20"/>
          <w:color w:val="auto"/>
        </w:rPr>
      </w:pPr>
    </w:p>
    <w:p>
      <w:pPr>
        <w:ind w:left="900" w:right="140" w:hanging="244"/>
        <w:spacing w:after="0" w:line="250"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OEM margin contribution (20%) primarily driven by continued year-over-year cost reduction, favorable mix on large commercial engine shipments, and lower customer support costs</w:t>
      </w:r>
    </w:p>
    <w:p>
      <w:pPr>
        <w:ind w:left="900" w:hanging="244"/>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military profit contribution (11%), driven by the sales increase noted above</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ind w:left="900" w:hanging="244"/>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research and development costs (9%)</w:t>
      </w:r>
    </w:p>
    <w:p>
      <w:pPr>
        <w:spacing w:after="0" w:line="9" w:lineRule="exact"/>
        <w:rPr>
          <w:rFonts w:ascii="Times New Roman" w:cs="Times New Roman" w:eastAsia="Times New Roman" w:hAnsi="Times New Roman"/>
          <w:sz w:val="18"/>
          <w:szCs w:val="18"/>
          <w:color w:val="auto"/>
        </w:rPr>
      </w:pPr>
    </w:p>
    <w:p>
      <w:pPr>
        <w:ind w:left="900" w:right="260" w:hanging="244"/>
        <w:spacing w:after="0" w:line="250"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commercial aftermarket margin contribution (4%) as unfavorable mix and net unfavorable contract adjustments more than offset margin contribution from the higher volumes noted above</w:t>
      </w:r>
    </w:p>
    <w:p>
      <w:pPr>
        <w:ind w:left="900" w:hanging="244"/>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selling, general and administrative expenses and other ramp-related costs (5%)</w:t>
      </w:r>
    </w:p>
    <w:p>
      <w:pPr>
        <w:spacing w:after="0" w:line="99"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36% increase in "Other" primarily reflects the absence of a prior year customer contract settlement (33%) and favorable year-over-year licensing income (2%).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Collins Aerospace Systems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2019 Compared with Quarter Ended September 30,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6"/>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FX</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8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organic sales growth of 7% primarily reflects higher commercial aerospace aftermarket sales (7%), and higher military sales (3%), partially offset by lower commercial aerospace OEM sales (3%).</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 in operational profit of 13% primarily reflects:</w:t>
      </w:r>
    </w:p>
    <w:p>
      <w:pPr>
        <w:spacing w:after="0" w:line="27" w:lineRule="exact"/>
        <w:rPr>
          <w:sz w:val="20"/>
          <w:szCs w:val="20"/>
          <w:color w:val="auto"/>
        </w:rPr>
      </w:pPr>
    </w:p>
    <w:p>
      <w:pPr>
        <w:ind w:left="900" w:right="40" w:hanging="244"/>
        <w:spacing w:after="0" w:line="250"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commercial aerospace margins (8%) driven by the commercial aftermarket sales growth noted above, partially offset by lower commercial aerospace OEM margin contribution</w:t>
      </w:r>
    </w:p>
    <w:p>
      <w:pPr>
        <w:ind w:left="900" w:hanging="244"/>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year-over-year warranty expense (7%)</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spacing w:after="0"/>
        <w:tabs>
          <w:tab w:leader="none" w:pos="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higher military margin contribution (3%) driven by the sales growth noted above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ind w:left="660"/>
        <w:spacing w:after="0"/>
        <w:tabs>
          <w:tab w:leader="none" w:pos="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higher selling, general and administrative expenses (4%)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2019 Compared with Nine Months Ended September 30,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5"/>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2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580" w:type="dxa"/>
            <w:vAlign w:val="bottom"/>
          </w:tcPr>
          <w:p>
            <w:pPr>
              <w:spacing w:after="0"/>
              <w:rPr>
                <w:sz w:val="12"/>
                <w:szCs w:val="12"/>
                <w:color w:val="auto"/>
              </w:rPr>
            </w:pPr>
          </w:p>
        </w:tc>
        <w:tc>
          <w:tcPr>
            <w:tcW w:w="1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5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99"/>
              </w:rPr>
              <w:t>(1)%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9"/>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organic sales increase of 9% primarily reflects higher commercial aerospace aftermarket sales (6%), higher military sales (2%), and higher commercial OEM sales (1%).</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operational profit increase of 12% primarily reflects:</w:t>
      </w:r>
    </w:p>
    <w:p>
      <w:pPr>
        <w:spacing w:after="0" w:line="27" w:lineRule="exact"/>
        <w:rPr>
          <w:sz w:val="20"/>
          <w:szCs w:val="20"/>
          <w:color w:val="auto"/>
        </w:rPr>
      </w:pPr>
    </w:p>
    <w:p>
      <w:pPr>
        <w:ind w:left="900" w:right="440" w:hanging="244"/>
        <w:spacing w:after="0" w:line="250"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commercial aerospace margin contribution (16%) driven by the commercial aftermarket sales growth noted above, partially offset by lower commercial aerospace OEM margin contribution</w:t>
      </w:r>
    </w:p>
    <w:p>
      <w:pPr>
        <w:ind w:left="900" w:hanging="24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military margin contribution (1%) driven by the sales growth noted above</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increase was partially offset by:</w:t>
      </w:r>
    </w:p>
    <w:p>
      <w:pPr>
        <w:spacing w:after="0" w:line="117" w:lineRule="exact"/>
        <w:rPr>
          <w:sz w:val="20"/>
          <w:szCs w:val="20"/>
          <w:color w:val="auto"/>
        </w:rPr>
      </w:pPr>
    </w:p>
    <w:p>
      <w:pPr>
        <w:ind w:left="660"/>
        <w:spacing w:after="0"/>
        <w:tabs>
          <w:tab w:leader="none" w:pos="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higher selling, general and administrative expenses (3%)</w:t>
      </w:r>
    </w:p>
    <w:p>
      <w:pPr>
        <w:spacing w:after="0" w:line="27" w:lineRule="exact"/>
        <w:rPr>
          <w:sz w:val="20"/>
          <w:szCs w:val="20"/>
          <w:color w:val="auto"/>
        </w:rPr>
      </w:pPr>
    </w:p>
    <w:p>
      <w:pPr>
        <w:ind w:left="660"/>
        <w:spacing w:after="0"/>
        <w:tabs>
          <w:tab w:leader="none" w:pos="880" w:val="left"/>
        </w:tabs>
        <w:rPr>
          <w:sz w:val="20"/>
          <w:szCs w:val="20"/>
          <w:color w:val="auto"/>
        </w:rPr>
      </w:pPr>
      <w:r>
        <w:rPr>
          <w:rFonts w:ascii="Times New Roman" w:cs="Times New Roman" w:eastAsia="Times New Roman" w:hAnsi="Times New Roman"/>
          <w:sz w:val="18"/>
          <w:szCs w:val="18"/>
          <w:color w:val="auto"/>
        </w:rPr>
        <w:t>•</w:t>
        <w:tab/>
        <w:t>higher research and development costs (2%)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Eliminations and other –</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920" w:type="dxa"/>
            <w:vAlign w:val="bottom"/>
            <w:tcBorders>
              <w:bottom w:val="single" w:sz="8" w:color="auto"/>
            </w:tcBorders>
          </w:tcPr>
          <w:p>
            <w:pPr>
              <w:spacing w:after="0"/>
              <w:rPr>
                <w:sz w:val="16"/>
                <w:szCs w:val="16"/>
                <w:color w:val="auto"/>
              </w:rPr>
            </w:pPr>
          </w:p>
        </w:tc>
      </w:tr>
      <w:tr>
        <w:trPr>
          <w:trHeight w:val="249"/>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300" w:type="dxa"/>
            <w:vAlign w:val="bottom"/>
          </w:tcPr>
          <w:p>
            <w:pPr>
              <w:spacing w:after="0"/>
              <w:rPr>
                <w:sz w:val="21"/>
                <w:szCs w:val="21"/>
                <w:color w:val="auto"/>
              </w:rPr>
            </w:pPr>
          </w:p>
        </w:tc>
        <w:tc>
          <w:tcPr>
            <w:tcW w:w="276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r>
      <w:tr>
        <w:trPr>
          <w:trHeight w:val="265"/>
        </w:trPr>
        <w:tc>
          <w:tcPr>
            <w:tcW w:w="516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4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3"/>
                <w:szCs w:val="23"/>
                <w:color w:val="auto"/>
              </w:rPr>
            </w:pPr>
          </w:p>
        </w:tc>
        <w:tc>
          <w:tcPr>
            <w:tcW w:w="56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427"/>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920" w:type="dxa"/>
            <w:vAlign w:val="bottom"/>
            <w:tcBorders>
              <w:bottom w:val="single" w:sz="8" w:color="auto"/>
            </w:tcBorders>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21"/>
                <w:szCs w:val="21"/>
                <w:color w:val="auto"/>
              </w:rPr>
            </w:pPr>
          </w:p>
        </w:tc>
        <w:tc>
          <w:tcPr>
            <w:tcW w:w="276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bl>
    <w:p>
      <w:pPr>
        <w:spacing w:after="0" w:line="117"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Eliminations and other reflects the elimination of sales, other income and operating profit transacted between segments, as well as the operating results of certain smaller businesses. The year-over-year increase in sales eliminations for the quarter and nine months ended September 30, 2019, as compared to the same periods of 2018, reflects an increase in the amount of inter-segment eliminations, principally between our aerospace businesses. The decrease in operating profits related to Eliminations and other for the quarter ended September 30, 2019 is primarily driven by costs associated with the Company's intention to separate its commercial businesses as well as costs associated with the Raytheon merger. The decrease in operating profits related to Eliminations and other for the nine months ended September 30, 2019 is primarily driven by costs associated with the Company's intention to separate its commercial businesses, costs associated with the Raytheon merger, and the absence of the favorable impact of prior year insurance settlements.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Pr>
          <w:p>
            <w:pPr>
              <w:spacing w:after="0"/>
              <w:rPr>
                <w:sz w:val="17"/>
                <w:szCs w:val="17"/>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Pr>
          <w:p>
            <w:pPr>
              <w:spacing w:after="0"/>
              <w:rPr>
                <w:sz w:val="17"/>
                <w:szCs w:val="17"/>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13,799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39,943</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debt (total debt less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26,144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40,610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34,250</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capitalization (total debt plus total equity)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74,193</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capitalization (total debt plus total equity less cash and cash equivalents)</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79,995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60,394</w:t>
            </w:r>
          </w:p>
        </w:tc>
      </w:tr>
      <w:tr>
        <w:trPr>
          <w:trHeight w:val="162"/>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 to total capitalization</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debt to net capitalization</w:t>
            </w:r>
          </w:p>
        </w:tc>
        <w:tc>
          <w:tcPr>
            <w:tcW w:w="1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117" w:lineRule="exact"/>
        <w:rPr>
          <w:sz w:val="20"/>
          <w:szCs w:val="20"/>
          <w:color w:val="auto"/>
        </w:rPr>
      </w:pPr>
    </w:p>
    <w:p>
      <w:pPr>
        <w:ind w:right="280" w:firstLine="567"/>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principal source of liquidity is operating cash flows. For 2019, we expect cash flows from operations, net of capital expenditures, to approximate $5.3 billion to $5.7 billion, including $1.0 billion of one-time cash payments related to the portfolio separation.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88" w:lineRule="exact"/>
        <w:rPr>
          <w:sz w:val="20"/>
          <w:szCs w:val="20"/>
          <w:color w:val="auto"/>
        </w:rPr>
      </w:pPr>
    </w:p>
    <w:p>
      <w:pPr>
        <w:ind w:right="220" w:firstLine="567"/>
        <w:spacing w:after="0" w:line="256" w:lineRule="auto"/>
        <w:rPr>
          <w:sz w:val="20"/>
          <w:szCs w:val="20"/>
          <w:color w:val="auto"/>
        </w:rPr>
      </w:pPr>
      <w:r>
        <w:rPr>
          <w:rFonts w:ascii="Times New Roman" w:cs="Times New Roman" w:eastAsia="Times New Roman" w:hAnsi="Times New Roman"/>
          <w:sz w:val="18"/>
          <w:szCs w:val="18"/>
          <w:color w:val="auto"/>
        </w:rPr>
        <w:t>At September 30, 2019, we had cash and cash equivalents of $7.3 billion, of which approximately 80% was held by UTC's foreign subsidiaries. We manage our worldwide cash requirements by reviewing available funds among the many subsidiaries through which we conduct our business and the cost effectiveness with which those funds can be accessed. The Company no longer intends to reinvest certain undistributed earnings of its international subsidiaries that have been previously taxed in the U.S. As such, in the fourth quarter of 2018, it has recorded the taxes therewith. For the remainder of the Company’s undistributed international earnings, unless tax effective to repatriate, UTC will continue to permanently reinvest these earnings. We have repatriated approximately $1.2 billion of cash for the nine months ended September 30, 2019.</w:t>
      </w:r>
    </w:p>
    <w:p>
      <w:pPr>
        <w:spacing w:after="0" w:line="188" w:lineRule="exact"/>
        <w:rPr>
          <w:sz w:val="20"/>
          <w:szCs w:val="20"/>
          <w:color w:val="auto"/>
        </w:rPr>
      </w:pPr>
    </w:p>
    <w:p>
      <w:pPr>
        <w:ind w:right="180" w:firstLine="567"/>
        <w:spacing w:after="0" w:line="266" w:lineRule="auto"/>
        <w:rPr>
          <w:sz w:val="20"/>
          <w:szCs w:val="20"/>
          <w:color w:val="auto"/>
        </w:rPr>
      </w:pPr>
      <w:r>
        <w:rPr>
          <w:rFonts w:ascii="Times New Roman" w:cs="Times New Roman" w:eastAsia="Times New Roman" w:hAnsi="Times New Roman"/>
          <w:sz w:val="18"/>
          <w:szCs w:val="18"/>
          <w:color w:val="auto"/>
        </w:rPr>
        <w:t>On occasion, we are required to maintain cash deposits with certain banks with respect to contractual obligations related to acquisitions, divestitures or other legal obligations. As of September 30, 2019 and December 31, 2018, the amount of such restricted cash was approximately $40 million and $60 million, respectively.</w:t>
      </w:r>
    </w:p>
    <w:p>
      <w:pPr>
        <w:spacing w:after="0" w:line="176"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Historically, our strong debt ratings and financial position have enabled us to issue long-term debt at favorable market rates. Our ability to obtain debt financing at comparable risk-based interest rates is partly a function of our existing debt-to-total-capitalization level as well as our credit standing. Our debt-to-total capitalization increased in 2018 which reflected additional borrowings used to finance the acquisition of Rockwell Collins as well as the acquisition of Rockwell Collins' outstanding debt. Our debt-to-total-capitalization of 51% at September 30, 2019 is down 200 basis points from December 31, 2018 and down 300 basis points from September 30, 2018.</w:t>
      </w:r>
    </w:p>
    <w:p>
      <w:pPr>
        <w:spacing w:after="0" w:line="18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At September 30, 2019, we had credit agreements with various banks permitting aggregate borrowings of up to $10.35 billion, including: a $2.20 billion revolving credit agreement and a $2.15 billion multicurrency revolving credit agreement, both of which expire in August 2021; and a $2.0 billion revolving credit agreement and a $4.0 billion term credit agreement, both of which we entered into on March 15, 2019 and which will expire on March 15, 2021 or, if earlier, the date that is 180 days after the date on which each of the separations of Otis and Carrier have been consummated. As of September 30, 2019, there were no borrowings under any of these agreements. The undrawn portions of these revolving credit agreements are also available to serve as backup facilities for the issuance of commercial paper.</w:t>
      </w:r>
    </w:p>
    <w:p>
      <w:pPr>
        <w:spacing w:after="0" w:line="188" w:lineRule="exact"/>
        <w:rPr>
          <w:sz w:val="20"/>
          <w:szCs w:val="20"/>
          <w:color w:val="auto"/>
        </w:rPr>
      </w:pPr>
    </w:p>
    <w:p>
      <w:pPr>
        <w:jc w:val="both"/>
        <w:ind w:right="160" w:firstLine="432"/>
        <w:spacing w:after="0" w:line="257" w:lineRule="auto"/>
        <w:rPr>
          <w:sz w:val="20"/>
          <w:szCs w:val="20"/>
          <w:color w:val="auto"/>
        </w:rPr>
      </w:pPr>
      <w:r>
        <w:rPr>
          <w:rFonts w:ascii="Times New Roman" w:cs="Times New Roman" w:eastAsia="Times New Roman" w:hAnsi="Times New Roman"/>
          <w:sz w:val="18"/>
          <w:szCs w:val="18"/>
          <w:color w:val="auto"/>
        </w:rPr>
        <w:t>As of September 30, 2019, our maximum commercial paper borrowing limit was $6.35 billion. Commercial paper borrowings at September 30, 2019 include approximately €750 million ($824 million) of euro-denominated commercial paper. We use our commercial paper borrowings for general corporate purposes, including the funding of potential acquisitions, pension contributions, debt refinancing, dividend payments and repurchases of our common stock.</w:t>
      </w:r>
    </w:p>
    <w:p>
      <w:pPr>
        <w:spacing w:after="0" w:line="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need for commercial paper borrowings arises when the use of domestic cash for general corporate purposes exceeds the sum of domestic cash generation and foreign cash repatriated to the U.S.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had no debt issuances during the nine months ended September 30, 2019 and had the following issuances of debt in 2018: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and Euro in millions)</w:t>
            </w:r>
          </w:p>
        </w:tc>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18"/>
        </w:trPr>
        <w:tc>
          <w:tcPr>
            <w:tcW w:w="40" w:type="dxa"/>
            <w:vAlign w:val="bottom"/>
            <w:tcBorders>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360" w:type="dxa"/>
            <w:vAlign w:val="bottom"/>
            <w:tcBorders>
              <w:bottom w:val="single" w:sz="8" w:color="auto"/>
            </w:tcBorders>
          </w:tcPr>
          <w:p>
            <w:pPr>
              <w:spacing w:after="0"/>
              <w:rPr>
                <w:sz w:val="18"/>
                <w:szCs w:val="18"/>
                <w:color w:val="auto"/>
              </w:rPr>
            </w:pPr>
          </w:p>
        </w:tc>
        <w:tc>
          <w:tcPr>
            <w:tcW w:w="546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5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Aggregate Principal Balance</w:t>
            </w:r>
          </w:p>
        </w:tc>
      </w:tr>
      <w:tr>
        <w:trPr>
          <w:trHeight w:val="269"/>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16, 2018:</w:t>
            </w:r>
          </w:p>
        </w:tc>
        <w:tc>
          <w:tcPr>
            <w:tcW w:w="5460" w:type="dxa"/>
            <w:vAlign w:val="bottom"/>
            <w:shd w:val="clear" w:color="auto" w:fill="CCEEFF"/>
          </w:tcPr>
          <w:p>
            <w:pPr>
              <w:ind w:left="360"/>
              <w:spacing w:after="0" w:line="269" w:lineRule="exact"/>
              <w:rPr>
                <w:sz w:val="20"/>
                <w:szCs w:val="20"/>
                <w:color w:val="auto"/>
              </w:rPr>
            </w:pPr>
            <w:r>
              <w:rPr>
                <w:rFonts w:ascii="Times New Roman" w:cs="Times New Roman" w:eastAsia="Times New Roman" w:hAnsi="Times New Roman"/>
                <w:sz w:val="18"/>
                <w:szCs w:val="18"/>
                <w:color w:val="auto"/>
              </w:rPr>
              <w:t>3.350% notes due 2021</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3.650% notes due 2023</w:t>
            </w:r>
            <w:r>
              <w:rPr>
                <w:rFonts w:ascii="Times New Roman" w:cs="Times New Roman" w:eastAsia="Times New Roman" w:hAnsi="Times New Roman"/>
                <w:sz w:val="25"/>
                <w:szCs w:val="25"/>
                <w:color w:val="auto"/>
                <w:vertAlign w:val="superscript"/>
              </w:rPr>
              <w:t>1</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3.950% notes due 2025</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4.125% notes due 2028</w:t>
            </w:r>
            <w:r>
              <w:rPr>
                <w:rFonts w:ascii="Times New Roman" w:cs="Times New Roman" w:eastAsia="Times New Roman" w:hAnsi="Times New Roman"/>
                <w:sz w:val="25"/>
                <w:szCs w:val="25"/>
                <w:color w:val="auto"/>
                <w:vertAlign w:val="superscript"/>
              </w:rPr>
              <w:t>1</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4.450% notes due 2038</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4.625% notes due 2048</w:t>
            </w:r>
            <w:r>
              <w:rPr>
                <w:rFonts w:ascii="Times New Roman" w:cs="Times New Roman" w:eastAsia="Times New Roman" w:hAnsi="Times New Roman"/>
                <w:sz w:val="25"/>
                <w:szCs w:val="25"/>
                <w:color w:val="auto"/>
                <w:vertAlign w:val="superscript"/>
              </w:rPr>
              <w:t>2</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LIBOR plus 0.65% floating rate notes due 2021</w:t>
            </w:r>
            <w:r>
              <w:rPr>
                <w:rFonts w:ascii="Times New Roman" w:cs="Times New Roman" w:eastAsia="Times New Roman" w:hAnsi="Times New Roman"/>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r>
        <w:trPr>
          <w:trHeight w:val="162"/>
        </w:trPr>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18, 2018:</w:t>
            </w: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1.150% notes due 2024</w:t>
            </w:r>
            <w:r>
              <w:rPr>
                <w:rFonts w:ascii="Times New Roman" w:cs="Times New Roman" w:eastAsia="Times New Roman" w:hAnsi="Times New Roman"/>
                <w:sz w:val="25"/>
                <w:szCs w:val="25"/>
                <w:color w:val="auto"/>
                <w:vertAlign w:val="superscript"/>
              </w:rPr>
              <w:t>3</w:t>
            </w:r>
          </w:p>
        </w:tc>
        <w:tc>
          <w:tcPr>
            <w:tcW w:w="1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2.150% notes due 2030</w:t>
            </w:r>
            <w:r>
              <w:rPr>
                <w:rFonts w:ascii="Times New Roman" w:cs="Times New Roman" w:eastAsia="Times New Roman" w:hAnsi="Times New Roman"/>
                <w:sz w:val="25"/>
                <w:szCs w:val="25"/>
                <w:color w:val="auto"/>
                <w:vertAlign w:val="superscript"/>
              </w:rPr>
              <w:t>3</w:t>
            </w:r>
          </w:p>
        </w:tc>
        <w:tc>
          <w:tcPr>
            <w:tcW w:w="1520" w:type="dxa"/>
            <w:vAlign w:val="bottom"/>
          </w:tcPr>
          <w:p>
            <w:pPr>
              <w:spacing w:after="0"/>
              <w:rPr>
                <w:sz w:val="23"/>
                <w:szCs w:val="23"/>
                <w:color w:val="auto"/>
              </w:rPr>
            </w:pPr>
          </w:p>
        </w:tc>
        <w:tc>
          <w:tcPr>
            <w:tcW w:w="2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4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EURIBOR plus 0.20% floating rate notes due 2020</w:t>
            </w:r>
            <w:r>
              <w:rPr>
                <w:rFonts w:ascii="Times New Roman" w:cs="Times New Roman" w:eastAsia="Times New Roman" w:hAnsi="Times New Roman"/>
                <w:sz w:val="25"/>
                <w:szCs w:val="25"/>
                <w:color w:val="auto"/>
                <w:vertAlign w:val="superscript"/>
              </w:rPr>
              <w:t>3</w:t>
            </w:r>
          </w:p>
        </w:tc>
        <w:tc>
          <w:tcPr>
            <w:tcW w:w="15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r>
    </w:tbl>
    <w:p>
      <w:pPr>
        <w:spacing w:after="0" w:line="139" w:lineRule="exact"/>
        <w:rPr>
          <w:sz w:val="20"/>
          <w:szCs w:val="20"/>
          <w:color w:val="auto"/>
        </w:rPr>
      </w:pPr>
    </w:p>
    <w:p>
      <w:pPr>
        <w:ind w:left="340" w:right="400" w:hanging="332"/>
        <w:spacing w:after="0" w:line="282" w:lineRule="auto"/>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received from these debt issuances were used to partially finance the cash consideration portion of the purchase price for Rockwell Collins and fees, expenses and other amounts related to the acquisition of Rockwell Collins.</w:t>
      </w:r>
    </w:p>
    <w:p>
      <w:pPr>
        <w:spacing w:after="0" w:line="54"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from these debt issuances were used to fund the repayment of commercial paper and for other general corporate purposes.</w:t>
      </w:r>
    </w:p>
    <w:p>
      <w:pPr>
        <w:spacing w:after="0" w:line="10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The net proceeds received from these debt issuances were used for general corporate purposes.</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had the following repayments of debt during the nine months ended September 30, 2019 and the year-ended December, 31, 2018:</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and Euro in millions)</w:t>
            </w:r>
          </w:p>
        </w:tc>
        <w:tc>
          <w:tcPr>
            <w:tcW w:w="5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7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360" w:type="dxa"/>
            <w:vAlign w:val="bottom"/>
          </w:tcPr>
          <w:p>
            <w:pPr>
              <w:spacing w:after="0"/>
              <w:rPr>
                <w:sz w:val="18"/>
                <w:szCs w:val="18"/>
                <w:color w:val="auto"/>
              </w:rPr>
            </w:pPr>
          </w:p>
        </w:tc>
        <w:tc>
          <w:tcPr>
            <w:tcW w:w="5880" w:type="dxa"/>
            <w:vAlign w:val="bottom"/>
          </w:tcPr>
          <w:p>
            <w:pPr>
              <w:ind w:left="29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100" w:type="dxa"/>
            <w:vAlign w:val="bottom"/>
          </w:tcPr>
          <w:p>
            <w:pPr>
              <w:spacing w:after="0"/>
              <w:rPr>
                <w:sz w:val="18"/>
                <w:szCs w:val="18"/>
                <w:color w:val="auto"/>
              </w:rPr>
            </w:pPr>
          </w:p>
        </w:tc>
        <w:tc>
          <w:tcPr>
            <w:tcW w:w="22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Aggregate Principal Balance</w:t>
            </w:r>
          </w:p>
        </w:tc>
        <w:tc>
          <w:tcPr>
            <w:tcW w:w="0" w:type="dxa"/>
            <w:vAlign w:val="bottom"/>
          </w:tcPr>
          <w:p>
            <w:pPr>
              <w:spacing w:after="0"/>
              <w:rPr>
                <w:sz w:val="1"/>
                <w:szCs w:val="1"/>
                <w:color w:val="auto"/>
              </w:rPr>
            </w:pPr>
          </w:p>
        </w:tc>
      </w:tr>
      <w:tr>
        <w:trPr>
          <w:trHeight w:val="346"/>
        </w:trPr>
        <w:tc>
          <w:tcPr>
            <w:tcW w:w="218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15, 2019</w:t>
            </w:r>
          </w:p>
        </w:tc>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1.950% notes</w:t>
            </w:r>
            <w:r>
              <w:rPr>
                <w:rFonts w:ascii="Times New Roman" w:cs="Times New Roman" w:eastAsia="Times New Roman" w:hAnsi="Times New Roman"/>
                <w:sz w:val="25"/>
                <w:szCs w:val="25"/>
                <w:color w:val="auto"/>
                <w:vertAlign w:val="superscript"/>
              </w:rPr>
              <w:t>1</w:t>
            </w:r>
          </w:p>
        </w:tc>
        <w:tc>
          <w:tcPr>
            <w:tcW w:w="11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180" w:type="dxa"/>
            <w:vAlign w:val="bottom"/>
            <w:gridSpan w:val="3"/>
            <w:vMerge w:val="continue"/>
            <w:shd w:val="clear" w:color="auto" w:fill="CCEEFF"/>
          </w:tcPr>
          <w:p>
            <w:pPr>
              <w:spacing w:after="0"/>
              <w:rPr>
                <w:sz w:val="6"/>
                <w:szCs w:val="6"/>
                <w:color w:val="auto"/>
              </w:rPr>
            </w:pPr>
          </w:p>
        </w:tc>
        <w:tc>
          <w:tcPr>
            <w:tcW w:w="5880" w:type="dxa"/>
            <w:vAlign w:val="bottom"/>
            <w:shd w:val="clear" w:color="auto" w:fill="CCEEFF"/>
          </w:tcPr>
          <w:p>
            <w:pPr>
              <w:spacing w:after="0"/>
              <w:rPr>
                <w:sz w:val="6"/>
                <w:szCs w:val="6"/>
                <w:color w:val="auto"/>
              </w:rPr>
            </w:pPr>
          </w:p>
        </w:tc>
        <w:tc>
          <w:tcPr>
            <w:tcW w:w="11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vMerge w:val="continue"/>
            <w:shd w:val="clear" w:color="auto" w:fill="CCEEFF"/>
          </w:tcPr>
          <w:p>
            <w:pPr>
              <w:spacing w:after="0"/>
              <w:rPr>
                <w:sz w:val="17"/>
                <w:szCs w:val="17"/>
                <w:color w:val="auto"/>
              </w:rPr>
            </w:pPr>
          </w:p>
        </w:tc>
        <w:tc>
          <w:tcPr>
            <w:tcW w:w="22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July 15, 2019</w:t>
            </w:r>
          </w:p>
        </w:tc>
        <w:tc>
          <w:tcPr>
            <w:tcW w:w="588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5.250% notes</w:t>
            </w:r>
            <w:r>
              <w:rPr>
                <w:rFonts w:ascii="Times New Roman" w:cs="Times New Roman" w:eastAsia="Times New Roman" w:hAnsi="Times New Roman"/>
                <w:sz w:val="25"/>
                <w:szCs w:val="25"/>
                <w:color w:val="auto"/>
                <w:vertAlign w:val="superscript"/>
              </w:rPr>
              <w:t>1</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0"/>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14, 2018</w:t>
            </w:r>
          </w:p>
        </w:tc>
        <w:tc>
          <w:tcPr>
            <w:tcW w:w="588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Variable-rate term loan due 2020 (1 month LIBOR plus 1.25%)</w:t>
            </w:r>
            <w:r>
              <w:rPr>
                <w:rFonts w:ascii="Times New Roman" w:cs="Times New Roman" w:eastAsia="Times New Roman" w:hAnsi="Times New Roman"/>
                <w:sz w:val="25"/>
                <w:szCs w:val="25"/>
                <w:color w:val="auto"/>
                <w:vertAlign w:val="superscript"/>
              </w:rPr>
              <w:t>1</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May 4, 2018</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1.778% junior subordinated notes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22, 2018</w:t>
            </w:r>
          </w:p>
        </w:tc>
        <w:tc>
          <w:tcPr>
            <w:tcW w:w="5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EURIBOR plus 0.80% floating rate notes</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February 1, 2018</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6.80% notes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notes and term loan were acquired in connection with the Rockwell Collins acquisition and have been subsequently repaid.</w:t>
      </w:r>
    </w:p>
    <w:p>
      <w:pPr>
        <w:spacing w:after="0" w:line="168" w:lineRule="exact"/>
        <w:rPr>
          <w:sz w:val="20"/>
          <w:szCs w:val="20"/>
          <w:color w:val="auto"/>
        </w:rPr>
      </w:pPr>
    </w:p>
    <w:p>
      <w:pPr>
        <w:jc w:val="both"/>
        <w:ind w:right="420" w:firstLine="567"/>
        <w:spacing w:after="0" w:line="266" w:lineRule="auto"/>
        <w:rPr>
          <w:sz w:val="20"/>
          <w:szCs w:val="20"/>
          <w:color w:val="auto"/>
        </w:rPr>
      </w:pPr>
      <w:r>
        <w:rPr>
          <w:rFonts w:ascii="Times New Roman" w:cs="Times New Roman" w:eastAsia="Times New Roman" w:hAnsi="Times New Roman"/>
          <w:sz w:val="18"/>
          <w:szCs w:val="18"/>
          <w:color w:val="auto"/>
        </w:rPr>
        <w:t>We believe our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Operating Activities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8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2"/>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4,317</w:t>
            </w: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567"/>
        <w:spacing w:after="0" w:line="256" w:lineRule="auto"/>
        <w:rPr>
          <w:sz w:val="20"/>
          <w:szCs w:val="20"/>
          <w:color w:val="auto"/>
        </w:rPr>
      </w:pPr>
      <w:r>
        <w:rPr>
          <w:rFonts w:ascii="Times New Roman" w:cs="Times New Roman" w:eastAsia="Times New Roman" w:hAnsi="Times New Roman"/>
          <w:sz w:val="18"/>
          <w:szCs w:val="18"/>
          <w:color w:val="auto"/>
        </w:rPr>
        <w:t>Cash generated from operating activities in the nine months ended September 30, 2019 was $1,784 million higher than the same period in 2018. Net income from operations, when adjusted for the non-operating gain on the sale of Taylor Company in the prior year ($799 million) and the current year non-cash tax charges associated with the Company’s portfolio separation transactions ($618 million), drove an increase of $1.4 billion. Cash outflows from working capital improved $72 million in the nine months ended September 30, 2019 over the prior period. Reduced factoring activity resulted in a decrease of approximately $1.2 billion in cash flows from operating activities during the nine months ended September 30, 2019, as compared to the prior year. This decline in factoring activity was primarily driven by Pratt &amp; Whitney partially offset by increased factoring a</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 Collins Aerospace Systems. Factoring activity does not reflect the factoring of certain receivables performed at customer request for which we are compensated by the customer for the extended collection cycle.</w:t>
      </w:r>
    </w:p>
    <w:p>
      <w:pPr>
        <w:spacing w:after="0" w:line="162"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In the nine months ended September 30, 2019, cash outflows from working capital were $571 million. Inventory increased $1.5 billion to support higher sales volume at Collins Aerospace Systems, the Geared Turbo Fan at Pratt &amp; Whitney, and build in HVAC at Carrier. Contract assets, current increased $499 million due to work performed in excess of billings at Pratt &amp; Whitney and Collins Aerospace. Other current assets increased $111 million due to increases in prepaid expenses at Pratt &amp; Whitney. These outflows were partially offset by increases in Accounts payable and accrued liabilities of $1.1 billion, Contract liabilities, current of $394 million and decreases in Accounts receivable of $59 million. Accounts payable increased at Pratt &amp; Whitney and Collins Aerospace Systems primarily as a result of inventory build. The increase in Accrued liabilities was driven by an increase in accrued interest on debt and various accruals at Collins Aerospace Systems and Pratt &amp; Whitney. The increase in Contract liabilities, current was driven by timing of billings at Otis and higher advanced billings at Collins Aerospace Systems.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nine months ended September 30, 2018, cash outflows from working capital were $643 million, excluding the adoption impact of the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Standard. Accounts receivable increased $2.4 billion due to an increase in sales volume. Contract assets, current increased $892 million due to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excess of billings primarily at Pratt &amp; Whitney driven by military engines, at Otis due to progress on major projects, and at Carrier. Inventory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 million primarily driven by an increase in production work in process for the Geared Turbo Fan at Pratt &amp; Whitney, seasonal build in the Residential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HVAC businesses at Carrier, and increases at Collins Aerospace Systems. These increases were partially offset by decreases in Other assets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$262 million primarily driven by a reduction in prepaid taxes, increases in Accounts payable and accrued liabilities of approximately $3.0 billion, driven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inventory purchasing activity and customer advances at Pratt &amp; Whitney, higher direct material purchases at Collins Aerospace Systems, and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accrued interest, as well as an increase in Contract liabilities, current of $313 million driven by progress payments on major contracts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advanced billings at Otis.</w:t>
      </w:r>
    </w:p>
    <w:p>
      <w:pPr>
        <w:spacing w:after="0" w:line="9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nine months ended September 30, 2019 and 2018 were approximately $89 million and $72 million, respectively. Although our domestic pension plans are approximately 97% funded on a projected benefit obligation basis as of September 30, 2019, and we are not required to make additional contributions through the end of 2024, we may elect to make discretionary contributions in 2019. We expect to make total contributions of approximately $125 million to our global defined benefit pension plans in 2019, including $25 million to our domestic pension plans. Contributions to our global defined benefit pension plans in 2019 are expected to meet or exceed the current funding requirements.</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Investing Activities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8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2"/>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20" w:firstLine="567"/>
        <w:spacing w:after="0" w:line="258" w:lineRule="auto"/>
        <w:rPr>
          <w:sz w:val="20"/>
          <w:szCs w:val="20"/>
          <w:color w:val="auto"/>
        </w:rPr>
      </w:pPr>
      <w:r>
        <w:rPr>
          <w:rFonts w:ascii="Times New Roman" w:cs="Times New Roman" w:eastAsia="Times New Roman" w:hAnsi="Times New Roman"/>
          <w:sz w:val="18"/>
          <w:szCs w:val="18"/>
          <w:color w:val="auto"/>
        </w:rPr>
        <w:t>Cash flows used in investing activities for the nine months ended September 30, 2019 and 2018 primarily reflect capital expenditures, cash investments in customer financing assets, investments/dispositions of businesses, payments related to our collaboration intangible assets and contractual rights to provide product on new aircraft platforms, and settlements of derivative contracts. The $954 million increase in cash flows used in investing activities in the nine months ended September 30, 2019 compared to September 30, 2018 primarily relates to the absence of $1 billion in proceeds from the sale of Taylor Company in June 2018 by Carrier.</w:t>
      </w:r>
    </w:p>
    <w:p>
      <w:pPr>
        <w:spacing w:after="0" w:line="184" w:lineRule="exact"/>
        <w:rPr>
          <w:sz w:val="20"/>
          <w:szCs w:val="20"/>
          <w:color w:val="auto"/>
        </w:rPr>
      </w:pPr>
    </w:p>
    <w:p>
      <w:pPr>
        <w:ind w:right="560" w:firstLine="567"/>
        <w:spacing w:after="0" w:line="282" w:lineRule="auto"/>
        <w:rPr>
          <w:sz w:val="20"/>
          <w:szCs w:val="20"/>
          <w:color w:val="auto"/>
        </w:rPr>
      </w:pPr>
      <w:r>
        <w:rPr>
          <w:rFonts w:ascii="Times New Roman" w:cs="Times New Roman" w:eastAsia="Times New Roman" w:hAnsi="Times New Roman"/>
          <w:sz w:val="18"/>
          <w:szCs w:val="18"/>
          <w:color w:val="auto"/>
        </w:rPr>
        <w:t>Capital expenditures for the nine months ended September 30, 2019 of $1,359 million primarily relate to several projects at Collins Aerospace Systems and investments in production and aftermarket capacity at Pratt &amp; Whitney.</w:t>
      </w:r>
    </w:p>
    <w:p>
      <w:pPr>
        <w:spacing w:after="0" w:line="162" w:lineRule="exact"/>
        <w:rPr>
          <w:sz w:val="20"/>
          <w:szCs w:val="20"/>
          <w:color w:val="auto"/>
        </w:rPr>
      </w:pPr>
    </w:p>
    <w:p>
      <w:pPr>
        <w:ind w:right="200" w:firstLine="567"/>
        <w:spacing w:after="0" w:line="266" w:lineRule="auto"/>
        <w:rPr>
          <w:sz w:val="20"/>
          <w:szCs w:val="20"/>
          <w:color w:val="auto"/>
        </w:rPr>
      </w:pPr>
      <w:r>
        <w:rPr>
          <w:rFonts w:ascii="Times New Roman" w:cs="Times New Roman" w:eastAsia="Times New Roman" w:hAnsi="Times New Roman"/>
          <w:sz w:val="18"/>
          <w:szCs w:val="18"/>
          <w:color w:val="auto"/>
        </w:rPr>
        <w:t>Cash investments in businesses in the nine months ended September 30, 2019 of $39 million consisted of small acquisitions at Otis. Dispositions of businesses in the nine months ended September 30, 2019 of $134 million primarily consisted of the businesses held for sale associated with the Rockwell Acquisition.</w:t>
      </w:r>
    </w:p>
    <w:p>
      <w:pPr>
        <w:spacing w:after="0" w:line="176" w:lineRule="exact"/>
        <w:rPr>
          <w:sz w:val="20"/>
          <w:szCs w:val="20"/>
          <w:color w:val="auto"/>
        </w:rPr>
      </w:pPr>
    </w:p>
    <w:p>
      <w:pPr>
        <w:ind w:right="320" w:firstLine="567"/>
        <w:spacing w:after="0" w:line="281" w:lineRule="auto"/>
        <w:rPr>
          <w:sz w:val="20"/>
          <w:szCs w:val="20"/>
          <w:color w:val="auto"/>
        </w:rPr>
      </w:pPr>
      <w:r>
        <w:rPr>
          <w:rFonts w:ascii="Times New Roman" w:cs="Times New Roman" w:eastAsia="Times New Roman" w:hAnsi="Times New Roman"/>
          <w:sz w:val="17"/>
          <w:szCs w:val="17"/>
          <w:color w:val="auto"/>
        </w:rPr>
        <w:t>Customer financing activities in the nine months ended September 30, 2019 were a net use of cash of $444 million, primarily driven by additional Geared Turbofan engines to support customer fleets. We may also arrange for third parties to assume a portion of our commitments. We had commercial aerospace financing and other contractual commitments of approximately $15.7 billion at September 30, 2019 related to commercial aircraft and certain contractual rights to provide product on new aircraft platforms, of which up to $0.2 billion may be required to be disbursed during the remainder of 2019.</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118" w:right="25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commercial aerospace financing and other contractual commitments of approximately $15.5 billion at December 31, 2018.</w:t>
      </w:r>
    </w:p>
    <w:p>
      <w:pPr>
        <w:spacing w:after="0" w:line="225" w:lineRule="exact"/>
        <w:rPr>
          <w:sz w:val="20"/>
          <w:szCs w:val="20"/>
          <w:color w:val="auto"/>
        </w:rPr>
      </w:pPr>
    </w:p>
    <w:p>
      <w:pPr>
        <w:ind w:right="360" w:firstLine="567"/>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our collaboration intangible assets increased by approximately $259 million, which primarily relates to payments made under our 2012 agreement to acquire Rolls-Royce's collaboration interest in IAE.</w:t>
      </w:r>
    </w:p>
    <w:p>
      <w:pPr>
        <w:spacing w:after="0" w:line="162"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18"/>
          <w:szCs w:val="18"/>
          <w:color w:val="auto"/>
        </w:rPr>
        <w:t>As discussed in Note 9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The settlement of these derivative instruments resulted in a net cash inflow of approximately $158 million during the nine months ended September 30, 2019 compared to a net cash inflow of $71 million during the nine months ended September 30, 2018.</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Financing Activities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5"/>
        </w:trPr>
        <w:tc>
          <w:tcPr>
            <w:tcW w:w="8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2"/>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(used in) provided by financing activities</w:t>
            </w: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10,839</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567"/>
        <w:spacing w:after="0" w:line="258" w:lineRule="auto"/>
        <w:rPr>
          <w:sz w:val="20"/>
          <w:szCs w:val="20"/>
          <w:color w:val="auto"/>
        </w:rPr>
      </w:pPr>
      <w:r>
        <w:rPr>
          <w:rFonts w:ascii="Times New Roman" w:cs="Times New Roman" w:eastAsia="Times New Roman" w:hAnsi="Times New Roman"/>
          <w:sz w:val="18"/>
          <w:szCs w:val="18"/>
          <w:color w:val="auto"/>
        </w:rPr>
        <w:t>Our financing activities primarily include the issuance and repayment of short-term and long-term debt, payment of dividends and stock repurchases. Financing activities was a cash outflow of $2.9 billion in the nine months ended September 30, 2019 compared to a cash inflow of $10.8 billion in the nine months ended September 30, 2018. This change is driven by the absence of $13.4 billion of long-term debt issuances in the prior year which was primarily utilized to fund the Rockwell Acquisition, a decrease in short-term borrowings of $1.3 billion, and an increase in dividends paid on common stock of $0.2 billion, partially offset by a reduction in long-term debt repayments of $1.4 billion.</w:t>
      </w:r>
    </w:p>
    <w:p>
      <w:pPr>
        <w:spacing w:after="0" w:line="184" w:lineRule="exact"/>
        <w:rPr>
          <w:sz w:val="20"/>
          <w:szCs w:val="20"/>
          <w:color w:val="auto"/>
        </w:rPr>
      </w:pPr>
    </w:p>
    <w:p>
      <w:pPr>
        <w:ind w:right="60" w:firstLine="567"/>
        <w:spacing w:after="0" w:line="266" w:lineRule="auto"/>
        <w:rPr>
          <w:sz w:val="20"/>
          <w:szCs w:val="20"/>
          <w:color w:val="auto"/>
        </w:rPr>
      </w:pPr>
      <w:r>
        <w:rPr>
          <w:rFonts w:ascii="Times New Roman" w:cs="Times New Roman" w:eastAsia="Times New Roman" w:hAnsi="Times New Roman"/>
          <w:sz w:val="18"/>
          <w:szCs w:val="18"/>
          <w:color w:val="auto"/>
        </w:rPr>
        <w:t>Commercial paper borrowings and revolving credit facilities provide short-term liquidity to supplement operating cash flows and are used for general corporate purposes, including the funding of potential acquisitions and repurchases of our stock. We had approximately $984 million of outstanding commercial paper at September 30, 2019.</w:t>
      </w:r>
    </w:p>
    <w:p>
      <w:pPr>
        <w:spacing w:after="0" w:line="176" w:lineRule="exact"/>
        <w:rPr>
          <w:sz w:val="20"/>
          <w:szCs w:val="20"/>
          <w:color w:val="auto"/>
        </w:rPr>
      </w:pPr>
    </w:p>
    <w:p>
      <w:pPr>
        <w:ind w:right="20" w:firstLine="567"/>
        <w:spacing w:after="0" w:line="255" w:lineRule="auto"/>
        <w:rPr>
          <w:sz w:val="20"/>
          <w:szCs w:val="20"/>
          <w:color w:val="auto"/>
        </w:rPr>
      </w:pPr>
      <w:r>
        <w:rPr>
          <w:rFonts w:ascii="Times New Roman" w:cs="Times New Roman" w:eastAsia="Times New Roman" w:hAnsi="Times New Roman"/>
          <w:sz w:val="18"/>
          <w:szCs w:val="18"/>
          <w:color w:val="auto"/>
        </w:rPr>
        <w:t>At September 30, 2019, management had remaining authority to repurchase approximately $1.9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 including restrictions arising from the pending merger transaction with Raytheon. We made cash payments of approximately $111 million to repurchase approximately 857 thousand shares of our common stock during the nine months ended September 30, 2019.</w:t>
      </w:r>
    </w:p>
    <w:p>
      <w:pPr>
        <w:spacing w:after="0" w:line="189" w:lineRule="exact"/>
        <w:rPr>
          <w:sz w:val="20"/>
          <w:szCs w:val="20"/>
          <w:color w:val="auto"/>
        </w:rPr>
      </w:pPr>
    </w:p>
    <w:p>
      <w:pPr>
        <w:ind w:right="360" w:firstLine="567"/>
        <w:spacing w:after="0" w:line="266" w:lineRule="auto"/>
        <w:rPr>
          <w:sz w:val="20"/>
          <w:szCs w:val="20"/>
          <w:color w:val="auto"/>
        </w:rPr>
      </w:pPr>
      <w:r>
        <w:rPr>
          <w:rFonts w:ascii="Times New Roman" w:cs="Times New Roman" w:eastAsia="Times New Roman" w:hAnsi="Times New Roman"/>
          <w:sz w:val="18"/>
          <w:szCs w:val="18"/>
          <w:color w:val="auto"/>
        </w:rPr>
        <w:t>We paid dividends on common stock of $0.735 per share, totaling approximately $1,830 million in the aggregate for the nine months ended September 30, 2019. On October 10, 2019, the Board of Directors declared a dividend of $0.735 per share payable December 10, 2019 to shareowners of record at the close of business on November 15, 2019</w:t>
      </w:r>
      <w:r>
        <w:rPr>
          <w:rFonts w:ascii="Times New Roman" w:cs="Times New Roman" w:eastAsia="Times New Roman" w:hAnsi="Times New Roman"/>
          <w:sz w:val="14"/>
          <w:szCs w:val="14"/>
          <w:color w:val="auto"/>
        </w:rPr>
        <w:t>.</w:t>
      </w:r>
    </w:p>
    <w:p>
      <w:pPr>
        <w:spacing w:after="0" w:line="8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September 27, 2019 we filed a universal shelf registration statement with the SEC for an indeterminate amount of debt and equity securities for future issuance, subject to our internal limitations on the amount of debt to be issued under the shelf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ind w:right="200" w:firstLine="4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our 2018 Annual Report, incorporated by reference in our 2018 </w:t>
      </w:r>
      <w:hyperlink r:id="rId9">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we disclosed our off-balance sheet arrangements and contractual obligations. As of September 30, 2019, there have been no material changes to these off-balance sheet arrangements and contractual obligations outside the ordinary course of business.</w:t>
      </w:r>
    </w:p>
    <w:p>
      <w:pPr>
        <w:spacing w:after="0" w:line="2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nine months ended September 30, 2019. For discussion of our exposure to market risk, refer to Part II, Item 7A, "Quantitative and Qualitative Disclosures About Market Risk," contained in our 2018 Form 10-K.</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18" w:right="25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management, including the Chairman, President and Chief Executive Officer (CEO), the Executive Vice President &amp; Chief Financial Officer (CFO) and the Corporate Vice President, Controller (Controller), of the effectiveness of the design and operation of our disclosure controls and procedures as of September 30, 2019.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September</w:t>
      </w:r>
    </w:p>
    <w:p>
      <w:pPr>
        <w:spacing w:after="0" w:line="254" w:lineRule="auto"/>
        <w:rPr>
          <w:sz w:val="20"/>
          <w:szCs w:val="20"/>
          <w:color w:val="auto"/>
        </w:rPr>
      </w:pPr>
      <w:r>
        <w:rPr>
          <w:rFonts w:ascii="Times New Roman" w:cs="Times New Roman" w:eastAsia="Times New Roman" w:hAnsi="Times New Roman"/>
          <w:sz w:val="18"/>
          <w:szCs w:val="18"/>
          <w:color w:val="auto"/>
        </w:rPr>
        <w:t>30, 2019,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86"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nine months ended September 30,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Forward-looking statements may include, among other things, statements relating to future sales, earnings, cash flow, results of operations, uses of cash, share repurchases, tax rates, R&amp;D spend, other measures of financial performance, potential future plans, strategies or transactions, credit ratings and net indebtedness, other anticipated benefits of the Rockwell Acquisition, the proposed merger with Raytheon or the spin-offs by UTC of Otis and Carrier into separate independent companies (the “separation transactions”), including estimated synergies and customer cost savings resulting from the proposed merger, the expected timing of completion of the proposed merger and the separation transactions, estimated costs associated with such transactions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99" w:lineRule="exact"/>
        <w:rPr>
          <w:sz w:val="20"/>
          <w:szCs w:val="20"/>
          <w:color w:val="auto"/>
        </w:rPr>
      </w:pPr>
    </w:p>
    <w:p>
      <w:pPr>
        <w:ind w:left="720" w:right="80" w:hanging="334"/>
        <w:spacing w:after="0" w:line="254"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economic conditions in the industries and markets in which we and Raytheon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the financial condition of our customers and suppliers, and the risks associated with U.S. government sales (including changes or shifts in defense spending due to budgetary constraints, spending cuts resulting from sequestration, a government shutdown, or otherwise, and uncertain funding of programs);</w:t>
      </w:r>
    </w:p>
    <w:p>
      <w:pPr>
        <w:ind w:left="720" w:right="40" w:hanging="334"/>
        <w:spacing w:after="0" w:line="250"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development, production, delivery, support, performance and realization of the anticipated benefits (including our expected returns under customer contracts) of advanced technologies and new products and services;</w:t>
      </w:r>
    </w:p>
    <w:p>
      <w:pPr>
        <w:ind w:left="720" w:right="520" w:hanging="334"/>
        <w:spacing w:after="0" w:line="250"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impact or timing of the proposed merger with Raytheon and the separation transactions and other merger, acquisition and divestiture activity, including among other things the integration of or with other businesses and realization of synergies and opportunities for growth and innovation and incurrence of related costs and expenses;</w:t>
      </w:r>
    </w:p>
    <w:p>
      <w:pPr>
        <w:spacing w:after="0" w:line="1" w:lineRule="exact"/>
        <w:rPr>
          <w:rFonts w:ascii="Times New Roman" w:cs="Times New Roman" w:eastAsia="Times New Roman" w:hAnsi="Times New Roman"/>
          <w:sz w:val="18"/>
          <w:szCs w:val="18"/>
          <w:color w:val="auto"/>
        </w:rPr>
      </w:pPr>
    </w:p>
    <w:p>
      <w:pPr>
        <w:ind w:left="720" w:right="20" w:hanging="334"/>
        <w:spacing w:after="0" w:line="250"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indebtedness, including indebtedness that may be incurred in connection with the proposed merger with Raytheon and the separation transactions, and capital spending and research and development spending;</w:t>
      </w:r>
    </w:p>
    <w:p>
      <w:pPr>
        <w:ind w:left="720" w:hanging="33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availability of credit and factors that may affect such availability, including credit market conditions and our capital structure;</w:t>
      </w:r>
    </w:p>
    <w:p>
      <w:pPr>
        <w:spacing w:after="0" w:line="9" w:lineRule="exact"/>
        <w:rPr>
          <w:rFonts w:ascii="Times New Roman" w:cs="Times New Roman" w:eastAsia="Times New Roman" w:hAnsi="Times New Roman"/>
          <w:sz w:val="18"/>
          <w:szCs w:val="18"/>
          <w:color w:val="auto"/>
        </w:rPr>
      </w:pPr>
    </w:p>
    <w:p>
      <w:pPr>
        <w:ind w:left="720" w:right="420" w:hanging="334"/>
        <w:spacing w:after="0" w:line="265" w:lineRule="auto"/>
        <w:tabs>
          <w:tab w:leader="none" w:pos="7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scope of future repurchases of our common stock, which may be suspended at any time due to various factors, including market conditions and the level of other investing activities and uses of cash, including in connection with the proposed merger with Raytheon;</w:t>
      </w:r>
    </w:p>
    <w:p>
      <w:pPr>
        <w:ind w:left="720" w:hanging="33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disruption in delivery of materials and services from suppliers;</w:t>
      </w:r>
    </w:p>
    <w:p>
      <w:pPr>
        <w:spacing w:after="0" w:line="9" w:lineRule="exact"/>
        <w:rPr>
          <w:rFonts w:ascii="Times New Roman" w:cs="Times New Roman" w:eastAsia="Times New Roman" w:hAnsi="Times New Roman"/>
          <w:sz w:val="18"/>
          <w:szCs w:val="18"/>
          <w:color w:val="auto"/>
        </w:rPr>
      </w:pPr>
    </w:p>
    <w:p>
      <w:pPr>
        <w:ind w:left="720" w:right="240" w:hanging="334"/>
        <w:spacing w:after="0" w:line="250"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customer-directed cost reduction efforts and restructuring costs and savings and other consequences thereof (including the potential termination of U.S. government contracts and performance under undefinitized contract awards and the potential inability to recover termination costs);</w:t>
      </w:r>
    </w:p>
    <w:p>
      <w:pPr>
        <w:spacing w:after="0" w:line="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and investment opportunities;</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realize the intended benefits of organizational changes;</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diversification and balance of operations across product lines, regions and industries;</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proceedings, investigations and other contingencies;</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 assumptions and future contributions;</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negotiation of collective bargaining agreements and labor disputes;</w:t>
      </w:r>
    </w:p>
    <w:p>
      <w:pPr>
        <w:spacing w:after="0" w:line="9" w:lineRule="exact"/>
        <w:rPr>
          <w:rFonts w:ascii="Times New Roman" w:cs="Times New Roman" w:eastAsia="Times New Roman" w:hAnsi="Times New Roman"/>
          <w:sz w:val="18"/>
          <w:szCs w:val="18"/>
          <w:color w:val="auto"/>
        </w:rPr>
      </w:pPr>
    </w:p>
    <w:p>
      <w:pPr>
        <w:ind w:left="720" w:right="20" w:hanging="334"/>
        <w:spacing w:after="0" w:line="250"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political conditions in the U.S. and other countries in which we and Raytheon and our businesses each operate, including the effect of changes in U.S. trade policies or the U.K.’s pending withdrawal from the European Union, on general market conditions, global trade policies and currency exchange rates in the near term and beyond;</w:t>
      </w:r>
    </w:p>
    <w:p>
      <w:pPr>
        <w:spacing w:after="0" w:line="1" w:lineRule="exact"/>
        <w:rPr>
          <w:rFonts w:ascii="Times New Roman" w:cs="Times New Roman" w:eastAsia="Times New Roman" w:hAnsi="Times New Roman"/>
          <w:sz w:val="18"/>
          <w:szCs w:val="18"/>
          <w:color w:val="auto"/>
        </w:rPr>
      </w:pPr>
    </w:p>
    <w:p>
      <w:pPr>
        <w:ind w:left="720" w:right="100" w:hanging="334"/>
        <w:spacing w:after="0" w:line="254"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tax (including U.S. tax reform enacted on December 22, 2017, which is commonly referred to as the Tax Cuts and Jobs Act of 2017), environmental, regulatory and other laws and regulations (including, among other things, export and import requirements such as the International Traffic in Arms Regulations and the Export Administration Regulations, anti-bribery and anti-corruption requirements, including the Foreign Corrupt Practices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ind w:left="720" w:right="260"/>
        <w:spacing w:after="0" w:line="284" w:lineRule="auto"/>
        <w:rPr>
          <w:sz w:val="20"/>
          <w:szCs w:val="20"/>
          <w:color w:val="auto"/>
        </w:rPr>
      </w:pPr>
      <w:r>
        <w:rPr>
          <w:rFonts w:ascii="Times New Roman" w:cs="Times New Roman" w:eastAsia="Times New Roman" w:hAnsi="Times New Roman"/>
          <w:sz w:val="18"/>
          <w:szCs w:val="18"/>
          <w:color w:val="auto"/>
        </w:rPr>
        <w:t>Act, industrial cooperation agreement obligations, and procurement and other regulations) in the U.S. and other countries in which we, Raytheon and our businesses each operate;</w:t>
      </w:r>
    </w:p>
    <w:p>
      <w:pPr>
        <w:spacing w:after="0" w:line="1" w:lineRule="exact"/>
        <w:rPr>
          <w:sz w:val="20"/>
          <w:szCs w:val="20"/>
          <w:color w:val="auto"/>
        </w:rPr>
      </w:pPr>
    </w:p>
    <w:p>
      <w:pPr>
        <w:ind w:left="720" w:right="180" w:hanging="334"/>
        <w:spacing w:after="0" w:line="258"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of the announcement or pendency of the proposed merger with Raytheon or the separation transactions on the market price of our and/or Raytheon’s respective common stock and/or on our respective financial performance;</w:t>
      </w:r>
    </w:p>
    <w:p>
      <w:pPr>
        <w:ind w:left="720" w:hanging="334"/>
        <w:spacing w:after="0" w:line="25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UTC and Raytheon to receive the required regulatory approvals for the proposed merger (and the risk that such approvals may result in the imposition of conditions that could adversely affect the combined company or the expected benefits of the transaction) and to satisfy the other conditions to the closing of the merger on a timely basis or at all;</w:t>
      </w:r>
    </w:p>
    <w:p>
      <w:pPr>
        <w:spacing w:after="0" w:line="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events that may give rise to a right of one or both of UTC or Raytheon to terminate the merger agreement;</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value of our shares to be issued in the proposed merger with Raytheon, significant transaction costs and/or unknown liabilities;</w:t>
      </w:r>
    </w:p>
    <w:p>
      <w:pPr>
        <w:spacing w:after="0" w:line="9" w:lineRule="exact"/>
        <w:rPr>
          <w:rFonts w:ascii="Times New Roman" w:cs="Times New Roman" w:eastAsia="Times New Roman" w:hAnsi="Times New Roman"/>
          <w:sz w:val="18"/>
          <w:szCs w:val="18"/>
          <w:color w:val="auto"/>
        </w:rPr>
      </w:pPr>
    </w:p>
    <w:p>
      <w:pPr>
        <w:ind w:left="720" w:hanging="334"/>
        <w:spacing w:after="0" w:line="25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from the proposed merger with Raytheon cannot be realized in full or at all or may take longer to realize than expected, including risks associated with third party contracts containing consent and/or other provisions that may be triggered by the proposed transaction;</w:t>
      </w:r>
    </w:p>
    <w:p>
      <w:pPr>
        <w:spacing w:after="0" w:line="1"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merger-related litigation;</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costs or difficulties related to the integration of UTC’s and Raytheon’s operations will be greater than expected;</w:t>
      </w:r>
    </w:p>
    <w:p>
      <w:pPr>
        <w:spacing w:after="0" w:line="9" w:lineRule="exact"/>
        <w:rPr>
          <w:rFonts w:ascii="Times New Roman" w:cs="Times New Roman" w:eastAsia="Times New Roman" w:hAnsi="Times New Roman"/>
          <w:sz w:val="18"/>
          <w:szCs w:val="18"/>
          <w:color w:val="auto"/>
        </w:rPr>
      </w:pPr>
    </w:p>
    <w:p>
      <w:pPr>
        <w:ind w:left="720" w:right="120" w:hanging="334"/>
        <w:spacing w:after="0" w:line="25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completed merger, acquisition and divestiture activity, including UTC’s integration of Rockwell Collins, including the risk that the integration may be more difficult, time-consuming or costly than expected or may not result in the achievement of estimated synergies within the contemplated time frame or at all;</w:t>
      </w:r>
    </w:p>
    <w:p>
      <w:pPr>
        <w:spacing w:after="0" w:line="1" w:lineRule="exact"/>
        <w:rPr>
          <w:rFonts w:ascii="Times New Roman" w:cs="Times New Roman" w:eastAsia="Times New Roman" w:hAnsi="Times New Roman"/>
          <w:sz w:val="18"/>
          <w:szCs w:val="18"/>
          <w:color w:val="auto"/>
        </w:rPr>
      </w:pPr>
    </w:p>
    <w:p>
      <w:pPr>
        <w:ind w:left="720" w:right="260" w:hanging="334"/>
        <w:spacing w:after="0" w:line="25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each of UTC, Raytheon, the companies resulting from the separation transactions and the combined company to retain and hire key personnel;</w:t>
      </w:r>
    </w:p>
    <w:p>
      <w:pPr>
        <w:ind w:left="720" w:right="60" w:hanging="334"/>
        <w:spacing w:after="0" w:line="25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and timing of the separation transactions, and the risk that conditions to the separation transactions will not be satisfied and/or that the separation transactions will not be completed within the expected time frame, on the expected terms or at all;</w:t>
      </w:r>
    </w:p>
    <w:p>
      <w:pPr>
        <w:ind w:left="720" w:right="880" w:hanging="334"/>
        <w:spacing w:after="0" w:line="25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qualification of (i) the merger as a tax-free reorganization and (ii) the separation transactions as tax-free to UTC and UTC’s shareowners, in each case, for U.S. federal income tax purposes;</w:t>
      </w:r>
    </w:p>
    <w:p>
      <w:pPr>
        <w:ind w:left="720" w:right="500" w:hanging="334"/>
        <w:spacing w:after="0" w:line="25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opinions, consents, approvals or rulings required in connection with the separation transactions will not be received or obtained within the expected time frame, on the expected terms or at all;</w:t>
      </w:r>
    </w:p>
    <w:p>
      <w:pPr>
        <w:ind w:left="720" w:right="620" w:hanging="334"/>
        <w:spacing w:after="0" w:line="25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financing transactions undertaken in connection with the proposed merger with Raytheon and the separation transactions and risks associated with additional indebtedness;</w:t>
      </w:r>
    </w:p>
    <w:p>
      <w:pPr>
        <w:ind w:left="720" w:right="120" w:hanging="334"/>
        <w:spacing w:after="0" w:line="250"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transactions will exceed our estimates; and</w:t>
      </w:r>
    </w:p>
    <w:p>
      <w:pPr>
        <w:ind w:left="720" w:hanging="334"/>
        <w:spacing w:after="0" w:line="255"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proposed merger and the separation transactions on the respective businesses of UTC and Raytheon and the risk that the separation transactions may be more difficult, time-consuming or costly than expected, including the impact on UTC’s resources, systems, procedures and controls and the impact on relationships with customers, suppliers, employees and other business counterparties.</w:t>
      </w:r>
    </w:p>
    <w:p>
      <w:pPr>
        <w:spacing w:after="0" w:line="78" w:lineRule="exact"/>
        <w:rPr>
          <w:sz w:val="20"/>
          <w:szCs w:val="20"/>
          <w:color w:val="auto"/>
        </w:rPr>
      </w:pPr>
    </w:p>
    <w:p>
      <w:pPr>
        <w:ind w:left="60" w:firstLine="648"/>
        <w:spacing w:after="0" w:line="253" w:lineRule="auto"/>
        <w:rPr>
          <w:sz w:val="20"/>
          <w:szCs w:val="20"/>
          <w:color w:val="auto"/>
        </w:rPr>
      </w:pPr>
      <w:r>
        <w:rPr>
          <w:rFonts w:ascii="Times New Roman" w:cs="Times New Roman" w:eastAsia="Times New Roman" w:hAnsi="Times New Roman"/>
          <w:sz w:val="18"/>
          <w:szCs w:val="18"/>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"Note 15: Contingent Liabilities," the section titled "Management's Discussion and Analysis of Financial Condition and Results of Operations" under the headings "Business Overview," "Critical Accounting Estimates," "Results of Operations," and "Liquidity and Financial Condition," and the sections titled "Legal Proceedings" and "Risk Factors" in this Form 10-Q and in our 2018 Annual Report and 2018 Form 10-K. Additional important information as to these factors is included in our 2018 Annual Report in the section titled "Management's Discussion and Analysis of Financial Condition and Results of Operations" under the headings "Restructuring Costs," "Environmental Matters" and "Governmental Matters", in our 2018 Form 10-K in the "Business" section under the headings "General," "Description of Business by Segment" and "Other Matters Relating to Our Business as a Whole" and in our Form S-4 Registration Statements (Registration No. 333-220883) and (Registrations No. 333-232696) under the heading "Risk Factors".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118" w:right="25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Securities Laws Litigation</w:t>
      </w:r>
    </w:p>
    <w:p>
      <w:pPr>
        <w:spacing w:after="0" w:line="11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On January 2, 2018, a purported shareowner filed a second amended complaint in the United States District Court for the Southern District of New York (the "District Court") under the federal securities laws against the Company and certain of its current and former executives (</w:t>
      </w:r>
      <w:r>
        <w:rPr>
          <w:rFonts w:ascii="Times New Roman" w:cs="Times New Roman" w:eastAsia="Times New Roman" w:hAnsi="Times New Roman"/>
          <w:sz w:val="18"/>
          <w:szCs w:val="18"/>
          <w:i w:val="1"/>
          <w:iCs w:val="1"/>
          <w:color w:val="auto"/>
        </w:rPr>
        <w:t>Frankfurt-Trust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Luxemburg AG v. United Technologies Corporation et al.), </w:t>
      </w:r>
      <w:r>
        <w:rPr>
          <w:rFonts w:ascii="Times New Roman" w:cs="Times New Roman" w:eastAsia="Times New Roman" w:hAnsi="Times New Roman"/>
          <w:sz w:val="18"/>
          <w:szCs w:val="18"/>
          <w:color w:val="auto"/>
        </w:rPr>
        <w:t>which further amends a previously disclosed complaint that was filed on May 10,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 amended complaint, the plaintiff purports to represent a class of shareowners who purchased the Company’s stock between December 11, 2014 and July 20, 2015. The second amended complaint alleges violations of Sections 10(b) and 20(a) of the Securities Exchange Act of 1934, and Rule 10b-5 thereunder, related to alleged false and misleading statements and omissions of material fact made in connection with the Company’s 2015 earnings expectations. On September 28, 2018, the District Court granted the defendants’ motion to dismiss the case in its entirety. On October 25, 2018, the plaintiff filed a Notice of Appeal to the United States Court of Appeals for the Second Circuit (the "Court of Appeals"). On October 15, 2019, the Court of Appeals affirmed the District Court's decision.</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15: Contingent Liabilities, for discussion regarding other legal proceedings.</w:t>
      </w:r>
    </w:p>
    <w:p>
      <w:pPr>
        <w:spacing w:after="0" w:line="22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Except as otherwise noted above, there have been no material developments in legal proceedings. For previously reported information about legal proceedings refer to Part I, Item 3, "Legal Proceedings," of our 2018 Form 10-K and Part II - Other Information, Item 1. Legal Proceedings of our 2019 Form 10-Q for the quarters ended March 31, 2019 and June 30, 2019.</w:t>
      </w:r>
    </w:p>
    <w:p>
      <w:pPr>
        <w:spacing w:after="0" w:line="2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70" w:lineRule="exact"/>
        <w:rPr>
          <w:sz w:val="20"/>
          <w:szCs w:val="20"/>
          <w:color w:val="auto"/>
        </w:rPr>
      </w:pPr>
    </w:p>
    <w:p>
      <w:pPr>
        <w:ind w:right="40" w:firstLine="45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risk factors from those disclosed in Part I, Item 1A, Risk Factors, in our 2018 Form 10-K and in Part II, Item 1A, Risk Factors in our 2019 Form 10-Q for the quarter ended June 30, 2019.</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purchases during the quarter ended September 30, 2019 of equity securities that are registered by us pursuant to Section 12 of the Exchange Act.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3"/>
                <w:szCs w:val="13"/>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95"/>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49"/>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 July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132.96</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95</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1 - August 31</w:t>
            </w:r>
          </w:p>
        </w:tc>
        <w:tc>
          <w:tcPr>
            <w:tcW w:w="18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127.87</w:t>
            </w:r>
          </w:p>
        </w:tc>
        <w:tc>
          <w:tcPr>
            <w:tcW w:w="22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136.78</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5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132.13</w:t>
            </w:r>
          </w:p>
        </w:tc>
        <w:tc>
          <w:tcPr>
            <w:tcW w:w="2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On October 14, 2015, our Board of Directors authorized a share repurchase program for up to $12 billion of our common stock, replacing the program announced on July 19, 2015. At September 30, 2019, the maximum dollar value of shares that may yet be purchased under this current program was approximately $1,852 million. Under this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Our ability to repurchase shares is subject to applicable law, including restrictions arising from the pending merger transaction with Raytheon. No shares were reacquired in transactions outside the program during the quarter ended September 30, 2019.</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86"/>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180" w:hanging="1010"/>
        <w:spacing w:after="0"/>
        <w:tabs>
          <w:tab w:leader="none" w:pos="1180" w:val="left"/>
        </w:tabs>
        <w:numPr>
          <w:ilvl w:val="0"/>
          <w:numId w:val="35"/>
        </w:numPr>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Letter re: unaudited interim financial information.*</w:t>
        </w:r>
      </w:hyperlink>
    </w:p>
    <w:p>
      <w:pPr>
        <w:spacing w:after="0" w:line="17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31.1</w:t>
            </w:r>
          </w:p>
        </w:tc>
        <w:tc>
          <w:tcPr>
            <w:tcW w:w="294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60">
              <w:r>
                <w:rPr>
                  <w:rFonts w:ascii="Times New Roman" w:cs="Times New Roman" w:eastAsia="Times New Roman" w:hAnsi="Times New Roman"/>
                  <w:sz w:val="18"/>
                  <w:szCs w:val="18"/>
                  <w:color w:val="0000FF"/>
                  <w:w w:val="99"/>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31.2</w:t>
            </w:r>
          </w:p>
        </w:tc>
        <w:tc>
          <w:tcPr>
            <w:tcW w:w="294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61">
              <w:r>
                <w:rPr>
                  <w:rFonts w:ascii="Times New Roman" w:cs="Times New Roman" w:eastAsia="Times New Roman" w:hAnsi="Times New Roman"/>
                  <w:sz w:val="18"/>
                  <w:szCs w:val="18"/>
                  <w:color w:val="0000FF"/>
                  <w:w w:val="99"/>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31.3</w:t>
            </w:r>
          </w:p>
        </w:tc>
        <w:tc>
          <w:tcPr>
            <w:tcW w:w="294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62">
              <w:r>
                <w:rPr>
                  <w:rFonts w:ascii="Times New Roman" w:cs="Times New Roman" w:eastAsia="Times New Roman" w:hAnsi="Times New Roman"/>
                  <w:sz w:val="18"/>
                  <w:szCs w:val="18"/>
                  <w:color w:val="0000FF"/>
                  <w:w w:val="99"/>
                </w:rPr>
                <w:t>Rule 13a-14(a)/15d-14(a) Certification.*</w:t>
              </w:r>
            </w:hyperlink>
          </w:p>
        </w:tc>
      </w:tr>
    </w:tbl>
    <w:p>
      <w:pPr>
        <w:spacing w:after="0" w:line="184" w:lineRule="exact"/>
        <w:rPr>
          <w:sz w:val="20"/>
          <w:szCs w:val="20"/>
          <w:color w:val="auto"/>
        </w:rPr>
      </w:pPr>
    </w:p>
    <w:p>
      <w:pPr>
        <w:ind w:left="1180" w:hanging="1010"/>
        <w:spacing w:after="0"/>
        <w:tabs>
          <w:tab w:leader="none" w:pos="1180" w:val="left"/>
        </w:tabs>
        <w:numPr>
          <w:ilvl w:val="0"/>
          <w:numId w:val="36"/>
        </w:numPr>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Section 1350 Certifications.*</w:t>
        </w:r>
      </w:hyperlink>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16"/>
        </w:trPr>
        <w:tc>
          <w:tcPr>
            <w:tcW w:w="90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900" w:type="dxa"/>
            <w:vAlign w:val="bottom"/>
          </w:tcPr>
          <w:p>
            <w:pPr>
              <w:spacing w:after="0"/>
              <w:rPr>
                <w:sz w:val="20"/>
                <w:szCs w:val="20"/>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utx-20190630.xml)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4"/>
        </w:trPr>
        <w:tc>
          <w:tcPr>
            <w:tcW w:w="900" w:type="dxa"/>
            <w:vAlign w:val="bottom"/>
          </w:tcPr>
          <w:p>
            <w:pPr>
              <w:spacing w:after="0"/>
              <w:rPr>
                <w:sz w:val="20"/>
                <w:szCs w:val="20"/>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utx-20190630.xsd)</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4"/>
        </w:trPr>
        <w:tc>
          <w:tcPr>
            <w:tcW w:w="900" w:type="dxa"/>
            <w:vAlign w:val="bottom"/>
          </w:tcPr>
          <w:p>
            <w:pPr>
              <w:spacing w:after="0"/>
              <w:rPr>
                <w:sz w:val="20"/>
                <w:szCs w:val="20"/>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utx-20190630_cal.xml)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900" w:type="dxa"/>
            <w:vAlign w:val="bottom"/>
          </w:tcPr>
          <w:p>
            <w:pPr>
              <w:spacing w:after="0"/>
              <w:rPr>
                <w:sz w:val="20"/>
                <w:szCs w:val="20"/>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utx-20190630_def.xml)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00" w:type="dxa"/>
            <w:vAlign w:val="bottom"/>
          </w:tcPr>
          <w:p>
            <w:pPr>
              <w:spacing w:after="0"/>
              <w:rPr>
                <w:sz w:val="20"/>
                <w:szCs w:val="20"/>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utx-20190630_lab.xml)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00" w:type="dxa"/>
            <w:vAlign w:val="bottom"/>
          </w:tcPr>
          <w:p>
            <w:pPr>
              <w:spacing w:after="0"/>
              <w:rPr>
                <w:sz w:val="20"/>
                <w:szCs w:val="20"/>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utx-20190630_pre.xml)</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Inline XBRL (Extensible Business Reporting Language): (i) Condensed Consolidated Statements of Operations for the quarters and nine months ended September 30, 2019 and 2018, (ii) Condensed Consolidated Statements of Comprehensive Income for the quarters and nine months ended September 30, 2019 and 2018, (iii) Condensed Consolidated Balance Sheets as of September 30, 2019 and December 31, 2018, (iv) Condensed Consolidated Statements of Cash Flows for the nine months ended September 30, 2019 and 2018, (v) Condensed Consolidated Statement of Changes in Equity for the quarters and nine months ended September 30, 2019 and 2018 and (vi) Notes to Condensed Consolidated Financial Statements.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118" w:right="25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166" w:lineRule="exact"/>
        <w:rPr>
          <w:sz w:val="20"/>
          <w:szCs w:val="20"/>
          <w:color w:val="auto"/>
        </w:rPr>
      </w:pPr>
    </w:p>
    <w:p>
      <w:pPr>
        <w:ind w:left="40"/>
        <w:spacing w:after="0"/>
        <w:tabs>
          <w:tab w:leader="none" w:pos="820" w:val="left"/>
          <w:tab w:leader="none" w:pos="4940" w:val="left"/>
          <w:tab w:leader="none" w:pos="76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October 25,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KHIL</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833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0"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Akhil Johri</w:t>
      </w:r>
    </w:p>
    <w:p>
      <w:pPr>
        <w:spacing w:after="0" w:line="9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Executive Vice President &amp; Chief Financial Officer</w:t>
      </w: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 Officer)</w:t>
      </w:r>
    </w:p>
    <w:p>
      <w:pPr>
        <w:spacing w:after="0" w:line="360" w:lineRule="exact"/>
        <w:rPr>
          <w:sz w:val="20"/>
          <w:szCs w:val="20"/>
          <w:color w:val="auto"/>
        </w:rPr>
      </w:pPr>
    </w:p>
    <w:p>
      <w:pPr>
        <w:ind w:left="40"/>
        <w:spacing w:after="0"/>
        <w:tabs>
          <w:tab w:leader="none" w:pos="820" w:val="left"/>
          <w:tab w:leader="none" w:pos="4940" w:val="left"/>
          <w:tab w:leader="none" w:pos="76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October 25,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4"/>
          <w:szCs w:val="14"/>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833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0"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Robert J. Bailey</w:t>
      </w:r>
    </w:p>
    <w:p>
      <w:pPr>
        <w:spacing w:after="0" w:line="9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Corporate Vice President, Controller</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Accounting Officer)</w:t>
      </w: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20"/>
          </w:cols>
          <w:pgMar w:left="240" w:top="118"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We are aware that our report dated October 25, 2019 on our review of interim financial information of United Technologies Corporation, which appears in this Quarterly Report on Form 10-Q, is incorporated by reference in the Registration Statements on Form S-3 (No. 333-234027) and Form S-8 (Nos. 333-234086, 333-234085, 333-234084, 333-228649, 333-225839, 333-207193, 333-197704, 333-183123, 333-177517, 333-175781, 333-150643, 333-125293, 333-110020, 333-100724, 333-100723, 333-100718 and 033-51385) of 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CT</w:t>
      </w:r>
    </w:p>
    <w:p>
      <w:pPr>
        <w:sectPr>
          <w:pgSz w:w="11900" w:h="16838" w:orient="portrait"/>
          <w:cols w:equalWidth="0" w:num="1">
            <w:col w:w="11420"/>
          </w:cols>
          <w:pgMar w:left="240" w:top="576"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Technologies Corporation;</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640"/>
        <w:spacing w:after="0" w:line="266" w:lineRule="auto"/>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600" w:val="left"/>
          <w:tab w:leader="none" w:pos="6640" w:val="left"/>
        </w:tabs>
        <w:rPr>
          <w:sz w:val="20"/>
          <w:szCs w:val="20"/>
          <w:color w:val="auto"/>
        </w:rPr>
      </w:pPr>
      <w:r>
        <w:rPr>
          <w:rFonts w:ascii="Times New Roman" w:cs="Times New Roman" w:eastAsia="Times New Roman" w:hAnsi="Times New Roman"/>
          <w:sz w:val="18"/>
          <w:szCs w:val="18"/>
          <w:color w:val="auto"/>
        </w:rPr>
        <w:t>Date:</w:t>
        <w:tab/>
        <w:t>October 25, 2019</w:t>
      </w:r>
      <w:r>
        <w:rPr>
          <w:sz w:val="20"/>
          <w:szCs w:val="20"/>
          <w:color w:val="auto"/>
        </w:rPr>
        <w:tab/>
      </w: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Gregory J. Hayes</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420"/>
          </w:cols>
          <w:pgMar w:left="240" w:top="576"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Technologies Corporation;</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640"/>
        <w:spacing w:after="0" w:line="266"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600" w:val="left"/>
          <w:tab w:leader="none" w:pos="6640" w:val="left"/>
        </w:tabs>
        <w:rPr>
          <w:sz w:val="20"/>
          <w:szCs w:val="20"/>
          <w:color w:val="auto"/>
        </w:rPr>
      </w:pPr>
      <w:r>
        <w:rPr>
          <w:rFonts w:ascii="Times New Roman" w:cs="Times New Roman" w:eastAsia="Times New Roman" w:hAnsi="Times New Roman"/>
          <w:sz w:val="18"/>
          <w:szCs w:val="18"/>
          <w:color w:val="auto"/>
        </w:rPr>
        <w:t>Date:</w:t>
        <w:tab/>
        <w:t>October 25, 2019</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KHIL</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Akhil Johri</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p>
      <w:pPr>
        <w:sectPr>
          <w:pgSz w:w="11900" w:h="16838" w:orient="portrait"/>
          <w:cols w:equalWidth="0" w:num="1">
            <w:col w:w="11420"/>
          </w:cols>
          <w:pgMar w:left="240" w:top="576"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Bailey, certify that:</w:t>
      </w:r>
    </w:p>
    <w:p>
      <w:pPr>
        <w:spacing w:after="0" w:line="171"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Technologies Corporation;</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640"/>
        <w:spacing w:after="0" w:line="266" w:lineRule="auto"/>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600" w:val="left"/>
          <w:tab w:leader="none" w:pos="6640" w:val="left"/>
        </w:tabs>
        <w:rPr>
          <w:sz w:val="20"/>
          <w:szCs w:val="20"/>
          <w:color w:val="auto"/>
        </w:rPr>
      </w:pPr>
      <w:r>
        <w:rPr>
          <w:rFonts w:ascii="Times New Roman" w:cs="Times New Roman" w:eastAsia="Times New Roman" w:hAnsi="Times New Roman"/>
          <w:sz w:val="18"/>
          <w:szCs w:val="18"/>
          <w:color w:val="auto"/>
        </w:rPr>
        <w:t>Date:</w:t>
        <w:tab/>
        <w:t>October 25, 2019</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4"/>
          <w:szCs w:val="14"/>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Robert J. Bailey</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Corporate Vice President, Controller</w:t>
      </w:r>
    </w:p>
    <w:p>
      <w:pPr>
        <w:sectPr>
          <w:pgSz w:w="11900" w:h="16838" w:orient="portrait"/>
          <w:cols w:equalWidth="0" w:num="1">
            <w:col w:w="11420"/>
          </w:cols>
          <w:pgMar w:left="240" w:top="576"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53"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162" w:lineRule="exact"/>
        <w:rPr>
          <w:sz w:val="20"/>
          <w:szCs w:val="20"/>
          <w:color w:val="auto"/>
        </w:rPr>
      </w:pPr>
    </w:p>
    <w:p>
      <w:pPr>
        <w:ind w:right="400" w:firstLine="432"/>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2019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1" w:lineRule="exact"/>
        <w:rPr>
          <w:sz w:val="20"/>
          <w:szCs w:val="20"/>
          <w:color w:val="auto"/>
        </w:rPr>
      </w:pPr>
    </w:p>
    <w:p>
      <w:pPr>
        <w:ind w:left="40"/>
        <w:spacing w:after="0"/>
        <w:tabs>
          <w:tab w:leader="none" w:pos="700" w:val="left"/>
          <w:tab w:leader="none" w:pos="5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25, 2019</w:t>
      </w:r>
      <w:r>
        <w:rPr>
          <w:sz w:val="20"/>
          <w:szCs w:val="20"/>
          <w:color w:val="auto"/>
        </w:rPr>
        <w:tab/>
      </w: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25, 2019</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KHIL</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25, 2019</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4"/>
          <w:szCs w:val="14"/>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Robert J. Bailey</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Corporate Vice President, Controller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bullet"/>
      <w:start w:val="1"/>
    </w:lvl>
  </w:abstractNum>
  <w:abstractNum w:abstractNumId="3">
    <w:nsid w:val="721DA317"/>
    <w:multiLevelType w:val="hybridMultilevel"/>
    <w:lvl w:ilvl="0">
      <w:lvlJc w:val="left"/>
      <w:lvlText w:val="2"/>
      <w:numFmt w:val="bullet"/>
      <w:start w:val="1"/>
    </w:lvl>
  </w:abstractNum>
  <w:abstractNum w:abstractNumId="4">
    <w:nsid w:val="2443A858"/>
    <w:multiLevelType w:val="hybridMultilevel"/>
    <w:lvl w:ilvl="0">
      <w:lvlJc w:val="left"/>
      <w:lvlText w:val="3"/>
      <w:numFmt w:val="bullet"/>
      <w:start w:val="1"/>
    </w:lvl>
  </w:abstractNum>
  <w:abstractNum w:abstractNumId="5">
    <w:nsid w:val="2D1D5AE9"/>
    <w:multiLevelType w:val="hybridMultilevel"/>
    <w:lvl w:ilvl="0">
      <w:lvlJc w:val="left"/>
      <w:lvlText w:val="4"/>
      <w:numFmt w:val="bullet"/>
      <w:start w:val="1"/>
    </w:lvl>
  </w:abstractNum>
  <w:abstractNum w:abstractNumId="6">
    <w:nsid w:val="6763845E"/>
    <w:multiLevelType w:val="hybridMultilevel"/>
    <w:lvl w:ilvl="0">
      <w:lvlJc w:val="left"/>
      <w:lvlText w:val="5"/>
      <w:numFmt w:val="bullet"/>
      <w:start w:val="1"/>
    </w:lvl>
  </w:abstractNum>
  <w:abstractNum w:abstractNumId="7">
    <w:nsid w:val="75A2A8D4"/>
    <w:multiLevelType w:val="hybridMultilevel"/>
    <w:lvl w:ilvl="0">
      <w:lvlJc w:val="left"/>
      <w:lvlText w:val="6"/>
      <w:numFmt w:val="bullet"/>
      <w:start w:val="1"/>
    </w:lvl>
  </w:abstractNum>
  <w:abstractNum w:abstractNumId="8">
    <w:nsid w:val="8EDBDAB"/>
    <w:multiLevelType w:val="hybridMultilevel"/>
    <w:lvl w:ilvl="0">
      <w:lvlJc w:val="left"/>
      <w:lvlText w:val="7"/>
      <w:numFmt w:val="bullet"/>
      <w:start w:val="1"/>
    </w:lvl>
  </w:abstractNum>
  <w:abstractNum w:abstractNumId="9">
    <w:nsid w:val="79838CB2"/>
    <w:multiLevelType w:val="hybridMultilevel"/>
    <w:lvl w:ilvl="0">
      <w:lvlJc w:val="left"/>
      <w:lvlText w:val="8"/>
      <w:numFmt w:val="bullet"/>
      <w:start w:val="1"/>
    </w:lvl>
  </w:abstractNum>
  <w:abstractNum w:abstractNumId="10">
    <w:nsid w:val="4353D0CD"/>
    <w:multiLevelType w:val="hybridMultilevel"/>
    <w:lvl w:ilvl="0">
      <w:lvlJc w:val="left"/>
      <w:lvlText w:val="9"/>
      <w:numFmt w:val="bullet"/>
      <w:start w:val="1"/>
    </w:lvl>
  </w:abstractNum>
  <w:abstractNum w:abstractNumId="11">
    <w:nsid w:val="B03E0C6"/>
    <w:multiLevelType w:val="hybridMultilevel"/>
    <w:lvl w:ilvl="0">
      <w:lvlJc w:val="left"/>
      <w:lvlText w:val="1"/>
      <w:numFmt w:val="bullet"/>
      <w:start w:val="1"/>
    </w:lvl>
  </w:abstractNum>
  <w:abstractNum w:abstractNumId="12">
    <w:nsid w:val="189A769B"/>
    <w:multiLevelType w:val="hybridMultilevel"/>
    <w:lvl w:ilvl="0">
      <w:lvlJc w:val="left"/>
      <w:lvlText w:val="2"/>
      <w:numFmt w:val="bullet"/>
      <w:start w:val="1"/>
    </w:lvl>
  </w:abstractNum>
  <w:abstractNum w:abstractNumId="13">
    <w:nsid w:val="54E49EB4"/>
    <w:multiLevelType w:val="hybridMultilevel"/>
    <w:lvl w:ilvl="0">
      <w:lvlJc w:val="left"/>
      <w:lvlText w:val="3"/>
      <w:numFmt w:val="bullet"/>
      <w:start w:val="1"/>
    </w:lvl>
  </w:abstractNum>
  <w:abstractNum w:abstractNumId="14">
    <w:nsid w:val="71F32454"/>
    <w:multiLevelType w:val="hybridMultilevel"/>
    <w:lvl w:ilvl="0">
      <w:lvlJc w:val="left"/>
      <w:lvlText w:val="4"/>
      <w:numFmt w:val="bullet"/>
      <w:start w:val="1"/>
    </w:lvl>
  </w:abstractNum>
  <w:abstractNum w:abstractNumId="15">
    <w:nsid w:val="2CA88611"/>
    <w:multiLevelType w:val="hybridMultilevel"/>
    <w:lvl w:ilvl="0">
      <w:lvlJc w:val="left"/>
      <w:lvlText w:val="5"/>
      <w:numFmt w:val="bullet"/>
      <w:start w:val="1"/>
    </w:lvl>
  </w:abstractNum>
  <w:abstractNum w:abstractNumId="16">
    <w:nsid w:val="836C40E"/>
    <w:multiLevelType w:val="hybridMultilevel"/>
    <w:lvl w:ilvl="0">
      <w:lvlJc w:val="left"/>
      <w:lvlText w:val="1"/>
      <w:numFmt w:val="bullet"/>
      <w:start w:val="1"/>
    </w:lvl>
  </w:abstractNum>
  <w:abstractNum w:abstractNumId="17">
    <w:nsid w:val="2901D82"/>
    <w:multiLevelType w:val="hybridMultilevel"/>
    <w:lvl w:ilvl="0">
      <w:lvlJc w:val="left"/>
      <w:lvlText w:val="2"/>
      <w:numFmt w:val="bullet"/>
      <w:start w:val="1"/>
    </w:lvl>
  </w:abstractNum>
  <w:abstractNum w:abstractNumId="18">
    <w:nsid w:val="3A95F874"/>
    <w:multiLevelType w:val="hybridMultilevel"/>
    <w:lvl w:ilvl="0">
      <w:lvlJc w:val="left"/>
      <w:lvlText w:val="1"/>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bullet"/>
      <w:start w:val="1"/>
    </w:lvl>
  </w:abstractNum>
  <w:abstractNum w:abstractNumId="30">
    <w:nsid w:val="440BADFC"/>
    <w:multiLevelType w:val="hybridMultilevel"/>
    <w:lvl w:ilvl="0">
      <w:lvlJc w:val="left"/>
      <w:lvlText w:val="2"/>
      <w:numFmt w:val="bullet"/>
      <w:start w:val="1"/>
    </w:lvl>
  </w:abstractNum>
  <w:abstractNum w:abstractNumId="31">
    <w:nsid w:val="5072367"/>
    <w:multiLevelType w:val="hybridMultilevel"/>
    <w:lvl w:ilvl="0">
      <w:lvlJc w:val="left"/>
      <w:lvlText w:val="1"/>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5"/>
    </w:lvl>
  </w:abstractNum>
  <w:abstractNum w:abstractNumId="35">
    <w:nsid w:val="5C482A97"/>
    <w:multiLevelType w:val="hybridMultilevel"/>
    <w:lvl w:ilvl="0">
      <w:lvlJc w:val="left"/>
      <w:lvlText w:val="%1"/>
      <w:numFmt w:val="decimal"/>
      <w:start w:val="32"/>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9" Type="http://schemas.openxmlformats.org/officeDocument/2006/relationships/hyperlink" Target="http://www.sec.gov/Archives/edgar/data/101829/000010182919000007/a2018-12x3110xkexhibit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2019-12-28T05:07:22Z</dcterms:created>
  <dcterms:modified xsi:type="dcterms:W3CDTF">2019-12-28T05:07:22Z</dcterms:modified>
</cp:coreProperties>
</file>